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21/10/2026 à 09:26</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1 NEUTRE  |  0 VENTE  (sur 48 sociétés)</w:t>
      </w:r>
    </w:p>
    <w:p>
      <w:pPr>
        <w:spacing w:before="20" w:after="20"/>
        <w:ind w:left="360" w:right="360"/>
        <w:shd w:val="clear" w:color="auto" w:fill="EBF5FB"/>
      </w:pPr>
      <w:r>
        <w:rPr>
          <w:b/>
          <w:sz w:val="19"/>
        </w:rPr>
        <w:t xml:space="preserve">Top opportunité :  </w:t>
      </w:r>
      <w:r>
        <w:rPr>
          <w:color w:val="008000"/>
          <w:sz w:val="19"/>
        </w:rPr>
        <w:t>BOAC  (score 82/100)</w:t>
      </w:r>
    </w:p>
    <w:p>
      <w:pPr>
        <w:spacing w:before="20" w:after="20"/>
        <w:ind w:left="360" w:right="360"/>
        <w:shd w:val="clear" w:color="auto" w:fill="EBF5FB"/>
      </w:pPr>
      <w:r>
        <w:rPr>
          <w:b/>
          <w:sz w:val="19"/>
        </w:rPr>
        <w:t xml:space="preserve">Secteur surperformant :  </w:t>
      </w:r>
      <w:r>
        <w:rPr>
          <w:color w:val="008000"/>
          <w:sz w:val="19"/>
        </w:rPr>
        <w:t>Services Financiers  (+35.1%)</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20 sociétés — vérifier avant d'investir</w:t>
      </w:r>
    </w:p>
    <w:p>
      <w:pPr>
        <w:spacing w:before="20" w:after="20"/>
        <w:ind w:left="360" w:right="360"/>
        <w:shd w:val="clear" w:color="auto" w:fill="EBF5FB"/>
      </w:pPr>
      <w:r>
        <w:rPr>
          <w:b/>
          <w:sz w:val="19"/>
        </w:rPr>
        <w:t xml:space="preserve">⚠️ Liquidité réduite :  </w:t>
      </w:r>
      <w:r>
        <w:rPr>
          <w:color w:val="C00000"/>
          <w:sz w:val="19"/>
        </w:rPr>
        <w:t>14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524.52 points </w:t>
      </w:r>
      <w:r>
        <w:rPr>
          <w:color w:val="C00000"/>
        </w:rPr>
        <w:t>(-0.94%)</w:t>
      </w:r>
      <w:r>
        <w:t xml:space="preserve"> sur la séance. </w:t>
      </w:r>
      <w:r>
        <w:t>La capitalisation globale du marché atteint 20 569,127 milliards FCFA.</w:t>
      </w:r>
    </w:p>
    <w:p/>
    <w:p>
      <w:pPr>
        <w:pStyle w:val="Heading3"/>
      </w:pPr>
      <w:r>
        <w:t>📊 Évolution de l'indice BRVM Composite (100 derniers jours)</w:t>
      </w:r>
    </w:p>
    <w:p>
      <w:r>
        <w:rPr>
          <w:b/>
        </w:rPr>
        <w:t xml:space="preserve">BRVM Composite — </w:t>
      </w:r>
      <w:r>
        <w:t xml:space="preserve">Sur les 100 derniers jours de cotation (2026-05-29 au 2026-10-20), l'indice BRVM Composite a évolué de </w:t>
      </w:r>
      <w:r>
        <w:rPr>
          <w:b/>
          <w:color w:val="008000"/>
        </w:rPr>
        <w:t>+23.26%</w:t>
      </w:r>
      <w:r>
        <w:t>, passant de 425.54 pts à 524.52 pts. Le plus haut atteint est 555.90 pts et le plus bas 425.54 pts. Sur l'ensemble de la période, la moyenne de l'indice s'établit à 496.66 pts, la médiane à 488.20 pts et le mode à 537.67 pts</w:t>
      </w:r>
      <w:r>
        <w:t xml:space="preserve"> (distribution symétrique). </w:t>
      </w:r>
      <w:r>
        <w:t xml:space="preserve">L'écart-type de 42.54 pts (CV=8.6%) traduit une modérée dispersion des cotations. Le kurtosis de -1.44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+25.39%</w:t>
      </w:r>
      <w:r>
        <w:t xml:space="preserve"> sur la période, passant de 16 404,333 Mds FCFA à 20 569,127 Mds FCFA. Le pic de capitalisation observé est de 21 529,927 Mds FCFA et le plancher de 16 404,333 Mds FCFA. La moyenne de la capitalisation sur la période s'établit à 19 207,362 Mds FCFA, la médiane à 18 807,021 Mds FCFA et le mode à 16 404,333 Mds FCFA</w:t>
      </w:r>
      <w:r>
        <w:t xml:space="preserve"> (distribution symétrique). </w:t>
      </w:r>
      <w:r>
        <w:t>L'écart-type de 1 718,158 Mds FCFA (CV=8.9%) reflète une modérée variabilité de la valorisation du marché. Le kurtosis de -1.47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PRSC - PRSC - TRACTAFRIC MOTORS CI</w:t>
      </w:r>
      <w:r>
        <w:t xml:space="preserve"> | Prix: 4200 FCFA | </w:t>
      </w:r>
      <w:r>
        <w:rPr>
          <w:b/>
          <w:color w:val="008000"/>
        </w:rPr>
        <w:t>ACHAT FORT</w:t>
      </w:r>
      <w:r>
        <w:t xml:space="preserve"> | Confiance: Élevée | Risque: Faible</w:t>
      </w:r>
    </w:p>
    <w:p>
      <w:pPr>
        <w:pStyle w:val="ListNumber"/>
      </w:pPr>
      <w:r>
        <w:rPr>
          <w:b/>
        </w:rPr>
        <w:t>ABJC - ABJC - SERVAIR ABIDJAN CI</w:t>
      </w:r>
      <w:r>
        <w:t xml:space="preserve"> | Prix: 3000 FCFA | </w:t>
      </w:r>
      <w:r>
        <w:rPr>
          <w:b/>
          <w:color w:val="008000"/>
        </w:rPr>
        <w:t>ACHAT</w:t>
      </w:r>
      <w:r>
        <w:t xml:space="preserve"> | Confiance: Moyen | Risque: Faible</w:t>
      </w:r>
    </w:p>
    <w:p>
      <w:pPr>
        <w:pStyle w:val="ListNumber"/>
      </w:pPr>
      <w:r>
        <w:rPr>
          <w:b/>
        </w:rPr>
        <w:t>BBGC - BRIDGE BANK GROUP COTE D'IVOIRE</w:t>
      </w:r>
      <w:r>
        <w:t xml:space="preserve"> | Prix: 9800 FCFA | </w:t>
      </w:r>
      <w:r>
        <w:rPr>
          <w:b/>
          <w:color w:val="008000"/>
        </w:rPr>
        <w:t>ACHAT</w:t>
      </w:r>
      <w:r>
        <w:t xml:space="preserve"> | Confiance: Moyen | Risque: Moyen</w:t>
      </w:r>
    </w:p>
    <w:p>
      <w:pPr>
        <w:pStyle w:val="ListNumber"/>
      </w:pPr>
      <w:r>
        <w:rPr>
          <w:b/>
        </w:rPr>
        <w:t>BICB - BIIC BN - Banque internationale pour le commerce du benin</w:t>
      </w:r>
      <w:r>
        <w:t xml:space="preserve"> | Prix: 8460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32010 FCFA | </w:t>
      </w:r>
      <w:r>
        <w:rPr>
          <w:b/>
          <w:color w:val="008000"/>
        </w:rPr>
        <w:t>ACHAT</w:t>
      </w:r>
      <w:r>
        <w:t xml:space="preserve"> | Confiance: Moyen | Risque: Moyen</w:t>
      </w:r>
    </w:p>
    <w:p>
      <w:pPr>
        <w:pStyle w:val="ListNumber"/>
      </w:pPr>
      <w:r>
        <w:rPr>
          <w:b/>
        </w:rPr>
        <w:t>BNBC - BNBC - BERNABE CI</w:t>
      </w:r>
      <w:r>
        <w:t xml:space="preserve"> | Prix: 1720 FCFA | </w:t>
      </w:r>
      <w:r>
        <w:rPr>
          <w:b/>
          <w:color w:val="008000"/>
        </w:rPr>
        <w:t>ACHAT</w:t>
      </w:r>
      <w:r>
        <w:t xml:space="preserve"> | Confiance: Moyen | Risque: Moyen</w:t>
      </w:r>
    </w:p>
    <w:p>
      <w:pPr>
        <w:pStyle w:val="ListNumber"/>
      </w:pPr>
      <w:r>
        <w:rPr>
          <w:b/>
        </w:rPr>
        <w:t>BOAB - BANK OF AFRICA BENIN</w:t>
      </w:r>
      <w:r>
        <w:t xml:space="preserve"> | Prix: 9180 FCFA | </w:t>
      </w:r>
      <w:r>
        <w:rPr>
          <w:b/>
          <w:color w:val="008000"/>
        </w:rPr>
        <w:t>ACHAT</w:t>
      </w:r>
      <w:r>
        <w:t xml:space="preserve"> | Confiance: Faible | Risque: Faible</w:t>
      </w:r>
    </w:p>
    <w:p>
      <w:pPr>
        <w:pStyle w:val="ListNumber"/>
      </w:pPr>
      <w:r>
        <w:rPr>
          <w:b/>
        </w:rPr>
        <w:t>BOABF - BANK OF AFRICA BURKINA FASO</w:t>
      </w:r>
      <w:r>
        <w:t xml:space="preserve"> | Prix: 7815 FCFA | </w:t>
      </w:r>
      <w:r>
        <w:rPr>
          <w:b/>
          <w:color w:val="008000"/>
        </w:rPr>
        <w:t>ACHAT</w:t>
      </w:r>
      <w:r>
        <w:t xml:space="preserve"> | Confiance: Moyen | Risque: Moyen</w:t>
      </w:r>
    </w:p>
    <w:p>
      <w:pPr>
        <w:pStyle w:val="ListNumber"/>
      </w:pPr>
      <w:r>
        <w:rPr>
          <w:b/>
        </w:rPr>
        <w:t>BOAC - BANK OF AFRICA COTE D'IVOIRE</w:t>
      </w:r>
      <w:r>
        <w:t xml:space="preserve"> | Prix: 11250 FCFA | </w:t>
      </w:r>
      <w:r>
        <w:rPr>
          <w:b/>
          <w:color w:val="008000"/>
        </w:rPr>
        <w:t>ACHAT</w:t>
      </w:r>
      <w:r>
        <w:t xml:space="preserve"> | Confiance: Élevée | Risque: Faible</w:t>
      </w:r>
    </w:p>
    <w:p>
      <w:pPr>
        <w:pStyle w:val="ListNumber"/>
      </w:pPr>
      <w:r>
        <w:rPr>
          <w:b/>
        </w:rPr>
        <w:t>BOAM - BANK OF AFRICA MALI</w:t>
      </w:r>
      <w:r>
        <w:t xml:space="preserve"> | Prix: 5700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CFAC - CFAC - CFAO MOTORS CI</w:t>
      </w:r>
      <w:r>
        <w:t xml:space="preserve"> | Prix: 1450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35.08%</w:t>
      </w:r>
      <w:r>
        <w:t xml:space="preserve">  |  </w:t>
      </w:r>
      <w:r>
        <w:rPr>
          <w:b/>
        </w:rPr>
        <w:t xml:space="preserve">vs BRVM Composite: </w:t>
      </w:r>
      <w:r>
        <w:rPr>
          <w:b/>
          <w:color w:val="008000"/>
        </w:rPr>
        <w:t>+11.82%  🟢 Surperformance</w:t>
      </w:r>
      <w:r>
        <w:br/>
      </w:r>
      <w:r>
        <w:rPr>
          <w:b/>
        </w:rPr>
        <w:t xml:space="preserve">Sentiment général: </w:t>
      </w:r>
      <w:r>
        <w:t xml:space="preserve">ACHAT  |  </w:t>
      </w:r>
      <w:r>
        <w:rPr>
          <w:b/>
        </w:rPr>
        <w:t xml:space="preserve">Risque moyen: </w:t>
      </w:r>
      <w:r>
        <w:t xml:space="preserve">Moyen  |  </w:t>
      </w:r>
      <w:r>
        <w:rPr>
          <w:b/>
        </w:rPr>
        <w:t xml:space="preserve">Prix moyen: </w:t>
      </w:r>
      <w:r>
        <w:t>9800 FCFA</w:t>
        <w:br/>
      </w:r>
      <w:r>
        <w:rPr>
          <w:b/>
        </w:rPr>
        <w:br/>
        <w:t xml:space="preserve">Sociétés: </w:t>
      </w:r>
      <w:r>
        <w:t>BBGC (BRIDGE BANK GROUP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26.81%</w:t>
      </w:r>
      <w:r>
        <w:t xml:space="preserve">  |  </w:t>
      </w:r>
      <w:r>
        <w:rPr>
          <w:b/>
        </w:rPr>
        <w:t xml:space="preserve">vs BRVM Composite: </w:t>
      </w:r>
      <w:r>
        <w:rPr>
          <w:b/>
          <w:color w:val="008000"/>
        </w:rPr>
        <w:t>+3.55%  🟢 Surperformance</w:t>
      </w:r>
      <w:r>
        <w:br/>
      </w:r>
      <w:r>
        <w:rPr>
          <w:b/>
        </w:rPr>
        <w:t xml:space="preserve">Sentiment général: </w:t>
      </w:r>
      <w:r>
        <w:t xml:space="preserve">ACHAT  |  </w:t>
      </w:r>
      <w:r>
        <w:rPr>
          <w:b/>
        </w:rPr>
        <w:t xml:space="preserve">Risque moyen: </w:t>
      </w:r>
      <w:r>
        <w:t xml:space="preserve">Moyen  |  </w:t>
      </w:r>
      <w:r>
        <w:rPr>
          <w:b/>
        </w:rPr>
        <w:t xml:space="preserve">Prix moyen: </w:t>
      </w:r>
      <w:r>
        <w:t>21708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24.47%</w:t>
      </w:r>
      <w:r>
        <w:t xml:space="preserve">  |  </w:t>
      </w:r>
      <w:r>
        <w:rPr>
          <w:b/>
        </w:rPr>
        <w:t xml:space="preserve">vs BRVM Composite: </w:t>
      </w:r>
      <w:r>
        <w:rPr>
          <w:b/>
          <w:color w:val="008000"/>
        </w:rPr>
        <w:t>+1.21%  🟢 Surperformance</w:t>
      </w:r>
      <w:r>
        <w:br/>
      </w:r>
      <w:r>
        <w:rPr>
          <w:b/>
        </w:rPr>
        <w:t xml:space="preserve">Sentiment général: </w:t>
      </w:r>
      <w:r>
        <w:t xml:space="preserve">ACHAT  |  </w:t>
      </w:r>
      <w:r>
        <w:rPr>
          <w:b/>
        </w:rPr>
        <w:t xml:space="preserve">Risque moyen: </w:t>
      </w:r>
      <w:r>
        <w:t xml:space="preserve">Moyen  |  </w:t>
      </w:r>
      <w:r>
        <w:rPr>
          <w:b/>
        </w:rPr>
        <w:t xml:space="preserve">Prix moyen: </w:t>
      </w:r>
      <w:r>
        <w:t>13115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SERVICES PUBLICS</w:t>
      </w:r>
    </w:p>
    <w:p>
      <w:r>
        <w:rPr>
          <w:b/>
        </w:rPr>
        <w:t xml:space="preserve">Nombre de sociétés: </w:t>
      </w:r>
      <w:r>
        <w:t xml:space="preserve">2  |  </w:t>
      </w:r>
      <w:r>
        <w:rPr>
          <w:b/>
        </w:rPr>
        <w:t xml:space="preserve">Performance moyenne (100j): </w:t>
      </w:r>
      <w:r>
        <w:rPr>
          <w:color w:val="008000"/>
        </w:rPr>
        <w:t>17.12%</w:t>
      </w:r>
      <w:r>
        <w:t xml:space="preserve">  |  </w:t>
      </w:r>
      <w:r>
        <w:rPr>
          <w:b/>
        </w:rPr>
        <w:t xml:space="preserve">vs BRVM Composite: </w:t>
      </w:r>
      <w:r>
        <w:rPr>
          <w:b/>
          <w:color w:val="C00000"/>
        </w:rPr>
        <w:t>-6.14%  🔴 Sous-performance</w:t>
      </w:r>
      <w:r>
        <w:br/>
      </w:r>
      <w:r>
        <w:rPr>
          <w:b/>
        </w:rPr>
        <w:t xml:space="preserve">Sentiment général: </w:t>
      </w:r>
      <w:r>
        <w:t xml:space="preserve">ACHAT  |  </w:t>
      </w:r>
      <w:r>
        <w:rPr>
          <w:b/>
        </w:rPr>
        <w:t xml:space="preserve">Risque moyen: </w:t>
      </w:r>
      <w:r>
        <w:t xml:space="preserve">Moyen  |  </w:t>
      </w:r>
      <w:r>
        <w:rPr>
          <w:b/>
        </w:rPr>
        <w:t xml:space="preserve">Prix moyen: </w:t>
      </w:r>
      <w:r>
        <w:t>8605 FCFA</w:t>
        <w:br/>
      </w:r>
      <w:r>
        <w:rPr>
          <w:b/>
        </w:rPr>
        <w:br/>
        <w:t xml:space="preserve">Sociétés: </w:t>
      </w:r>
      <w:r>
        <w:t>CIEC (CIEC - Compagnie Ivoirienne d'Electricité), SDCC (SDCC - Société de Distribution d'Eau de Côte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9.30%</w:t>
      </w:r>
      <w:r>
        <w:t xml:space="preserve">  |  </w:t>
      </w:r>
      <w:r>
        <w:rPr>
          <w:b/>
        </w:rPr>
        <w:t xml:space="preserve">vs BRVM Composite: </w:t>
      </w:r>
      <w:r>
        <w:rPr>
          <w:b/>
          <w:color w:val="C00000"/>
        </w:rPr>
        <w:t>-13.96%  🔴 Sous-performance</w:t>
      </w:r>
      <w:r>
        <w:br/>
      </w:r>
      <w:r>
        <w:rPr>
          <w:b/>
        </w:rPr>
        <w:t xml:space="preserve">Sentiment général: </w:t>
      </w:r>
      <w:r>
        <w:t xml:space="preserve">ACHAT  |  </w:t>
      </w:r>
      <w:r>
        <w:rPr>
          <w:b/>
        </w:rPr>
        <w:t xml:space="preserve">Risque moyen: </w:t>
      </w:r>
      <w:r>
        <w:t xml:space="preserve">Faible  |  </w:t>
      </w:r>
      <w:r>
        <w:rPr>
          <w:b/>
        </w:rPr>
        <w:t xml:space="preserve">Prix moyen: </w:t>
      </w:r>
      <w:r>
        <w:t>18064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6.99%</w:t>
      </w:r>
      <w:r>
        <w:t xml:space="preserve">  |  </w:t>
      </w:r>
      <w:r>
        <w:rPr>
          <w:b/>
        </w:rPr>
        <w:t xml:space="preserve">vs BRVM Composite: </w:t>
      </w:r>
      <w:r>
        <w:rPr>
          <w:b/>
          <w:color w:val="C00000"/>
        </w:rPr>
        <w:t>-16.27%  🔴 Sous-performance</w:t>
      </w:r>
      <w:r>
        <w:br/>
      </w:r>
      <w:r>
        <w:rPr>
          <w:b/>
        </w:rPr>
        <w:t xml:space="preserve">Sentiment général: </w:t>
      </w:r>
      <w:r>
        <w:t xml:space="preserve">ACHAT  |  </w:t>
      </w:r>
      <w:r>
        <w:rPr>
          <w:b/>
        </w:rPr>
        <w:t xml:space="preserve">Risque moyen: </w:t>
      </w:r>
      <w:r>
        <w:t xml:space="preserve">Faible  |  </w:t>
      </w:r>
      <w:r>
        <w:rPr>
          <w:b/>
        </w:rPr>
        <w:t xml:space="preserve">Prix moyen: </w:t>
      </w:r>
      <w:r>
        <w:t>5855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3.92%</w:t>
      </w:r>
      <w:r>
        <w:t xml:space="preserve">  |  </w:t>
      </w:r>
      <w:r>
        <w:rPr>
          <w:b/>
        </w:rPr>
        <w:t xml:space="preserve">vs BRVM Composite: </w:t>
      </w:r>
      <w:r>
        <w:rPr>
          <w:b/>
          <w:color w:val="C00000"/>
        </w:rPr>
        <w:t>-19.33%  🔴 Sous-performance</w:t>
      </w:r>
      <w:r>
        <w:br/>
      </w:r>
      <w:r>
        <w:rPr>
          <w:b/>
        </w:rPr>
        <w:t xml:space="preserve">Sentiment général: </w:t>
      </w:r>
      <w:r>
        <w:t xml:space="preserve">ACHAT  |  </w:t>
      </w:r>
      <w:r>
        <w:rPr>
          <w:b/>
        </w:rPr>
        <w:t xml:space="preserve">Risque moyen: </w:t>
      </w:r>
      <w:r>
        <w:t xml:space="preserve">Faible  |  </w:t>
      </w:r>
      <w:r>
        <w:rPr>
          <w:b/>
        </w:rPr>
        <w:t xml:space="preserve">Prix moyen: </w:t>
      </w:r>
      <w:r>
        <w:t>2658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-11.03%</w:t>
      </w:r>
      <w:r>
        <w:t xml:space="preserve">  |  </w:t>
      </w:r>
      <w:r>
        <w:rPr>
          <w:b/>
        </w:rPr>
        <w:t xml:space="preserve">vs BRVM Composite: </w:t>
      </w:r>
      <w:r>
        <w:rPr>
          <w:b/>
          <w:color w:val="C00000"/>
        </w:rPr>
        <w:t>-34.29%  🔴 Sous-performance</w:t>
      </w:r>
      <w:r>
        <w:br/>
      </w:r>
      <w:r>
        <w:rPr>
          <w:b/>
        </w:rPr>
        <w:t xml:space="preserve">Sentiment général: </w:t>
      </w:r>
      <w:r>
        <w:t xml:space="preserve">ACHAT  |  </w:t>
      </w:r>
      <w:r>
        <w:rPr>
          <w:b/>
        </w:rPr>
        <w:t xml:space="preserve">Risque moyen: </w:t>
      </w:r>
      <w:r>
        <w:t xml:space="preserve">Faible  |  </w:t>
      </w:r>
      <w:r>
        <w:rPr>
          <w:b/>
        </w:rPr>
        <w:t xml:space="preserve">Prix moyen: </w:t>
      </w:r>
      <w:r>
        <w:t>2279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BOAC, CIEC, ORAC, SGBC, SIVC, SLBC, SNTS, STBC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BBGC, BICC, BNBC, BOABF, BOAM, CABC, LNBB, ONTBF, PALC, PRSC, SAFC, SCRC, SDSC, SEMC, SHEC, SIBC, SICC,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BOAB, BOAN, BOAS, CBIBF, ECOC, ETIT, FTSC, NEIC, NSBC, NTLC, ORGT, SDCC, SMBC, SOGC, SPHC, STAC, TTLC, UNLC</w:t>
            </w:r>
          </w:p>
        </w:tc>
        <w:tc>
          <w:tcPr>
            <w:tcW w:type="dxa" w:w="2160"/>
            <w:shd w:fill="FFC7CE" w:val="clear"/>
          </w:tcPr>
          <w:p>
            <w:pPr>
              <w:spacing w:before="40" w:after="40"/>
            </w:pPr>
            <w:r/>
            <w:r>
              <w:rPr>
                <w:b w:val="0"/>
                <w:sz w:val="16"/>
              </w:rPr>
              <w:t>CFAC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1002279</w:t>
            </w:r>
          </w:p>
        </w:tc>
        <w:tc>
          <w:tcPr>
            <w:tcW w:type="dxa" w:w="1728"/>
          </w:tcPr>
          <w:p>
            <w:r>
              <w:t>66516575 FCFA</w:t>
            </w:r>
          </w:p>
        </w:tc>
        <w:tc>
          <w:tcPr>
            <w:tcW w:type="dxa" w:w="1728"/>
          </w:tcPr>
          <w:p>
            <w:r>
              <w:t>116.67%</w:t>
            </w:r>
          </w:p>
        </w:tc>
        <w:tc>
          <w:tcPr>
            <w:tcW w:type="dxa" w:w="1728"/>
          </w:tcPr>
          <w:p>
            <w:r>
              <w:t>ACHAT</w:t>
            </w:r>
          </w:p>
        </w:tc>
      </w:tr>
      <w:tr>
        <w:tc>
          <w:tcPr>
            <w:tcW w:type="dxa" w:w="1728"/>
          </w:tcPr>
          <w:p>
            <w:r>
              <w:t>SNTS (SNTS - SONATEL SN)</w:t>
            </w:r>
          </w:p>
        </w:tc>
        <w:tc>
          <w:tcPr>
            <w:tcW w:type="dxa" w:w="1728"/>
          </w:tcPr>
          <w:p>
            <w:r>
              <w:t>31171</w:t>
            </w:r>
          </w:p>
        </w:tc>
        <w:tc>
          <w:tcPr>
            <w:tcW w:type="dxa" w:w="1728"/>
          </w:tcPr>
          <w:p>
            <w:r>
              <w:t>1348966231 FCFA</w:t>
            </w:r>
          </w:p>
        </w:tc>
        <w:tc>
          <w:tcPr>
            <w:tcW w:type="dxa" w:w="1728"/>
          </w:tcPr>
          <w:p>
            <w:r>
              <w:t>47.21%</w:t>
            </w:r>
          </w:p>
        </w:tc>
        <w:tc>
          <w:tcPr>
            <w:tcW w:type="dxa" w:w="1728"/>
          </w:tcPr>
          <w:p>
            <w:r>
              <w:t>ACHAT</w:t>
            </w:r>
          </w:p>
        </w:tc>
      </w:tr>
      <w:tr>
        <w:tc>
          <w:tcPr>
            <w:tcW w:type="dxa" w:w="1728"/>
          </w:tcPr>
          <w:p>
            <w:r>
              <w:t>BBGC (BRIDGE BANK GROUP COTE D'IVOIRE)</w:t>
            </w:r>
          </w:p>
        </w:tc>
        <w:tc>
          <w:tcPr>
            <w:tcW w:type="dxa" w:w="1728"/>
          </w:tcPr>
          <w:p>
            <w:r>
              <w:t>25925</w:t>
            </w:r>
          </w:p>
        </w:tc>
        <w:tc>
          <w:tcPr>
            <w:tcW w:type="dxa" w:w="1728"/>
          </w:tcPr>
          <w:p>
            <w:r>
              <w:t>244316526 FCFA</w:t>
            </w:r>
          </w:p>
        </w:tc>
        <w:tc>
          <w:tcPr>
            <w:tcW w:type="dxa" w:w="1728"/>
          </w:tcPr>
          <w:p>
            <w:r>
              <w:t>35.08%</w:t>
            </w:r>
          </w:p>
        </w:tc>
        <w:tc>
          <w:tcPr>
            <w:tcW w:type="dxa" w:w="1728"/>
          </w:tcPr>
          <w:p>
            <w:r>
              <w:t>ACHAT</w:t>
            </w:r>
          </w:p>
        </w:tc>
      </w:tr>
      <w:tr>
        <w:tc>
          <w:tcPr>
            <w:tcW w:type="dxa" w:w="1728"/>
          </w:tcPr>
          <w:p>
            <w:r>
              <w:t>SDSC (SDSC - AFRICA GLOBAL LOGISTICS CI)</w:t>
            </w:r>
          </w:p>
        </w:tc>
        <w:tc>
          <w:tcPr>
            <w:tcW w:type="dxa" w:w="1728"/>
          </w:tcPr>
          <w:p>
            <w:r>
              <w:t>13168</w:t>
            </w:r>
          </w:p>
        </w:tc>
        <w:tc>
          <w:tcPr>
            <w:tcW w:type="dxa" w:w="1728"/>
          </w:tcPr>
          <w:p>
            <w:r>
              <w:t>38136273 FCFA</w:t>
            </w:r>
          </w:p>
        </w:tc>
        <w:tc>
          <w:tcPr>
            <w:tcW w:type="dxa" w:w="1728"/>
          </w:tcPr>
          <w:p>
            <w:r>
              <w:t>65.75%</w:t>
            </w:r>
          </w:p>
        </w:tc>
        <w:tc>
          <w:tcPr>
            <w:tcW w:type="dxa" w:w="1728"/>
          </w:tcPr>
          <w:p>
            <w:r>
              <w:t>ACHAT</w:t>
            </w:r>
          </w:p>
        </w:tc>
      </w:tr>
      <w:tr>
        <w:tc>
          <w:tcPr>
            <w:tcW w:type="dxa" w:w="1728"/>
          </w:tcPr>
          <w:p>
            <w:r>
              <w:t>BOAS (BANK OF AFRICA SENEGAL)</w:t>
            </w:r>
          </w:p>
        </w:tc>
        <w:tc>
          <w:tcPr>
            <w:tcW w:type="dxa" w:w="1728"/>
          </w:tcPr>
          <w:p>
            <w:r>
              <w:t>11124</w:t>
            </w:r>
          </w:p>
        </w:tc>
        <w:tc>
          <w:tcPr>
            <w:tcW w:type="dxa" w:w="1728"/>
          </w:tcPr>
          <w:p>
            <w:r>
              <w:t>89649793 FCFA</w:t>
            </w:r>
          </w:p>
        </w:tc>
        <w:tc>
          <w:tcPr>
            <w:tcW w:type="dxa" w:w="1728"/>
          </w:tcPr>
          <w:p>
            <w:r>
              <w:t>6.03%</w:t>
            </w:r>
          </w:p>
        </w:tc>
        <w:tc>
          <w:tcPr>
            <w:tcW w:type="dxa" w:w="1728"/>
          </w:tcPr>
          <w:p>
            <w:r>
              <w:t>ACHAT</w:t>
            </w:r>
          </w:p>
        </w:tc>
      </w:tr>
      <w:tr>
        <w:tc>
          <w:tcPr>
            <w:tcW w:type="dxa" w:w="1728"/>
          </w:tcPr>
          <w:p>
            <w:r>
              <w:t>SIBC (SIBC - SOCIETE IVOIRIENNE DE BANQUE)</w:t>
            </w:r>
          </w:p>
        </w:tc>
        <w:tc>
          <w:tcPr>
            <w:tcW w:type="dxa" w:w="1728"/>
          </w:tcPr>
          <w:p>
            <w:r>
              <w:t>11068</w:t>
            </w:r>
          </w:p>
        </w:tc>
        <w:tc>
          <w:tcPr>
            <w:tcW w:type="dxa" w:w="1728"/>
          </w:tcPr>
          <w:p>
            <w:r>
              <w:t>98670576 FCFA</w:t>
            </w:r>
          </w:p>
        </w:tc>
        <w:tc>
          <w:tcPr>
            <w:tcW w:type="dxa" w:w="1728"/>
          </w:tcPr>
          <w:p>
            <w:r>
              <w:t>6.47%</w:t>
            </w:r>
          </w:p>
        </w:tc>
        <w:tc>
          <w:tcPr>
            <w:tcW w:type="dxa" w:w="1728"/>
          </w:tcPr>
          <w:p>
            <w:r>
              <w:t>ACHAT</w:t>
            </w:r>
          </w:p>
        </w:tc>
      </w:tr>
      <w:tr>
        <w:tc>
          <w:tcPr>
            <w:tcW w:type="dxa" w:w="1728"/>
          </w:tcPr>
          <w:p>
            <w:r>
              <w:t>SCRC (SCRC - SUCRIVOIRE)</w:t>
            </w:r>
          </w:p>
        </w:tc>
        <w:tc>
          <w:tcPr>
            <w:tcW w:type="dxa" w:w="1728"/>
          </w:tcPr>
          <w:p>
            <w:r>
              <w:t>10591</w:t>
            </w:r>
          </w:p>
        </w:tc>
        <w:tc>
          <w:tcPr>
            <w:tcW w:type="dxa" w:w="1728"/>
          </w:tcPr>
          <w:p>
            <w:r>
              <w:t>28508698 FCFA</w:t>
            </w:r>
          </w:p>
        </w:tc>
        <w:tc>
          <w:tcPr>
            <w:tcW w:type="dxa" w:w="1728"/>
          </w:tcPr>
          <w:p>
            <w:r>
              <w:t>-14.00%</w:t>
            </w:r>
          </w:p>
        </w:tc>
        <w:tc>
          <w:tcPr>
            <w:tcW w:type="dxa" w:w="1728"/>
          </w:tcPr>
          <w:p>
            <w:r>
              <w:t>ACHAT</w:t>
            </w:r>
          </w:p>
        </w:tc>
      </w:tr>
      <w:tr>
        <w:tc>
          <w:tcPr>
            <w:tcW w:type="dxa" w:w="1728"/>
          </w:tcPr>
          <w:p>
            <w:r>
              <w:t>BOAC (BANK OF AFRICA COTE D'IVOIRE)</w:t>
            </w:r>
          </w:p>
        </w:tc>
        <w:tc>
          <w:tcPr>
            <w:tcW w:type="dxa" w:w="1728"/>
          </w:tcPr>
          <w:p>
            <w:r>
              <w:t>9437</w:t>
            </w:r>
          </w:p>
        </w:tc>
        <w:tc>
          <w:tcPr>
            <w:tcW w:type="dxa" w:w="1728"/>
          </w:tcPr>
          <w:p>
            <w:r>
              <w:t>106007602 FCFA</w:t>
            </w:r>
          </w:p>
        </w:tc>
        <w:tc>
          <w:tcPr>
            <w:tcW w:type="dxa" w:w="1728"/>
          </w:tcPr>
          <w:p>
            <w:r>
              <w:t>27.19%</w:t>
            </w:r>
          </w:p>
        </w:tc>
        <w:tc>
          <w:tcPr>
            <w:tcW w:type="dxa" w:w="1728"/>
          </w:tcPr>
          <w:p>
            <w:r>
              <w:t>ACHAT</w:t>
            </w:r>
          </w:p>
        </w:tc>
      </w:tr>
      <w:tr>
        <w:tc>
          <w:tcPr>
            <w:tcW w:type="dxa" w:w="1728"/>
          </w:tcPr>
          <w:p>
            <w:r>
              <w:t>UNXC (UNXC - UNIWAX COTE D'IVOIRE)</w:t>
            </w:r>
          </w:p>
        </w:tc>
        <w:tc>
          <w:tcPr>
            <w:tcW w:type="dxa" w:w="1728"/>
          </w:tcPr>
          <w:p>
            <w:r>
              <w:t>8874</w:t>
            </w:r>
          </w:p>
        </w:tc>
        <w:tc>
          <w:tcPr>
            <w:tcW w:type="dxa" w:w="1728"/>
          </w:tcPr>
          <w:p>
            <w:r>
              <w:t>20308808 FCFA</w:t>
            </w:r>
          </w:p>
        </w:tc>
        <w:tc>
          <w:tcPr>
            <w:tcW w:type="dxa" w:w="1728"/>
          </w:tcPr>
          <w:p>
            <w:r>
              <w:t>17.32%</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TTLC (TTLC - TOTAL ENERGIES MARKETING COTE D'IVOIRE)</w:t>
            </w:r>
          </w:p>
        </w:tc>
        <w:tc>
          <w:tcPr>
            <w:tcW w:type="dxa" w:w="1728"/>
          </w:tcPr>
          <w:p>
            <w:r>
              <w:t>3470</w:t>
            </w:r>
          </w:p>
        </w:tc>
        <w:tc>
          <w:tcPr>
            <w:tcW w:type="dxa" w:w="1728"/>
          </w:tcPr>
          <w:p>
            <w:r>
              <w:t>10595675 FCFA</w:t>
            </w:r>
          </w:p>
        </w:tc>
        <w:tc>
          <w:tcPr>
            <w:tcW w:type="dxa" w:w="1728"/>
          </w:tcPr>
          <w:p>
            <w:r>
              <w:t>5.26%</w:t>
            </w:r>
          </w:p>
        </w:tc>
        <w:tc>
          <w:tcPr>
            <w:tcW w:type="dxa" w:w="1728"/>
          </w:tcPr>
          <w:p>
            <w:r>
              <w:t>ACHAT</w:t>
            </w:r>
          </w:p>
        </w:tc>
      </w:tr>
      <w:tr>
        <w:tc>
          <w:tcPr>
            <w:tcW w:type="dxa" w:w="1728"/>
          </w:tcPr>
          <w:p>
            <w:r>
              <w:t>SIVC (SIVC - ERIUM CI (Ex AIR LIQUIDECI))</w:t>
            </w:r>
          </w:p>
        </w:tc>
        <w:tc>
          <w:tcPr>
            <w:tcW w:type="dxa" w:w="1728"/>
          </w:tcPr>
          <w:p>
            <w:r>
              <w:t>3117</w:t>
            </w:r>
          </w:p>
        </w:tc>
        <w:tc>
          <w:tcPr>
            <w:tcW w:type="dxa" w:w="1728"/>
          </w:tcPr>
          <w:p>
            <w:r>
              <w:t>6134325 FCFA</w:t>
            </w:r>
          </w:p>
        </w:tc>
        <w:tc>
          <w:tcPr>
            <w:tcW w:type="dxa" w:w="1728"/>
          </w:tcPr>
          <w:p>
            <w:r>
              <w:t>-40.87%</w:t>
            </w:r>
          </w:p>
        </w:tc>
        <w:tc>
          <w:tcPr>
            <w:tcW w:type="dxa" w:w="1728"/>
          </w:tcPr>
          <w:p>
            <w:r>
              <w:t>ACHAT</w:t>
            </w:r>
          </w:p>
        </w:tc>
      </w:tr>
      <w:tr>
        <w:tc>
          <w:tcPr>
            <w:tcW w:type="dxa" w:w="1728"/>
          </w:tcPr>
          <w:p>
            <w:r>
              <w:t>ORGT (ORGT - ORAGROUP TOGO)</w:t>
            </w:r>
          </w:p>
        </w:tc>
        <w:tc>
          <w:tcPr>
            <w:tcW w:type="dxa" w:w="1728"/>
          </w:tcPr>
          <w:p>
            <w:r>
              <w:t>2933</w:t>
            </w:r>
          </w:p>
        </w:tc>
        <w:tc>
          <w:tcPr>
            <w:tcW w:type="dxa" w:w="1728"/>
          </w:tcPr>
          <w:p>
            <w:r>
              <w:t>8535497 FCFA</w:t>
            </w:r>
          </w:p>
        </w:tc>
        <w:tc>
          <w:tcPr>
            <w:tcW w:type="dxa" w:w="1728"/>
          </w:tcPr>
          <w:p>
            <w:r>
              <w:t>7.31%</w:t>
            </w:r>
          </w:p>
        </w:tc>
        <w:tc>
          <w:tcPr>
            <w:tcW w:type="dxa" w:w="1728"/>
          </w:tcPr>
          <w:p>
            <w:r>
              <w:t>ACHAT</w:t>
            </w:r>
          </w:p>
        </w:tc>
      </w:tr>
      <w:tr>
        <w:tc>
          <w:tcPr>
            <w:tcW w:type="dxa" w:w="1728"/>
          </w:tcPr>
          <w:p>
            <w:r>
              <w:t>FTSC (FTSC - FILTISAC COTE D'IVOIRE)</w:t>
            </w:r>
          </w:p>
        </w:tc>
        <w:tc>
          <w:tcPr>
            <w:tcW w:type="dxa" w:w="1728"/>
          </w:tcPr>
          <w:p>
            <w:r>
              <w:t>2712</w:t>
            </w:r>
          </w:p>
        </w:tc>
        <w:tc>
          <w:tcPr>
            <w:tcW w:type="dxa" w:w="1728"/>
          </w:tcPr>
          <w:p>
            <w:r>
              <w:t>5198398 FCFA</w:t>
            </w:r>
          </w:p>
        </w:tc>
        <w:tc>
          <w:tcPr>
            <w:tcW w:type="dxa" w:w="1728"/>
          </w:tcPr>
          <w:p>
            <w:r>
              <w:t>-22.86%</w:t>
            </w:r>
          </w:p>
        </w:tc>
        <w:tc>
          <w:tcPr>
            <w:tcW w:type="dxa" w:w="1728"/>
          </w:tcPr>
          <w:p>
            <w:r>
              <w:t>ACHAT</w:t>
            </w:r>
          </w:p>
        </w:tc>
      </w:tr>
      <w:tr>
        <w:tc>
          <w:tcPr>
            <w:tcW w:type="dxa" w:w="1728"/>
          </w:tcPr>
          <w:p>
            <w:r>
              <w:t>SOGC (SOGC - Société des caoutchoucs de Grand-Béréby)</w:t>
            </w:r>
          </w:p>
        </w:tc>
        <w:tc>
          <w:tcPr>
            <w:tcW w:type="dxa" w:w="1728"/>
          </w:tcPr>
          <w:p>
            <w:r>
              <w:t>2570</w:t>
            </w:r>
          </w:p>
        </w:tc>
        <w:tc>
          <w:tcPr>
            <w:tcW w:type="dxa" w:w="1728"/>
          </w:tcPr>
          <w:p>
            <w:r>
              <w:t>20040395 FCFA</w:t>
            </w:r>
          </w:p>
        </w:tc>
        <w:tc>
          <w:tcPr>
            <w:tcW w:type="dxa" w:w="1728"/>
          </w:tcPr>
          <w:p>
            <w:r>
              <w:t>7.53%</w:t>
            </w:r>
          </w:p>
        </w:tc>
        <w:tc>
          <w:tcPr>
            <w:tcW w:type="dxa" w:w="1728"/>
          </w:tcPr>
          <w:p>
            <w:r>
              <w:t>ACHAT</w:t>
            </w:r>
          </w:p>
        </w:tc>
      </w:tr>
      <w:tr>
        <w:tc>
          <w:tcPr>
            <w:tcW w:type="dxa" w:w="1728"/>
          </w:tcPr>
          <w:p>
            <w:r>
              <w:t>CFAC (CFAC - CFAO MOTORS CI)</w:t>
            </w:r>
          </w:p>
        </w:tc>
        <w:tc>
          <w:tcPr>
            <w:tcW w:type="dxa" w:w="1728"/>
          </w:tcPr>
          <w:p>
            <w:r>
              <w:t>2512</w:t>
            </w:r>
          </w:p>
        </w:tc>
        <w:tc>
          <w:tcPr>
            <w:tcW w:type="dxa" w:w="1728"/>
          </w:tcPr>
          <w:p>
            <w:r>
              <w:t>3726353 FCFA</w:t>
            </w:r>
          </w:p>
        </w:tc>
        <w:tc>
          <w:tcPr>
            <w:tcW w:type="dxa" w:w="1728"/>
          </w:tcPr>
          <w:p>
            <w:r>
              <w:t>-3.97%</w:t>
            </w:r>
          </w:p>
        </w:tc>
        <w:tc>
          <w:tcPr>
            <w:tcW w:type="dxa" w:w="1728"/>
          </w:tcPr>
          <w:p>
            <w:r>
              <w:t>CONSERVER ⚠️</w:t>
            </w:r>
          </w:p>
        </w:tc>
      </w:tr>
      <w:tr>
        <w:tc>
          <w:tcPr>
            <w:tcW w:type="dxa" w:w="1728"/>
          </w:tcPr>
          <w:p>
            <w:r>
              <w:t>ECOC (ECOC - ECOBANK COTE D'IVOIRE)</w:t>
            </w:r>
          </w:p>
        </w:tc>
        <w:tc>
          <w:tcPr>
            <w:tcW w:type="dxa" w:w="1728"/>
          </w:tcPr>
          <w:p>
            <w:r>
              <w:t>2484</w:t>
            </w:r>
          </w:p>
        </w:tc>
        <w:tc>
          <w:tcPr>
            <w:tcW w:type="dxa" w:w="1728"/>
          </w:tcPr>
          <w:p>
            <w:r>
              <w:t>41175100 FCFA</w:t>
            </w:r>
          </w:p>
        </w:tc>
        <w:tc>
          <w:tcPr>
            <w:tcW w:type="dxa" w:w="1728"/>
          </w:tcPr>
          <w:p>
            <w:r>
              <w:t>-0.55%</w:t>
            </w:r>
          </w:p>
        </w:tc>
        <w:tc>
          <w:tcPr>
            <w:tcW w:type="dxa" w:w="1728"/>
          </w:tcPr>
          <w:p>
            <w:r>
              <w:t>ACHAT</w:t>
            </w:r>
          </w:p>
        </w:tc>
      </w:tr>
      <w:tr>
        <w:tc>
          <w:tcPr>
            <w:tcW w:type="dxa" w:w="1728"/>
          </w:tcPr>
          <w:p>
            <w:r>
              <w:t>NEIC (NEIC - NEI-CEDA CI)</w:t>
            </w:r>
          </w:p>
        </w:tc>
        <w:tc>
          <w:tcPr>
            <w:tcW w:type="dxa" w:w="1728"/>
          </w:tcPr>
          <w:p>
            <w:r>
              <w:t>2448</w:t>
            </w:r>
          </w:p>
        </w:tc>
        <w:tc>
          <w:tcPr>
            <w:tcW w:type="dxa" w:w="1728"/>
          </w:tcPr>
          <w:p>
            <w:r>
              <w:t>5433689 FCFA</w:t>
            </w:r>
          </w:p>
        </w:tc>
        <w:tc>
          <w:tcPr>
            <w:tcW w:type="dxa" w:w="1728"/>
          </w:tcPr>
          <w:p>
            <w:r>
              <w:t>9.49%</w:t>
            </w:r>
          </w:p>
        </w:tc>
        <w:tc>
          <w:tcPr>
            <w:tcW w:type="dxa" w:w="1728"/>
          </w:tcPr>
          <w:p>
            <w:r>
              <w:t>ACHAT</w:t>
            </w:r>
          </w:p>
        </w:tc>
      </w:tr>
      <w:tr>
        <w:tc>
          <w:tcPr>
            <w:tcW w:type="dxa" w:w="1728"/>
          </w:tcPr>
          <w:p>
            <w:r>
              <w:t>ABJC (ABJC - SERVAIR ABIDJAN CI)</w:t>
            </w:r>
          </w:p>
        </w:tc>
        <w:tc>
          <w:tcPr>
            <w:tcW w:type="dxa" w:w="1728"/>
          </w:tcPr>
          <w:p>
            <w:r>
              <w:t>2237</w:t>
            </w:r>
          </w:p>
        </w:tc>
        <w:tc>
          <w:tcPr>
            <w:tcW w:type="dxa" w:w="1728"/>
          </w:tcPr>
          <w:p>
            <w:r>
              <w:t>7940719 FCFA</w:t>
            </w:r>
          </w:p>
        </w:tc>
        <w:tc>
          <w:tcPr>
            <w:tcW w:type="dxa" w:w="1728"/>
          </w:tcPr>
          <w:p>
            <w:r>
              <w:t>-5.81%</w:t>
            </w:r>
          </w:p>
        </w:tc>
        <w:tc>
          <w:tcPr>
            <w:tcW w:type="dxa" w:w="1728"/>
          </w:tcPr>
          <w:p>
            <w:r>
              <w:t>ACHAT</w:t>
            </w:r>
          </w:p>
        </w:tc>
      </w:tr>
      <w:tr>
        <w:tc>
          <w:tcPr>
            <w:tcW w:type="dxa" w:w="1728"/>
          </w:tcPr>
          <w:p>
            <w:r>
              <w:t>BNBC (BNBC - BERNABE CI)</w:t>
            </w:r>
          </w:p>
        </w:tc>
        <w:tc>
          <w:tcPr>
            <w:tcW w:type="dxa" w:w="1728"/>
          </w:tcPr>
          <w:p>
            <w:r>
              <w:t>1797</w:t>
            </w:r>
          </w:p>
        </w:tc>
        <w:tc>
          <w:tcPr>
            <w:tcW w:type="dxa" w:w="1728"/>
          </w:tcPr>
          <w:p>
            <w:r>
              <w:t>3347000 FCFA</w:t>
            </w:r>
          </w:p>
        </w:tc>
        <w:tc>
          <w:tcPr>
            <w:tcW w:type="dxa" w:w="1728"/>
          </w:tcPr>
          <w:p>
            <w:r>
              <w:t>8.52%</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 - BANK OF AFRICA BENIN</w:t>
      </w:r>
    </w:p>
    <w:p>
      <w:r>
        <w:rPr>
          <w:b/>
        </w:rPr>
        <w:t xml:space="preserve">Score de divergence: </w:t>
      </w:r>
      <w:r>
        <w:t>5/8</w:t>
        <w:br/>
      </w:r>
      <w:r>
        <w:rPr>
          <w:b/>
        </w:rPr>
        <w:t xml:space="preserve">Description: </w:t>
      </w:r>
      <w:r>
        <w:t>Signaux de vente: MM, MACD | Recommandation finale: ACHAT</w:t>
        <w:br/>
      </w:r>
    </w:p>
    <w:p/>
    <w:p>
      <w:pPr>
        <w:pStyle w:val="Heading3"/>
      </w:pPr>
      <w:r>
        <w:t>2. BOAN - BANK OF AFRICA NIGER</w:t>
      </w:r>
    </w:p>
    <w:p>
      <w:r>
        <w:rPr>
          <w:b/>
        </w:rPr>
        <w:t xml:space="preserve">Score de divergence: </w:t>
      </w:r>
      <w:r>
        <w:t>5/8</w:t>
        <w:br/>
      </w:r>
      <w:r>
        <w:rPr>
          <w:b/>
        </w:rPr>
        <w:t xml:space="preserve">Description: </w:t>
      </w:r>
      <w:r>
        <w:t>Signaux de vente: MM, MACD | Recommandation finale: ACHAT</w:t>
        <w:br/>
      </w:r>
    </w:p>
    <w:p/>
    <w:p>
      <w:pPr>
        <w:pStyle w:val="Heading3"/>
      </w:pPr>
      <w:r>
        <w:t>3. CBIBF - CBIBF - CORIS BANK INTERNATIONAL BURKINA FASO</w:t>
      </w:r>
    </w:p>
    <w:p>
      <w:r>
        <w:rPr>
          <w:b/>
        </w:rPr>
        <w:t xml:space="preserve">Score de divergence: </w:t>
      </w:r>
      <w:r>
        <w:t>5/8</w:t>
        <w:br/>
      </w:r>
      <w:r>
        <w:rPr>
          <w:b/>
        </w:rPr>
        <w:t xml:space="preserve">Description: </w:t>
      </w:r>
      <w:r>
        <w:t>Signaux de vente: MM, MACD | Recommandation finale: ACHAT</w:t>
        <w:br/>
      </w:r>
    </w:p>
    <w:p/>
    <w:p>
      <w:pPr>
        <w:pStyle w:val="Heading3"/>
      </w:pPr>
      <w:r>
        <w:t>4. ECOC - ECOC - ECOBANK COTE D'IVOIRE</w:t>
      </w:r>
    </w:p>
    <w:p>
      <w:r>
        <w:rPr>
          <w:b/>
        </w:rPr>
        <w:t xml:space="preserve">Score de divergence: </w:t>
      </w:r>
      <w:r>
        <w:t>5/8</w:t>
        <w:br/>
      </w:r>
      <w:r>
        <w:rPr>
          <w:b/>
        </w:rPr>
        <w:t xml:space="preserve">Description: </w:t>
      </w:r>
      <w:r>
        <w:t>Signaux de vente: MM, MACD | Recommandation finale: ACHAT</w:t>
        <w:br/>
      </w:r>
    </w:p>
    <w:p/>
    <w:p>
      <w:pPr>
        <w:pStyle w:val="Heading3"/>
      </w:pPr>
      <w:r>
        <w:t>5. NSBC - NSBC - NSIA BANQUE COTE D'IVOIRE</w:t>
      </w:r>
    </w:p>
    <w:p>
      <w:r>
        <w:rPr>
          <w:b/>
        </w:rPr>
        <w:t xml:space="preserve">Score de divergence: </w:t>
      </w:r>
      <w:r>
        <w:t>5/8</w:t>
        <w:br/>
      </w:r>
      <w:r>
        <w:rPr>
          <w:b/>
        </w:rPr>
        <w:t xml:space="preserve">Description: </w:t>
      </w:r>
      <w:r>
        <w:t>Signaux de vente: MM, MACD | Recommandation finale: ACHAT</w:t>
        <w:br/>
      </w:r>
    </w:p>
    <w:p/>
    <w:p>
      <w:pPr>
        <w:pStyle w:val="Heading3"/>
      </w:pPr>
      <w:r>
        <w:t>6.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7. TTLC - TTLC - TOTAL ENERGIES MARKETING COTE D'IVOIRE</w:t>
      </w:r>
    </w:p>
    <w:p>
      <w:r>
        <w:rPr>
          <w:b/>
        </w:rPr>
        <w:t xml:space="preserve">Score de divergence: </w:t>
      </w:r>
      <w:r>
        <w:t>5/8</w:t>
        <w:br/>
      </w:r>
      <w:r>
        <w:rPr>
          <w:b/>
        </w:rPr>
        <w:t xml:space="preserve">Description: </w:t>
      </w:r>
      <w:r>
        <w:t>Signaux de vente: MM, MACD | Recommandation finale: ACHAT</w:t>
        <w:br/>
      </w:r>
    </w:p>
    <w:p/>
    <w:p>
      <w:pPr>
        <w:pStyle w:val="Heading3"/>
      </w:pPr>
      <w:r>
        <w:t>8. BICB - BIIC BN - Banque internationale pour le commerce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BOAS - BANK OF AFRICA SENEGAL</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10. ETIT - ETIT - Ecobank Transnational Incorporated Togo</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29</w:t>
            </w:r>
          </w:p>
        </w:tc>
        <w:tc>
          <w:tcPr>
            <w:tcW w:type="dxa" w:w="2160"/>
          </w:tcPr>
          <w:p>
            <w:r>
              <w:t>0</w:t>
            </w:r>
          </w:p>
        </w:tc>
      </w:tr>
      <w:tr>
        <w:tc>
          <w:tcPr>
            <w:tcW w:type="dxa" w:w="2160"/>
          </w:tcPr>
          <w:p>
            <w:r>
              <w:t>Risque Moyen</w:t>
            </w:r>
          </w:p>
        </w:tc>
        <w:tc>
          <w:tcPr>
            <w:tcW w:type="dxa" w:w="2160"/>
          </w:tcPr>
          <w:p>
            <w:r>
              <w:t>0</w:t>
            </w:r>
          </w:p>
        </w:tc>
        <w:tc>
          <w:tcPr>
            <w:tcW w:type="dxa" w:w="2160"/>
          </w:tcPr>
          <w:p>
            <w:r>
              <w:t>19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PRSC (PRSC - TRACTAFRIC MOTORS CI)</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SGBC (SGBC - SOCIETE GENERALE COTE D'IVOIRE)</w:t>
      </w:r>
    </w:p>
    <w:p>
      <w:pPr>
        <w:pStyle w:val="ListBullet"/>
      </w:pPr>
      <w:r>
        <w:t>• SIBC (SIBC - SOCIETE IVOIRIENNE DE BANQUE)</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BBGC (BRIDGE BANK GROUP COTE D'IVOIRE)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ORAC (ORAC - ORANGE COTE D'IVOIRE)</w:t>
      </w:r>
    </w:p>
    <w:p>
      <w:pPr>
        <w:pStyle w:val="ListBullet"/>
      </w:pPr>
      <w:r>
        <w:t>• SAFC (SAFCA CI)</w:t>
      </w:r>
    </w:p>
    <w:p>
      <w:pPr>
        <w:pStyle w:val="ListBullet"/>
      </w:pPr>
      <w:r>
        <w:t>• SCRC (SCRC - SUCRIVOIRE)</w:t>
      </w:r>
    </w:p>
    <w:p>
      <w:pPr>
        <w:pStyle w:val="ListBullet"/>
      </w:pPr>
      <w:r>
        <w:t>• SHEC (SHEC - VIVO ENERGY COTE D'IVOIRE)</w:t>
      </w:r>
    </w:p>
    <w:p>
      <w:pPr>
        <w:pStyle w:val="ListBullet"/>
      </w:pPr>
      <w:r>
        <w:t>• SICC (SICC - SICOR COTE D'IVOIRE)</w:t>
      </w:r>
    </w:p>
    <w:p>
      <w:pPr>
        <w:pStyle w:val="ListBullet"/>
      </w:pPr>
      <w:r>
        <w:t>• SIVC (SIVC - ERIUM CI (Ex AIR LIQUIDECI))</w:t>
      </w:r>
    </w:p>
    <w:p>
      <w:pPr>
        <w:pStyle w:val="ListBullet"/>
      </w:pPr>
      <w:r>
        <w:t>• SNTS (SNTS - SONATEL SN)</w:t>
      </w:r>
    </w:p>
    <w:p>
      <w:pPr>
        <w:pStyle w:val="ListBullet"/>
      </w:pPr>
      <w:r>
        <w:t>• STAC (STAC - SETAO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Wall Street accélère sur la tokenisation des actions (trading 24/7), signal d'une financiarisation accrue des marchés. La BCE semble vouloir réagir plus vite qu'en 2022 sur les taux, tandis que Christine Lagarde estime que la vente massive d'obligations par la BCE ralentira l'inflation. Les assemblées FMI/Banque mondiale à Bangkok ont dominé l'agenda macro international.</w:t>
      </w:r>
    </w:p>
    <w:p>
      <w:pPr>
        <w:pStyle w:val="Heading3"/>
      </w:pPr>
      <w:r>
        <w:rPr>
          <w:color w:val="500050"/>
        </w:rPr>
        <w:t>⚡ Impact estimé sur la BRVM</w:t>
      </w:r>
    </w:p>
    <w:p>
      <w:pPr>
        <w:spacing w:before="20" w:after="40"/>
        <w:ind w:left="280"/>
      </w:pPr>
      <w:r>
        <w:rPr>
          <w:i/>
          <w:sz w:val="18"/>
        </w:rPr>
        <w:t>Un resserrement BCE plus rapide renchérit le coût des capitaux internationaux et réduit l'appétit pour les marchés frontières comme la BRVM. La tokenisation reste sans effet immédiat sur la BRVM (infrastructures non matures), mais pourrait à terme concurrencer la liquidité régionale. Sentiment global : neutre à légèrement négatif pour les flux étrangers.</w:t>
      </w:r>
    </w:p>
    <w:p>
      <w:pPr>
        <w:pStyle w:val="Heading2"/>
      </w:pPr>
      <w:r>
        <w:rPr>
          <w:color w:val="006E32"/>
        </w:rPr>
        <w:t>🌍 Plan Africain</w:t>
      </w:r>
    </w:p>
    <w:p>
      <w:pPr>
        <w:spacing w:before="20" w:after="40"/>
        <w:ind w:left="0"/>
      </w:pPr>
      <w:r>
        <w:rPr>
          <w:sz w:val="18"/>
        </w:rPr>
        <w:t>Les assemblées FMI/Banque mondiale ont mis l'accent sur la dette et l'inflation africaines, avec un focus sur la croissance du Sénégal et du Gabon. La CEDEAO renforce son partenariat avec le FMI et la Banque mondiale (Général Birame Diop).</w:t>
      </w:r>
    </w:p>
    <w:p>
      <w:pPr>
        <w:pStyle w:val="Heading3"/>
      </w:pPr>
      <w:r>
        <w:rPr>
          <w:color w:val="500050"/>
        </w:rPr>
        <w:t>⚡ Impact estimé sur la BRVM</w:t>
      </w:r>
    </w:p>
    <w:p>
      <w:pPr>
        <w:spacing w:before="20" w:after="40"/>
        <w:ind w:left="280"/>
      </w:pPr>
      <w:r>
        <w:rPr>
          <w:i/>
          <w:sz w:val="18"/>
        </w:rPr>
        <w:t>Un soutien FMI/BM accru améliore la crédibilité budgétaire des États de l'UEMOA et sécurise les émissions souveraines, soutenant indirectement les banques cotées (SGBC, BICB, BOAC, SIBC). La vigilance sur la dette reste un risque pour les spreads souverains.</w:t>
      </w:r>
    </w:p>
    <w:p>
      <w:pPr>
        <w:pStyle w:val="Heading2"/>
      </w:pPr>
      <w:r>
        <w:rPr>
          <w:color w:val="145A28"/>
        </w:rPr>
        <w:t>🌍 Plan Afrique de l'Ouest</w:t>
      </w:r>
    </w:p>
    <w:p>
      <w:pPr>
        <w:spacing w:before="20" w:after="40"/>
        <w:ind w:left="0"/>
      </w:pPr>
      <w:r>
        <w:rPr>
          <w:sz w:val="18"/>
        </w:rPr>
        <w:t>Négociations CEDEAO-AES en cours avec perspective d'un accord-cadre de coopération (Sahel Intelligence, Agence Afrique). Le Burkina Faso a rétabli la peine de mort dans son nouveau Code pénal, signe de durcissement politique.</w:t>
      </w:r>
    </w:p>
    <w:p>
      <w:pPr>
        <w:pStyle w:val="Heading3"/>
      </w:pPr>
      <w:r>
        <w:rPr>
          <w:color w:val="500050"/>
        </w:rPr>
        <w:t>⚡ Impact estimé sur la BRVM</w:t>
      </w:r>
    </w:p>
    <w:p>
      <w:pPr>
        <w:spacing w:before="20" w:after="40"/>
        <w:ind w:left="280"/>
      </w:pPr>
      <w:r>
        <w:rPr>
          <w:i/>
          <w:sz w:val="18"/>
        </w:rPr>
        <w:t>La réconciliation CEDEAO-AES est positive pour la stabilité régionale et les flux commerciaux, bénéficiant aux industriels (SIVC, CABC) et à la distribution (UNXC, BNBC). Le durcissement burkinabè entretient une prime de risque pays qui pèse sur les valorisations régionales.</w:t>
      </w:r>
    </w:p>
    <w:p>
      <w:pPr>
        <w:pStyle w:val="Heading2"/>
      </w:pPr>
      <w:r>
        <w:rPr>
          <w:color w:val="8C4600"/>
        </w:rPr>
        <w:t>🏦 Plan UEMOA / Zone Franc</w:t>
      </w:r>
    </w:p>
    <w:p>
      <w:pPr>
        <w:spacing w:before="20" w:after="40"/>
        <w:ind w:left="0"/>
      </w:pPr>
      <w:r>
        <w:rPr>
          <w:sz w:val="18"/>
        </w:rPr>
        <w:t>Données insuffisantes sur les décisions BCEAO, l'inflation zone et la liquidité bancaire dans les actualités fournies. Le contexte politique burkinabè (rétablissement de la peine de mort) et la nomination de l'ambassadeur UE au Togo sont les seuls faits UEMOA disponibles.</w:t>
      </w:r>
    </w:p>
    <w:p>
      <w:pPr>
        <w:pStyle w:val="Heading3"/>
      </w:pPr>
      <w:r>
        <w:rPr>
          <w:color w:val="500050"/>
        </w:rPr>
        <w:t>⚡ Impact estimé sur la BRVM</w:t>
      </w:r>
    </w:p>
    <w:p>
      <w:pPr>
        <w:spacing w:before="20" w:after="40"/>
        <w:ind w:left="280"/>
      </w:pPr>
      <w:r>
        <w:rPr>
          <w:i/>
          <w:sz w:val="18"/>
        </w:rPr>
        <w:t>Sans données BCEAO/taux directeurs, l'analyse sectorielle reste limitée. Le climat politique burkinabè négatif pèse sur la confiance des investisseurs, notamment pour les banques exposées au Burkina (SGBC, BICB). Les agro-industriels (PALC, SOGC, SLBC) restent dépendants des cours cacao/caoutchouc non renseignés ici.</w:t>
      </w:r>
    </w:p>
    <w:p>
      <w:pPr>
        <w:pStyle w:val="Heading2"/>
      </w:pPr>
      <w:r>
        <w:rPr>
          <w:color w:val="003366"/>
        </w:rPr>
        <w:t>📈 Plan BRVM</w:t>
      </w:r>
    </w:p>
    <w:p>
      <w:pPr>
        <w:spacing w:before="20" w:after="40"/>
        <w:ind w:left="0"/>
      </w:pPr>
      <w:r>
        <w:rPr>
          <w:sz w:val="18"/>
        </w:rPr>
        <w:t>L'indice BRVM Composite s'établit à 524,52. Les résultats encourageants des sociétés cotées ivoiriennes sont soulignés (La Tribune, juin 2026). Données insuffisantes sur volumes, IPO et dividendes récents.</w:t>
      </w:r>
    </w:p>
    <w:p>
      <w:pPr>
        <w:pStyle w:val="Heading3"/>
      </w:pPr>
      <w:r>
        <w:rPr>
          <w:color w:val="500050"/>
        </w:rPr>
        <w:t>⚡ Impact estimé sur la BRVM</w:t>
      </w:r>
    </w:p>
    <w:p>
      <w:pPr>
        <w:spacing w:before="20" w:after="40"/>
        <w:ind w:left="280"/>
      </w:pPr>
      <w:r>
        <w:rPr>
          <w:i/>
          <w:sz w:val="18"/>
        </w:rPr>
        <w:t>Recommandations prudentes : SGBC/BICB/BOAC — conserver, portés par les résultats ivoiriens mais exposés au risque burkinabè ; SIVC/CABC — conserver, sensibles au climat CEDEAO-AES ; ONTBF/SNTS — neutre, pas de catalyseur identifié ; PALC/SOGC/SLBC — surveiller les cours matières premières ; UNXC/BNBC — surveiller la consommation régionale.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Données insuffisantes sur les conflits et élections majeures hors Afrique dans le corpus fourni. Le seul signal international est la nomination d'Alessio Cappellani comme ambassadeur UE au Togo.</w:t>
      </w:r>
    </w:p>
    <w:p>
      <w:pPr>
        <w:pStyle w:val="Heading3"/>
      </w:pPr>
      <w:r>
        <w:rPr>
          <w:color w:val="500050"/>
        </w:rPr>
        <w:t>⚡ Impact estimé sur la BRVM</w:t>
      </w:r>
    </w:p>
    <w:p>
      <w:pPr>
        <w:spacing w:before="20" w:after="40"/>
        <w:ind w:left="280"/>
      </w:pPr>
      <w:r>
        <w:rPr>
          <w:i/>
          <w:sz w:val="18"/>
        </w:rPr>
        <w:t>La nomination d'un ambassadeur UE au Togo est un signal positif de coopération, favorable à l'image de la zone UEMOA auprès des investisseurs européens. Effet marginal sur la BRVM.</w:t>
      </w:r>
    </w:p>
    <w:p>
      <w:pPr>
        <w:pStyle w:val="Heading2"/>
      </w:pPr>
      <w:r>
        <w:rPr>
          <w:color w:val="006E32"/>
        </w:rPr>
        <w:t>🌍 Plan Africain</w:t>
      </w:r>
    </w:p>
    <w:p>
      <w:pPr>
        <w:spacing w:before="20" w:after="40"/>
        <w:ind w:left="0"/>
      </w:pPr>
      <w:r>
        <w:rPr>
          <w:sz w:val="18"/>
        </w:rPr>
        <w:t>Durcissement politique au Burkina Faso (rétablissement de la peine de mort). Human Rights Watch dénonce des crimes de guerre au Mali de part et d'autre. Négociations CEDEAO-AES en cours.</w:t>
      </w:r>
    </w:p>
    <w:p>
      <w:pPr>
        <w:pStyle w:val="Heading3"/>
      </w:pPr>
      <w:r>
        <w:rPr>
          <w:color w:val="500050"/>
        </w:rPr>
        <w:t>⚡ Impact estimé sur la BRVM</w:t>
      </w:r>
    </w:p>
    <w:p>
      <w:pPr>
        <w:spacing w:before="20" w:after="40"/>
        <w:ind w:left="280"/>
      </w:pPr>
      <w:r>
        <w:rPr>
          <w:i/>
          <w:sz w:val="18"/>
        </w:rPr>
        <w:t>L'instabilité sahélienne (Burkina, Mali) entretient une prime de risque régionale qui freine les flux de capitaux vers la BRVM. Les investisseurs privilégient les valeurs ivoiriennes et sénégalaises, moins exposées au Sahel.</w:t>
      </w:r>
    </w:p>
    <w:p>
      <w:pPr>
        <w:pStyle w:val="Heading2"/>
      </w:pPr>
      <w:r>
        <w:rPr>
          <w:color w:val="145A28"/>
        </w:rPr>
        <w:t>🌍 Plan Afrique de l'Ouest</w:t>
      </w:r>
    </w:p>
    <w:p>
      <w:pPr>
        <w:spacing w:before="20" w:after="40"/>
        <w:ind w:left="0"/>
      </w:pPr>
      <w:r>
        <w:rPr>
          <w:sz w:val="18"/>
        </w:rPr>
        <w:t>Perspective d'un accord-cadre CEDEAO-AES (positif), mais contexte sécuritaire sahélien dégradé (négatif). Le Burkina Faso se singularise par un durcissement pénal.</w:t>
      </w:r>
    </w:p>
    <w:p>
      <w:pPr>
        <w:pStyle w:val="Heading3"/>
      </w:pPr>
      <w:r>
        <w:rPr>
          <w:color w:val="500050"/>
        </w:rPr>
        <w:t>⚡ Impact estimé sur la BRVM</w:t>
      </w:r>
    </w:p>
    <w:p>
      <w:pPr>
        <w:spacing w:before="20" w:after="40"/>
        <w:ind w:left="280"/>
      </w:pPr>
      <w:r>
        <w:rPr>
          <w:i/>
          <w:sz w:val="18"/>
        </w:rPr>
        <w:t>Risque spécifique pour les sociétés opérant au Burkina et au Mali (banques, télécoms, distribution). Les valeurs ivoiriennes (SGBC, ONTBF, SNTS) restent les plus défensives du fait de leur ancrage domestique.</w:t>
      </w:r>
    </w:p>
    <w:p>
      <w:pPr>
        <w:pStyle w:val="Heading2"/>
      </w:pPr>
      <w:r>
        <w:rPr>
          <w:color w:val="8C4600"/>
        </w:rPr>
        <w:t>🏦 Plan UEMOA / Zone Franc</w:t>
      </w:r>
    </w:p>
    <w:p>
      <w:pPr>
        <w:spacing w:before="20" w:after="40"/>
        <w:ind w:left="0"/>
      </w:pPr>
      <w:r>
        <w:rPr>
          <w:sz w:val="18"/>
        </w:rPr>
        <w:t>Situation politique contrastée : Togo stable (coopération UE), Burkina en durcissement. Aucune réforme institutionnelle UEMOA mentionnée.</w:t>
      </w:r>
    </w:p>
    <w:p>
      <w:pPr>
        <w:pStyle w:val="Heading3"/>
      </w:pPr>
      <w:r>
        <w:rPr>
          <w:color w:val="500050"/>
        </w:rPr>
        <w:t>⚡ Impact estimé sur la BRVM</w:t>
      </w:r>
    </w:p>
    <w:p>
      <w:pPr>
        <w:spacing w:before="20" w:after="40"/>
        <w:ind w:left="280"/>
      </w:pPr>
      <w:r>
        <w:rPr>
          <w:i/>
          <w:sz w:val="18"/>
        </w:rPr>
        <w:t>Risque réglementaire limité à court terme. La stabilité ivoirienne et sénégalaise demeure le socle de la confiance sur la BRVM.</w:t>
      </w:r>
    </w:p>
    <w:p>
      <w:pPr>
        <w:pStyle w:val="Heading2"/>
      </w:pPr>
      <w:r>
        <w:rPr>
          <w:color w:val="003366"/>
        </w:rPr>
        <w:t>📈 Plan BRVM</w:t>
      </w:r>
    </w:p>
    <w:p>
      <w:pPr>
        <w:spacing w:before="20" w:after="40"/>
        <w:ind w:left="0"/>
      </w:pPr>
      <w:r>
        <w:rPr>
          <w:sz w:val="18"/>
        </w:rPr>
        <w:t>Données insuffisantes sur la réglementation CREPMF, nouvelles cotations et gouvernance des sociétés dans le corpus.</w:t>
      </w:r>
    </w:p>
    <w:p>
      <w:pPr>
        <w:pStyle w:val="Heading3"/>
      </w:pPr>
      <w:r>
        <w:rPr>
          <w:color w:val="500050"/>
        </w:rPr>
        <w:t>⚡ Impact estimé sur la BRVM</w:t>
      </w:r>
    </w:p>
    <w:p>
      <w:pPr>
        <w:spacing w:before="20" w:after="40"/>
        <w:ind w:left="280"/>
      </w:pPr>
      <w:r>
        <w:rPr>
          <w:i/>
          <w:sz w:val="18"/>
        </w:rPr>
        <w:t>Pas de décision réglementaire identifiable. Le marché reste guidé par les résultats des sociétés et le climat politique régional.</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Wall Street mise sur la tokenisation des actions (trading continu). La BCE durcit son discours sur les taux et la réduction de bilan. Aucune donnée sur indices, change ou crypto dans le corpus.</w:t>
      </w:r>
    </w:p>
    <w:p>
      <w:pPr>
        <w:pStyle w:val="Heading3"/>
      </w:pPr>
      <w:r>
        <w:rPr>
          <w:color w:val="500050"/>
        </w:rPr>
        <w:t>⚡ Impact estimé sur la BRVM</w:t>
      </w:r>
    </w:p>
    <w:p>
      <w:pPr>
        <w:spacing w:before="20" w:after="40"/>
        <w:ind w:left="280"/>
      </w:pPr>
      <w:r>
        <w:rPr>
          <w:i/>
          <w:sz w:val="18"/>
        </w:rPr>
        <w:t>Le durcissement BCE renchérit le financement externe et détourne les capitaux des marchés frontières. La tokenisation reste un signal de long terme sans effet immédiat sur la BRVM.</w:t>
      </w:r>
    </w:p>
    <w:p>
      <w:pPr>
        <w:pStyle w:val="Heading2"/>
      </w:pPr>
      <w:r>
        <w:rPr>
          <w:color w:val="006E32"/>
        </w:rPr>
        <w:t>🌍 Plan Africain</w:t>
      </w:r>
    </w:p>
    <w:p>
      <w:pPr>
        <w:spacing w:before="20" w:after="40"/>
        <w:ind w:left="0"/>
      </w:pPr>
      <w:r>
        <w:rPr>
          <w:sz w:val="18"/>
        </w:rPr>
        <w:t>Données insuffisantes sur les marchés obligataires africains, eurobonds et notations souveraines dans le corpus fourni.</w:t>
      </w:r>
    </w:p>
    <w:p>
      <w:pPr>
        <w:pStyle w:val="Heading3"/>
      </w:pPr>
      <w:r>
        <w:rPr>
          <w:color w:val="500050"/>
        </w:rPr>
        <w:t>⚡ Impact estimé sur la BRVM</w:t>
      </w:r>
    </w:p>
    <w:p>
      <w:pPr>
        <w:spacing w:before="20" w:after="40"/>
        <w:ind w:left="280"/>
      </w:pPr>
      <w:r>
        <w:rPr>
          <w:i/>
          <w:sz w:val="18"/>
        </w:rPr>
        <w:t>Sans données, l'analyse de concurrence pour les capitaux africains reste limitée. La BRVM demeure un marché de niche peu corrélé aux eurobonds.</w:t>
      </w:r>
    </w:p>
    <w:p>
      <w:pPr>
        <w:pStyle w:val="Heading2"/>
      </w:pPr>
      <w:r>
        <w:rPr>
          <w:color w:val="145A28"/>
        </w:rPr>
        <w:t>🌍 Plan Afrique de l'Ouest</w:t>
      </w:r>
    </w:p>
    <w:p>
      <w:pPr>
        <w:spacing w:before="20" w:after="40"/>
        <w:ind w:left="0"/>
      </w:pPr>
      <w:r>
        <w:rPr>
          <w:sz w:val="18"/>
        </w:rPr>
        <w:t>Données insuffisantes sur les bourses régionales concurrentes et les flux de capitaux sous-régionaux.</w:t>
      </w:r>
    </w:p>
    <w:p>
      <w:pPr>
        <w:pStyle w:val="Heading3"/>
      </w:pPr>
      <w:r>
        <w:rPr>
          <w:color w:val="500050"/>
        </w:rPr>
        <w:t>⚡ Impact estimé sur la BRVM</w:t>
      </w:r>
    </w:p>
    <w:p>
      <w:pPr>
        <w:spacing w:before="20" w:after="40"/>
        <w:ind w:left="280"/>
      </w:pPr>
      <w:r>
        <w:rPr>
          <w:i/>
          <w:sz w:val="18"/>
        </w:rPr>
        <w:t>Positionnement de la BRVM non évaluable faute de comparables fournis.</w:t>
      </w:r>
    </w:p>
    <w:p>
      <w:pPr>
        <w:pStyle w:val="Heading2"/>
      </w:pPr>
      <w:r>
        <w:rPr>
          <w:color w:val="8C4600"/>
        </w:rPr>
        <w:t>🏦 Plan UEMOA / Zone Franc</w:t>
      </w:r>
    </w:p>
    <w:p>
      <w:pPr>
        <w:spacing w:before="20" w:after="40"/>
        <w:ind w:left="0"/>
      </w:pPr>
      <w:r>
        <w:rPr>
          <w:sz w:val="18"/>
        </w:rPr>
        <w:t>Données insuffisantes sur le marché des titres publics UEMOA, le taux interbancaire et la liquidité.</w:t>
      </w:r>
    </w:p>
    <w:p>
      <w:pPr>
        <w:pStyle w:val="Heading3"/>
      </w:pPr>
      <w:r>
        <w:rPr>
          <w:color w:val="500050"/>
        </w:rPr>
        <w:t>⚡ Impact estimé sur la BRVM</w:t>
      </w:r>
    </w:p>
    <w:p>
      <w:pPr>
        <w:spacing w:before="20" w:after="40"/>
        <w:ind w:left="280"/>
      </w:pPr>
      <w:r>
        <w:rPr>
          <w:i/>
          <w:sz w:val="18"/>
        </w:rPr>
        <w:t>L'arbitrage titres publics/actions BRVM n'est pas mesurable sans données de taux. À surveiller : une hausse des taux souverains détournerait les investisseurs des actions à dividende.</w:t>
      </w:r>
    </w:p>
    <w:p>
      <w:pPr>
        <w:pStyle w:val="Heading2"/>
      </w:pPr>
      <w:r>
        <w:rPr>
          <w:color w:val="003366"/>
        </w:rPr>
        <w:t>📈 Plan BRVM</w:t>
      </w:r>
    </w:p>
    <w:p>
      <w:pPr>
        <w:spacing w:before="20" w:after="40"/>
        <w:ind w:left="0"/>
      </w:pPr>
      <w:r>
        <w:rPr>
          <w:sz w:val="18"/>
        </w:rPr>
        <w:t>Indice BRVM Composite à 524,52. Résultats encourageants des sociétés ivoiriennes cotées (La Tribune). Données insuffisantes sur top/flop, volumes et perspectives détaillées.</w:t>
      </w:r>
    </w:p>
    <w:p>
      <w:pPr>
        <w:pStyle w:val="Heading3"/>
      </w:pPr>
      <w:r>
        <w:rPr>
          <w:color w:val="500050"/>
        </w:rPr>
        <w:t>⚡ Impact estimé sur la BRVM</w:t>
      </w:r>
    </w:p>
    <w:p>
      <w:pPr>
        <w:spacing w:before="20" w:after="40"/>
        <w:ind w:left="280"/>
      </w:pPr>
      <w:r>
        <w:rPr>
          <w:i/>
          <w:sz w:val="18"/>
        </w:rPr>
        <w:t>Biais positif sur les valeurs ivoiriennes (SGBC, ONTBF, SNTS, SIVC) portées par les résultats. Prudence sur les valeurs exposées au Sahel (BICB, BOAC si exposition burkinabè). Opportunités d'achat à confirmer sur volumes ; titres sous pression : valeurs à exposition sahélienne.</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La BRVM bénéficie de résultats ivoiriens encourageants et d'une dynamique de réconciliation CEDEAO-AES, mais reste pénalisée par le durcissement politique burkinabè, l'instabilité sahélienne et un resserrement BCE qui renchérit le coût des capitaux. Recommandation : privilégier les valeurs ivoiriennes défensives (SGBC, ONTBF, SNTS, SIVC), limiter l'exposition aux sociétés opérant au Burkina/Mali, et surveiller les taux souverains UEMOA avant tout renforcement.</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Wall Street rêve du trading infini et se met à l'heure des actions tok</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La BCE interviendra-t-elle pour soulager les taux français? "Les condi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Donald Trump : un portefeuille « fort comme l'Amérique » qui défie les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Sénégal, Gabon, croissance : les dossiers africains des assemblées du </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2026-10-21</w:t>
            </w:r>
          </w:p>
        </w:tc>
        <w:tc>
          <w:tcPr>
            <w:tcW w:type="dxa" w:w="1728"/>
          </w:tcPr>
          <w:p>
            <w:r>
              <w:rPr>
                <w:sz w:val="14"/>
              </w:rPr>
              <w:t>Négociations CEDEAO-AES : Régis Hounkpè décrypte les divergences et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CEDEAO-AES : Vers un accord-cadre de coopération entre les deux organi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La CEDEAO et l’AES s’apprêtent à conclure un accord-cadre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2026-10-20</w:t>
            </w:r>
          </w:p>
        </w:tc>
        <w:tc>
          <w:tcPr>
            <w:tcW w:type="dxa" w:w="1728"/>
          </w:tcPr>
          <w:p>
            <w:r>
              <w:rPr>
                <w:sz w:val="14"/>
              </w:rPr>
              <w:t>Afrique de l’Ouest : l’écart d’usage mobile atteint 63 % - Africtelegr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Dakar : la CEDEAO et l’AES s’accordent sur un futur 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à Dakar, des groupes conjoints pour préparer un accord de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2026-10-21</w:t>
            </w:r>
          </w:p>
        </w:tc>
        <w:tc>
          <w:tcPr>
            <w:tcW w:type="dxa" w:w="1728"/>
          </w:tcPr>
          <w:p>
            <w:r>
              <w:rPr>
                <w:sz w:val="14"/>
              </w:rPr>
              <w:t xml:space="preserve">Burkina Faso : la peine de mort rétablie dans le nouveau Code pénal -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Burkina Faso: le gouvernement rétablit la peine de mort - Le360 Afriqu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Togo : Alessio Cappellani, nouvel ambassadeur de l’UE - Togo First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Mali. Human Rights Watch dénonce les crimes de guerre de part et d’aut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Sénégal: le projet de loi de finances rectificative «pas acceptable»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Côte d'Ivoire : Idriss Coulibaly, PCA de la SCOOPASAB, explique les di</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2026-10-21</w:t>
            </w:r>
          </w:p>
        </w:tc>
        <w:tc>
          <w:tcPr>
            <w:tcW w:type="dxa" w:w="1728"/>
          </w:tcPr>
          <w:p>
            <w:r>
              <w:rPr>
                <w:sz w:val="14"/>
              </w:rPr>
              <w:t xml:space="preserve">Burkina Faso : la peine de mort rétablie dans le nouveau Code pénal -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Burkina Faso: le gouvernement rétablit la peine de mort - Le360 Afriqu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Togo : Alessio Cappellani, nouvel ambassadeur de l’UE - Togo First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Mali. Human Rights Watch dénonce les crimes de guerre de part et d’aut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Sénégal: le projet de loi de finances rectificative «pas acceptable»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2026-10-21</w:t>
            </w:r>
          </w:p>
        </w:tc>
        <w:tc>
          <w:tcPr>
            <w:tcW w:type="dxa" w:w="1728"/>
          </w:tcPr>
          <w:p>
            <w:r>
              <w:rPr>
                <w:sz w:val="14"/>
              </w:rPr>
              <w:t>Négociations CEDEAO-AES : Régis Hounkpè décrypte les divergences et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2026-10-21</w:t>
            </w:r>
          </w:p>
        </w:tc>
        <w:tc>
          <w:tcPr>
            <w:tcW w:type="dxa" w:w="1728"/>
          </w:tcPr>
          <w:p>
            <w:r>
              <w:rPr>
                <w:sz w:val="14"/>
              </w:rPr>
              <w:t xml:space="preserve">Burkina Faso : la peine de mort rétablie dans le nouveau Code pénal -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Burkina Faso: le gouvernement rétablit la peine de mort - Le360 Afriqu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Mali. Human Rights Watch dénonce les crimes de guerre de part et d’aut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Sénégal: le projet de loi de finances rectificative «pas acceptable»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2026-10-21</w:t>
            </w:r>
          </w:p>
        </w:tc>
        <w:tc>
          <w:tcPr>
            <w:tcW w:type="dxa" w:w="1728"/>
          </w:tcPr>
          <w:p>
            <w:r>
              <w:rPr>
                <w:sz w:val="14"/>
              </w:rPr>
              <w:t>Négociations CEDEAO-AES : Régis Hounkpè décrypte les divergences et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2026-10-21</w:t>
            </w:r>
          </w:p>
        </w:tc>
        <w:tc>
          <w:tcPr>
            <w:tcW w:type="dxa" w:w="1728"/>
          </w:tcPr>
          <w:p>
            <w:r>
              <w:rPr>
                <w:sz w:val="14"/>
              </w:rPr>
              <w:t xml:space="preserve">Burkina Faso : la peine de mort rétablie dans le nouveau Code pénal -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Burkina Faso: le gouvernement rétablit la peine de mort - Le360 Afriqu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Mali. Human Rights Watch dénonce les crimes de guerre de part et d’aut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Sénégal: le projet de loi de finances rectificative «pas acceptable»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2026-10-21</w:t>
            </w:r>
          </w:p>
        </w:tc>
        <w:tc>
          <w:tcPr>
            <w:tcW w:type="dxa" w:w="1728"/>
          </w:tcPr>
          <w:p>
            <w:r>
              <w:rPr>
                <w:sz w:val="14"/>
              </w:rPr>
              <w:t xml:space="preserve">Burkina Faso : la peine de mort rétablie dans le nouveau Code pénal -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Burkina Faso: le gouvernement rétablit la peine de mort - Le360 Afriqu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Togo : Alessio Cappellani, nouvel ambassadeur de l’UE - Togo First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Mali. Human Rights Watch dénonce les crimes de guerre de part et d’aut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Sénégal: le projet de loi de finances rectificative «pas acceptable»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2026-10-21</w:t>
            </w:r>
          </w:p>
        </w:tc>
        <w:tc>
          <w:tcPr>
            <w:tcW w:type="dxa" w:w="1728"/>
          </w:tcPr>
          <w:p>
            <w:r>
              <w:rPr>
                <w:sz w:val="14"/>
              </w:rPr>
              <w:t xml:space="preserve">Burkina Faso : la peine de mort rétablie dans le nouveau Code pénal -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Burkina Faso: le gouvernement rétablit la peine de mort - Le360 Afriqu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Mali. Human Rights Watch dénonce les crimes de guerre de part et d’aut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Sénégal: le projet de loi de finances rectificative «pas acceptable»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Côte d'Ivoire : Idriss Coulibaly, PCA de la SCOOPASAB, explique les di</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2026-10-21</w:t>
            </w:r>
          </w:p>
        </w:tc>
        <w:tc>
          <w:tcPr>
            <w:tcW w:type="dxa" w:w="1728"/>
          </w:tcPr>
          <w:p>
            <w:r>
              <w:rPr>
                <w:sz w:val="14"/>
              </w:rPr>
              <w:t xml:space="preserve">Burkina Faso : la peine de mort rétablie dans le nouveau Code pénal -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Burkina Faso: le gouvernement rétablit la peine de mort - Le360 Afriqu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Togo : Alessio Cappellani, nouvel ambassadeur de l’UE - Togo First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 xml:space="preserve">Sénégal: la majorité parlementaire menace de bloquer le budget 2027 -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Appel à la grève générale au Sénégal à la veille des premiers JOJ en 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2026-10-21</w:t>
            </w:r>
          </w:p>
        </w:tc>
        <w:tc>
          <w:tcPr>
            <w:tcW w:type="dxa" w:w="1728"/>
          </w:tcPr>
          <w:p>
            <w:r>
              <w:rPr>
                <w:sz w:val="14"/>
              </w:rPr>
              <w:t>Négociations CEDEAO-AES : Régis Hounkpè décrypte les divergences et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2026-10-21</w:t>
            </w:r>
          </w:p>
        </w:tc>
        <w:tc>
          <w:tcPr>
            <w:tcW w:type="dxa" w:w="1728"/>
          </w:tcPr>
          <w:p>
            <w:r>
              <w:rPr>
                <w:sz w:val="14"/>
              </w:rPr>
              <w:t xml:space="preserve">Burkina Faso : la peine de mort rétablie dans le nouveau Code pénal -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Burkina Faso: le gouvernement rétablit la peine de mort - Le360 Afriqu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Togo : Alessio Cappellani, nouvel ambassadeur de l’UE - Togo First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Mali. Human Rights Watch dénonce les crimes de guerre de part et d’aut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2026-10-21</w:t>
            </w:r>
          </w:p>
        </w:tc>
        <w:tc>
          <w:tcPr>
            <w:tcW w:type="dxa" w:w="1728"/>
          </w:tcPr>
          <w:p>
            <w:r>
              <w:rPr>
                <w:sz w:val="14"/>
              </w:rPr>
              <w:t>Négociations CEDEAO-AES : Régis Hounkpè décrypte les divergences et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2026-10-21</w:t>
            </w:r>
          </w:p>
        </w:tc>
        <w:tc>
          <w:tcPr>
            <w:tcW w:type="dxa" w:w="1728"/>
          </w:tcPr>
          <w:p>
            <w:r>
              <w:rPr>
                <w:sz w:val="14"/>
              </w:rPr>
              <w:t xml:space="preserve">Burkina Faso : la peine de mort rétablie dans le nouveau Code pénal -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Burkina Faso: le gouvernement rétablit la peine de mort - Le360 Afriqu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Togo : Alessio Cappellani, nouvel ambassadeur de l’UE - Togo First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Côte d'Ivoire : Idriss Coulibaly, PCA de la SCOOPASAB, explique les di</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2026-10-21</w:t>
            </w:r>
          </w:p>
        </w:tc>
        <w:tc>
          <w:tcPr>
            <w:tcW w:type="dxa" w:w="1728"/>
          </w:tcPr>
          <w:p>
            <w:r>
              <w:rPr>
                <w:sz w:val="14"/>
              </w:rPr>
              <w:t xml:space="preserve">Burkina Faso : la peine de mort rétablie dans le nouveau Code pénal -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Burkina Faso: le gouvernement rétablit la peine de mort - Le360 Afriqu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Togo : Alessio Cappellani, nouvel ambassadeur de l’UE - Togo First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Mali. Human Rights Watch dénonce les crimes de guerre de part et d’aut</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Sénégal: le projet de loi de finances rectificative «pas acceptable»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2026-10-21</w:t>
            </w:r>
          </w:p>
        </w:tc>
        <w:tc>
          <w:tcPr>
            <w:tcW w:type="dxa" w:w="1728"/>
          </w:tcPr>
          <w:p>
            <w:r>
              <w:rPr>
                <w:sz w:val="14"/>
              </w:rPr>
              <w:t xml:space="preserve">Burkina Faso : la peine de mort rétablie dans le nouveau Code pénal -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Burkina Faso: le gouvernement rétablit la peine de mort - Le360 Afriqu</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Togo : Alessio Cappellani, nouvel ambassadeur de l’UE - Togo First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 xml:space="preserve">Sénégal: la majorité parlementaire menace de bloquer le budget 2027 -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2026-10-20</w:t>
            </w:r>
          </w:p>
        </w:tc>
        <w:tc>
          <w:tcPr>
            <w:tcW w:type="dxa" w:w="1728"/>
          </w:tcPr>
          <w:p>
            <w:r>
              <w:rPr>
                <w:sz w:val="14"/>
              </w:rPr>
              <w:t>Appel à la grève générale au Sénégal à la veille des premiers JOJ en 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(12 alerte(s))</w:t>
      </w:r>
    </w:p>
    <w:p>
      <w:pPr>
        <w:spacing w:before="40" w:after="40"/>
        <w:ind w:left="360"/>
      </w:pPr>
      <w:r>
        <w:rPr>
          <w:color w:val="646464"/>
          <w:sz w:val="17"/>
        </w:rPr>
        <w:t xml:space="preserve">[21/10/2026] 🔴  </w:t>
      </w:r>
      <w:r>
        <w:rPr>
          <w:b/>
          <w:color w:val="C00000"/>
          <w:sz w:val="18"/>
        </w:rPr>
        <w:t>Burkina Faso : la peine de mort rétablie dans le nouveau Code pénal - MaliActu</w:t>
      </w:r>
      <w:r>
        <w:rPr>
          <w:color w:val="787878"/>
          <w:sz w:val="15"/>
        </w:rPr>
        <w:t xml:space="preserve">  [politique]</w:t>
      </w:r>
      <w:r>
        <w:rPr>
          <w:color w:val="B47800"/>
          <w:sz w:val="16"/>
        </w:rPr>
        <w:t xml:space="preserve">  ★ 50/10</w:t>
      </w:r>
    </w:p>
    <w:p>
      <w:pPr>
        <w:spacing w:before="0" w:after="20"/>
        <w:ind w:left="600"/>
      </w:pPr>
      <w:r>
        <w:rPr>
          <w:color w:val="323232"/>
          <w:sz w:val="17"/>
        </w:rPr>
        <w:t>Le Burkina Faso a rétabli la peine de mort dans son nouveau Code pénal, selon une information rapportée par MaliActu. Cette décision marque un durcissement pénal dans un contexte politique déjà tendu. Elle pourrait susciter des réactions internationales et affecter l'image du pays.</w:t>
      </w:r>
    </w:p>
    <w:p>
      <w:pPr>
        <w:spacing w:before="0" w:after="40"/>
        <w:ind w:left="600"/>
      </w:pPr>
      <w:r>
        <w:rPr>
          <w:color w:val="00643C"/>
          <w:sz w:val="16"/>
        </w:rPr>
        <w:t>Points clés : Rétablissement de la peine de mort dans le nouveau Code pénal burkinabè  •  Décision à caractère politique et judiciaire  •  Contexte sécuritaire et politique sensible au Burkina Faso</w:t>
      </w:r>
    </w:p>
    <w:p>
      <w:pPr>
        <w:spacing w:before="0" w:after="60"/>
        <w:ind w:left="600"/>
      </w:pPr>
      <w:r>
        <w:rPr>
          <w:color w:val="0064B4"/>
          <w:sz w:val="15"/>
        </w:rPr>
        <w:t>Source : https://news.google.com/rss/articles/CBMikAFBVV95cUxPNkREQnJXYkhIdHk3VGlQNzF3ZFR</w:t>
      </w:r>
    </w:p>
    <w:p>
      <w:pPr>
        <w:spacing w:before="40" w:after="40"/>
        <w:ind w:left="360"/>
      </w:pPr>
      <w:r>
        <w:rPr>
          <w:color w:val="646464"/>
          <w:sz w:val="17"/>
        </w:rPr>
        <w:t xml:space="preserve">[20/10/2026] ⚪  </w:t>
      </w:r>
      <w:r>
        <w:rPr>
          <w:b/>
          <w:color w:val="505050"/>
          <w:sz w:val="18"/>
        </w:rPr>
        <w:t>Togo : Alessio Cappellani, nouvel ambassadeur de l’UE - Togo First</w:t>
      </w:r>
      <w:r>
        <w:rPr>
          <w:color w:val="787878"/>
          <w:sz w:val="15"/>
        </w:rPr>
        <w:t xml:space="preserve">  [politique]</w:t>
      </w:r>
      <w:r>
        <w:rPr>
          <w:color w:val="B47800"/>
          <w:sz w:val="16"/>
        </w:rPr>
        <w:t xml:space="preserve">  ★ 50/10</w:t>
      </w:r>
    </w:p>
    <w:p>
      <w:pPr>
        <w:spacing w:before="0" w:after="20"/>
        <w:ind w:left="600"/>
      </w:pPr>
      <w:r>
        <w:rPr>
          <w:color w:val="323232"/>
          <w:sz w:val="17"/>
        </w:rPr>
        <w:t>Alessio Cappellani a été nommé nouvel ambassadeur de l'Union européenne au Togo. Cette nomination intervient dans un contexte de coopération entre l'UE et le Togo. Elle pourrait renforcer les relations diplomatiques et économiques entre les deux parties. Les détails de sa mission et de ses priorités ne sont pas encore précisés.</w:t>
      </w:r>
    </w:p>
    <w:p>
      <w:pPr>
        <w:spacing w:before="0" w:after="40"/>
        <w:ind w:left="600"/>
      </w:pPr>
      <w:r>
        <w:rPr>
          <w:color w:val="00643C"/>
          <w:sz w:val="16"/>
        </w:rPr>
        <w:t>Points clés : Nomination d'Alessio Cappellani comme ambassadeur de l'UE au Togo  •  Renforcement potentiel des relations UE-Togo  •  Aucune information sur les priorités de la mission</w:t>
      </w:r>
    </w:p>
    <w:p>
      <w:pPr>
        <w:spacing w:before="0" w:after="60"/>
        <w:ind w:left="600"/>
      </w:pPr>
      <w:r>
        <w:rPr>
          <w:color w:val="0064B4"/>
          <w:sz w:val="15"/>
        </w:rPr>
        <w:t>Source : https://news.google.com/rss/articles/CBMiogFBVV95cUxPNzdFWW8xWWgtSmZCQmdGeHZPUHN</w:t>
      </w:r>
    </w:p>
    <w:p>
      <w:pPr>
        <w:spacing w:before="40" w:after="40"/>
        <w:ind w:left="360"/>
      </w:pPr>
      <w:r>
        <w:rPr>
          <w:color w:val="646464"/>
          <w:sz w:val="17"/>
        </w:rPr>
        <w:t xml:space="preserve">[20/10/2026] 🔴  </w:t>
      </w:r>
      <w:r>
        <w:rPr>
          <w:b/>
          <w:color w:val="C00000"/>
          <w:sz w:val="18"/>
        </w:rPr>
        <w:t>Burkina Faso: le gouvernement rétablit la peine de mort - Le360 Afrique</w:t>
      </w:r>
      <w:r>
        <w:rPr>
          <w:color w:val="787878"/>
          <w:sz w:val="15"/>
        </w:rPr>
        <w:t xml:space="preserve">  [politique]</w:t>
      </w:r>
      <w:r>
        <w:rPr>
          <w:color w:val="B47800"/>
          <w:sz w:val="16"/>
        </w:rPr>
        <w:t xml:space="preserve">  ★ 50/10</w:t>
      </w:r>
    </w:p>
    <w:p>
      <w:pPr>
        <w:spacing w:before="0" w:after="20"/>
        <w:ind w:left="600"/>
      </w:pPr>
      <w:r>
        <w:rPr>
          <w:color w:val="323232"/>
          <w:sz w:val="17"/>
        </w:rPr>
        <w:t>Le gouvernement burkinabè a décidé de rétablir la peine de mort, selon Le360 Afrique. Cette mesure s'inscrit dans un contexte politique tendu au Burkina Faso, membre de l'UEMOA. Elle pourrait susciter des réactions internationales et affecter la perception du pays sur le plan des droits humains.</w:t>
      </w:r>
    </w:p>
    <w:p>
      <w:pPr>
        <w:spacing w:before="0" w:after="40"/>
        <w:ind w:left="600"/>
      </w:pPr>
      <w:r>
        <w:rPr>
          <w:color w:val="00643C"/>
          <w:sz w:val="16"/>
        </w:rPr>
        <w:t>Points clés : Rétablissement de la peine de mort par le gouvernement burkinabè  •  Contexte politique et sécuritaire tendu au Burkina Faso  •  Possible impact sur l'image internationale du pays</w:t>
      </w:r>
    </w:p>
    <w:p>
      <w:pPr>
        <w:spacing w:before="0" w:after="60"/>
        <w:ind w:left="600"/>
      </w:pPr>
      <w:r>
        <w:rPr>
          <w:color w:val="0064B4"/>
          <w:sz w:val="15"/>
        </w:rPr>
        <w:t>Source : https://news.google.com/rss/articles/CBMiuAFBVV95cUxQZkI2U280SG16WHNCc1dWNmVaY1c</w:t>
      </w:r>
    </w:p>
    <w:p>
      <w:pPr>
        <w:spacing w:before="40" w:after="40"/>
        <w:ind w:left="360"/>
      </w:pPr>
      <w:r>
        <w:rPr>
          <w:color w:val="646464"/>
          <w:sz w:val="17"/>
        </w:rPr>
        <w:t xml:space="preserve">[20/10/2026] 🔴  </w:t>
      </w:r>
      <w:r>
        <w:rPr>
          <w:b/>
          <w:color w:val="C00000"/>
          <w:sz w:val="18"/>
        </w:rPr>
        <w:t>Sénégal: le projet de loi de finances rectificative «pas acceptable» en l’état, juge Ousmane Sonko - RFI</w:t>
      </w:r>
      <w:r>
        <w:rPr>
          <w:color w:val="787878"/>
          <w:sz w:val="15"/>
        </w:rPr>
        <w:t xml:space="preserve">  [politique]</w:t>
      </w:r>
      <w:r>
        <w:rPr>
          <w:color w:val="B47800"/>
          <w:sz w:val="16"/>
        </w:rPr>
        <w:t xml:space="preserve">  ★ 50/10</w:t>
      </w:r>
    </w:p>
    <w:p>
      <w:pPr>
        <w:spacing w:before="0" w:after="20"/>
        <w:ind w:left="600"/>
      </w:pPr>
      <w:r>
        <w:rPr>
          <w:color w:val="323232"/>
          <w:sz w:val="17"/>
        </w:rPr>
        <w:t>Le Premier ministre sénégalais Ousmane Sonko a jugé que le projet de loi de finances rectificative n'est « pas acceptable » en l'état. Cette position exprime un désaccord politique sur la gestion budgétaire du pays. Elle intervient dans un contexte de tensions entre l'exécutif et l'opposition. Une telle incertitude pourrait affecter la confiance de</w:t>
      </w:r>
    </w:p>
    <w:p>
      <w:pPr>
        <w:spacing w:before="0" w:after="40"/>
        <w:ind w:left="600"/>
      </w:pPr>
      <w:r>
        <w:rPr>
          <w:color w:val="00643C"/>
          <w:sz w:val="16"/>
        </w:rPr>
        <w:t>Points clés : Ousmane Sonko rejette le projet de loi de finances rectificative en l'état  •  Désaccord politique sur la politique budgétaire sénégalaise  •  Risque d'incertitude pour les investisseurs et les marchés</w:t>
      </w:r>
    </w:p>
    <w:p>
      <w:pPr>
        <w:spacing w:before="0" w:after="60"/>
        <w:ind w:left="600"/>
      </w:pPr>
      <w:r>
        <w:rPr>
          <w:color w:val="0064B4"/>
          <w:sz w:val="15"/>
        </w:rPr>
        <w:t>Source : https://news.google.com/rss/articles/CBMi4gFBVV95cUxNaTFQVzV0ekVpNVUwdTBVaXJoOFJ</w:t>
      </w:r>
    </w:p>
    <w:p>
      <w:pPr>
        <w:spacing w:before="40" w:after="40"/>
        <w:ind w:left="360"/>
      </w:pPr>
      <w:r>
        <w:rPr>
          <w:color w:val="646464"/>
          <w:sz w:val="17"/>
        </w:rPr>
        <w:t xml:space="preserve">[20/10/2026] 🔴  </w:t>
      </w:r>
      <w:r>
        <w:rPr>
          <w:b/>
          <w:color w:val="C00000"/>
          <w:sz w:val="18"/>
        </w:rPr>
        <w:t>Appel à la grève générale au Sénégal à la veille des premiers JOJ en Afrique - Jeune Afrique</w:t>
      </w:r>
      <w:r>
        <w:rPr>
          <w:color w:val="787878"/>
          <w:sz w:val="15"/>
        </w:rPr>
        <w:t xml:space="preserve">  [politique]</w:t>
      </w:r>
      <w:r>
        <w:rPr>
          <w:color w:val="B47800"/>
          <w:sz w:val="16"/>
        </w:rPr>
        <w:t xml:space="preserve">  ★ 50/10</w:t>
      </w:r>
    </w:p>
    <w:p>
      <w:pPr>
        <w:spacing w:before="0" w:after="20"/>
        <w:ind w:left="600"/>
      </w:pPr>
      <w:r>
        <w:rPr>
          <w:color w:val="323232"/>
          <w:sz w:val="17"/>
        </w:rPr>
        <w:t>Un appel à la grève générale est lancé au Sénégal à la veille des premiers Jeux Olympiques de la Jeunesse (JOJ) organisés en Afrique. Cette situation politique tendue pourrait perturber l'organisation de l'événement et l'activité économique du pays. Le Sénégal est un acteur majeur de l'UEMOA et de la BRVM, et toute instabilité sociale peut affecter</w:t>
      </w:r>
    </w:p>
    <w:p>
      <w:pPr>
        <w:spacing w:before="0" w:after="40"/>
        <w:ind w:left="600"/>
      </w:pPr>
      <w:r>
        <w:rPr>
          <w:color w:val="00643C"/>
          <w:sz w:val="16"/>
        </w:rPr>
        <w:t>Points clés : Appel à la grève générale au Sénégal  •  Veille des premiers JOJ en Afrique  •  Risque de perturbation économique et sociale  •  Impact potentiel sur le climat des affaires dans l'UEMOA</w:t>
      </w:r>
    </w:p>
    <w:p>
      <w:pPr>
        <w:spacing w:before="0" w:after="60"/>
        <w:ind w:left="600"/>
      </w:pPr>
      <w:r>
        <w:rPr>
          <w:color w:val="0064B4"/>
          <w:sz w:val="15"/>
        </w:rPr>
        <w:t>Source : https://news.google.com/rss/articles/CBMiwgFBVV95cUxOcTBSUFdycjNGcXJNalJxZWkwN0N</w:t>
      </w:r>
    </w:p>
    <w:p>
      <w:pPr>
        <w:spacing w:before="120" w:after="40"/>
      </w:pPr>
      <w:r>
        <w:rPr>
          <w:b/>
          <w:color w:val="00467F"/>
          <w:sz w:val="20"/>
        </w:rPr>
        <w:t>🔑 économique  (7 alerte(s))</w:t>
      </w:r>
    </w:p>
    <w:p>
      <w:pPr>
        <w:spacing w:before="40" w:after="40"/>
        <w:ind w:left="360"/>
      </w:pPr>
      <w:r>
        <w:rPr>
          <w:color w:val="646464"/>
          <w:sz w:val="17"/>
        </w:rPr>
        <w:t xml:space="preserve">[21/10/2026] ⚪  </w:t>
      </w:r>
      <w:r>
        <w:rPr>
          <w:b/>
          <w:color w:val="505050"/>
          <w:sz w:val="18"/>
        </w:rPr>
        <w:t>Négociations CEDEAO-AES : Régis Hounkpè décrypte les divergences et les compromis possibles - Guinee360</w:t>
      </w:r>
      <w:r>
        <w:rPr>
          <w:color w:val="787878"/>
          <w:sz w:val="15"/>
        </w:rPr>
        <w:t xml:space="preserve">  [économique]</w:t>
      </w:r>
      <w:r>
        <w:rPr>
          <w:color w:val="B47800"/>
          <w:sz w:val="16"/>
        </w:rPr>
        <w:t xml:space="preserve">  ★ 50/10</w:t>
      </w:r>
    </w:p>
    <w:p>
      <w:pPr>
        <w:spacing w:before="0" w:after="20"/>
        <w:ind w:left="600"/>
      </w:pPr>
      <w:r>
        <w:rPr>
          <w:color w:val="323232"/>
          <w:sz w:val="17"/>
        </w:rPr>
        <w:t>L'article traite des négociations entre la CEDEAO et l'Alliance des États du Sahel (AES), avec l'analyse de Régis Hounkpè sur les divergences et les compromis possibles. Il met en lumière les points de friction entre les deux entités et les pistes de rapprochement. Cette dynamique intervient dans un contexte de tensions régionales et de retrait ann</w:t>
      </w:r>
    </w:p>
    <w:p>
      <w:pPr>
        <w:spacing w:before="0" w:after="40"/>
        <w:ind w:left="600"/>
      </w:pPr>
      <w:r>
        <w:rPr>
          <w:color w:val="00643C"/>
          <w:sz w:val="16"/>
        </w:rPr>
        <w:t>Points clés : Négociations en cours entre la CEDEAO et l'AES  •  Analyse des divergences par Régis Hounkpè  •  Recherche de compromis possibles  •  Contexte de tensions régionales en Afrique de l'Ouest</w:t>
      </w:r>
    </w:p>
    <w:p>
      <w:pPr>
        <w:spacing w:before="0" w:after="60"/>
        <w:ind w:left="600"/>
      </w:pPr>
      <w:r>
        <w:rPr>
          <w:color w:val="0064B4"/>
          <w:sz w:val="15"/>
        </w:rPr>
        <w:t>Source : https://news.google.com/rss/articles/CBMixgFBVV95cUxNcU5EUnhwUFNtOGJqRmdJRkhMU0M</w:t>
      </w:r>
    </w:p>
    <w:p>
      <w:pPr>
        <w:spacing w:before="40" w:after="40"/>
        <w:ind w:left="360"/>
      </w:pPr>
      <w:r>
        <w:rPr>
          <w:color w:val="646464"/>
          <w:sz w:val="17"/>
        </w:rPr>
        <w:t xml:space="preserve">[20/10/2026] 🔴  </w:t>
      </w:r>
      <w:r>
        <w:rPr>
          <w:b/>
          <w:color w:val="C00000"/>
          <w:sz w:val="18"/>
        </w:rPr>
        <w:t>Afrique de l’Ouest : l’écart d’usage mobile atteint 63 % - Africtelegraph</w:t>
      </w:r>
      <w:r>
        <w:rPr>
          <w:color w:val="787878"/>
          <w:sz w:val="15"/>
        </w:rPr>
        <w:t xml:space="preserve">  [économique]</w:t>
      </w:r>
      <w:r>
        <w:rPr>
          <w:color w:val="B47800"/>
          <w:sz w:val="16"/>
        </w:rPr>
        <w:t xml:space="preserve">  ★ 50/10</w:t>
      </w:r>
    </w:p>
    <w:p>
      <w:pPr>
        <w:spacing w:before="0" w:after="20"/>
        <w:ind w:left="600"/>
      </w:pPr>
      <w:r>
        <w:rPr>
          <w:color w:val="323232"/>
          <w:sz w:val="17"/>
        </w:rPr>
        <w:t>L'écart d'usage mobile en Afrique de l'Ouest atteint 63 %, selon Africtelegraph. Cet indicateur mesure la différence entre la couverture réseau et l'utilisation effective des services mobiles. Un tel écart suggère que malgré une infrastructure disponible, des barrières économiques, éducatives ou culturelles limitent l'adoption. Cela représente un e</w:t>
      </w:r>
    </w:p>
    <w:p>
      <w:pPr>
        <w:spacing w:before="0" w:after="40"/>
        <w:ind w:left="600"/>
      </w:pPr>
      <w:r>
        <w:rPr>
          <w:color w:val="00643C"/>
          <w:sz w:val="16"/>
        </w:rPr>
        <w:t>Points clés : L'écart d'usage mobile en Afrique de l'Ouest s'élève à 63 %.  •  Cela indique une sous-utilisation des réseaux mobiles existants.  •  Les causes probables incluent le coût, le manque de compétences numériques et les contenus inadaptés.  •  Impact potentiel sur les revenus des opérateurs et la croissance du secteur numérique.</w:t>
      </w:r>
    </w:p>
    <w:p>
      <w:pPr>
        <w:spacing w:before="0" w:after="60"/>
        <w:ind w:left="600"/>
      </w:pPr>
      <w:r>
        <w:rPr>
          <w:color w:val="0064B4"/>
          <w:sz w:val="15"/>
        </w:rPr>
        <w:t>Source : https://news.google.com/rss/articles/CBMiigFBVV95cUxOdE4tT1lLV0dtaTdDdFlFRHZWaUd</w:t>
      </w:r>
    </w:p>
    <w:p>
      <w:pPr>
        <w:spacing w:before="40" w:after="40"/>
        <w:ind w:left="360"/>
      </w:pPr>
      <w:r>
        <w:rPr>
          <w:color w:val="646464"/>
          <w:sz w:val="17"/>
        </w:rPr>
        <w:t xml:space="preserve">[19/10/2026] 🟢  </w:t>
      </w:r>
      <w:r>
        <w:rPr>
          <w:b/>
          <w:color w:val="008000"/>
          <w:sz w:val="18"/>
        </w:rPr>
        <w:t>La CEDEAO et l’AES s’apprêtent à conclure un accord-cadre de coopération - Agence Afrique</w:t>
      </w:r>
      <w:r>
        <w:rPr>
          <w:color w:val="787878"/>
          <w:sz w:val="15"/>
        </w:rPr>
        <w:t xml:space="preserve">  [économique]</w:t>
      </w:r>
      <w:r>
        <w:rPr>
          <w:color w:val="B47800"/>
          <w:sz w:val="16"/>
        </w:rPr>
        <w:t xml:space="preserve">  ★ 50/10</w:t>
      </w:r>
    </w:p>
    <w:p>
      <w:pPr>
        <w:spacing w:before="0" w:after="20"/>
        <w:ind w:left="600"/>
      </w:pPr>
      <w:r>
        <w:rPr>
          <w:color w:val="323232"/>
          <w:sz w:val="17"/>
        </w:rPr>
        <w:t>La CEDEAO et l'Alliance des États du Sahel (AES) s'apprêtent à conclure un accord-cadre de coopération, selon l'Agence Afrique. Cette annonce marque une tentative de rapprochement entre les deux entités après les tensions liées au retrait des pays de l'AES de la CEDEAO. L'accord pourrait faciliter la reprise du dialogue et de la coopération économi</w:t>
      </w:r>
    </w:p>
    <w:p>
      <w:pPr>
        <w:spacing w:before="0" w:after="40"/>
        <w:ind w:left="600"/>
      </w:pPr>
      <w:r>
        <w:rPr>
          <w:color w:val="00643C"/>
          <w:sz w:val="16"/>
        </w:rPr>
        <w:t>Points clés : Négociation d'un accord-cadre de coopération entre la CEDEAO et l'AES  •  Contexte de tensions régionales après le retrait annoncé des pays de l'AES  •  Potentiel de normalisation des relations économiques et diplomatiques</w:t>
      </w:r>
    </w:p>
    <w:p>
      <w:pPr>
        <w:spacing w:before="0" w:after="60"/>
        <w:ind w:left="600"/>
      </w:pPr>
      <w:r>
        <w:rPr>
          <w:color w:val="0064B4"/>
          <w:sz w:val="15"/>
        </w:rPr>
        <w:t>Source : https://news.google.com/rss/articles/CBMisAFBVV95cUxONlNCcUlKSXFpc1FmT1NvOWc0OG9</w:t>
      </w:r>
    </w:p>
    <w:p>
      <w:pPr>
        <w:spacing w:before="40" w:after="40"/>
        <w:ind w:left="360"/>
      </w:pPr>
      <w:r>
        <w:rPr>
          <w:color w:val="646464"/>
          <w:sz w:val="17"/>
        </w:rPr>
        <w:t xml:space="preserve">[19/10/2026] 🟢  </w:t>
      </w:r>
      <w:r>
        <w:rPr>
          <w:b/>
          <w:color w:val="008000"/>
          <w:sz w:val="18"/>
        </w:rPr>
        <w:t>CEDEAO-AES : Vers un accord-cadre de coopération entre les deux organisations - Sahel Intelligence</w:t>
      </w:r>
      <w:r>
        <w:rPr>
          <w:color w:val="787878"/>
          <w:sz w:val="15"/>
        </w:rPr>
        <w:t xml:space="preserve">  [économique]</w:t>
      </w:r>
      <w:r>
        <w:rPr>
          <w:color w:val="B47800"/>
          <w:sz w:val="16"/>
        </w:rPr>
        <w:t xml:space="preserve">  ★ 50/10</w:t>
      </w:r>
    </w:p>
    <w:p>
      <w:pPr>
        <w:spacing w:before="0" w:after="20"/>
        <w:ind w:left="600"/>
      </w:pPr>
      <w:r>
        <w:rPr>
          <w:color w:val="323232"/>
          <w:sz w:val="17"/>
        </w:rPr>
        <w:t>La CEDEAO et l'Alliance des États du Sahel (AES) s'orientent vers un accord-cadre de coopération, selon Sahel Intelligence. Cette initiative vise à maintenir un canal de dialogue entre les deux organisations malgré le retrait annoncé des pays de l'AES de la CEDEAO. Elle pourrait faciliter la gestion des dossiers économiques et sécuritaires régionau</w:t>
      </w:r>
    </w:p>
    <w:p>
      <w:pPr>
        <w:spacing w:before="0" w:after="40"/>
        <w:ind w:left="600"/>
      </w:pPr>
      <w:r>
        <w:rPr>
          <w:color w:val="00643C"/>
          <w:sz w:val="16"/>
        </w:rPr>
        <w:t>Points clés : Négociation d'un accord-cadre de coopération entre la CEDEAO et l'AES  •  Maintien d'un dialogue malgré les tensions et le retrait des pays de l'AES  •  Enjeux économiques et sécuritaires régionaux au cœur des discussions</w:t>
      </w:r>
    </w:p>
    <w:p>
      <w:pPr>
        <w:spacing w:before="0" w:after="60"/>
        <w:ind w:left="600"/>
      </w:pPr>
      <w:r>
        <w:rPr>
          <w:color w:val="0064B4"/>
          <w:sz w:val="15"/>
        </w:rPr>
        <w:t>Source : https://news.google.com/rss/articles/CBMiuAFBVV95cUxPNFJ4VXJDLTZBcGU2UHdzQzFIUFl</w:t>
      </w:r>
    </w:p>
    <w:p>
      <w:pPr>
        <w:spacing w:before="40" w:after="40"/>
        <w:ind w:left="360"/>
      </w:pPr>
      <w:r>
        <w:rPr>
          <w:color w:val="646464"/>
          <w:sz w:val="17"/>
        </w:rPr>
        <w:t xml:space="preserve">[19/10/2026] 🟢  </w:t>
      </w:r>
      <w:r>
        <w:rPr>
          <w:b/>
          <w:color w:val="008000"/>
          <w:sz w:val="18"/>
        </w:rPr>
        <w:t>AES-Cedeao : les deux blocs annoncent vouloir travailler à un « accord-cadre » - Jeune Afrique</w:t>
      </w:r>
      <w:r>
        <w:rPr>
          <w:color w:val="787878"/>
          <w:sz w:val="15"/>
        </w:rPr>
        <w:t xml:space="preserve">  [économique]</w:t>
      </w:r>
      <w:r>
        <w:rPr>
          <w:color w:val="B47800"/>
          <w:sz w:val="16"/>
        </w:rPr>
        <w:t xml:space="preserve">  ★ 50/10</w:t>
      </w:r>
    </w:p>
    <w:p>
      <w:pPr>
        <w:spacing w:before="0" w:after="20"/>
        <w:ind w:left="600"/>
      </w:pPr>
      <w:r>
        <w:rPr>
          <w:color w:val="323232"/>
          <w:sz w:val="17"/>
        </w:rPr>
        <w:t>Les blocs AES (Alliance des États du Sahel) et CEDEAO ont annoncé leur intention de travailler à un « accord-cadre » selon Jeune Afrique. Cette annonce suggère une volonté de normaliser les relations entre les pays sahéliens regroupés au sein de l'AES et la Communauté économique des États de l'Afrique de l'Ouest. Un tel accord pourrait faciliter le</w:t>
      </w:r>
    </w:p>
    <w:p>
      <w:pPr>
        <w:spacing w:before="0" w:after="40"/>
        <w:ind w:left="600"/>
      </w:pPr>
      <w:r>
        <w:rPr>
          <w:color w:val="00643C"/>
          <w:sz w:val="16"/>
        </w:rPr>
        <w:t>Points clés : Annonce d'un accord-cadre entre l'AES et la CEDEAO  •  Volonté de normaliser les relations régionales  •  Potentiel de réduction des tensions politiques et d'amélioration des échanges</w:t>
      </w:r>
    </w:p>
    <w:p>
      <w:pPr>
        <w:spacing w:before="0" w:after="60"/>
        <w:ind w:left="600"/>
      </w:pPr>
      <w:r>
        <w:rPr>
          <w:color w:val="0064B4"/>
          <w:sz w:val="15"/>
        </w:rPr>
        <w:t>Source : https://news.google.com/rss/articles/CBMivAFBVV95cUxOTGxUcjRzMFo1YW4tVTlNUV9YTzB</w:t>
      </w:r>
    </w:p>
    <w:p>
      <w:pPr>
        <w:spacing w:before="120" w:after="40"/>
      </w:pPr>
      <w:r>
        <w:rPr>
          <w:b/>
          <w:color w:val="00467F"/>
          <w:sz w:val="20"/>
        </w:rPr>
        <w:t>🔑 matieres_premieres  (1 alerte(s))</w:t>
      </w:r>
    </w:p>
    <w:p>
      <w:pPr>
        <w:spacing w:before="40" w:after="40"/>
        <w:ind w:left="360"/>
      </w:pPr>
      <w:r>
        <w:rPr>
          <w:color w:val="646464"/>
          <w:sz w:val="17"/>
        </w:rPr>
        <w:t xml:space="preserve">[19/10/2026] ⚪  </w:t>
      </w:r>
      <w:r>
        <w:rPr>
          <w:b/>
          <w:color w:val="505050"/>
          <w:sz w:val="18"/>
        </w:rPr>
        <w:t>Côte d'Ivoire : Idriss Coulibaly, PCA de la SCOOPASAB, explique les différences de prix entre le cacao ivoirien et celui</w:t>
      </w:r>
      <w:r>
        <w:rPr>
          <w:color w:val="787878"/>
          <w:sz w:val="15"/>
        </w:rPr>
        <w:t xml:space="preserve">  [matieres_premieres]</w:t>
      </w:r>
      <w:r>
        <w:rPr>
          <w:color w:val="B47800"/>
          <w:sz w:val="16"/>
        </w:rPr>
        <w:t xml:space="preserve">  ★ 50/10</w:t>
      </w:r>
    </w:p>
    <w:p>
      <w:pPr>
        <w:spacing w:before="0" w:after="20"/>
        <w:ind w:left="600"/>
      </w:pPr>
      <w:r>
        <w:rPr>
          <w:color w:val="323232"/>
          <w:sz w:val="17"/>
        </w:rPr>
        <w:t>L'article rapporte les explications d'Idriss Coulibaly, président du conseil d'administration de la SCOOPASAB, sur les différences de prix entre le cacao ivoirien et celui du Ghana. Ces écarts s'expliquent par des facteurs structurels et réglementaires propres à chaque pays. La question du prix du cacao est centrale pour les revenus des producteurs</w:t>
      </w:r>
    </w:p>
    <w:p>
      <w:pPr>
        <w:spacing w:before="0" w:after="40"/>
        <w:ind w:left="600"/>
      </w:pPr>
      <w:r>
        <w:rPr>
          <w:color w:val="00643C"/>
          <w:sz w:val="16"/>
        </w:rPr>
        <w:t>Points clés : Idriss Coulibaly, PCA de la SCOOPASAB, explique les écarts de prix entre le cacao ivoirien et ghanéen  •  Les différences de prix relèvent de facteurs structurels et réglementaires propres à chaque pays  •  Enjeu de compétitivité et de revenus pour les producteurs de cacao de la zone UEMOA</w:t>
      </w:r>
    </w:p>
    <w:p>
      <w:pPr>
        <w:spacing w:before="0" w:after="60"/>
        <w:ind w:left="600"/>
      </w:pPr>
      <w:r>
        <w:rPr>
          <w:color w:val="0064B4"/>
          <w:sz w:val="15"/>
        </w:rPr>
        <w:t>Source : https://news.google.com/rss/articles/CBMipgJBVV95cUxOZ21TZFFVbTJKcEhBUmVjZHg3T2R</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11,250</w:t>
            </w:r>
          </w:p>
        </w:tc>
        <w:tc>
          <w:tcPr>
            <w:tcW w:type="dxa" w:w="1080"/>
            <w:shd w:fill="C6EFCE" w:val="clear"/>
          </w:tcPr>
          <w:p>
            <w:r>
              <w:rPr>
                <w:b/>
                <w:sz w:val="16"/>
              </w:rPr>
              <w:t>82/100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STBC</w:t>
            </w:r>
          </w:p>
        </w:tc>
        <w:tc>
          <w:tcPr>
            <w:tcW w:type="dxa" w:w="1080"/>
            <w:shd w:fill="C6EFCE" w:val="clear"/>
          </w:tcPr>
          <w:p>
            <w:r>
              <w:rPr>
                <w:sz w:val="16"/>
              </w:rPr>
              <w:t>CONSOMMATION DE BA</w:t>
            </w:r>
          </w:p>
        </w:tc>
        <w:tc>
          <w:tcPr>
            <w:tcW w:type="dxa" w:w="1080"/>
            <w:shd w:fill="C6EFCE" w:val="clear"/>
          </w:tcPr>
          <w:p>
            <w:r>
              <w:rPr>
                <w:sz w:val="16"/>
              </w:rPr>
              <w:t>21,300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5,200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1,700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8,725</w:t>
            </w:r>
          </w:p>
        </w:tc>
        <w:tc>
          <w:tcPr>
            <w:tcW w:type="dxa" w:w="1080"/>
            <w:shd w:fill="C6EFCE" w:val="clear"/>
          </w:tcPr>
          <w:p>
            <w:r>
              <w:rPr>
                <w:b/>
                <w:sz w:val="16"/>
              </w:rPr>
              <w:t>77/100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2,100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2,120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3,115</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38,525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41,880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1,720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2,995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20,130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7,500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2,070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3,450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5,700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8,000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3,850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7,815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4,200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24</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3,000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8,460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1,805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14,500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12,010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14,900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2,135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2,790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7,610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1,895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9,800</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16,200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7,850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32,010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9,180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3,000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4,800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31,000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21,000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w:t>
            </w:r>
          </w:p>
        </w:tc>
        <w:tc>
          <w:tcPr>
            <w:tcW w:type="dxa" w:w="1080"/>
            <w:shd w:fill="EBF5FB" w:val="clear"/>
          </w:tcPr>
          <w:p>
            <w:r>
              <w:rPr>
                <w:b/>
                <w:sz w:val="16"/>
              </w:rPr>
              <w:t>56/100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45,110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SICC</w:t>
            </w:r>
          </w:p>
        </w:tc>
        <w:tc>
          <w:tcPr>
            <w:tcW w:type="dxa" w:w="1080"/>
            <w:shd w:fill="FEFEFE" w:val="clear"/>
          </w:tcPr>
          <w:p>
            <w:r>
              <w:rPr>
                <w:sz w:val="16"/>
              </w:rPr>
              <w:t>CONSOMMATION DE BA</w:t>
            </w:r>
          </w:p>
        </w:tc>
        <w:tc>
          <w:tcPr>
            <w:tcW w:type="dxa" w:w="1080"/>
            <w:shd w:fill="FEFEFE" w:val="clear"/>
          </w:tcPr>
          <w:p>
            <w:r>
              <w:rPr>
                <w:sz w:val="16"/>
              </w:rPr>
              <w:t>—</w:t>
            </w:r>
          </w:p>
        </w:tc>
        <w:tc>
          <w:tcPr>
            <w:tcW w:type="dxa" w:w="1080"/>
            <w:shd w:fill="FEFEFE" w:val="clear"/>
          </w:tcPr>
          <w:p>
            <w:r>
              <w:rPr>
                <w:b/>
                <w:sz w:val="16"/>
              </w:rPr>
              <w:t>52/100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CFAC</w:t>
            </w:r>
          </w:p>
        </w:tc>
        <w:tc>
          <w:tcPr>
            <w:tcW w:type="dxa" w:w="1080"/>
            <w:shd w:fill="FEFEFE" w:val="clear"/>
          </w:tcPr>
          <w:p>
            <w:r>
              <w:rPr>
                <w:sz w:val="16"/>
              </w:rPr>
              <w:t>CONSOMMATION DISCR</w:t>
            </w:r>
          </w:p>
        </w:tc>
        <w:tc>
          <w:tcPr>
            <w:tcW w:type="dxa" w:w="1080"/>
            <w:shd w:fill="FEFEFE" w:val="clear"/>
          </w:tcPr>
          <w:p>
            <w:r>
              <w:rPr>
                <w:sz w:val="16"/>
              </w:rPr>
              <w:t>1,450</w:t>
            </w:r>
          </w:p>
        </w:tc>
        <w:tc>
          <w:tcPr>
            <w:tcW w:type="dxa" w:w="1080"/>
            <w:shd w:fill="FEFEFE" w:val="clear"/>
          </w:tcPr>
          <w:p>
            <w:r>
              <w:rPr>
                <w:b/>
                <w:sz w:val="16"/>
              </w:rPr>
              <w:t>48/100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11,250</w:t>
            </w:r>
          </w:p>
        </w:tc>
        <w:tc>
          <w:tcPr>
            <w:tcW w:type="dxa" w:w="1728"/>
            <w:shd w:fill="DEEAF1" w:val="clear"/>
          </w:tcPr>
          <w:p>
            <w:r>
              <w:rPr>
                <w:sz w:val="17"/>
              </w:rPr>
              <w:t>82/100</w:t>
            </w:r>
          </w:p>
        </w:tc>
        <w:tc>
          <w:tcPr>
            <w:tcW w:type="dxa" w:w="1728"/>
            <w:shd w:fill="DEEAF1" w:val="clear"/>
          </w:tcPr>
          <w:p>
            <w:r>
              <w:rPr>
                <w:sz w:val="17"/>
              </w:rPr>
              <w:t>10.6%</w:t>
            </w:r>
          </w:p>
        </w:tc>
      </w:tr>
      <w:tr>
        <w:tc>
          <w:tcPr>
            <w:tcW w:type="dxa" w:w="1728"/>
            <w:shd w:fill="DEEAF1" w:val="clear"/>
          </w:tcPr>
          <w:p>
            <w:r>
              <w:rPr>
                <w:sz w:val="17"/>
              </w:rPr>
              <w:t>STBC</w:t>
            </w:r>
          </w:p>
        </w:tc>
        <w:tc>
          <w:tcPr>
            <w:tcW w:type="dxa" w:w="1728"/>
            <w:shd w:fill="DEEAF1" w:val="clear"/>
          </w:tcPr>
          <w:p>
            <w:r>
              <w:rPr>
                <w:sz w:val="17"/>
              </w:rPr>
              <w:t>STBC - SITAB COTE D'IVOIRE</w:t>
            </w:r>
          </w:p>
        </w:tc>
        <w:tc>
          <w:tcPr>
            <w:tcW w:type="dxa" w:w="1728"/>
            <w:shd w:fill="DEEAF1" w:val="clear"/>
          </w:tcPr>
          <w:p>
            <w:r>
              <w:rPr>
                <w:sz w:val="17"/>
              </w:rPr>
              <w:t>21,300</w:t>
            </w:r>
          </w:p>
        </w:tc>
        <w:tc>
          <w:tcPr>
            <w:tcW w:type="dxa" w:w="1728"/>
            <w:shd w:fill="DEEAF1" w:val="clear"/>
          </w:tcPr>
          <w:p>
            <w:r>
              <w:rPr>
                <w:sz w:val="17"/>
              </w:rPr>
              <w:t>80/100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8,725</w:t>
            </w:r>
          </w:p>
        </w:tc>
        <w:tc>
          <w:tcPr>
            <w:tcW w:type="dxa" w:w="1728"/>
            <w:shd w:fill="DEEAF1" w:val="clear"/>
          </w:tcPr>
          <w:p>
            <w:r>
              <w:rPr>
                <w:sz w:val="17"/>
              </w:rPr>
              <w:t>77/100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2,100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3,115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38,525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3,000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11,250</w:t>
            </w:r>
          </w:p>
        </w:tc>
        <w:tc>
          <w:tcPr>
            <w:tcW w:type="dxa" w:w="1728"/>
            <w:shd w:fill="E2EFDA" w:val="clear"/>
          </w:tcPr>
          <w:p>
            <w:r>
              <w:rPr>
                <w:sz w:val="17"/>
              </w:rPr>
              <w:t>82/100</w:t>
            </w:r>
          </w:p>
        </w:tc>
        <w:tc>
          <w:tcPr>
            <w:tcW w:type="dxa" w:w="1728"/>
            <w:shd w:fill="E2EFDA" w:val="clear"/>
          </w:tcPr>
          <w:p>
            <w:r>
              <w:rPr>
                <w:sz w:val="17"/>
              </w:rPr>
              <w:t>11.2%</w:t>
            </w:r>
          </w:p>
        </w:tc>
      </w:tr>
      <w:tr>
        <w:tc>
          <w:tcPr>
            <w:tcW w:type="dxa" w:w="1728"/>
            <w:shd w:fill="E2EFDA" w:val="clear"/>
          </w:tcPr>
          <w:p>
            <w:r>
              <w:rPr>
                <w:sz w:val="17"/>
              </w:rPr>
              <w:t>STBC</w:t>
            </w:r>
          </w:p>
        </w:tc>
        <w:tc>
          <w:tcPr>
            <w:tcW w:type="dxa" w:w="1728"/>
            <w:shd w:fill="E2EFDA" w:val="clear"/>
          </w:tcPr>
          <w:p>
            <w:r>
              <w:rPr>
                <w:sz w:val="17"/>
              </w:rPr>
              <w:t>STBC - SITAB COTE D'IVOIRE</w:t>
            </w:r>
          </w:p>
        </w:tc>
        <w:tc>
          <w:tcPr>
            <w:tcW w:type="dxa" w:w="1728"/>
            <w:shd w:fill="E2EFDA" w:val="clear"/>
          </w:tcPr>
          <w:p>
            <w:r>
              <w:rPr>
                <w:sz w:val="17"/>
              </w:rPr>
              <w:t>21,300</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CIEC</w:t>
            </w:r>
          </w:p>
        </w:tc>
        <w:tc>
          <w:tcPr>
            <w:tcW w:type="dxa" w:w="1728"/>
            <w:shd w:fill="E2EFDA" w:val="clear"/>
          </w:tcPr>
          <w:p>
            <w:r>
              <w:rPr>
                <w:sz w:val="17"/>
              </w:rPr>
              <w:t xml:space="preserve">CIEC - Compagnie Ivoirienne </w:t>
            </w:r>
          </w:p>
        </w:tc>
        <w:tc>
          <w:tcPr>
            <w:tcW w:type="dxa" w:w="1728"/>
            <w:shd w:fill="E2EFDA" w:val="clear"/>
          </w:tcPr>
          <w:p>
            <w:r>
              <w:rPr>
                <w:sz w:val="17"/>
              </w:rPr>
              <w:t>5,200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SIVC</w:t>
            </w:r>
          </w:p>
        </w:tc>
        <w:tc>
          <w:tcPr>
            <w:tcW w:type="dxa" w:w="1728"/>
            <w:shd w:fill="E2EFDA" w:val="clear"/>
          </w:tcPr>
          <w:p>
            <w:r>
              <w:rPr>
                <w:sz w:val="17"/>
              </w:rPr>
              <w:t>SIVC - ERIUM CI (Ex AIR LIQU</w:t>
            </w:r>
          </w:p>
        </w:tc>
        <w:tc>
          <w:tcPr>
            <w:tcW w:type="dxa" w:w="1728"/>
            <w:shd w:fill="E2EFDA" w:val="clear"/>
          </w:tcPr>
          <w:p>
            <w:r>
              <w:rPr>
                <w:sz w:val="17"/>
              </w:rPr>
              <w:t>1,700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8,725</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2,100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2,120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39,000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11,250</w:t>
            </w:r>
          </w:p>
        </w:tc>
        <w:tc>
          <w:tcPr>
            <w:tcW w:type="dxa" w:w="1728"/>
            <w:shd w:fill="FCE4D6" w:val="clear"/>
          </w:tcPr>
          <w:p>
            <w:r>
              <w:rPr>
                <w:sz w:val="17"/>
              </w:rPr>
              <w:t>82/100</w:t>
            </w:r>
          </w:p>
        </w:tc>
        <w:tc>
          <w:tcPr>
            <w:tcW w:type="dxa" w:w="1728"/>
            <w:shd w:fill="FCE4D6" w:val="clear"/>
          </w:tcPr>
          <w:p>
            <w:r>
              <w:rPr>
                <w:sz w:val="17"/>
              </w:rPr>
              <w:t>11.9%</w:t>
            </w:r>
          </w:p>
        </w:tc>
      </w:tr>
      <w:tr>
        <w:tc>
          <w:tcPr>
            <w:tcW w:type="dxa" w:w="1728"/>
            <w:shd w:fill="FCE4D6" w:val="clear"/>
          </w:tcPr>
          <w:p>
            <w:r>
              <w:rPr>
                <w:sz w:val="17"/>
              </w:rPr>
              <w:t>STBC</w:t>
            </w:r>
          </w:p>
        </w:tc>
        <w:tc>
          <w:tcPr>
            <w:tcW w:type="dxa" w:w="1728"/>
            <w:shd w:fill="FCE4D6" w:val="clear"/>
          </w:tcPr>
          <w:p>
            <w:r>
              <w:rPr>
                <w:sz w:val="17"/>
              </w:rPr>
              <w:t>STBC - SITAB COTE D'IVOIRE</w:t>
            </w:r>
          </w:p>
        </w:tc>
        <w:tc>
          <w:tcPr>
            <w:tcW w:type="dxa" w:w="1728"/>
            <w:shd w:fill="FCE4D6" w:val="clear"/>
          </w:tcPr>
          <w:p>
            <w:r>
              <w:rPr>
                <w:sz w:val="17"/>
              </w:rPr>
              <w:t>21,300</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CIEC</w:t>
            </w:r>
          </w:p>
        </w:tc>
        <w:tc>
          <w:tcPr>
            <w:tcW w:type="dxa" w:w="1728"/>
            <w:shd w:fill="FCE4D6" w:val="clear"/>
          </w:tcPr>
          <w:p>
            <w:r>
              <w:rPr>
                <w:sz w:val="17"/>
              </w:rPr>
              <w:t xml:space="preserve">CIEC - Compagnie Ivoirienne </w:t>
            </w:r>
          </w:p>
        </w:tc>
        <w:tc>
          <w:tcPr>
            <w:tcW w:type="dxa" w:w="1728"/>
            <w:shd w:fill="FCE4D6" w:val="clear"/>
          </w:tcPr>
          <w:p>
            <w:r>
              <w:rPr>
                <w:sz w:val="17"/>
              </w:rPr>
              <w:t>5,200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SIVC</w:t>
            </w:r>
          </w:p>
        </w:tc>
        <w:tc>
          <w:tcPr>
            <w:tcW w:type="dxa" w:w="1728"/>
            <w:shd w:fill="FCE4D6" w:val="clear"/>
          </w:tcPr>
          <w:p>
            <w:r>
              <w:rPr>
                <w:sz w:val="17"/>
              </w:rPr>
              <w:t>SIVC - ERIUM CI (Ex AIR LIQU</w:t>
            </w:r>
          </w:p>
        </w:tc>
        <w:tc>
          <w:tcPr>
            <w:tcW w:type="dxa" w:w="1728"/>
            <w:shd w:fill="FCE4D6" w:val="clear"/>
          </w:tcPr>
          <w:p>
            <w:r>
              <w:rPr>
                <w:sz w:val="17"/>
              </w:rPr>
              <w:t>1,700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8,725</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2,100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2,120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39,000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CABC — CABC - SICABLE COTE D'IVOIRE</w:t>
      </w:r>
    </w:p>
    <w:p>
      <w:pPr>
        <w:pStyle w:val="ListBullet"/>
        <w:spacing w:before="20"/>
        <w:ind w:left="400"/>
      </w:pPr>
      <w:r>
        <w:rPr>
          <w:sz w:val="18"/>
        </w:rPr>
        <w:t>🟢 RSI survente (18.3 &lt; 30) — opportunité potentielle</w:t>
      </w:r>
    </w:p>
    <w:p>
      <w:pPr>
        <w:pStyle w:val="ListBullet"/>
        <w:spacing w:before="20"/>
        <w:ind w:left="400"/>
      </w:pPr>
      <w:r>
        <w:rPr>
          <w:sz w:val="18"/>
        </w:rPr>
        <w:t>⚠️ Cours à 0.0% du plus bas 100j (2,995 FCFA)</w:t>
      </w:r>
    </w:p>
    <w:p>
      <w:pPr>
        <w:spacing w:before="120"/>
      </w:pPr>
      <w:r>
        <w:rPr>
          <w:b/>
          <w:color w:val="0050A0"/>
          <w:sz w:val="20"/>
        </w:rPr>
        <w:t>FTSC — FTSC - FILTISAC COTE D'IVOIRE</w:t>
      </w:r>
    </w:p>
    <w:p>
      <w:pPr>
        <w:pStyle w:val="ListBullet"/>
        <w:spacing w:before="20"/>
        <w:ind w:left="400"/>
      </w:pPr>
      <w:r>
        <w:rPr>
          <w:sz w:val="18"/>
        </w:rPr>
        <w:t>⚠️ Cours à 0.3% du plus bas 100j (1,800 FCFA)</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(28.6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survente (24.5 &lt; 30) — opportunité potentielle</w:t>
      </w:r>
    </w:p>
    <w:p>
      <w:pPr>
        <w:pStyle w:val="ListBullet"/>
        <w:spacing w:before="20"/>
        <w:ind w:left="400"/>
      </w:pPr>
      <w:r>
        <w:rPr>
          <w:sz w:val="18"/>
        </w:rPr>
        <w:t>⚠️ Cours à 0.0% du plus bas 100j (7,500 FCFA)</w:t>
      </w:r>
    </w:p>
    <w:p>
      <w:pPr>
        <w:spacing w:before="120"/>
      </w:pPr>
      <w:r>
        <w:rPr>
          <w:b/>
          <w:color w:val="0050A0"/>
          <w:sz w:val="20"/>
        </w:rPr>
        <w:t>SCRC — SCRC - SUCRIVOIRE</w:t>
      </w:r>
    </w:p>
    <w:p>
      <w:pPr>
        <w:pStyle w:val="ListBullet"/>
        <w:spacing w:before="20"/>
        <w:ind w:left="400"/>
      </w:pPr>
      <w:r>
        <w:rPr>
          <w:sz w:val="18"/>
        </w:rPr>
        <w:t>🟢 RSI survente (2.3 &lt; 30) — opportunité potentielle</w:t>
      </w:r>
    </w:p>
    <w:p>
      <w:pPr>
        <w:pStyle w:val="ListBullet"/>
        <w:spacing w:before="20"/>
        <w:ind w:left="400"/>
      </w:pPr>
      <w:r>
        <w:rPr>
          <w:sz w:val="18"/>
        </w:rPr>
        <w:t>⚠️ Cours à 0.0% du plus bas 100j (2,120 FCFA)</w:t>
      </w:r>
    </w:p>
    <w:p>
      <w:pPr>
        <w:spacing w:before="120"/>
      </w:pPr>
      <w:r>
        <w:rPr>
          <w:b/>
          <w:color w:val="0050A0"/>
          <w:sz w:val="20"/>
        </w:rPr>
        <w:t>SIVC — SIVC - ERIUM CI (Ex AIR LIQUIDECI)</w:t>
      </w:r>
    </w:p>
    <w:p>
      <w:pPr>
        <w:pStyle w:val="ListBullet"/>
        <w:spacing w:before="20"/>
        <w:ind w:left="400"/>
      </w:pPr>
      <w:r>
        <w:rPr>
          <w:sz w:val="18"/>
        </w:rPr>
        <w:t>🟢 RSI survente (6.0 &lt; 30) — opportunité potentielle</w:t>
      </w:r>
    </w:p>
    <w:p>
      <w:pPr>
        <w:pStyle w:val="ListBullet"/>
        <w:spacing w:before="20"/>
        <w:ind w:left="400"/>
      </w:pPr>
      <w:r>
        <w:rPr>
          <w:sz w:val="18"/>
        </w:rPr>
        <w:t>⚠️ Cours à 0.0% du plus bas 100j (1,700 FCFA)</w:t>
      </w:r>
    </w:p>
    <w:p>
      <w:pPr>
        <w:spacing w:before="120"/>
      </w:pPr>
      <w:r>
        <w:rPr>
          <w:b/>
          <w:color w:val="0050A0"/>
          <w:sz w:val="20"/>
        </w:rPr>
        <w:t>STAC — STAC - SETAO COTE D'IVOIRE</w:t>
      </w:r>
    </w:p>
    <w:p>
      <w:pPr>
        <w:pStyle w:val="ListBullet"/>
        <w:spacing w:before="20"/>
        <w:ind w:left="400"/>
      </w:pPr>
      <w:r>
        <w:rPr>
          <w:sz w:val="18"/>
        </w:rPr>
        <w:t>⚠️ Cours à 0.0% du plus bas 100j (1,895 FCFA)</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RSI survente (22.0 &lt; 30) — opportunité potentielle</w:t>
      </w:r>
    </w:p>
    <w:p>
      <w:pPr>
        <w:pStyle w:val="ListBullet"/>
        <w:spacing w:before="20"/>
        <w:ind w:left="400"/>
      </w:pPr>
      <w:r>
        <w:rPr>
          <w:sz w:val="18"/>
        </w:rPr>
        <w:t>⚠️ Cours à 1.9% du plus bas 100j (20,895 FCFA)</w:t>
      </w:r>
    </w:p>
    <w:p>
      <w:pPr>
        <w:spacing w:before="120"/>
      </w:pPr>
      <w:r>
        <w:rPr>
          <w:b/>
          <w:color w:val="0050A0"/>
          <w:sz w:val="20"/>
        </w:rPr>
        <w:t>UNLC — UNLC - UNILEVER COTE D'IVOIRE</w:t>
      </w:r>
    </w:p>
    <w:p>
      <w:pPr>
        <w:pStyle w:val="ListBullet"/>
        <w:spacing w:before="20"/>
        <w:ind w:left="400"/>
      </w:pPr>
      <w:r>
        <w:rPr>
          <w:sz w:val="18"/>
        </w:rPr>
        <w:t>⚠️ Cours à 1.6% du plus bas 100j (44,410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(6.1 &lt; 30) — opportunité potentielle</w:t>
      </w:r>
    </w:p>
    <w:p>
      <w:pPr>
        <w:spacing w:before="120"/>
      </w:pPr>
      <w:r>
        <w:rPr>
          <w:b/>
          <w:color w:val="0050A0"/>
          <w:sz w:val="20"/>
        </w:rPr>
        <w:t>BICB — BIIC BN - Banque internationale pour le commerce du benin</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survente (23.0 &lt; 30) — opportunité potentielle</w:t>
      </w:r>
    </w:p>
    <w:p>
      <w:pPr>
        <w:spacing w:before="120"/>
      </w:pPr>
      <w:r>
        <w:rPr>
          <w:b/>
          <w:color w:val="0050A0"/>
          <w:sz w:val="20"/>
        </w:rPr>
        <w:t>BOAC — BANK OF AFRICA COTE D'IVOIRE</w:t>
      </w:r>
    </w:p>
    <w:p>
      <w:pPr>
        <w:pStyle w:val="ListBullet"/>
        <w:spacing w:before="20"/>
        <w:ind w:left="400"/>
      </w:pPr>
      <w:r>
        <w:rPr>
          <w:sz w:val="18"/>
        </w:rPr>
        <w:t>🟢 RSI survente (27.3 &lt; 30) — opportunité potentielle</w:t>
      </w:r>
    </w:p>
    <w:p>
      <w:pPr>
        <w:spacing w:before="120"/>
      </w:pPr>
      <w:r>
        <w:rPr>
          <w:b/>
          <w:color w:val="0050A0"/>
          <w:sz w:val="20"/>
        </w:rPr>
        <w:t>BOAM — BANK OF AFRICA MALI</w:t>
      </w:r>
    </w:p>
    <w:p>
      <w:pPr>
        <w:pStyle w:val="ListBullet"/>
        <w:spacing w:before="20"/>
        <w:ind w:left="400"/>
      </w:pPr>
      <w:r>
        <w:rPr>
          <w:sz w:val="18"/>
        </w:rPr>
        <w:t>🟢 RSI survente (26.0 &lt; 30) — opportunité potentielle</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fond(NEUTRE) — recommandation ajustée à CONSERVER ⚠️</w:t>
      </w:r>
    </w:p>
    <w:p>
      <w:pPr>
        <w:spacing w:before="120"/>
      </w:pPr>
      <w:r>
        <w:rPr>
          <w:b/>
          <w:color w:val="0050A0"/>
          <w:sz w:val="20"/>
        </w:rPr>
        <w:t>CIEC — CIEC - Compagnie Ivoirienne d'Electricité</w:t>
      </w:r>
    </w:p>
    <w:p>
      <w:pPr>
        <w:pStyle w:val="ListBullet"/>
        <w:spacing w:before="20"/>
        <w:ind w:left="400"/>
      </w:pPr>
      <w:r>
        <w:rPr>
          <w:sz w:val="18"/>
        </w:rPr>
        <w:t>🟢 RSI survente (17.9 &lt; 30) — opportunité potentielle</w:t>
      </w:r>
    </w:p>
    <w:p>
      <w:pPr>
        <w:spacing w:before="120"/>
      </w:pPr>
      <w:r>
        <w:rPr>
          <w:b/>
          <w:color w:val="0050A0"/>
          <w:sz w:val="20"/>
        </w:rPr>
        <w:t>ECOC — ECOC - ECOBANK COTE D'IVOIRE</w:t>
      </w:r>
    </w:p>
    <w:p>
      <w:pPr>
        <w:pStyle w:val="ListBullet"/>
        <w:spacing w:before="20"/>
        <w:ind w:left="400"/>
      </w:pPr>
      <w:r>
        <w:rPr>
          <w:sz w:val="18"/>
        </w:rPr>
        <w:t>🟠 Divergence tech(VENTE) / fond(ACHAT) — recommandation ajustée à ACHAT</w:t>
      </w:r>
    </w:p>
    <w:p>
      <w:pPr>
        <w:spacing w:before="120"/>
      </w:pPr>
      <w:r>
        <w:rPr>
          <w:b/>
          <w:color w:val="0050A0"/>
          <w:sz w:val="20"/>
        </w:rPr>
        <w:t>ETIT — ETIT - Ecobank Transnational Incorporated Togo</w:t>
      </w:r>
    </w:p>
    <w:p>
      <w:pPr>
        <w:pStyle w:val="ListBullet"/>
        <w:spacing w:before="20"/>
        <w:ind w:left="400"/>
      </w:pPr>
      <w:r>
        <w:rPr>
          <w:sz w:val="18"/>
        </w:rPr>
        <w:t>🟠 Divergence tech(VENTE) / fond(ACHAT) — recommandation ajustée à ACHAT</w:t>
      </w:r>
    </w:p>
    <w:p>
      <w:pPr>
        <w:spacing w:before="120"/>
      </w:pPr>
      <w:r>
        <w:rPr>
          <w:b/>
          <w:color w:val="0050A0"/>
          <w:sz w:val="20"/>
        </w:rPr>
        <w:t>NSBC — NSBC - NSIA BANQUE COTE D'IVOIRE</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Divergence tech(VENTE) / fond(ACHAT) — recommandation ajustée à ACHAT</w:t>
      </w:r>
    </w:p>
    <w:p>
      <w:pPr>
        <w:spacing w:before="120"/>
      </w:pPr>
      <w:r>
        <w:rPr>
          <w:b/>
          <w:color w:val="0050A0"/>
          <w:sz w:val="20"/>
        </w:rPr>
        <w:t>ONTBF — ONTBF - ONATEL BURKINA FASO</w:t>
      </w:r>
    </w:p>
    <w:p>
      <w:pPr>
        <w:pStyle w:val="ListBullet"/>
        <w:spacing w:before="20"/>
        <w:ind w:left="400"/>
      </w:pPr>
      <w:r>
        <w:rPr>
          <w:sz w:val="18"/>
        </w:rPr>
        <w:t>⚠️ Cours à 0.0% du plus haut 100j (3,115 FCFA)</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RSI survente (19.6 &lt; 30) — opportunité potentielle</w:t>
      </w:r>
    </w:p>
    <w:p>
      <w:pPr>
        <w:spacing w:before="120"/>
      </w:pPr>
      <w:r>
        <w:rPr>
          <w:b/>
          <w:color w:val="0050A0"/>
          <w:sz w:val="20"/>
        </w:rPr>
        <w:t>SDCC — SDCC - Société de Distribution d'Eau de Côte d'Ivoire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SHEC — SHEC - VIVO ENERGY COTE D'IVOIRE</w:t>
      </w:r>
    </w:p>
    <w:p>
      <w:pPr>
        <w:pStyle w:val="ListBullet"/>
        <w:spacing w:before="20"/>
        <w:ind w:left="400"/>
      </w:pPr>
      <w:r>
        <w:rPr>
          <w:sz w:val="18"/>
        </w:rPr>
        <w:t>🟢 RSI survente (16.7 &lt; 30) — opportunité potentielle</w:t>
      </w:r>
    </w:p>
    <w:p>
      <w:pPr>
        <w:spacing w:before="120"/>
      </w:pPr>
      <w:r>
        <w:rPr>
          <w:b/>
          <w:color w:val="0050A0"/>
          <w:sz w:val="20"/>
        </w:rPr>
        <w:t>SIBC — SIBC - SOCIETE IVOIRIENNE DE BANQUE</w:t>
      </w:r>
    </w:p>
    <w:p>
      <w:pPr>
        <w:pStyle w:val="ListBullet"/>
        <w:spacing w:before="20"/>
        <w:ind w:left="400"/>
      </w:pPr>
      <w:r>
        <w:rPr>
          <w:sz w:val="18"/>
        </w:rPr>
        <w:t>🟢 RSI survente (27.5 &lt; 30) — opportunité potentielle</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Divergence tech(VENTE) / fond(ACHAT) — recommandation ajustée à ACHAT</w:t>
      </w:r>
    </w:p>
    <w:p>
      <w:pPr>
        <w:spacing w:before="120"/>
      </w:pPr>
      <w:r>
        <w:rPr>
          <w:b/>
          <w:color w:val="0050A0"/>
          <w:sz w:val="20"/>
        </w:rPr>
        <w:t>TTLS — TTLS - TOTAL ENERGIES MARKETING SENEGAL</w:t>
      </w:r>
    </w:p>
    <w:p>
      <w:pPr>
        <w:pStyle w:val="ListBullet"/>
        <w:spacing w:before="20"/>
        <w:ind w:left="400"/>
      </w:pPr>
      <w:r>
        <w:rPr>
          <w:sz w:val="18"/>
        </w:rPr>
        <w:t>⚠️ Cours à 3.0% du plus bas 100j (3,350 FCFA)</w:t>
      </w:r>
    </w:p>
    <w:p>
      <w:pPr>
        <w:spacing w:before="120"/>
      </w:pPr>
      <w:r>
        <w:rPr>
          <w:b/>
          <w:color w:val="0050A0"/>
          <w:sz w:val="20"/>
        </w:rPr>
        <w:t>UNXC — UNXC - UNIWAX COTE D'IVOIRE</w:t>
      </w:r>
    </w:p>
    <w:p>
      <w:pPr>
        <w:pStyle w:val="ListBullet"/>
        <w:spacing w:before="20"/>
        <w:ind w:left="400"/>
      </w:pPr>
      <w:r>
        <w:rPr>
          <w:sz w:val="18"/>
        </w:rPr>
        <w:t>🟢 RSI survente (13.7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29 société(s) (60%)</w:t>
            </w:r>
          </w:p>
        </w:tc>
        <w:tc>
          <w:tcPr>
            <w:tcW w:type="dxa" w:w="1644"/>
            <w:shd w:fill="FFEB9C" w:val="clear"/>
          </w:tcPr>
          <w:p>
            <w:r>
              <w:rPr>
                <w:b/>
                <w:color w:val="825A00"/>
                <w:sz w:val="19"/>
              </w:rPr>
              <w:t>19 société(s) (40%)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19.3/100</w:t>
            </w:r>
          </w:p>
        </w:tc>
        <w:tc>
          <w:tcPr>
            <w:tcW w:type="dxa" w:w="1644"/>
            <w:shd w:fill="DEEAF1" w:val="clear"/>
          </w:tcPr>
          <w:p>
            <w:r>
              <w:rPr>
                <w:b/>
                <w:color w:val="000000"/>
                <w:sz w:val="19"/>
              </w:rPr>
              <w:t>19.1/100</w:t>
            </w:r>
          </w:p>
        </w:tc>
      </w:tr>
    </w:tbl>
    <w:p/>
    <w:p>
      <w:r>
        <w:rPr>
          <w:i/>
          <w:color w:val="006400"/>
          <w:sz w:val="18"/>
        </w:rPr>
        <w:t>✅ Le marché BRVM présente globalement un profil de risque FAIBLE (score moyen 19.3/100).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34.2/100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STAC</w:t>
            </w:r>
          </w:p>
        </w:tc>
        <w:tc>
          <w:tcPr>
            <w:tcW w:type="dxa" w:w="2268"/>
            <w:shd w:fill="FFFFFF" w:val="clear"/>
          </w:tcPr>
          <w:p>
            <w:r>
              <w:rPr>
                <w:sz w:val="16"/>
              </w:rPr>
              <w:t>STAC - SETAO COTE D'IVOIRE</w:t>
            </w:r>
          </w:p>
        </w:tc>
        <w:tc>
          <w:tcPr>
            <w:tcW w:type="dxa" w:w="1701"/>
            <w:shd w:fill="FFFFFF" w:val="clear"/>
          </w:tcPr>
          <w:p>
            <w:r>
              <w:rPr>
                <w:sz w:val="16"/>
              </w:rPr>
              <w:t>INDUSTRIELS</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FFEB9C" w:val="clear"/>
          </w:tcPr>
          <w:p>
            <w:r>
              <w:rPr>
                <w:b/>
                <w:color w:val="B40000"/>
                <w:sz w:val="16"/>
              </w:rPr>
              <w:t>29.3/100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BOABF</w:t>
            </w:r>
          </w:p>
        </w:tc>
        <w:tc>
          <w:tcPr>
            <w:tcW w:type="dxa" w:w="2268"/>
            <w:shd w:fill="FFFFFF" w:val="clear"/>
          </w:tcPr>
          <w:p>
            <w:r>
              <w:rPr>
                <w:sz w:val="16"/>
              </w:rPr>
              <w:t>BANK OF AFRICA BURKINA FASO</w:t>
            </w:r>
          </w:p>
        </w:tc>
        <w:tc>
          <w:tcPr>
            <w:tcW w:type="dxa" w:w="1701"/>
            <w:shd w:fill="FFFFFF" w:val="clear"/>
          </w:tcPr>
          <w:p>
            <w:r>
              <w:rPr>
                <w:sz w:val="16"/>
              </w:rPr>
              <w:t>SERVICES FINANCIER</w:t>
            </w:r>
          </w:p>
        </w:tc>
        <w:tc>
          <w:tcPr>
            <w:tcW w:type="dxa" w:w="1020"/>
            <w:shd w:fill="FFEB9C" w:val="clear"/>
          </w:tcPr>
          <w:p>
            <w:r>
              <w:rPr>
                <w:b/>
                <w:color w:val="B40000"/>
                <w:sz w:val="16"/>
              </w:rPr>
              <w:t>28.1/100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(34.2/100 — Moyen) : </w:t>
      </w:r>
      <w:r>
        <w:rPr>
          <w:sz w:val="17"/>
        </w:rPr>
        <w:t>Volatilité=Élevée | Bêta=Contre-cyclique | Liquidité=Faible | Divergence signaux=taux divergence=0% (Convergent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STAC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#4 SNTS (29.3/100 — Moyen) : </w:t>
      </w:r>
      <w:r>
        <w:rPr>
          <w:sz w:val="17"/>
        </w:rPr>
        <w:t>Volatilité=Élevée | Bêta=Agressif | Liquidité=Excellente | Divergence signaux=taux divergence=20% (Mixte ⚠️) | Stabilité=Stable</w:t>
      </w:r>
    </w:p>
    <w:p>
      <w:pPr>
        <w:pStyle w:val="ListBullet"/>
      </w:pPr>
      <w:r>
        <w:rPr>
          <w:b/>
          <w:color w:val="B40000"/>
          <w:sz w:val="18"/>
        </w:rPr>
        <w:t xml:space="preserve">#5 BOABF (28.1/100 — Moyen) : </w:t>
      </w:r>
      <w:r>
        <w:rPr>
          <w:sz w:val="17"/>
        </w:rPr>
        <w:t>Volatilité=Élevée | Bêta=Défensif | Liquidité=Bonne | Divergence signaux=taux divergence=40% (Très divergent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11.1/100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34.2</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29.3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25.6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FFEB9C" w:val="clear"/>
          </w:tcPr>
          <w:p>
            <w:r>
              <w:rPr>
                <w:b/>
                <w:color w:val="825A00"/>
                <w:sz w:val="15"/>
              </w:rPr>
              <w:t>25.2</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18.6</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13.8</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11.1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6400"/>
                <w:sz w:val="18"/>
              </w:rPr>
              <w:t>🟡 LÉGÈREMENT HAUSSIER</w:t>
            </w:r>
          </w:p>
        </w:tc>
      </w:tr>
      <w:tr>
        <w:tc>
          <w:tcPr>
            <w:tcW w:type="dxa" w:w="2835"/>
            <w:shd w:fill="DEEAF1" w:val="clear"/>
          </w:tcPr>
          <w:p>
            <w:r>
              <w:rPr>
                <w:b/>
                <w:sz w:val="18"/>
              </w:rPr>
              <w:t>Variation moyenne J+10</w:t>
            </w:r>
          </w:p>
        </w:tc>
        <w:tc>
          <w:tcPr>
            <w:tcW w:type="dxa" w:w="7370"/>
          </w:tcPr>
          <w:p>
            <w:r>
              <w:rPr>
                <w:b/>
                <w:sz w:val="18"/>
              </w:rPr>
              <w:t>+1.13%  |  Médiane : -0.03%</w:t>
            </w:r>
          </w:p>
        </w:tc>
      </w:tr>
      <w:tr>
        <w:tc>
          <w:tcPr>
            <w:tcW w:type="dxa" w:w="2835"/>
            <w:shd w:fill="DEEAF1" w:val="clear"/>
          </w:tcPr>
          <w:p>
            <w:r>
              <w:rPr>
                <w:b/>
                <w:sz w:val="18"/>
              </w:rPr>
              <w:t>Répartition</w:t>
            </w:r>
          </w:p>
        </w:tc>
        <w:tc>
          <w:tcPr>
            <w:tcW w:type="dxa" w:w="7370"/>
          </w:tcPr>
          <w:p>
            <w:r>
              <w:rPr>
                <w:b/>
                <w:sz w:val="18"/>
              </w:rPr>
              <w:t>📈 20 sociétés en hausse (&gt;+1%)   📉 19 en baisse (&lt;-1%)   ➡️ 6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Légère tendance haussière mais signal mixte : 20 sociétés en hausse vs 19 en baisse. Variation moyenne : +1.13%.</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2,120 FCFA</w:t>
            </w:r>
          </w:p>
        </w:tc>
        <w:tc>
          <w:tcPr>
            <w:tcW w:type="dxa" w:w="1417"/>
            <w:shd w:fill="FFFFFF" w:val="clear"/>
          </w:tcPr>
          <w:p>
            <w:r>
              <w:rPr>
                <w:sz w:val="16"/>
              </w:rPr>
              <w:t>2,989 FCFA</w:t>
            </w:r>
          </w:p>
        </w:tc>
        <w:tc>
          <w:tcPr>
            <w:tcW w:type="dxa" w:w="1134"/>
            <w:shd w:fill="C6EFCE" w:val="clear"/>
          </w:tcPr>
          <w:p>
            <w:r>
              <w:rPr>
                <w:b/>
                <w:color w:val="007800"/>
                <w:sz w:val="16"/>
              </w:rPr>
              <w:t>+40.99%</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21,300 FCFA</w:t>
            </w:r>
          </w:p>
        </w:tc>
        <w:tc>
          <w:tcPr>
            <w:tcW w:type="dxa" w:w="1417"/>
            <w:shd w:fill="FFFFFF" w:val="clear"/>
          </w:tcPr>
          <w:p>
            <w:r>
              <w:rPr>
                <w:sz w:val="16"/>
              </w:rPr>
              <w:t>24,710 FCFA</w:t>
            </w:r>
          </w:p>
        </w:tc>
        <w:tc>
          <w:tcPr>
            <w:tcW w:type="dxa" w:w="1134"/>
            <w:shd w:fill="C6EFCE" w:val="clear"/>
          </w:tcPr>
          <w:p>
            <w:r>
              <w:rPr>
                <w:b/>
                <w:color w:val="007800"/>
                <w:sz w:val="16"/>
              </w:rPr>
              <w:t>+16.01%</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5,200 FCFA</w:t>
            </w:r>
          </w:p>
        </w:tc>
        <w:tc>
          <w:tcPr>
            <w:tcW w:type="dxa" w:w="1417"/>
            <w:shd w:fill="FFFFFF" w:val="clear"/>
          </w:tcPr>
          <w:p>
            <w:r>
              <w:rPr>
                <w:sz w:val="16"/>
              </w:rPr>
              <w:t>5,980 FCFA</w:t>
            </w:r>
          </w:p>
        </w:tc>
        <w:tc>
          <w:tcPr>
            <w:tcW w:type="dxa" w:w="1134"/>
            <w:shd w:fill="C6EFCE" w:val="clear"/>
          </w:tcPr>
          <w:p>
            <w:r>
              <w:rPr>
                <w:b/>
                <w:color w:val="007800"/>
                <w:sz w:val="16"/>
              </w:rPr>
              <w:t>+15.01%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8,460 FCFA</w:t>
            </w:r>
          </w:p>
        </w:tc>
        <w:tc>
          <w:tcPr>
            <w:tcW w:type="dxa" w:w="1417"/>
            <w:shd w:fill="FFFFFF" w:val="clear"/>
          </w:tcPr>
          <w:p>
            <w:r>
              <w:rPr>
                <w:sz w:val="16"/>
              </w:rPr>
              <w:t>9,302 FCFA</w:t>
            </w:r>
          </w:p>
        </w:tc>
        <w:tc>
          <w:tcPr>
            <w:tcW w:type="dxa" w:w="1134"/>
            <w:shd w:fill="C6EFCE" w:val="clear"/>
          </w:tcPr>
          <w:p>
            <w:r>
              <w:rPr>
                <w:b/>
                <w:color w:val="007800"/>
                <w:sz w:val="16"/>
              </w:rPr>
              <w:t>+9.95%</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12,010 FCFA</w:t>
            </w:r>
          </w:p>
        </w:tc>
        <w:tc>
          <w:tcPr>
            <w:tcW w:type="dxa" w:w="1417"/>
            <w:shd w:fill="FFFFFF" w:val="clear"/>
          </w:tcPr>
          <w:p>
            <w:r>
              <w:rPr>
                <w:sz w:val="16"/>
              </w:rPr>
              <w:t>12,946 FCFA</w:t>
            </w:r>
          </w:p>
        </w:tc>
        <w:tc>
          <w:tcPr>
            <w:tcW w:type="dxa" w:w="1134"/>
            <w:shd w:fill="C6EFCE" w:val="clear"/>
          </w:tcPr>
          <w:p>
            <w:r>
              <w:rPr>
                <w:b/>
                <w:color w:val="007800"/>
                <w:sz w:val="16"/>
              </w:rPr>
              <w:t>+7.80%</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(+41.0%) — signal potentiellement excessif, à croiser avec l'analyse technique. Trajectoire : 📈 Hausse continue. Cours actuel : 2,120 FCFA → prédit J+10 : 2,989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(+16.0%) — potentiel de revalorisation notable. Trajectoire : 📈 Hausse continue. Cours actuel : 21,300 FCFA → prédit J+10 : 24,710 FCFA. ⚠️ Confiance limitée — volatilité élevée ou données insuffisantes. Résultat indicatif uniquement.</w:t>
      </w:r>
    </w:p>
    <w:p>
      <w:pPr>
        <w:pStyle w:val="ListBullet"/>
      </w:pPr>
      <w:r>
        <w:rPr>
          <w:b/>
          <w:color w:val="006400"/>
          <w:sz w:val="18"/>
        </w:rPr>
        <w:t xml:space="preserve">#3 CIEC </w:t>
      </w:r>
      <w:r>
        <w:rPr>
          <w:sz w:val="17"/>
        </w:rPr>
        <w:t>(CIEC - Compagnie Ivoirienne d'Electricit) — hausse significative (+15.0%) — potentiel de revalorisation notable. Trajectoire : 📈 Hausse continue. Cours actuel : 5,200 FCFA → prédit J+10 : 5,980 FCFA. ⚠️ Confiance limitée — volatilité élevée ou données insuffisantes. Résultat indicatif uniquement.</w:t>
      </w:r>
    </w:p>
    <w:p>
      <w:pPr>
        <w:pStyle w:val="ListBullet"/>
      </w:pPr>
      <w:r>
        <w:rPr>
          <w:b/>
          <w:color w:val="006400"/>
          <w:sz w:val="18"/>
        </w:rPr>
        <w:t xml:space="preserve">#4 BICB </w:t>
      </w:r>
      <w:r>
        <w:rPr>
          <w:sz w:val="17"/>
        </w:rPr>
        <w:t>(BIIC BN - Banque internationale pour le ) — hausse modérée (+10.0%) — signal raisonnable et crédible. Trajectoire : 📈 Hausse continue. Cours actuel : 8,460 FCFA → prédit J+10 : 9,302 FCFA. ⚠️ Confiance limitée — volatilité élevée ou données insuffisantes. Résultat indicatif uniquement.</w:t>
      </w:r>
    </w:p>
    <w:p>
      <w:pPr>
        <w:pStyle w:val="ListBullet"/>
      </w:pPr>
      <w:r>
        <w:rPr>
          <w:b/>
          <w:color w:val="006400"/>
          <w:sz w:val="18"/>
        </w:rPr>
        <w:t xml:space="preserve">#5 SDCC </w:t>
      </w:r>
      <w:r>
        <w:rPr>
          <w:sz w:val="17"/>
        </w:rPr>
        <w:t>(SDCC - Société de Distribution d'Eau de ) — hausse modérée (+7.8%) — signal raisonnable et crédible. Trajectoire : 📈 Hausse continue. Cours actuel : 12,010 FCFA → prédit J+10 : 12,946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8,000 FCFA</w:t>
            </w:r>
          </w:p>
        </w:tc>
        <w:tc>
          <w:tcPr>
            <w:tcW w:type="dxa" w:w="1417"/>
            <w:shd w:fill="FFFFFF" w:val="clear"/>
          </w:tcPr>
          <w:p>
            <w:r>
              <w:rPr>
                <w:sz w:val="16"/>
              </w:rPr>
              <w:t>7,043 FCFA</w:t>
            </w:r>
          </w:p>
        </w:tc>
        <w:tc>
          <w:tcPr>
            <w:tcW w:type="dxa" w:w="1134"/>
            <w:shd w:fill="FFC7CE" w:val="clear"/>
          </w:tcPr>
          <w:p>
            <w:r>
              <w:rPr>
                <w:b/>
                <w:color w:val="B40000"/>
                <w:sz w:val="16"/>
              </w:rPr>
              <w:t>-11.96%</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21,000 FCFA</w:t>
            </w:r>
          </w:p>
        </w:tc>
        <w:tc>
          <w:tcPr>
            <w:tcW w:type="dxa" w:w="1417"/>
            <w:shd w:fill="FFFFFF" w:val="clear"/>
          </w:tcPr>
          <w:p>
            <w:r>
              <w:rPr>
                <w:sz w:val="16"/>
              </w:rPr>
              <w:t>18,666 FCFA</w:t>
            </w:r>
          </w:p>
        </w:tc>
        <w:tc>
          <w:tcPr>
            <w:tcW w:type="dxa" w:w="1134"/>
            <w:shd w:fill="FFC7CE" w:val="clear"/>
          </w:tcPr>
          <w:p>
            <w:r>
              <w:rPr>
                <w:b/>
                <w:color w:val="B40000"/>
                <w:sz w:val="16"/>
              </w:rPr>
              <w:t>-11.11%</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31,000 FCFA</w:t>
            </w:r>
          </w:p>
        </w:tc>
        <w:tc>
          <w:tcPr>
            <w:tcW w:type="dxa" w:w="1417"/>
            <w:shd w:fill="FFFFFF" w:val="clear"/>
          </w:tcPr>
          <w:p>
            <w:r>
              <w:rPr>
                <w:sz w:val="16"/>
              </w:rPr>
              <w:t>28,702 FCFA</w:t>
            </w:r>
          </w:p>
        </w:tc>
        <w:tc>
          <w:tcPr>
            <w:tcW w:type="dxa" w:w="1134"/>
            <w:shd w:fill="FFC7CE" w:val="clear"/>
          </w:tcPr>
          <w:p>
            <w:r>
              <w:rPr>
                <w:b/>
                <w:color w:val="B40000"/>
                <w:sz w:val="16"/>
              </w:rPr>
              <w:t>-7.41%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5,700 FCFA</w:t>
            </w:r>
          </w:p>
        </w:tc>
        <w:tc>
          <w:tcPr>
            <w:tcW w:type="dxa" w:w="1417"/>
            <w:shd w:fill="FFFFFF" w:val="clear"/>
          </w:tcPr>
          <w:p>
            <w:r>
              <w:rPr>
                <w:sz w:val="16"/>
              </w:rPr>
              <w:t>5,283 FCFA</w:t>
            </w:r>
          </w:p>
        </w:tc>
        <w:tc>
          <w:tcPr>
            <w:tcW w:type="dxa" w:w="1134"/>
            <w:shd w:fill="FFC7CE" w:val="clear"/>
          </w:tcPr>
          <w:p>
            <w:r>
              <w:rPr>
                <w:b/>
                <w:color w:val="B40000"/>
                <w:sz w:val="16"/>
              </w:rPr>
              <w:t>-7.32%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1,805 FCFA</w:t>
            </w:r>
          </w:p>
        </w:tc>
        <w:tc>
          <w:tcPr>
            <w:tcW w:type="dxa" w:w="1417"/>
            <w:shd w:fill="FFFFFF" w:val="clear"/>
          </w:tcPr>
          <w:p>
            <w:r>
              <w:rPr>
                <w:sz w:val="16"/>
              </w:rPr>
              <w:t>1,692 FCFA</w:t>
            </w:r>
          </w:p>
        </w:tc>
        <w:tc>
          <w:tcPr>
            <w:tcW w:type="dxa" w:w="1134"/>
            <w:shd w:fill="FFC7CE" w:val="clear"/>
          </w:tcPr>
          <w:p>
            <w:r>
              <w:rPr>
                <w:b/>
                <w:color w:val="B40000"/>
                <w:sz w:val="16"/>
              </w:rPr>
              <w:t>-6.27%</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(-12.0%) — repli technique attendu. Trajectoire : 📉 Baisse continue. Cours actuel : 8,000 FCFA → prédit J+10 : 7,043 FCFA. Confiance partielle — surveiller l'évolution réelle des premiers jours.</w:t>
      </w:r>
    </w:p>
    <w:p>
      <w:pPr>
        <w:pStyle w:val="ListBullet"/>
      </w:pPr>
      <w:r>
        <w:rPr>
          <w:b/>
          <w:color w:val="B40000"/>
          <w:sz w:val="18"/>
        </w:rPr>
        <w:t xml:space="preserve">#2 NSBC </w:t>
      </w:r>
      <w:r>
        <w:rPr>
          <w:sz w:val="17"/>
        </w:rPr>
        <w:t>(NSBC - NSIA BANQUE COTE D'IVOIRE) — baisse modérée (-11.1%) — repli technique attendu. Trajectoire : 📉 Baisse continue. Cours actuel : 21,000 FCFA → prédit J+10 : 18,666 FCFA. ⚠️ Confiance limitée — volatilité élevée. Ne pas agir sur ce seul signal.</w:t>
      </w:r>
    </w:p>
    <w:p>
      <w:pPr>
        <w:pStyle w:val="ListBullet"/>
      </w:pPr>
      <w:r>
        <w:rPr>
          <w:b/>
          <w:color w:val="B40000"/>
          <w:sz w:val="18"/>
        </w:rPr>
        <w:t xml:space="preserve">#3 CBIBF </w:t>
      </w:r>
      <w:r>
        <w:rPr>
          <w:sz w:val="17"/>
        </w:rPr>
        <w:t>(CBIBF - CORIS BANK INTERNATIONAL BURKINA) — baisse modérée (-7.4%) — repli technique attendu. Trajectoire : 📉 Baisse continue. Cours actuel : 31,000 FCFA → prédit J+10 : 28,702 FCFA. ⚠️ Confiance limitée — volatilité élevée. Ne pas agir sur ce seul signal.</w:t>
      </w:r>
    </w:p>
    <w:p>
      <w:pPr>
        <w:pStyle w:val="ListBullet"/>
      </w:pPr>
      <w:r>
        <w:rPr>
          <w:b/>
          <w:color w:val="B40000"/>
          <w:sz w:val="18"/>
        </w:rPr>
        <w:t xml:space="preserve">#4 BOAM </w:t>
      </w:r>
      <w:r>
        <w:rPr>
          <w:sz w:val="17"/>
        </w:rPr>
        <w:t>(BANK OF AFRICA MALI) — baisse modérée (-7.3%) — repli technique attendu. Trajectoire : 📉 Baisse continue. Cours actuel : 5,700 FCFA → prédit J+10 : 5,283 FCFA. ⚠️ Confiance limitée — volatilité élevée. Ne pas agir sur ce seul signal.</w:t>
      </w:r>
    </w:p>
    <w:p>
      <w:pPr>
        <w:pStyle w:val="ListBullet"/>
      </w:pPr>
      <w:r>
        <w:rPr>
          <w:b/>
          <w:color w:val="B40000"/>
          <w:sz w:val="18"/>
        </w:rPr>
        <w:t xml:space="preserve">#5 FTSC </w:t>
      </w:r>
      <w:r>
        <w:rPr>
          <w:sz w:val="17"/>
        </w:rPr>
        <w:t>(FTSC - FILTISAC COTE D'IVOIRE) — baisse modérée (-6.3%) — repli technique attendu. Trajectoire : 📉 Baisse continue. Cours actuel : 1,805 FCFA → prédit J+10 : 1,692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2,120</w:t>
            </w:r>
          </w:p>
        </w:tc>
        <w:tc>
          <w:tcPr>
            <w:tcW w:type="dxa" w:w="1417"/>
            <w:shd w:fill="FFFFFF" w:val="clear"/>
          </w:tcPr>
          <w:p>
            <w:r>
              <w:rPr>
                <w:sz w:val="16"/>
              </w:rPr>
              <w:t>2,989</w:t>
            </w:r>
          </w:p>
        </w:tc>
        <w:tc>
          <w:tcPr>
            <w:tcW w:type="dxa" w:w="1134"/>
            <w:shd w:fill="C6EFCE" w:val="clear"/>
          </w:tcPr>
          <w:p>
            <w:r>
              <w:rPr>
                <w:b/>
                <w:color w:val="007800"/>
                <w:sz w:val="16"/>
              </w:rPr>
              <w:t>+40.99%</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21,300</w:t>
            </w:r>
          </w:p>
        </w:tc>
        <w:tc>
          <w:tcPr>
            <w:tcW w:type="dxa" w:w="1417"/>
            <w:shd w:fill="FFFFFF" w:val="clear"/>
          </w:tcPr>
          <w:p>
            <w:r>
              <w:rPr>
                <w:sz w:val="16"/>
              </w:rPr>
              <w:t>24,710</w:t>
            </w:r>
          </w:p>
        </w:tc>
        <w:tc>
          <w:tcPr>
            <w:tcW w:type="dxa" w:w="1134"/>
            <w:shd w:fill="C6EFCE" w:val="clear"/>
          </w:tcPr>
          <w:p>
            <w:r>
              <w:rPr>
                <w:b/>
                <w:color w:val="007800"/>
                <w:sz w:val="16"/>
              </w:rPr>
              <w:t>+16.01%</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5,200</w:t>
            </w:r>
          </w:p>
        </w:tc>
        <w:tc>
          <w:tcPr>
            <w:tcW w:type="dxa" w:w="1417"/>
            <w:shd w:fill="FFFFFF" w:val="clear"/>
          </w:tcPr>
          <w:p>
            <w:r>
              <w:rPr>
                <w:sz w:val="16"/>
              </w:rPr>
              <w:t>5,980</w:t>
            </w:r>
          </w:p>
        </w:tc>
        <w:tc>
          <w:tcPr>
            <w:tcW w:type="dxa" w:w="1134"/>
            <w:shd w:fill="C6EFCE" w:val="clear"/>
          </w:tcPr>
          <w:p>
            <w:r>
              <w:rPr>
                <w:b/>
                <w:color w:val="007800"/>
                <w:sz w:val="16"/>
              </w:rPr>
              <w:t>+15.01%</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8,460</w:t>
            </w:r>
          </w:p>
        </w:tc>
        <w:tc>
          <w:tcPr>
            <w:tcW w:type="dxa" w:w="1417"/>
            <w:shd w:fill="FFFFFF" w:val="clear"/>
          </w:tcPr>
          <w:p>
            <w:r>
              <w:rPr>
                <w:sz w:val="16"/>
              </w:rPr>
              <w:t>9,302</w:t>
            </w:r>
          </w:p>
        </w:tc>
        <w:tc>
          <w:tcPr>
            <w:tcW w:type="dxa" w:w="1134"/>
            <w:shd w:fill="C6EFCE" w:val="clear"/>
          </w:tcPr>
          <w:p>
            <w:r>
              <w:rPr>
                <w:b/>
                <w:color w:val="007800"/>
                <w:sz w:val="16"/>
              </w:rPr>
              <w:t>+9.95%</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12,010</w:t>
            </w:r>
          </w:p>
        </w:tc>
        <w:tc>
          <w:tcPr>
            <w:tcW w:type="dxa" w:w="1417"/>
            <w:shd w:fill="FFFFFF" w:val="clear"/>
          </w:tcPr>
          <w:p>
            <w:r>
              <w:rPr>
                <w:sz w:val="16"/>
              </w:rPr>
              <w:t>12,946</w:t>
            </w:r>
          </w:p>
        </w:tc>
        <w:tc>
          <w:tcPr>
            <w:tcW w:type="dxa" w:w="1134"/>
            <w:shd w:fill="C6EFCE" w:val="clear"/>
          </w:tcPr>
          <w:p>
            <w:r>
              <w:rPr>
                <w:b/>
                <w:color w:val="007800"/>
                <w:sz w:val="16"/>
              </w:rPr>
              <w:t>+7.80%</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1,700</w:t>
            </w:r>
          </w:p>
        </w:tc>
        <w:tc>
          <w:tcPr>
            <w:tcW w:type="dxa" w:w="1417"/>
            <w:shd w:fill="FFFFFF" w:val="clear"/>
          </w:tcPr>
          <w:p>
            <w:r>
              <w:rPr>
                <w:sz w:val="16"/>
              </w:rPr>
              <w:t>1,832</w:t>
            </w:r>
          </w:p>
        </w:tc>
        <w:tc>
          <w:tcPr>
            <w:tcW w:type="dxa" w:w="1134"/>
            <w:shd w:fill="C6EFCE" w:val="clear"/>
          </w:tcPr>
          <w:p>
            <w:r>
              <w:rPr>
                <w:b/>
                <w:color w:val="007800"/>
                <w:sz w:val="16"/>
              </w:rPr>
              <w:t>+7.78%</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2,070</w:t>
            </w:r>
          </w:p>
        </w:tc>
        <w:tc>
          <w:tcPr>
            <w:tcW w:type="dxa" w:w="1417"/>
            <w:shd w:fill="FFFFFF" w:val="clear"/>
          </w:tcPr>
          <w:p>
            <w:r>
              <w:rPr>
                <w:sz w:val="16"/>
              </w:rPr>
              <w:t>2,180</w:t>
            </w:r>
          </w:p>
        </w:tc>
        <w:tc>
          <w:tcPr>
            <w:tcW w:type="dxa" w:w="1134"/>
            <w:shd w:fill="C6EFCE" w:val="clear"/>
          </w:tcPr>
          <w:p>
            <w:r>
              <w:rPr>
                <w:b/>
                <w:color w:val="007800"/>
                <w:sz w:val="16"/>
              </w:rPr>
              <w:t>+5.32%</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1,450</w:t>
            </w:r>
          </w:p>
        </w:tc>
        <w:tc>
          <w:tcPr>
            <w:tcW w:type="dxa" w:w="1417"/>
            <w:shd w:fill="FFFFFF" w:val="clear"/>
          </w:tcPr>
          <w:p>
            <w:r>
              <w:rPr>
                <w:sz w:val="16"/>
              </w:rPr>
              <w:t>1,521</w:t>
            </w:r>
          </w:p>
        </w:tc>
        <w:tc>
          <w:tcPr>
            <w:tcW w:type="dxa" w:w="1134"/>
            <w:shd w:fill="C6EFCE" w:val="clear"/>
          </w:tcPr>
          <w:p>
            <w:r>
              <w:rPr>
                <w:b/>
                <w:color w:val="007800"/>
                <w:sz w:val="16"/>
              </w:rPr>
              <w:t>+4.92%</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1,895</w:t>
            </w:r>
          </w:p>
        </w:tc>
        <w:tc>
          <w:tcPr>
            <w:tcW w:type="dxa" w:w="1417"/>
            <w:shd w:fill="FFFFFF" w:val="clear"/>
          </w:tcPr>
          <w:p>
            <w:r>
              <w:rPr>
                <w:sz w:val="16"/>
              </w:rPr>
              <w:t>1,979</w:t>
            </w:r>
          </w:p>
        </w:tc>
        <w:tc>
          <w:tcPr>
            <w:tcW w:type="dxa" w:w="1134"/>
            <w:shd w:fill="C6EFCE" w:val="clear"/>
          </w:tcPr>
          <w:p>
            <w:r>
              <w:rPr>
                <w:b/>
                <w:color w:val="007800"/>
                <w:sz w:val="16"/>
              </w:rPr>
              <w:t>+4.44%</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41,880</w:t>
            </w:r>
          </w:p>
        </w:tc>
        <w:tc>
          <w:tcPr>
            <w:tcW w:type="dxa" w:w="1417"/>
            <w:shd w:fill="FFFFFF" w:val="clear"/>
          </w:tcPr>
          <w:p>
            <w:r>
              <w:rPr>
                <w:sz w:val="16"/>
              </w:rPr>
              <w:t>43,550</w:t>
            </w:r>
          </w:p>
        </w:tc>
        <w:tc>
          <w:tcPr>
            <w:tcW w:type="dxa" w:w="1134"/>
            <w:shd w:fill="C6EFCE" w:val="clear"/>
          </w:tcPr>
          <w:p>
            <w:r>
              <w:rPr>
                <w:b/>
                <w:color w:val="007800"/>
                <w:sz w:val="16"/>
              </w:rPr>
              <w:t>+3.99%</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3,850</w:t>
            </w:r>
          </w:p>
        </w:tc>
        <w:tc>
          <w:tcPr>
            <w:tcW w:type="dxa" w:w="1417"/>
            <w:shd w:fill="FFFFFF" w:val="clear"/>
          </w:tcPr>
          <w:p>
            <w:r>
              <w:rPr>
                <w:sz w:val="16"/>
              </w:rPr>
              <w:t>3,998</w:t>
            </w:r>
          </w:p>
        </w:tc>
        <w:tc>
          <w:tcPr>
            <w:tcW w:type="dxa" w:w="1134"/>
            <w:shd w:fill="C6EFCE" w:val="clear"/>
          </w:tcPr>
          <w:p>
            <w:r>
              <w:rPr>
                <w:b/>
                <w:color w:val="007800"/>
                <w:sz w:val="16"/>
              </w:rPr>
              <w:t>+3.84%</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38,525</w:t>
            </w:r>
          </w:p>
        </w:tc>
        <w:tc>
          <w:tcPr>
            <w:tcW w:type="dxa" w:w="1417"/>
            <w:shd w:fill="FFFFFF" w:val="clear"/>
          </w:tcPr>
          <w:p>
            <w:r>
              <w:rPr>
                <w:sz w:val="16"/>
              </w:rPr>
              <w:t>39,909</w:t>
            </w:r>
          </w:p>
        </w:tc>
        <w:tc>
          <w:tcPr>
            <w:tcW w:type="dxa" w:w="1134"/>
            <w:shd w:fill="C6EFCE" w:val="clear"/>
          </w:tcPr>
          <w:p>
            <w:r>
              <w:rPr>
                <w:b/>
                <w:color w:val="007800"/>
                <w:sz w:val="16"/>
              </w:rPr>
              <w:t>+3.59%</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1,720</w:t>
            </w:r>
          </w:p>
        </w:tc>
        <w:tc>
          <w:tcPr>
            <w:tcW w:type="dxa" w:w="1417"/>
            <w:shd w:fill="FFFFFF" w:val="clear"/>
          </w:tcPr>
          <w:p>
            <w:r>
              <w:rPr>
                <w:sz w:val="16"/>
              </w:rPr>
              <w:t>1,776</w:t>
            </w:r>
          </w:p>
        </w:tc>
        <w:tc>
          <w:tcPr>
            <w:tcW w:type="dxa" w:w="1134"/>
            <w:shd w:fill="C6EFCE" w:val="clear"/>
          </w:tcPr>
          <w:p>
            <w:r>
              <w:rPr>
                <w:b/>
                <w:color w:val="007800"/>
                <w:sz w:val="16"/>
              </w:rPr>
              <w:t>+3.26%</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4,800</w:t>
            </w:r>
          </w:p>
        </w:tc>
        <w:tc>
          <w:tcPr>
            <w:tcW w:type="dxa" w:w="1417"/>
            <w:shd w:fill="FFFFFF" w:val="clear"/>
          </w:tcPr>
          <w:p>
            <w:r>
              <w:rPr>
                <w:sz w:val="16"/>
              </w:rPr>
              <w:t>4,945</w:t>
            </w:r>
          </w:p>
        </w:tc>
        <w:tc>
          <w:tcPr>
            <w:tcW w:type="dxa" w:w="1134"/>
            <w:shd w:fill="C6EFCE" w:val="clear"/>
          </w:tcPr>
          <w:p>
            <w:r>
              <w:rPr>
                <w:b/>
                <w:color w:val="007800"/>
                <w:sz w:val="16"/>
              </w:rPr>
              <w:t>+3.02%</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14,500</w:t>
            </w:r>
          </w:p>
        </w:tc>
        <w:tc>
          <w:tcPr>
            <w:tcW w:type="dxa" w:w="1417"/>
            <w:shd w:fill="FFFFFF" w:val="clear"/>
          </w:tcPr>
          <w:p>
            <w:r>
              <w:rPr>
                <w:sz w:val="16"/>
              </w:rPr>
              <w:t>14,834</w:t>
            </w:r>
          </w:p>
        </w:tc>
        <w:tc>
          <w:tcPr>
            <w:tcW w:type="dxa" w:w="1134"/>
            <w:shd w:fill="C6EFCE" w:val="clear"/>
          </w:tcPr>
          <w:p>
            <w:r>
              <w:rPr>
                <w:b/>
                <w:color w:val="007800"/>
                <w:sz w:val="16"/>
              </w:rPr>
              <w:t>+2.30%</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3,450</w:t>
            </w:r>
          </w:p>
        </w:tc>
        <w:tc>
          <w:tcPr>
            <w:tcW w:type="dxa" w:w="1417"/>
            <w:shd w:fill="FFFFFF" w:val="clear"/>
          </w:tcPr>
          <w:p>
            <w:r>
              <w:rPr>
                <w:sz w:val="16"/>
              </w:rPr>
              <w:t>3,512</w:t>
            </w:r>
          </w:p>
        </w:tc>
        <w:tc>
          <w:tcPr>
            <w:tcW w:type="dxa" w:w="1134"/>
            <w:shd w:fill="C6EFCE" w:val="clear"/>
          </w:tcPr>
          <w:p>
            <w:r>
              <w:rPr>
                <w:b/>
                <w:color w:val="007800"/>
                <w:sz w:val="16"/>
              </w:rPr>
              <w:t>+1.81%</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20,130</w:t>
            </w:r>
          </w:p>
        </w:tc>
        <w:tc>
          <w:tcPr>
            <w:tcW w:type="dxa" w:w="1417"/>
            <w:shd w:fill="FFFFFF" w:val="clear"/>
          </w:tcPr>
          <w:p>
            <w:r>
              <w:rPr>
                <w:sz w:val="16"/>
              </w:rPr>
              <w:t>20,462</w:t>
            </w:r>
          </w:p>
        </w:tc>
        <w:tc>
          <w:tcPr>
            <w:tcW w:type="dxa" w:w="1134"/>
            <w:shd w:fill="C6EFCE" w:val="clear"/>
          </w:tcPr>
          <w:p>
            <w:r>
              <w:rPr>
                <w:b/>
                <w:color w:val="007800"/>
                <w:sz w:val="16"/>
              </w:rPr>
              <w:t>+1.65%</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11,250</w:t>
            </w:r>
          </w:p>
        </w:tc>
        <w:tc>
          <w:tcPr>
            <w:tcW w:type="dxa" w:w="1417"/>
            <w:shd w:fill="FFFFFF" w:val="clear"/>
          </w:tcPr>
          <w:p>
            <w:r>
              <w:rPr>
                <w:sz w:val="16"/>
              </w:rPr>
              <w:t>11,428</w:t>
            </w:r>
          </w:p>
        </w:tc>
        <w:tc>
          <w:tcPr>
            <w:tcW w:type="dxa" w:w="1134"/>
            <w:shd w:fill="C6EFCE" w:val="clear"/>
          </w:tcPr>
          <w:p>
            <w:r>
              <w:rPr>
                <w:b/>
                <w:color w:val="007800"/>
                <w:sz w:val="16"/>
              </w:rPr>
              <w:t>+1.58%</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4,058</w:t>
            </w:r>
          </w:p>
        </w:tc>
        <w:tc>
          <w:tcPr>
            <w:tcW w:type="dxa" w:w="1134"/>
            <w:shd w:fill="C6EFCE" w:val="clear"/>
          </w:tcPr>
          <w:p>
            <w:r>
              <w:rPr>
                <w:b/>
                <w:color w:val="007800"/>
                <w:sz w:val="16"/>
              </w:rPr>
              <w:t>+1.46%</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16,200</w:t>
            </w:r>
          </w:p>
        </w:tc>
        <w:tc>
          <w:tcPr>
            <w:tcW w:type="dxa" w:w="1417"/>
            <w:shd w:fill="FFFFFF" w:val="clear"/>
          </w:tcPr>
          <w:p>
            <w:r>
              <w:rPr>
                <w:sz w:val="16"/>
              </w:rPr>
              <w:t>16,428</w:t>
            </w:r>
          </w:p>
        </w:tc>
        <w:tc>
          <w:tcPr>
            <w:tcW w:type="dxa" w:w="1134"/>
            <w:shd w:fill="C6EFCE" w:val="clear"/>
          </w:tcPr>
          <w:p>
            <w:r>
              <w:rPr>
                <w:b/>
                <w:color w:val="007800"/>
                <w:sz w:val="16"/>
              </w:rPr>
              <w:t>+1.40%</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45,110</w:t>
            </w:r>
          </w:p>
        </w:tc>
        <w:tc>
          <w:tcPr>
            <w:tcW w:type="dxa" w:w="1417"/>
            <w:shd w:fill="FFFFFF" w:val="clear"/>
          </w:tcPr>
          <w:p>
            <w:r>
              <w:rPr>
                <w:sz w:val="16"/>
              </w:rPr>
              <w:t>45,422</w:t>
            </w:r>
          </w:p>
        </w:tc>
        <w:tc>
          <w:tcPr>
            <w:tcW w:type="dxa" w:w="1134"/>
            <w:shd w:fill="FFEB9C" w:val="clear"/>
          </w:tcPr>
          <w:p>
            <w:r>
              <w:rPr>
                <w:b/>
                <w:color w:val="646400"/>
                <w:sz w:val="16"/>
              </w:rPr>
              <w:t>+0.69%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65</w:t>
            </w:r>
          </w:p>
        </w:tc>
        <w:tc>
          <w:tcPr>
            <w:tcW w:type="dxa" w:w="1134"/>
            <w:shd w:fill="FFEB9C" w:val="clear"/>
          </w:tcPr>
          <w:p>
            <w:r>
              <w:rPr>
                <w:b/>
                <w:color w:val="646400"/>
                <w:sz w:val="16"/>
              </w:rPr>
              <w:t>+0.15%</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2,790</w:t>
            </w:r>
          </w:p>
        </w:tc>
        <w:tc>
          <w:tcPr>
            <w:tcW w:type="dxa" w:w="1417"/>
            <w:shd w:fill="FFFFFF" w:val="clear"/>
          </w:tcPr>
          <w:p>
            <w:r>
              <w:rPr>
                <w:sz w:val="16"/>
              </w:rPr>
              <w:t>2,789</w:t>
            </w:r>
          </w:p>
        </w:tc>
        <w:tc>
          <w:tcPr>
            <w:tcW w:type="dxa" w:w="1134"/>
            <w:shd w:fill="FFEB9C" w:val="clear"/>
          </w:tcPr>
          <w:p>
            <w:r>
              <w:rPr>
                <w:b/>
                <w:color w:val="646400"/>
                <w:sz w:val="16"/>
              </w:rPr>
              <w:t>-0.03%</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2,995</w:t>
            </w:r>
          </w:p>
        </w:tc>
        <w:tc>
          <w:tcPr>
            <w:tcW w:type="dxa" w:w="1417"/>
            <w:shd w:fill="FFFFFF" w:val="clear"/>
          </w:tcPr>
          <w:p>
            <w:r>
              <w:rPr>
                <w:sz w:val="16"/>
              </w:rPr>
              <w:t>2,991</w:t>
            </w:r>
          </w:p>
        </w:tc>
        <w:tc>
          <w:tcPr>
            <w:tcW w:type="dxa" w:w="1134"/>
            <w:shd w:fill="FFEB9C" w:val="clear"/>
          </w:tcPr>
          <w:p>
            <w:r>
              <w:rPr>
                <w:b/>
                <w:color w:val="646400"/>
                <w:sz w:val="16"/>
              </w:rPr>
              <w:t>-0.15%</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14,900</w:t>
            </w:r>
          </w:p>
        </w:tc>
        <w:tc>
          <w:tcPr>
            <w:tcW w:type="dxa" w:w="1417"/>
            <w:shd w:fill="FFFFFF" w:val="clear"/>
          </w:tcPr>
          <w:p>
            <w:r>
              <w:rPr>
                <w:sz w:val="16"/>
              </w:rPr>
              <w:t>14,870</w:t>
            </w:r>
          </w:p>
        </w:tc>
        <w:tc>
          <w:tcPr>
            <w:tcW w:type="dxa" w:w="1134"/>
            <w:shd w:fill="FFEB9C" w:val="clear"/>
          </w:tcPr>
          <w:p>
            <w:r>
              <w:rPr>
                <w:b/>
                <w:color w:val="646400"/>
                <w:sz w:val="16"/>
              </w:rPr>
              <w:t>-0.20%</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4,200</w:t>
            </w:r>
          </w:p>
        </w:tc>
        <w:tc>
          <w:tcPr>
            <w:tcW w:type="dxa" w:w="1417"/>
            <w:shd w:fill="FFFFFF" w:val="clear"/>
          </w:tcPr>
          <w:p>
            <w:r>
              <w:rPr>
                <w:sz w:val="16"/>
              </w:rPr>
              <w:t>4,161</w:t>
            </w:r>
          </w:p>
        </w:tc>
        <w:tc>
          <w:tcPr>
            <w:tcW w:type="dxa" w:w="1134"/>
            <w:shd w:fill="FFEB9C" w:val="clear"/>
          </w:tcPr>
          <w:p>
            <w:r>
              <w:rPr>
                <w:b/>
                <w:color w:val="646400"/>
                <w:sz w:val="16"/>
              </w:rPr>
              <w:t>-0.92%</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7,815</w:t>
            </w:r>
          </w:p>
        </w:tc>
        <w:tc>
          <w:tcPr>
            <w:tcW w:type="dxa" w:w="1417"/>
            <w:shd w:fill="FFFFFF" w:val="clear"/>
          </w:tcPr>
          <w:p>
            <w:r>
              <w:rPr>
                <w:sz w:val="16"/>
              </w:rPr>
              <w:t>7,705</w:t>
            </w:r>
          </w:p>
        </w:tc>
        <w:tc>
          <w:tcPr>
            <w:tcW w:type="dxa" w:w="1134"/>
            <w:shd w:fill="FFC7CE" w:val="clear"/>
          </w:tcPr>
          <w:p>
            <w:r>
              <w:rPr>
                <w:b/>
                <w:color w:val="B40000"/>
                <w:sz w:val="16"/>
              </w:rPr>
              <w:t>-1.41%</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9,180</w:t>
            </w:r>
          </w:p>
        </w:tc>
        <w:tc>
          <w:tcPr>
            <w:tcW w:type="dxa" w:w="1417"/>
            <w:shd w:fill="FFFFFF" w:val="clear"/>
          </w:tcPr>
          <w:p>
            <w:r>
              <w:rPr>
                <w:sz w:val="16"/>
              </w:rPr>
              <w:t>9,034</w:t>
            </w:r>
          </w:p>
        </w:tc>
        <w:tc>
          <w:tcPr>
            <w:tcW w:type="dxa" w:w="1134"/>
            <w:shd w:fill="FFC7CE" w:val="clear"/>
          </w:tcPr>
          <w:p>
            <w:r>
              <w:rPr>
                <w:b/>
                <w:color w:val="B40000"/>
                <w:sz w:val="16"/>
              </w:rPr>
              <w:t>-1.59%</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3,000</w:t>
            </w:r>
          </w:p>
        </w:tc>
        <w:tc>
          <w:tcPr>
            <w:tcW w:type="dxa" w:w="1417"/>
            <w:shd w:fill="FFFFFF" w:val="clear"/>
          </w:tcPr>
          <w:p>
            <w:r>
              <w:rPr>
                <w:sz w:val="16"/>
              </w:rPr>
              <w:t>2,944</w:t>
            </w:r>
          </w:p>
        </w:tc>
        <w:tc>
          <w:tcPr>
            <w:tcW w:type="dxa" w:w="1134"/>
            <w:shd w:fill="FFC7CE" w:val="clear"/>
          </w:tcPr>
          <w:p>
            <w:r>
              <w:rPr>
                <w:b/>
                <w:color w:val="B40000"/>
                <w:sz w:val="16"/>
              </w:rPr>
              <w:t>-1.86%</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3,000</w:t>
            </w:r>
          </w:p>
        </w:tc>
        <w:tc>
          <w:tcPr>
            <w:tcW w:type="dxa" w:w="1417"/>
            <w:shd w:fill="FFFFFF" w:val="clear"/>
          </w:tcPr>
          <w:p>
            <w:r>
              <w:rPr>
                <w:sz w:val="16"/>
              </w:rPr>
              <w:t>2,944</w:t>
            </w:r>
          </w:p>
        </w:tc>
        <w:tc>
          <w:tcPr>
            <w:tcW w:type="dxa" w:w="1134"/>
            <w:shd w:fill="FFC7CE" w:val="clear"/>
          </w:tcPr>
          <w:p>
            <w:r>
              <w:rPr>
                <w:b/>
                <w:color w:val="B40000"/>
                <w:sz w:val="16"/>
              </w:rPr>
              <w:t>-1.87%</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7,500</w:t>
            </w:r>
          </w:p>
        </w:tc>
        <w:tc>
          <w:tcPr>
            <w:tcW w:type="dxa" w:w="1417"/>
            <w:shd w:fill="FFFFFF" w:val="clear"/>
          </w:tcPr>
          <w:p>
            <w:r>
              <w:rPr>
                <w:sz w:val="16"/>
              </w:rPr>
              <w:t>7,355</w:t>
            </w:r>
          </w:p>
        </w:tc>
        <w:tc>
          <w:tcPr>
            <w:tcW w:type="dxa" w:w="1134"/>
            <w:shd w:fill="FFC7CE" w:val="clear"/>
          </w:tcPr>
          <w:p>
            <w:r>
              <w:rPr>
                <w:b/>
                <w:color w:val="B40000"/>
                <w:sz w:val="16"/>
              </w:rPr>
              <w:t>-1.93%</w:t>
            </w:r>
          </w:p>
        </w:tc>
        <w:tc>
          <w:tcPr>
            <w:tcW w:type="dxa" w:w="1134"/>
            <w:shd w:fill="FFEB9C" w:val="clear"/>
          </w:tcPr>
          <w:p>
            <w:r>
              <w:rPr>
                <w:sz w:val="16"/>
              </w:rPr>
              <w:t>Moyenne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38,177</w:t>
            </w:r>
          </w:p>
        </w:tc>
        <w:tc>
          <w:tcPr>
            <w:tcW w:type="dxa" w:w="1134"/>
            <w:shd w:fill="FFC7CE" w:val="clear"/>
          </w:tcPr>
          <w:p>
            <w:r>
              <w:rPr>
                <w:b/>
                <w:color w:val="B40000"/>
                <w:sz w:val="16"/>
              </w:rPr>
              <w:t>-2.11%</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32,010</w:t>
            </w:r>
          </w:p>
        </w:tc>
        <w:tc>
          <w:tcPr>
            <w:tcW w:type="dxa" w:w="1417"/>
            <w:shd w:fill="FFFFFF" w:val="clear"/>
          </w:tcPr>
          <w:p>
            <w:r>
              <w:rPr>
                <w:sz w:val="16"/>
              </w:rPr>
              <w:t>31,084</w:t>
            </w:r>
          </w:p>
        </w:tc>
        <w:tc>
          <w:tcPr>
            <w:tcW w:type="dxa" w:w="1134"/>
            <w:shd w:fill="FFC7CE" w:val="clear"/>
          </w:tcPr>
          <w:p>
            <w:r>
              <w:rPr>
                <w:b/>
                <w:color w:val="B40000"/>
                <w:sz w:val="16"/>
              </w:rPr>
              <w:t>-2.89%</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7,850</w:t>
            </w:r>
          </w:p>
        </w:tc>
        <w:tc>
          <w:tcPr>
            <w:tcW w:type="dxa" w:w="1417"/>
            <w:shd w:fill="FFFFFF" w:val="clear"/>
          </w:tcPr>
          <w:p>
            <w:r>
              <w:rPr>
                <w:sz w:val="16"/>
              </w:rPr>
              <w:t>7,567</w:t>
            </w:r>
          </w:p>
        </w:tc>
        <w:tc>
          <w:tcPr>
            <w:tcW w:type="dxa" w:w="1134"/>
            <w:shd w:fill="FFC7CE" w:val="clear"/>
          </w:tcPr>
          <w:p>
            <w:r>
              <w:rPr>
                <w:b/>
                <w:color w:val="B40000"/>
                <w:sz w:val="16"/>
              </w:rPr>
              <w:t>-3.61%</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7,610</w:t>
            </w:r>
          </w:p>
        </w:tc>
        <w:tc>
          <w:tcPr>
            <w:tcW w:type="dxa" w:w="1417"/>
            <w:shd w:fill="FFFFFF" w:val="clear"/>
          </w:tcPr>
          <w:p>
            <w:r>
              <w:rPr>
                <w:sz w:val="16"/>
              </w:rPr>
              <w:t>7,318</w:t>
            </w:r>
          </w:p>
        </w:tc>
        <w:tc>
          <w:tcPr>
            <w:tcW w:type="dxa" w:w="1134"/>
            <w:shd w:fill="FFC7CE" w:val="clear"/>
          </w:tcPr>
          <w:p>
            <w:r>
              <w:rPr>
                <w:b/>
                <w:color w:val="B40000"/>
                <w:sz w:val="16"/>
              </w:rPr>
              <w:t>-3.84%</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3,000</w:t>
            </w:r>
          </w:p>
        </w:tc>
        <w:tc>
          <w:tcPr>
            <w:tcW w:type="dxa" w:w="1417"/>
            <w:shd w:fill="FFFFFF" w:val="clear"/>
          </w:tcPr>
          <w:p>
            <w:r>
              <w:rPr>
                <w:sz w:val="16"/>
              </w:rPr>
              <w:t>2,869</w:t>
            </w:r>
          </w:p>
        </w:tc>
        <w:tc>
          <w:tcPr>
            <w:tcW w:type="dxa" w:w="1134"/>
            <w:shd w:fill="FFC7CE" w:val="clear"/>
          </w:tcPr>
          <w:p>
            <w:r>
              <w:rPr>
                <w:b/>
                <w:color w:val="B40000"/>
                <w:sz w:val="16"/>
              </w:rPr>
              <w:t>-4.35%</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8,725</w:t>
            </w:r>
          </w:p>
        </w:tc>
        <w:tc>
          <w:tcPr>
            <w:tcW w:type="dxa" w:w="1417"/>
            <w:shd w:fill="FFFFFF" w:val="clear"/>
          </w:tcPr>
          <w:p>
            <w:r>
              <w:rPr>
                <w:sz w:val="16"/>
              </w:rPr>
              <w:t>8,331</w:t>
            </w:r>
          </w:p>
        </w:tc>
        <w:tc>
          <w:tcPr>
            <w:tcW w:type="dxa" w:w="1134"/>
            <w:shd w:fill="FFC7CE" w:val="clear"/>
          </w:tcPr>
          <w:p>
            <w:r>
              <w:rPr>
                <w:b/>
                <w:color w:val="B40000"/>
                <w:sz w:val="16"/>
              </w:rPr>
              <w:t>-4.51%</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2,100</w:t>
            </w:r>
          </w:p>
        </w:tc>
        <w:tc>
          <w:tcPr>
            <w:tcW w:type="dxa" w:w="1417"/>
            <w:shd w:fill="FFFFFF" w:val="clear"/>
          </w:tcPr>
          <w:p>
            <w:r>
              <w:rPr>
                <w:sz w:val="16"/>
              </w:rPr>
              <w:t>2,004</w:t>
            </w:r>
          </w:p>
        </w:tc>
        <w:tc>
          <w:tcPr>
            <w:tcW w:type="dxa" w:w="1134"/>
            <w:shd w:fill="FFC7CE" w:val="clear"/>
          </w:tcPr>
          <w:p>
            <w:r>
              <w:rPr>
                <w:b/>
                <w:color w:val="B40000"/>
                <w:sz w:val="16"/>
              </w:rPr>
              <w:t>-4.59%</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2,135</w:t>
            </w:r>
          </w:p>
        </w:tc>
        <w:tc>
          <w:tcPr>
            <w:tcW w:type="dxa" w:w="1417"/>
            <w:shd w:fill="FFFFFF" w:val="clear"/>
          </w:tcPr>
          <w:p>
            <w:r>
              <w:rPr>
                <w:sz w:val="16"/>
              </w:rPr>
              <w:t>2,028</w:t>
            </w:r>
          </w:p>
        </w:tc>
        <w:tc>
          <w:tcPr>
            <w:tcW w:type="dxa" w:w="1134"/>
            <w:shd w:fill="FFC7CE" w:val="clear"/>
          </w:tcPr>
          <w:p>
            <w:r>
              <w:rPr>
                <w:b/>
                <w:color w:val="B40000"/>
                <w:sz w:val="16"/>
              </w:rPr>
              <w:t>-5.02%</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3,115</w:t>
            </w:r>
          </w:p>
        </w:tc>
        <w:tc>
          <w:tcPr>
            <w:tcW w:type="dxa" w:w="1417"/>
            <w:shd w:fill="FFFFFF" w:val="clear"/>
          </w:tcPr>
          <w:p>
            <w:r>
              <w:rPr>
                <w:sz w:val="16"/>
              </w:rPr>
              <w:t>2,954</w:t>
            </w:r>
          </w:p>
        </w:tc>
        <w:tc>
          <w:tcPr>
            <w:tcW w:type="dxa" w:w="1134"/>
            <w:shd w:fill="FFC7CE" w:val="clear"/>
          </w:tcPr>
          <w:p>
            <w:r>
              <w:rPr>
                <w:b/>
                <w:color w:val="B40000"/>
                <w:sz w:val="16"/>
              </w:rPr>
              <w:t>-5.18%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1,805</w:t>
            </w:r>
          </w:p>
        </w:tc>
        <w:tc>
          <w:tcPr>
            <w:tcW w:type="dxa" w:w="1417"/>
            <w:shd w:fill="FFFFFF" w:val="clear"/>
          </w:tcPr>
          <w:p>
            <w:r>
              <w:rPr>
                <w:sz w:val="16"/>
              </w:rPr>
              <w:t>1,692</w:t>
            </w:r>
          </w:p>
        </w:tc>
        <w:tc>
          <w:tcPr>
            <w:tcW w:type="dxa" w:w="1134"/>
            <w:shd w:fill="FFC7CE" w:val="clear"/>
          </w:tcPr>
          <w:p>
            <w:r>
              <w:rPr>
                <w:b/>
                <w:color w:val="B40000"/>
                <w:sz w:val="16"/>
              </w:rPr>
              <w:t>-6.27%</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5,700</w:t>
            </w:r>
          </w:p>
        </w:tc>
        <w:tc>
          <w:tcPr>
            <w:tcW w:type="dxa" w:w="1417"/>
            <w:shd w:fill="FFFFFF" w:val="clear"/>
          </w:tcPr>
          <w:p>
            <w:r>
              <w:rPr>
                <w:sz w:val="16"/>
              </w:rPr>
              <w:t>5,283</w:t>
            </w:r>
          </w:p>
        </w:tc>
        <w:tc>
          <w:tcPr>
            <w:tcW w:type="dxa" w:w="1134"/>
            <w:shd w:fill="FFC7CE" w:val="clear"/>
          </w:tcPr>
          <w:p>
            <w:r>
              <w:rPr>
                <w:b/>
                <w:color w:val="B40000"/>
                <w:sz w:val="16"/>
              </w:rPr>
              <w:t>-7.32%</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31,000</w:t>
            </w:r>
          </w:p>
        </w:tc>
        <w:tc>
          <w:tcPr>
            <w:tcW w:type="dxa" w:w="1417"/>
            <w:shd w:fill="FFFFFF" w:val="clear"/>
          </w:tcPr>
          <w:p>
            <w:r>
              <w:rPr>
                <w:sz w:val="16"/>
              </w:rPr>
              <w:t>28,702</w:t>
            </w:r>
          </w:p>
        </w:tc>
        <w:tc>
          <w:tcPr>
            <w:tcW w:type="dxa" w:w="1134"/>
            <w:shd w:fill="FFC7CE" w:val="clear"/>
          </w:tcPr>
          <w:p>
            <w:r>
              <w:rPr>
                <w:b/>
                <w:color w:val="B40000"/>
                <w:sz w:val="16"/>
              </w:rPr>
              <w:t>-7.41%</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21,000</w:t>
            </w:r>
          </w:p>
        </w:tc>
        <w:tc>
          <w:tcPr>
            <w:tcW w:type="dxa" w:w="1417"/>
            <w:shd w:fill="FFFFFF" w:val="clear"/>
          </w:tcPr>
          <w:p>
            <w:r>
              <w:rPr>
                <w:sz w:val="16"/>
              </w:rPr>
              <w:t>18,666</w:t>
            </w:r>
          </w:p>
        </w:tc>
        <w:tc>
          <w:tcPr>
            <w:tcW w:type="dxa" w:w="1134"/>
            <w:shd w:fill="FFC7CE" w:val="clear"/>
          </w:tcPr>
          <w:p>
            <w:r>
              <w:rPr>
                <w:b/>
                <w:color w:val="B40000"/>
                <w:sz w:val="16"/>
              </w:rPr>
              <w:t>-11.11%</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8,000</w:t>
            </w:r>
          </w:p>
        </w:tc>
        <w:tc>
          <w:tcPr>
            <w:tcW w:type="dxa" w:w="1417"/>
            <w:shd w:fill="FFFFFF" w:val="clear"/>
          </w:tcPr>
          <w:p>
            <w:r>
              <w:rPr>
                <w:sz w:val="16"/>
              </w:rPr>
              <w:t>7,043</w:t>
            </w:r>
          </w:p>
        </w:tc>
        <w:tc>
          <w:tcPr>
            <w:tcW w:type="dxa" w:w="1134"/>
            <w:shd w:fill="FFC7CE" w:val="clear"/>
          </w:tcPr>
          <w:p>
            <w:r>
              <w:rPr>
                <w:b/>
                <w:color w:val="B40000"/>
                <w:sz w:val="16"/>
              </w:rPr>
              <w:t>-11.96%</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32.74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3,278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B40000"/>
                <w:sz w:val="17"/>
              </w:rPr>
              <w:t>-5.81%</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10.30% (Moyenne) — μ=3,367 FCFA, σ=347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β=0.3284 (Défensif) — Cov=0.000026, Var(idx)=0.000078, ρ=0.103,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2,874</w:t>
            </w:r>
          </w:p>
        </w:tc>
        <w:tc>
          <w:tcPr>
            <w:tcW w:type="dxa" w:w="1440"/>
            <w:shd w:fill="FAFAFA" w:val="clear"/>
          </w:tcPr>
          <w:p>
            <w:r>
              <w:rPr>
                <w:b/>
                <w:sz w:val="17"/>
              </w:rPr>
              <w:t>2,986</w:t>
            </w:r>
          </w:p>
        </w:tc>
        <w:tc>
          <w:tcPr>
            <w:tcW w:type="dxa" w:w="1440"/>
            <w:shd w:fill="FAFAFA" w:val="clear"/>
          </w:tcPr>
          <w:p>
            <w:r>
              <w:rPr>
                <w:sz w:val="17"/>
              </w:rPr>
              <w:t>3,099</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2,816</w:t>
            </w:r>
          </w:p>
        </w:tc>
        <w:tc>
          <w:tcPr>
            <w:tcW w:type="dxa" w:w="1440"/>
            <w:shd w:fill="FAFAFA" w:val="clear"/>
          </w:tcPr>
          <w:p>
            <w:r>
              <w:rPr>
                <w:b/>
                <w:sz w:val="17"/>
              </w:rPr>
              <w:t>2,974</w:t>
            </w:r>
          </w:p>
        </w:tc>
        <w:tc>
          <w:tcPr>
            <w:tcW w:type="dxa" w:w="1440"/>
            <w:shd w:fill="FAFAFA" w:val="clear"/>
          </w:tcPr>
          <w:p>
            <w:r>
              <w:rPr>
                <w:sz w:val="17"/>
              </w:rPr>
              <w:t>3,132</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2,767</w:t>
            </w:r>
          </w:p>
        </w:tc>
        <w:tc>
          <w:tcPr>
            <w:tcW w:type="dxa" w:w="1440"/>
            <w:shd w:fill="FAFAFA" w:val="clear"/>
          </w:tcPr>
          <w:p>
            <w:r>
              <w:rPr>
                <w:b/>
                <w:sz w:val="17"/>
              </w:rPr>
              <w:t>2,960</w:t>
            </w:r>
          </w:p>
        </w:tc>
        <w:tc>
          <w:tcPr>
            <w:tcW w:type="dxa" w:w="1440"/>
            <w:shd w:fill="FAFAFA" w:val="clear"/>
          </w:tcPr>
          <w:p>
            <w:r>
              <w:rPr>
                <w:sz w:val="17"/>
              </w:rPr>
              <w:t>3,152</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2,724</w:t>
            </w:r>
          </w:p>
        </w:tc>
        <w:tc>
          <w:tcPr>
            <w:tcW w:type="dxa" w:w="1440"/>
            <w:shd w:fill="FAFAFA" w:val="clear"/>
          </w:tcPr>
          <w:p>
            <w:r>
              <w:rPr>
                <w:b/>
                <w:sz w:val="17"/>
              </w:rPr>
              <w:t>2,945</w:t>
            </w:r>
          </w:p>
        </w:tc>
        <w:tc>
          <w:tcPr>
            <w:tcW w:type="dxa" w:w="1440"/>
            <w:shd w:fill="FAFAFA" w:val="clear"/>
          </w:tcPr>
          <w:p>
            <w:r>
              <w:rPr>
                <w:sz w:val="17"/>
              </w:rPr>
              <w:t>3,167</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2026-10-27</w:t>
            </w:r>
          </w:p>
        </w:tc>
        <w:tc>
          <w:tcPr>
            <w:tcW w:type="dxa" w:w="1440"/>
            <w:shd w:fill="FFDCE0" w:val="clear"/>
          </w:tcPr>
          <w:p>
            <w:r>
              <w:rPr>
                <w:sz w:val="17"/>
              </w:rPr>
              <w:t>2,685</w:t>
            </w:r>
          </w:p>
        </w:tc>
        <w:tc>
          <w:tcPr>
            <w:tcW w:type="dxa" w:w="1440"/>
            <w:shd w:fill="FFDCE0" w:val="clear"/>
          </w:tcPr>
          <w:p>
            <w:r>
              <w:rPr>
                <w:b/>
                <w:sz w:val="17"/>
              </w:rPr>
              <w:t>2,932</w:t>
            </w:r>
          </w:p>
        </w:tc>
        <w:tc>
          <w:tcPr>
            <w:tcW w:type="dxa" w:w="1440"/>
            <w:shd w:fill="FFDCE0" w:val="clear"/>
          </w:tcPr>
          <w:p>
            <w:r>
              <w:rPr>
                <w:sz w:val="17"/>
              </w:rPr>
              <w:t>3,178</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2026-10-28</w:t>
            </w:r>
          </w:p>
        </w:tc>
        <w:tc>
          <w:tcPr>
            <w:tcW w:type="dxa" w:w="1440"/>
            <w:shd w:fill="FFDCE0" w:val="clear"/>
          </w:tcPr>
          <w:p>
            <w:r>
              <w:rPr>
                <w:sz w:val="17"/>
              </w:rPr>
              <w:t>2,649</w:t>
            </w:r>
          </w:p>
        </w:tc>
        <w:tc>
          <w:tcPr>
            <w:tcW w:type="dxa" w:w="1440"/>
            <w:shd w:fill="FFDCE0" w:val="clear"/>
          </w:tcPr>
          <w:p>
            <w:r>
              <w:rPr>
                <w:b/>
                <w:sz w:val="17"/>
              </w:rPr>
              <w:t>2,918</w:t>
            </w:r>
          </w:p>
        </w:tc>
        <w:tc>
          <w:tcPr>
            <w:tcW w:type="dxa" w:w="1440"/>
            <w:shd w:fill="FFDCE0" w:val="clear"/>
          </w:tcPr>
          <w:p>
            <w:r>
              <w:rPr>
                <w:sz w:val="17"/>
              </w:rPr>
              <w:t>3,187</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2026-10-29</w:t>
            </w:r>
          </w:p>
        </w:tc>
        <w:tc>
          <w:tcPr>
            <w:tcW w:type="dxa" w:w="1440"/>
            <w:shd w:fill="FFDCE0" w:val="clear"/>
          </w:tcPr>
          <w:p>
            <w:r>
              <w:rPr>
                <w:sz w:val="17"/>
              </w:rPr>
              <w:t>2,616</w:t>
            </w:r>
          </w:p>
        </w:tc>
        <w:tc>
          <w:tcPr>
            <w:tcW w:type="dxa" w:w="1440"/>
            <w:shd w:fill="FFDCE0" w:val="clear"/>
          </w:tcPr>
          <w:p>
            <w:r>
              <w:rPr>
                <w:b/>
                <w:sz w:val="17"/>
              </w:rPr>
              <w:t>2,905</w:t>
            </w:r>
          </w:p>
        </w:tc>
        <w:tc>
          <w:tcPr>
            <w:tcW w:type="dxa" w:w="1440"/>
            <w:shd w:fill="FFDCE0" w:val="clear"/>
          </w:tcPr>
          <w:p>
            <w:r>
              <w:rPr>
                <w:sz w:val="17"/>
              </w:rPr>
              <w:t>3,194</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2026-10-30</w:t>
            </w:r>
          </w:p>
        </w:tc>
        <w:tc>
          <w:tcPr>
            <w:tcW w:type="dxa" w:w="1440"/>
            <w:shd w:fill="FFDCE0" w:val="clear"/>
          </w:tcPr>
          <w:p>
            <w:r>
              <w:rPr>
                <w:sz w:val="17"/>
              </w:rPr>
              <w:t>2,585</w:t>
            </w:r>
          </w:p>
        </w:tc>
        <w:tc>
          <w:tcPr>
            <w:tcW w:type="dxa" w:w="1440"/>
            <w:shd w:fill="FFDCE0" w:val="clear"/>
          </w:tcPr>
          <w:p>
            <w:r>
              <w:rPr>
                <w:b/>
                <w:sz w:val="17"/>
              </w:rPr>
              <w:t>2,893</w:t>
            </w:r>
          </w:p>
        </w:tc>
        <w:tc>
          <w:tcPr>
            <w:tcW w:type="dxa" w:w="1440"/>
            <w:shd w:fill="FFDCE0" w:val="clear"/>
          </w:tcPr>
          <w:p>
            <w:r>
              <w:rPr>
                <w:sz w:val="17"/>
              </w:rPr>
              <w:t>3,201</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2026-11-02</w:t>
            </w:r>
          </w:p>
        </w:tc>
        <w:tc>
          <w:tcPr>
            <w:tcW w:type="dxa" w:w="1440"/>
            <w:shd w:fill="FFDCE0" w:val="clear"/>
          </w:tcPr>
          <w:p>
            <w:r>
              <w:rPr>
                <w:sz w:val="17"/>
              </w:rPr>
              <w:t>2,556</w:t>
            </w:r>
          </w:p>
        </w:tc>
        <w:tc>
          <w:tcPr>
            <w:tcW w:type="dxa" w:w="1440"/>
            <w:shd w:fill="FFDCE0" w:val="clear"/>
          </w:tcPr>
          <w:p>
            <w:r>
              <w:rPr>
                <w:b/>
                <w:sz w:val="17"/>
              </w:rPr>
              <w:t>2,881</w:t>
            </w:r>
          </w:p>
        </w:tc>
        <w:tc>
          <w:tcPr>
            <w:tcW w:type="dxa" w:w="1440"/>
            <w:shd w:fill="FFDCE0" w:val="clear"/>
          </w:tcPr>
          <w:p>
            <w:r>
              <w:rPr>
                <w:sz w:val="17"/>
              </w:rPr>
              <w:t>3,206</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2026-11-03</w:t>
            </w:r>
          </w:p>
        </w:tc>
        <w:tc>
          <w:tcPr>
            <w:tcW w:type="dxa" w:w="1440"/>
            <w:shd w:fill="FFDCE0" w:val="clear"/>
          </w:tcPr>
          <w:p>
            <w:r>
              <w:rPr>
                <w:sz w:val="17"/>
              </w:rPr>
              <w:t>2,528</w:t>
            </w:r>
          </w:p>
        </w:tc>
        <w:tc>
          <w:tcPr>
            <w:tcW w:type="dxa" w:w="1440"/>
            <w:shd w:fill="FFDCE0" w:val="clear"/>
          </w:tcPr>
          <w:p>
            <w:r>
              <w:rPr>
                <w:b/>
                <w:sz w:val="17"/>
              </w:rPr>
              <w:t>2,869</w:t>
            </w:r>
          </w:p>
        </w:tc>
        <w:tc>
          <w:tcPr>
            <w:tcW w:type="dxa" w:w="1440"/>
            <w:shd w:fill="FFDCE0" w:val="clear"/>
          </w:tcPr>
          <w:p>
            <w:r>
              <w:rPr>
                <w:sz w:val="17"/>
              </w:rPr>
              <w:t>3,211</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 📊 RAPPORT D'ANALYSE FINANCIÈRE — SERVAIR ABIDJAN (ABJC)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32,74 milliards FCFA, ABJC se situe dans la moyenne des capitalisations de la cote BRVM, sans toutefois figurer parmi les poids lourds du marché. Le BPA de 124 FCFA/action indique ce que chaque titre génère en bénéfice net, mais c'est surtout le PER de 24,2x qui interpelle : les investisseurs paient plus de 24 fois les bénéfices, soit un niveau très supérieur à la moyenne BRVM (~8-12x), signalant soit une anticipation de forte croissance, soit une surévaluation manifeste. Le P/B de 6,35x confirme cette prime exigeante — le marché valorise l'action à plus de six fois sa valeur comptable, un niveau rarement justifié sans perspectives de rentabilité exceptionnelles. Enfin, l'EV/EBITDA de 12,1x, dans la fourchette haute (10-15x), traduit une valorisation tendue de la capacité opérationnelle ; l'ensemble de ces ratios plaide pour une valorisation exigeante, voire surévaluée au regard des performances récentes.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ABJC affiche une variation totale de **-5,81%**, avec une dernière séance en repli de **-0,33%**, confirmant une tendance baissière de fond. Le cours actuel de 3 000 FCFA se situe dans la moitié basse du range de trading délimité par un plus haut de 4 095 FCFA et un plus bas de 2 800 FCFA, soit un amplitude de près de 46% — signe d'une forte agitation sur la période. Les statistiques descriptives révèlent une moyenne de 3 367 FCFA supérieure à la médiane de 3 278 FCFA, avec un mode à 3 000 FCFA : cet écart moyenne-médiane confirme une distribution asymétrique, le skewness positif de 0,691 indiquant davantage de journées sous la moyenne (queue de distribution étirée vers le bas). L'écart-type de 348 FCFA (CV=10,3%) traduit une dispersion modérée autour de la moyenne, tandis que le kurtosis de -0,739 (mésokurtique) suggère un comportement proche d'une distribution normale, sans risque excessif de pics extrêmes. La volatilité annualisée de 44,1% classe le titre dans la catégorie **élevée** (&gt;30%), ce qui est cohérent avec la baisse récente et appelle à la prudence pour les profils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(3 397 FCFA) et la MM50 (3 569,5 FCFA) se situent toutes deux nettement au-dessus du cours actuel de 3 000 FCFA, configurant une structure baissière où le prix évolue sous ses moyennes de référence. La MM20 étant elle-même inférieure à la MM50, on observe un croisement baissier (death cross) confirmé, justifiant pleinement la décision **Vente**.</w:t>
      </w:r>
    </w:p>
    <w:p>
      <w:pPr>
        <w:spacing w:after="120" w:line="276" w:lineRule="auto"/>
      </w:pPr>
      <w:r>
        <w:t>**Bandes de Bollinger** : Le cours (3 000 FCFA) évolue dans la partie basse de la bande, entre la borne inférieure (2 747,4 FCFA) et la borne supérieure (4 046,6 FCFA), sans en toucher les extrêmes. L'absence de contact avec la borne inférieure traduit une pression baissière contenue mais persistante, la décision **Neutre** suggérant une possible zone de stabilisation avant rebond ou cassure.</w:t>
      </w:r>
    </w:p>
    <w:p>
      <w:pPr>
        <w:spacing w:after="120" w:line="276" w:lineRule="auto"/>
      </w:pPr>
      <w:r>
        <w:t>**MACD** : La valeur du MACD (-186,3) est inférieure à son signal (-140,7), avec un histogramme négatif qui s'accentue — configuration clairement baissière. Le momentum reste négatif et la divergence MACD-Signal confirme la poursuite de la pression vendeuse, justifiant la décision **Vente**.</w:t>
      </w:r>
    </w:p>
    <w:p>
      <w:pPr>
        <w:spacing w:after="120" w:line="276" w:lineRule="auto"/>
      </w:pPr>
      <w:r>
        <w:t>**RSI** : À **6,08**, le RSI se situe très en dessous du seuil de survente (30), un niveau extrême rarement observé qui signale une capitulation des vendeurs. Cette configuration de survente profonde justifie la décision **Achat** par anticipation d'un rebond technique, bien que le contexte baissier impose la prudence.</w:t>
      </w:r>
    </w:p>
    <w:p>
      <w:pPr>
        <w:spacing w:after="120" w:line="276" w:lineRule="auto"/>
      </w:pPr>
      <w:r>
        <w:t>**Stochastique** : Le %K à 0,0 et le %D à 0,513 montrent un %K au plancher absolu, en zone de survente extrême, avec un croisement potentiel à venir. La décision **Achat** traduit cette configuration de rebond imminent, mais la faiblesse du %K appelle à attendre une confirmation du croisement.</w:t>
      </w:r>
    </w:p>
    <w:p>
      <w:pPr>
        <w:spacing w:after="120" w:line="276" w:lineRule="auto"/>
      </w:pPr>
      <w:r>
        <w:t>**Conclusion technique** : Les indicateurs présentent une divergence notable : les moyennes mobiles et le MACD confirment une tendance baissière structurelle, tandis que le RSI (6,08) et le stochastique (%K=0) signalent une survente extrême propice à un rebond technique. Les Bandes de Bollinger en position neutre n'apportent pas de signal directionnel clair. Cette configuration contradictoire — tendance baissière vs survente extrême — suggère un titre en phase de capitulation, où un rebond à court terme est possible mais fragile, sans inversion de tendance confirmée.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Servair Abidjan affiche un chiffre d'affaires de **13,298 milliards FCFA**, en croissance de **+6,67%**, pour un résultat net de **1,351 milliard FCFA** (marge nette de 10,16%). La rentabilité des fonds propres (ROE) atteint un niveau excellent de **26,18%** (&gt;15%), tandis que le ROA de 14,64% confirme une bonne efficacité de l'actif. La structure financière est très saine : autonomie financière de 55,92%, endettement quasi nul (dettes financières de seulement 65,89 M FCFA, soit 1,28% du bilan), et trésorerie nette de 4,035 milliards FCFA. Pour le secteur ENTREPRISE, les délais d'exploitation méritent attention : délai clients de 70,10 jours (risque de trésorerie modéré), délai fournisseurs de 92,11 jours (favorable à la trésorerie) et durée de stockage de 29,40 jours ; le BFR de 257,45 M FCFA reste contenu. La capacité de remboursement de 0,04 an et la couverture des intérêts de 36 092% témoignent d'une solidité financière exceptionnelle.</w:t>
      </w:r>
    </w:p>
    <w:p>
      <w:pPr>
        <w:spacing w:after="120" w:line="276" w:lineRule="auto"/>
      </w:pPr>
      <w:r>
        <w:t>**Évolution et estimations issues des rapports trimestriels** : Le rapport du **T1 2026** (publié le 30/04/2026) révèle un ralentissement préoccupant : CA de 3,237 milliards FCFA (+1,9% seulement) mais résultat net en chute de **-35,6%** à 222,6 M FCFA, sous l'effet d'ajustements de redevances aéroportuaires et de tensions géopolitiques. Le rapport **S1 2026** (attesté le 08/10/2026) confirme un CA semestriel de 6,883 milliards FCFA (+4,5%), mais l'attestation des commissaires aux comptes (Deloitte/ERITEDGE) ne fournit pas de données chiffrées de résultat. Sur cette base, on estime que l'exercice 2026 devrait afficher une croissance du CA limitée à ~3-4% (vs +6,67% en 2025) et une pression sur la marge nette, le résultat net annuel pouvant reculer vers 1,0-1,1 milliard FCFA si la tendance du T1 se maintient. Les rapports antérieurs (T1 2025, T3 2025) rappellent le litige BCEAO sur les transferts de devises, désormais circonscrit selon le T3 2025 (+17,1% de résultat net), mais dont l'impact résiduel reste à surveiller. **Recommandation fondamentale** : la solidité bilancielle et le ROE élevé plaident pour la qualité de la signature, mais la dégradation de la rentabilité en 2026 et la valorisation exigeante (PER 24,2x) invitent à la prudence — le titre est fondamentalement solide mais son cours intègre déjà beaucoup d'optimisme.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(Partie 0)** : le PER de 24,2x, le P/B de 6,35x et l'EV/EBITDA de 12,1x indiquent une valorisation nettement supérieure aux standards BRVM, sans justification par la croissance récente — signal de surévaluation. **Comportement du cours (Partie 1)** : la tendance baissière (-5,81% sur 100 jours), la volatilité élevée (44,1%) et le skewness positif (0,691) traduisent une pression vendeuse persistante, bien que le kurtosis mésokurtique limite le risque de pics extrêmes. **Signaux techniques (Partie 2)** : divergence marquée entre les indicateurs de tendance (MM, MACD en Vente) et les oscillateurs en survente extrême (RSI 6,08, Stochastique %K=0 en Achat), configuration typique d'une capitulation propice à un rebond technique fragile. **Fondamentaux (Partie 3)** : solidité bilancielle exceptionnelle (ROE 26,18%, trésorerie 4,035 Mds FCFA, endettement quasi nul) mais dégradation de la rentabilité en 2026 (T1 : résultat net -35,6%). **Prédictions IA (J+1 à J+10)** : la trajectoire projetée (2 986 → 2 932 FCFA) confirme la poursuite de la baisse à court terme, en phase avec les signaux techniques baissiers et contredisant le rebond attendu par le RSI.</w:t>
      </w:r>
    </w:p>
    <w:p>
      <w:pPr>
        <w:spacing w:after="120" w:line="276" w:lineRule="auto"/>
      </w:pPr>
      <w:r>
        <w:t>**Recommandation finale : CONSERVER** — avec un biais baissier à court terme. La convergence entre valorisation exigeante, tendance technique baissière et prédictions IA négatives plaide contre l'achat immédiat, tandis que la solidité fondamentale (ROE, trésorerie, endettement nul) et la survente extrême interdisent une vente panique. **Niveau de confiance : Moyen** (divergence entre technique baissière et fondamentaux solides). **Niveau de risque global : Élevé** (volatilité 44,1%, dégradation de la rentabilité 2026, valorisation tendue). **Horizon optimal : moyen terme (3-12 mois)** — attendre la confirmation d'un retournement technique (croisement RSI/stochastique) et la publication des résultats annuels 2026 pour réévaluer la position, avec un seuil de vigilance à 2 800 FCFA (plus bas du range) en cas de cassure.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 document est une simple attestation d'examen limit\u00e9 sans donn\u00e9es financi\u00e8res chiffr\u00e9es, ne permettant pas de r\u00e9\u00e9valuer la valorisation de SERVAIR CI. L'absence de r\u00e9serve des auditeurs est rassurante sur la qualit\u00e9 de l'information financi\u00e8re, mais insuffisante pour justifier une d\u00e9cision d'investissement."}</w:t>
      </w:r>
    </w:p>
    <w:p>
      <w:pPr>
        <w:spacing w:before="40"/>
        <w:ind w:left="400"/>
      </w:pPr>
      <w:r>
        <w:rPr>
          <w:sz w:val="18"/>
        </w:rPr>
        <w:t>Le document analysé est l'attestation des Commissaires aux Comptes (Deloitte Côte d'Ivoire et ERITEDGE Côte d'Ivoire) sur le tableau d'activités et de résultat ainsi que le rapport d'activité semestriel de SERVAIR Abidjan, S.A. pour la période du 1er janvier au 30 juin 2026. Il s'agit d'un examen limité réalisé selon la norme ISRE 2410, et non d'un audit complet, les auditeurs n'exprimant donc pas d'opinion d'audit. Sur la base de leurs travaux, les Commissaires aux Comptes n'ont pas relevé de faits remettant en cause la conformité des états présentés aux articles 850 à 851 de l'Acte Uniforme OHADA et à la Circulaire n°004-2010 du CREPMF. Le document atteste donc de la régularité formelle de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portant sur le tableau d'activités et de résultat et le rapport d'activité semestriel au 30 juin 2026 de SERVAIR Abidjan, S.A.</w:t>
      </w:r>
    </w:p>
    <w:p>
      <w:pPr>
        <w:pStyle w:val="ListBullet"/>
        <w:spacing w:before="20" w:after="20"/>
        <w:ind w:left="700"/>
      </w:pPr>
      <w:r>
        <w:rPr>
          <w:sz w:val="18"/>
        </w:rPr>
        <w:t>Examen limité effectué selon la norme ISRE 2410, avec une étendue très inférieure à celle d'un audit complet.</w:t>
      </w:r>
    </w:p>
    <w:p>
      <w:pPr>
        <w:pStyle w:val="ListBullet"/>
        <w:spacing w:before="20" w:after="20"/>
        <w:ind w:left="700"/>
      </w:pPr>
      <w:r>
        <w:rPr>
          <w:sz w:val="18"/>
        </w:rPr>
        <w:t>Les auditeurs n'expriment pas d'opinion d'audit, conformément aux limites de l'examen limité.</w:t>
      </w:r>
    </w:p>
    <w:p>
      <w:pPr>
        <w:pStyle w:val="ListBullet"/>
        <w:spacing w:before="20" w:after="20"/>
        <w:ind w:left="700"/>
      </w:pPr>
      <w:r>
        <w:rPr>
          <w:sz w:val="18"/>
        </w:rPr>
        <w:t>Conclusion sans réserve : aucun fait relevé remettant en cause la conformité des états présentés.</w:t>
      </w:r>
    </w:p>
    <w:p>
      <w:pPr>
        <w:pStyle w:val="ListBullet"/>
        <w:spacing w:before="20" w:after="20"/>
        <w:ind w:left="700"/>
      </w:pPr>
      <w:r>
        <w:rPr>
          <w:sz w:val="18"/>
        </w:rPr>
        <w:t>Cadre réglementaire de référence : articles 849 à 851 de l'Acte Uniforme OHADA et Circulaire n°004-2010 du CREPMF de l'UMOA.</w:t>
      </w:r>
    </w:p>
    <w:p>
      <w:pPr>
        <w:pStyle w:val="ListBullet"/>
        <w:spacing w:before="20" w:after="20"/>
        <w:ind w:left="700"/>
      </w:pPr>
      <w:r>
        <w:rPr>
          <w:sz w:val="18"/>
        </w:rPr>
        <w:t>Informations comptables établies conformément au SYSCOHADA.</w:t>
      </w:r>
    </w:p>
    <w:p>
      <w:pPr>
        <w:spacing w:before="40"/>
        <w:ind w:left="400"/>
      </w:pPr>
      <w:r>
        <w:rPr>
          <w:b/>
          <w:color w:val="C05000"/>
          <w:sz w:val="18"/>
        </w:rPr>
        <w:t xml:space="preserve">⚠️ Risques : </w:t>
      </w:r>
      <w:r>
        <w:rPr>
          <w:sz w:val="18"/>
        </w:rPr>
        <w:t>["Absence de donn\u00e9es financi\u00e8res chiffr\u00e9es (chiffre d'affaires, r\u00e9sultat, bilan) dans le document, limitant l'analyse fondamentale.", "Examen limit\u00e9 et non audit complet : assurance partielle sur la fiabilit\u00e9 des \u00e9tats semestriels.", "D\u00e9calage temporel de publ</w:t>
      </w:r>
    </w:p>
    <w:p>
      <w:pPr>
        <w:spacing w:before="40"/>
        <w:ind w:left="400"/>
      </w:pPr>
      <w:r>
        <w:rPr>
          <w:b/>
          <w:color w:val="0064A0"/>
          <w:sz w:val="18"/>
        </w:rPr>
        <w:t xml:space="preserve">🔮 Perspectives : </w:t>
      </w:r>
      <w:r>
        <w:rPr>
          <w:sz w:val="18"/>
        </w:rPr>
        <w:t>Les perspectives ne peuvent être évaluées précisément faute d'indicateurs financiers dans le document. La conclusion sans réserve des Commissaires aux Comptes suggère néanmoins une information financière semestrielle conforme et de qualité. Il conviendra de se référer au rapport d'activité semestrie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25,925 titres</w:t>
            </w:r>
          </w:p>
        </w:tc>
        <w:tc>
          <w:tcPr>
            <w:tcW w:type="dxa" w:w="2268"/>
            <w:shd w:fill="FFF2CC" w:val="clear"/>
          </w:tcPr>
          <w:p>
            <w:r>
              <w:rPr>
                <w:b/>
                <w:color w:val="503200"/>
                <w:sz w:val="16"/>
              </w:rPr>
              <w:t xml:space="preserve">Cours actuel : </w:t>
            </w:r>
            <w:r>
              <w:rPr>
                <w:color w:val="000000"/>
                <w:sz w:val="17"/>
              </w:rPr>
              <w:t>9,800 FCFA</w:t>
            </w:r>
          </w:p>
          <w:p>
            <w:r>
              <w:rPr>
                <w:b/>
                <w:color w:val="503200"/>
                <w:sz w:val="16"/>
              </w:rPr>
              <w:t xml:space="preserve">Var. 100 jours : </w:t>
            </w:r>
            <w:r>
              <w:rPr>
                <w:b/>
                <w:color w:val="007800"/>
                <w:sz w:val="17"/>
              </w:rPr>
              <w:t>+35.08%</w:t>
            </w:r>
          </w:p>
          <w:p>
            <w:r>
              <w:rPr>
                <w:b/>
                <w:color w:val="503200"/>
                <w:sz w:val="16"/>
              </w:rPr>
              <w:t xml:space="preserve">Plus haut 100j : </w:t>
            </w:r>
            <w:r>
              <w:rPr>
                <w:color w:val="000000"/>
                <w:sz w:val="17"/>
              </w:rPr>
              <w:t>10,495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25.2/100 → Moyen</w:t>
      </w:r>
    </w:p>
    <w:p>
      <w:pPr>
        <w:spacing w:before="40" w:after="80"/>
      </w:pPr>
      <w:r>
        <w:rPr>
          <w:rFonts w:ascii="Courier New" w:hAnsi="Courier New"/>
          <w:color w:val="825A00"/>
          <w:sz w:val="18"/>
        </w:rPr>
        <w:t>█████░░░░░░░░░░░░░░░  25.2/100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10.14% (Moyenne) — μ=9,550 FCFA, σ=968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β=1.8728 (Très agressif) — Cov=0.000154, Var(idx)=0.000082, ρ=0.525, n=15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25,925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σ_j=3.61%/j (Modérée) — Vol. annualisée≈57.3%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 📊 RAPPORT D'ANALYSE FINANCIÈRE — BBGC (BRIDGE BANK GROUP COTE D'IVOIRE)</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490,00 Mds FCFA, BBGC s'affirme comme une capitalisation significative sur le marché BRVM, témoignant de la dimension régionale de l'établissement. Le BPA de 544 FCFA/action indique qu'à chaque titre correspond un bénéfice net de 544 FCFA, ce qui, rapporté au cours actuel de 9 800 FCFA, donne un PER de 18,0x — un niveau modéré mais nettement supérieur à la moyenne BRVM (~8-12x), traduisant une prime de croissance attendue par le marché. Le P/B de 4,66x signale que le marché valorise l'action à plus de 4,6 fois sa valeur comptable, une prime exigeante qui se justifie par la forte rentabilité des fonds propres (ROE de 25,87%). Enfin, l'EV/EBITDA de 16,3x, supérieur au seuil de 15x, confirme une valorisation tendue sur la capacité opérationnelle, cohérente avec le profil de croissance élevée de la banque mais laissant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BBGC affiche une performance remarquable de **+35,08%**, malgré un repli de **-5,31%** lors de la dernière séance, signe d'une prise de bénéfices ponctuelle après un rallye soutenu. Le cours actuel de 9 800 FCFA évolue dans un range large entre un plus bas de 7 255 FCFA et un plus haut de 10 495 FCFA, soit une amplitude de près de 45% qui traduit une forte volatilité directionnelle. La tendance générale demeure clairement haussière, portée par l'engouement post-introduction en bourse et la sursouscription de l'OPV. Les statistiques descriptives révèlent une moyenne de 9 550 FCFA légèrement inférieure à la médiane de 9 875 FCFA, avec un mode à 9 000 FCFA : cet écart suggère une distribution asymétrique où les cours ont davantage stationné au-dessus de la moyenne, confirmé par un skewness négatif de -0,920 (queue de distribution étirée vers les valeurs basses, mais masse concentrée sur les hauts niveaux). L'écart-type de 997 FCFA (CV de 10,4%) indique une dispersion modérée autour de la moyenne, tandis que le kurtosis de -0,236 (mésokurtique) signale une distribution proche de la normale, sans risque excessif de pics extrêmes. La volatilité annualisée de 57,3% positionne le titre dans la catégorie **élevée** (&gt;30%), caractéristique des valeurs récemment introduites en bourse et à forte croissance.</w:t>
      </w:r>
    </w:p>
    <w:p>
      <w:pPr>
        <w:spacing w:after="120" w:line="276" w:lineRule="auto"/>
      </w:pPr>
      <w:r>
        <w:t>---</w:t>
      </w:r>
    </w:p>
    <w:p>
      <w:pPr>
        <w:spacing w:after="120" w:line="276" w:lineRule="auto"/>
      </w:pPr>
      <w:r>
        <w:t>## PARTIE 2 : ANALYSE TECHNIQUE DÉTAILLÉE</w:t>
      </w:r>
    </w:p>
    <w:p>
      <w:pPr>
        <w:spacing w:after="120" w:line="276" w:lineRule="auto"/>
      </w:pPr>
      <w:r>
        <w:t>**Moyennes Mobiles :** Les moyennes mobiles MM20 et MM50 ne sont pas disponibles (valeurs NaN), ce qui s'explique vraisemblablement par l'historique de cotation encore court du titre suite à son introduction récente à la BRVM. Aucune décision technique ne peut donc être dégagée de cet indicateur, qui nécessite un historique de cours suffisant pour être fiable.</w:t>
      </w:r>
    </w:p>
    <w:p>
      <w:pPr>
        <w:spacing w:after="120" w:line="276" w:lineRule="auto"/>
      </w:pPr>
      <w:r>
        <w:t>**Bandes de Bollinger :** Les bornes supérieure et inférieure sont également indisponibles (NaN), pour la même raison d'historique insuffisant. Le cours actuel de 9 800 FCFA ne peut donc être positionné par rapport à un canal de volatilité, privant l'analyste d'un repère de surextension ou de compression des prix.</w:t>
      </w:r>
    </w:p>
    <w:p>
      <w:pPr>
        <w:spacing w:after="120" w:line="276" w:lineRule="auto"/>
      </w:pPr>
      <w:r>
        <w:t>**MACD :** La valeur du MACD et sa ligne de signal sont non calculables (NaN), empêchant toute analyse de divergence ou de momentum. Cet indicateur, qui aurait permis de confirmer la dynamique haussière observée sur 100 jours, reste inopérant faute de profondeur historique.</w:t>
      </w:r>
    </w:p>
    <w:p>
      <w:pPr>
        <w:spacing w:after="120" w:line="276" w:lineRule="auto"/>
      </w:pPr>
      <w:r>
        <w:t>**RSI :** Le RSI n'est pas disponible (NaN). En l'absence de cet oscillateur, il est impossible de déterminer si le titre se trouve en zone de surachat (&gt;70) malgré la hausse de 35%, ou s'il conserve un potentiel de progression — information cruciale après un tel rallye.</w:t>
      </w:r>
    </w:p>
    <w:p>
      <w:pPr>
        <w:spacing w:after="120" w:line="276" w:lineRule="auto"/>
      </w:pPr>
      <w:r>
        <w:t>**Stochastique :** Les %K et %D sont indisponibles (NaN), ne permettant pas d'identifier un éventuel croisement baissier ou haussier ni une zone de survente/surachat sur le court terme.</w:t>
      </w:r>
    </w:p>
    <w:p>
      <w:pPr>
        <w:spacing w:after="120" w:line="276" w:lineRule="auto"/>
      </w:pPr>
      <w:r>
        <w:t>**Conclusion technique :** L'ensemble des indicateurs techniques (MM, Bollinger, MACD, RSI, Stochastique) est indisponible en raison d'un historique de cotation insuffisant, conséquence directe de l'introduction récente de BBGC sur le parquet de la BRVM. Seule l'analyse du cours brut reste exploitable : la tendance est haussière (+35,08%) mais le repli de -5,31% en dernière séance, conjugué à une volatilité élevée de 57,3%, invite à la prudence sur le court terme. La convergence des signaux techniques ne peut être établie, ce qui réduit la fiabilité d'une décision purement chartiste et renforce le poids de l'analyse fondamentale.</w:t>
      </w:r>
    </w:p>
    <w:p>
      <w:pPr>
        <w:spacing w:after="120" w:line="276" w:lineRule="auto"/>
      </w:pPr>
      <w:r>
        <w:t>---</w:t>
      </w:r>
    </w:p>
    <w:p>
      <w:pPr>
        <w:spacing w:after="120" w:line="276" w:lineRule="auto"/>
      </w:pPr>
      <w:r>
        <w:t>## PARTIE 3 : ANALYSE FONDAMENTALE</w:t>
      </w:r>
    </w:p>
    <w:p>
      <w:pPr>
        <w:spacing w:after="120" w:line="276" w:lineRule="auto"/>
      </w:pPr>
      <w:r>
        <w:t>Les états financiers de l'exercice **2025** (données structurées officielles) dressent le portrait d'une banque solide et rentable : le Produit Net Bancaire (équivalent du chiffre d'affaires bancaire) s'établit à **67,824 Mds FCFA**, pour un résultat net de **27,197 Mds FCFA**, soit une marge nette exceptionnelle de **40,10%**. La rentabilité des fonds propres (ROE) atteint **25,87%**, largement au-dessus du seuil d'excellence de 15%, tandis que le ROA de 1,91% traduit une bonne efficience de l'actif. Le coefficient d'exploitation de **41,85%** (très inférieur au seuil de 60%) confirme une banque hautement efficace, et le coût du risque de seulement **0,89%** atteste d'un portefeuille de crédit sain. La structure de bilan révèle une forte capacité de collecte avec **1 138,119 Mds FCFA** de dépôts clientèle face à **768,574 Mds FCFA** de créances clientèle, soit un ratio de transformation de 67,5% — la banque finance ses crédits majoritairement par ses dépôts, gage de stabilité. Le taux de croissance du PNB de **15,71%** confirme la dynamique commerciale. Les rapports narratifs récents enrichissent cette analyse : selon le **rapport S1 2026 (période close le 30 juin 2026, analysé le 28/09/2026)**, le PNB semestriel progresse de **+25% à 37,7 Mds FCFA** et le résultat net bondit de **+46% à 15,2 Mds FCFA**, avec un coefficient d'exploitation en amélioration à **40,3%** (contre 43,3% un an plus tôt) et des dépôts en hausse de **+46% à 1 318,3 Mds FCFA**. Sur cette base, on peut **estimer** que l'exercice 2026 devrait afficher un résultat net annuel de l'ordre de 30 à 32 Mds FCFA si la dynamique du S1 se maintient, ce qui, rapporté à la capitalisation actuelle, confirmerait un PER forward légèrement inférieur à 18x. La recommandation fondamentale est donc **positive** : solidité bilancielle, croissance à deux chiffres, efficacité opérationnelle et expansion régionale (Burkina Faso) constituent des moteurs durables, avec pour principaux risques la hausse du coût du risque (+14% au S1 2026) et l'absence de politique de dividende communiquée.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 l'analyse converge vers un profil d'investissement attractif mais exigeant. **Sur le plan de la valorisation (Partie 0)**, le PER de 18,0x, le P/B de 4,66x et l'EV/EBITDA de 16,3x indiquent une action chèrement valorisée par rapport aux standards BRVM, mais cette prime se justifie par une croissance et une rentabilité supérieures à la moyenne du marché — le titre n'est donc ni sous-évalué ni en bulle, mais « priced for growth ». **Le comportement du cours (Partie 1)** est favorable avec +35,08% sur 100 jours, une distribution proche de la normale (kurtosis -0,236) et un skewness négatif modéré, bien que la volatilité élevée (57,3%) et le repli de -5,31% en dernière séance imposent une gestion prudente du risque. **Les signaux techniques (Partie 2)** sont malheureusement indisponibles (MM, Bollinger, MACD, RSI, Stochastique tous en NaN) en raison du jeune historique de cotation, ce qui empêche toute confirmation chartiste et constitue une limite objective à l'analyse court terme. **Les fondamentaux (Partie 3)** sont en revanche excellents : ROE de 25,87%, coefficient d'exploitation de 41,85%, coût du risque de 0,89% en 2025, et surtout une accélération spectaculaire au S1 2026 (PNB +25%, résultat net +46%) qui valide la thèse de croissance. **Les prédictions IA (J+1 à J+10)** ne sont pas disponibles, ce qui ne permet ni de confirmer ni de contredire les autres signaux. Sur la base de cette synthèse globale, la recommandation finale est **ACHAT**, avec un **niveau de confiance Moyen** (limité par l'absence d'indicateurs techniques et de prédictions) et un **niveau de risque Moyen à Élevé** (volatilité de 57,3%, valorisation tendue, historique court). L'horizon d'investissement optimal est le **moyen à long terme (6 mois à plus d'un an)**, le temps que l'historique technique se construise et que la dynamique bénéficiaire du S1 2026 se confirme sur l'exercice complet, permettant à la valorisation de se normaliser par la croissance des bénéfices.</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488.65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13,970 titres</w:t>
            </w:r>
          </w:p>
        </w:tc>
        <w:tc>
          <w:tcPr>
            <w:tcW w:type="dxa" w:w="2268"/>
            <w:shd w:fill="FFF2CC" w:val="clear"/>
          </w:tcPr>
          <w:p>
            <w:r>
              <w:rPr>
                <w:b/>
                <w:color w:val="503200"/>
                <w:sz w:val="16"/>
              </w:rPr>
              <w:t xml:space="preserve">Cours actuel : </w:t>
            </w:r>
            <w:r>
              <w:rPr>
                <w:color w:val="000000"/>
                <w:sz w:val="17"/>
              </w:rPr>
              <w:t>8,460 FCFA</w:t>
            </w:r>
          </w:p>
          <w:p>
            <w:r>
              <w:rPr>
                <w:b/>
                <w:color w:val="503200"/>
                <w:sz w:val="16"/>
              </w:rPr>
              <w:t xml:space="preserve">Var. 100 jours : </w:t>
            </w:r>
            <w:r>
              <w:rPr>
                <w:b/>
                <w:color w:val="007800"/>
                <w:sz w:val="17"/>
              </w:rPr>
              <w:t>+61.14%</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5,250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20.75% (Élevée) — μ=7,641 FCFA, σ=1,586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β=0.8385 (Neutre (suit le marché)) — Cov=0.000065, Var(idx)=0.000078, ρ=0.274,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13,970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2026-10-21</w:t>
            </w:r>
          </w:p>
        </w:tc>
        <w:tc>
          <w:tcPr>
            <w:tcW w:type="dxa" w:w="1440"/>
            <w:shd w:fill="C6EFCE" w:val="clear"/>
          </w:tcPr>
          <w:p>
            <w:r>
              <w:rPr>
                <w:sz w:val="17"/>
              </w:rPr>
              <w:t>8,368</w:t>
            </w:r>
          </w:p>
        </w:tc>
        <w:tc>
          <w:tcPr>
            <w:tcW w:type="dxa" w:w="1440"/>
            <w:shd w:fill="C6EFCE" w:val="clear"/>
          </w:tcPr>
          <w:p>
            <w:r>
              <w:rPr>
                <w:b/>
                <w:sz w:val="17"/>
              </w:rPr>
              <w:t>8,806</w:t>
            </w:r>
          </w:p>
        </w:tc>
        <w:tc>
          <w:tcPr>
            <w:tcW w:type="dxa" w:w="1440"/>
            <w:shd w:fill="C6EFCE" w:val="clear"/>
          </w:tcPr>
          <w:p>
            <w:r>
              <w:rPr>
                <w:sz w:val="17"/>
              </w:rPr>
              <w:t>9,243</w:t>
            </w:r>
          </w:p>
        </w:tc>
        <w:tc>
          <w:tcPr>
            <w:tcW w:type="dxa" w:w="1440"/>
            <w:shd w:fill="C6EFCE" w:val="clear"/>
          </w:tcPr>
          <w:p>
            <w:r>
              <w:rPr>
                <w:b/>
                <w:color w:val="008000"/>
                <w:sz w:val="17"/>
              </w:rPr>
              <w:t>+4.1%</w:t>
            </w:r>
          </w:p>
        </w:tc>
      </w:tr>
      <w:tr>
        <w:tc>
          <w:tcPr>
            <w:tcW w:type="dxa" w:w="1440"/>
            <w:shd w:fill="C6EFCE" w:val="clear"/>
          </w:tcPr>
          <w:p>
            <w:r>
              <w:rPr>
                <w:sz w:val="17"/>
              </w:rPr>
              <w:t>J+2  ⭐</w:t>
            </w:r>
          </w:p>
        </w:tc>
        <w:tc>
          <w:tcPr>
            <w:tcW w:type="dxa" w:w="1440"/>
            <w:shd w:fill="C6EFCE" w:val="clear"/>
          </w:tcPr>
          <w:p>
            <w:r>
              <w:rPr>
                <w:sz w:val="17"/>
              </w:rPr>
              <w:t>2026-10-22</w:t>
            </w:r>
          </w:p>
        </w:tc>
        <w:tc>
          <w:tcPr>
            <w:tcW w:type="dxa" w:w="1440"/>
            <w:shd w:fill="C6EFCE" w:val="clear"/>
          </w:tcPr>
          <w:p>
            <w:r>
              <w:rPr>
                <w:sz w:val="17"/>
              </w:rPr>
              <w:t>8,246</w:t>
            </w:r>
          </w:p>
        </w:tc>
        <w:tc>
          <w:tcPr>
            <w:tcW w:type="dxa" w:w="1440"/>
            <w:shd w:fill="C6EFCE" w:val="clear"/>
          </w:tcPr>
          <w:p>
            <w:r>
              <w:rPr>
                <w:b/>
                <w:sz w:val="17"/>
              </w:rPr>
              <w:t>8,869</w:t>
            </w:r>
          </w:p>
        </w:tc>
        <w:tc>
          <w:tcPr>
            <w:tcW w:type="dxa" w:w="1440"/>
            <w:shd w:fill="C6EFCE" w:val="clear"/>
          </w:tcPr>
          <w:p>
            <w:r>
              <w:rPr>
                <w:sz w:val="17"/>
              </w:rPr>
              <w:t>9,493</w:t>
            </w:r>
          </w:p>
        </w:tc>
        <w:tc>
          <w:tcPr>
            <w:tcW w:type="dxa" w:w="1440"/>
            <w:shd w:fill="C6EFCE" w:val="clear"/>
          </w:tcPr>
          <w:p>
            <w:r>
              <w:rPr>
                <w:b/>
                <w:color w:val="008000"/>
                <w:sz w:val="17"/>
              </w:rPr>
              <w:t>+4.8%</w:t>
            </w:r>
          </w:p>
        </w:tc>
      </w:tr>
      <w:tr>
        <w:tc>
          <w:tcPr>
            <w:tcW w:type="dxa" w:w="1440"/>
            <w:shd w:fill="C6EFCE" w:val="clear"/>
          </w:tcPr>
          <w:p>
            <w:r>
              <w:rPr>
                <w:sz w:val="17"/>
              </w:rPr>
              <w:t>J+3  ⭐</w:t>
            </w:r>
          </w:p>
        </w:tc>
        <w:tc>
          <w:tcPr>
            <w:tcW w:type="dxa" w:w="1440"/>
            <w:shd w:fill="C6EFCE" w:val="clear"/>
          </w:tcPr>
          <w:p>
            <w:r>
              <w:rPr>
                <w:sz w:val="17"/>
              </w:rPr>
              <w:t>2026-10-23</w:t>
            </w:r>
          </w:p>
        </w:tc>
        <w:tc>
          <w:tcPr>
            <w:tcW w:type="dxa" w:w="1440"/>
            <w:shd w:fill="C6EFCE" w:val="clear"/>
          </w:tcPr>
          <w:p>
            <w:r>
              <w:rPr>
                <w:sz w:val="17"/>
              </w:rPr>
              <w:t>8,174</w:t>
            </w:r>
          </w:p>
        </w:tc>
        <w:tc>
          <w:tcPr>
            <w:tcW w:type="dxa" w:w="1440"/>
            <w:shd w:fill="C6EFCE" w:val="clear"/>
          </w:tcPr>
          <w:p>
            <w:r>
              <w:rPr>
                <w:b/>
                <w:sz w:val="17"/>
              </w:rPr>
              <w:t>8,944</w:t>
            </w:r>
          </w:p>
        </w:tc>
        <w:tc>
          <w:tcPr>
            <w:tcW w:type="dxa" w:w="1440"/>
            <w:shd w:fill="C6EFCE" w:val="clear"/>
          </w:tcPr>
          <w:p>
            <w:r>
              <w:rPr>
                <w:sz w:val="17"/>
              </w:rPr>
              <w:t>9,714</w:t>
            </w:r>
          </w:p>
        </w:tc>
        <w:tc>
          <w:tcPr>
            <w:tcW w:type="dxa" w:w="1440"/>
            <w:shd w:fill="C6EFCE" w:val="clear"/>
          </w:tcPr>
          <w:p>
            <w:r>
              <w:rPr>
                <w:b/>
                <w:color w:val="008000"/>
                <w:sz w:val="17"/>
              </w:rPr>
              <w:t>+5.7%</w:t>
            </w:r>
          </w:p>
        </w:tc>
      </w:tr>
      <w:tr>
        <w:tc>
          <w:tcPr>
            <w:tcW w:type="dxa" w:w="1440"/>
            <w:shd w:fill="C6EFCE" w:val="clear"/>
          </w:tcPr>
          <w:p>
            <w:r>
              <w:rPr>
                <w:sz w:val="17"/>
              </w:rPr>
              <w:t>J+4  ⭐</w:t>
            </w:r>
          </w:p>
        </w:tc>
        <w:tc>
          <w:tcPr>
            <w:tcW w:type="dxa" w:w="1440"/>
            <w:shd w:fill="C6EFCE" w:val="clear"/>
          </w:tcPr>
          <w:p>
            <w:r>
              <w:rPr>
                <w:sz w:val="17"/>
              </w:rPr>
              <w:t>2026-10-26</w:t>
            </w:r>
          </w:p>
        </w:tc>
        <w:tc>
          <w:tcPr>
            <w:tcW w:type="dxa" w:w="1440"/>
            <w:shd w:fill="C6EFCE" w:val="clear"/>
          </w:tcPr>
          <w:p>
            <w:r>
              <w:rPr>
                <w:sz w:val="17"/>
              </w:rPr>
              <w:t>8,119</w:t>
            </w:r>
          </w:p>
        </w:tc>
        <w:tc>
          <w:tcPr>
            <w:tcW w:type="dxa" w:w="1440"/>
            <w:shd w:fill="C6EFCE" w:val="clear"/>
          </w:tcPr>
          <w:p>
            <w:r>
              <w:rPr>
                <w:b/>
                <w:sz w:val="17"/>
              </w:rPr>
              <w:t>9,015</w:t>
            </w:r>
          </w:p>
        </w:tc>
        <w:tc>
          <w:tcPr>
            <w:tcW w:type="dxa" w:w="1440"/>
            <w:shd w:fill="C6EFCE" w:val="clear"/>
          </w:tcPr>
          <w:p>
            <w:r>
              <w:rPr>
                <w:sz w:val="17"/>
              </w:rPr>
              <w:t>9,912</w:t>
            </w:r>
          </w:p>
        </w:tc>
        <w:tc>
          <w:tcPr>
            <w:tcW w:type="dxa" w:w="1440"/>
            <w:shd w:fill="C6EFCE" w:val="clear"/>
          </w:tcPr>
          <w:p>
            <w:r>
              <w:rPr>
                <w:b/>
                <w:color w:val="008000"/>
                <w:sz w:val="17"/>
              </w:rPr>
              <w:t>+6.6%</w:t>
            </w:r>
          </w:p>
        </w:tc>
      </w:tr>
      <w:tr>
        <w:tc>
          <w:tcPr>
            <w:tcW w:type="dxa" w:w="1440"/>
            <w:shd w:fill="C6EFCE" w:val="clear"/>
          </w:tcPr>
          <w:p>
            <w:r>
              <w:rPr>
                <w:sz w:val="17"/>
              </w:rPr>
              <w:t>J+5  ⭐</w:t>
            </w:r>
          </w:p>
        </w:tc>
        <w:tc>
          <w:tcPr>
            <w:tcW w:type="dxa" w:w="1440"/>
            <w:shd w:fill="C6EFCE" w:val="clear"/>
          </w:tcPr>
          <w:p>
            <w:r>
              <w:rPr>
                <w:sz w:val="17"/>
              </w:rPr>
              <w:t>2026-10-27</w:t>
            </w:r>
          </w:p>
        </w:tc>
        <w:tc>
          <w:tcPr>
            <w:tcW w:type="dxa" w:w="1440"/>
            <w:shd w:fill="C6EFCE" w:val="clear"/>
          </w:tcPr>
          <w:p>
            <w:r>
              <w:rPr>
                <w:sz w:val="17"/>
              </w:rPr>
              <w:t>8,071</w:t>
            </w:r>
          </w:p>
        </w:tc>
        <w:tc>
          <w:tcPr>
            <w:tcW w:type="dxa" w:w="1440"/>
            <w:shd w:fill="C6EFCE" w:val="clear"/>
          </w:tcPr>
          <w:p>
            <w:r>
              <w:rPr>
                <w:b/>
                <w:sz w:val="17"/>
              </w:rPr>
              <w:t>9,080</w:t>
            </w:r>
          </w:p>
        </w:tc>
        <w:tc>
          <w:tcPr>
            <w:tcW w:type="dxa" w:w="1440"/>
            <w:shd w:fill="C6EFCE" w:val="clear"/>
          </w:tcPr>
          <w:p>
            <w:r>
              <w:rPr>
                <w:sz w:val="17"/>
              </w:rPr>
              <w:t>10,089</w:t>
            </w:r>
          </w:p>
        </w:tc>
        <w:tc>
          <w:tcPr>
            <w:tcW w:type="dxa" w:w="1440"/>
            <w:shd w:fill="C6EFCE" w:val="clear"/>
          </w:tcPr>
          <w:p>
            <w:r>
              <w:rPr>
                <w:b/>
                <w:color w:val="008000"/>
                <w:sz w:val="17"/>
              </w:rPr>
              <w:t>+7.3%</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8,025</w:t>
            </w:r>
          </w:p>
        </w:tc>
        <w:tc>
          <w:tcPr>
            <w:tcW w:type="dxa" w:w="1440"/>
            <w:shd w:fill="C6EFCE" w:val="clear"/>
          </w:tcPr>
          <w:p>
            <w:r>
              <w:rPr>
                <w:b/>
                <w:sz w:val="17"/>
              </w:rPr>
              <w:t>9,137</w:t>
            </w:r>
          </w:p>
        </w:tc>
        <w:tc>
          <w:tcPr>
            <w:tcW w:type="dxa" w:w="1440"/>
            <w:shd w:fill="C6EFCE" w:val="clear"/>
          </w:tcPr>
          <w:p>
            <w:r>
              <w:rPr>
                <w:sz w:val="17"/>
              </w:rPr>
              <w:t>10,250</w:t>
            </w:r>
          </w:p>
        </w:tc>
        <w:tc>
          <w:tcPr>
            <w:tcW w:type="dxa" w:w="1440"/>
            <w:shd w:fill="C6EFCE" w:val="clear"/>
          </w:tcPr>
          <w:p>
            <w:r>
              <w:rPr>
                <w:b/>
                <w:color w:val="008000"/>
                <w:sz w:val="17"/>
              </w:rPr>
              <w:t>+8.0%</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7,979</w:t>
            </w:r>
          </w:p>
        </w:tc>
        <w:tc>
          <w:tcPr>
            <w:tcW w:type="dxa" w:w="1440"/>
            <w:shd w:fill="C6EFCE" w:val="clear"/>
          </w:tcPr>
          <w:p>
            <w:r>
              <w:rPr>
                <w:b/>
                <w:sz w:val="17"/>
              </w:rPr>
              <w:t>9,188</w:t>
            </w:r>
          </w:p>
        </w:tc>
        <w:tc>
          <w:tcPr>
            <w:tcW w:type="dxa" w:w="1440"/>
            <w:shd w:fill="C6EFCE" w:val="clear"/>
          </w:tcPr>
          <w:p>
            <w:r>
              <w:rPr>
                <w:sz w:val="17"/>
              </w:rPr>
              <w:t>10,396</w:t>
            </w:r>
          </w:p>
        </w:tc>
        <w:tc>
          <w:tcPr>
            <w:tcW w:type="dxa" w:w="1440"/>
            <w:shd w:fill="C6EFCE" w:val="clear"/>
          </w:tcPr>
          <w:p>
            <w:r>
              <w:rPr>
                <w:b/>
                <w:color w:val="008000"/>
                <w:sz w:val="17"/>
              </w:rPr>
              <w:t>+8.6%</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7,933</w:t>
            </w:r>
          </w:p>
        </w:tc>
        <w:tc>
          <w:tcPr>
            <w:tcW w:type="dxa" w:w="1440"/>
            <w:shd w:fill="C6EFCE" w:val="clear"/>
          </w:tcPr>
          <w:p>
            <w:r>
              <w:rPr>
                <w:b/>
                <w:sz w:val="17"/>
              </w:rPr>
              <w:t>9,232</w:t>
            </w:r>
          </w:p>
        </w:tc>
        <w:tc>
          <w:tcPr>
            <w:tcW w:type="dxa" w:w="1440"/>
            <w:shd w:fill="C6EFCE" w:val="clear"/>
          </w:tcPr>
          <w:p>
            <w:r>
              <w:rPr>
                <w:sz w:val="17"/>
              </w:rPr>
              <w:t>10,530</w:t>
            </w:r>
          </w:p>
        </w:tc>
        <w:tc>
          <w:tcPr>
            <w:tcW w:type="dxa" w:w="1440"/>
            <w:shd w:fill="C6EFCE" w:val="clear"/>
          </w:tcPr>
          <w:p>
            <w:r>
              <w:rPr>
                <w:b/>
                <w:color w:val="008000"/>
                <w:sz w:val="17"/>
              </w:rPr>
              <w:t>+9.1%</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7,887</w:t>
            </w:r>
          </w:p>
        </w:tc>
        <w:tc>
          <w:tcPr>
            <w:tcW w:type="dxa" w:w="1440"/>
            <w:shd w:fill="C6EFCE" w:val="clear"/>
          </w:tcPr>
          <w:p>
            <w:r>
              <w:rPr>
                <w:b/>
                <w:sz w:val="17"/>
              </w:rPr>
              <w:t>9,269</w:t>
            </w:r>
          </w:p>
        </w:tc>
        <w:tc>
          <w:tcPr>
            <w:tcW w:type="dxa" w:w="1440"/>
            <w:shd w:fill="C6EFCE" w:val="clear"/>
          </w:tcPr>
          <w:p>
            <w:r>
              <w:rPr>
                <w:sz w:val="17"/>
              </w:rPr>
              <w:t>10,652</w:t>
            </w:r>
          </w:p>
        </w:tc>
        <w:tc>
          <w:tcPr>
            <w:tcW w:type="dxa" w:w="1440"/>
            <w:shd w:fill="C6EFCE" w:val="clear"/>
          </w:tcPr>
          <w:p>
            <w:r>
              <w:rPr>
                <w:b/>
                <w:color w:val="008000"/>
                <w:sz w:val="17"/>
              </w:rPr>
              <w:t>+9.6%</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7,840</w:t>
            </w:r>
          </w:p>
        </w:tc>
        <w:tc>
          <w:tcPr>
            <w:tcW w:type="dxa" w:w="1440"/>
            <w:shd w:fill="C6EFCE" w:val="clear"/>
          </w:tcPr>
          <w:p>
            <w:r>
              <w:rPr>
                <w:b/>
                <w:sz w:val="17"/>
              </w:rPr>
              <w:t>9,302</w:t>
            </w:r>
          </w:p>
        </w:tc>
        <w:tc>
          <w:tcPr>
            <w:tcW w:type="dxa" w:w="1440"/>
            <w:shd w:fill="C6EFCE" w:val="clear"/>
          </w:tcPr>
          <w:p>
            <w:r>
              <w:rPr>
                <w:sz w:val="17"/>
              </w:rPr>
              <w:t>10,764</w:t>
            </w:r>
          </w:p>
        </w:tc>
        <w:tc>
          <w:tcPr>
            <w:tcW w:type="dxa" w:w="1440"/>
            <w:shd w:fill="C6EFCE" w:val="clear"/>
          </w:tcPr>
          <w:p>
            <w:r>
              <w:rPr>
                <w:b/>
                <w:color w:val="008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RAPPORT D'ANALYSE FINANCIÈRE — ACTION BICB (BRVM)</w:t>
      </w:r>
    </w:p>
    <w:p>
      <w:pPr>
        <w:spacing w:after="120" w:line="276" w:lineRule="auto"/>
      </w:pPr>
      <w:r>
        <w:t>**Banque Internationale pour l'Industrie et le Commerce (Bénin)**</w:t>
        <w:br/>
        <w:t>*Date d'analyse : octobre 2026 — Cours de référence : 8 460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488,65 Mds FCFA, BICB figure parmi les valeurs bancaires les plus capitalisées de la cote BRVM, ce qui témoigne de son poids dans l'indice sectoriel bancaire régional. Le BPA de 627 FCFA/action signifie que chaque titre génère près de 627 FCFA de bénéfice net, un niveau de rentabilité par action remarquable pour le marché ouest-africain. Le PER de 13,5x se situe légèrement au-dessus de la moyenne BRVM (~8-12x), traduisant une prime de qualité modérée mais non excessive au regard de la croissance des bénéfices. Le P/B de 3,62x indique que le marché valorise le titre à plus de 3,6 fois sa valeur comptable, soit une prime de croissance significative (fourchette 2-4x) justifiée par un ROE de 26,8% très supérieur au coût des fonds propres. En revanche, l'EV/EBITDA de 24,1x apparaît très exigeant (&gt;15x), signalant que la valeur d'entreprise intègre déjà une forte anticipation de croissance opérationnelle — un point de vigilance pour les investisseurs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affiche une progression spectaculaire de **+61,14%**, avec un cours actuel de 8 460 FCFA et une variation J-1 nulle (+0,00%), signe d'une séance de consolidation sans pression vendeuse. Le range de trading est très large, oscillant entre un plus bas de 5 250 FCFA et un plus haut de 10 790 FCFA, soit un écart de plus de 105% entre les extrêmes — caractéristique d'une tendance haussière forte mais ponctuée de corrections marquées. La moyenne (7 641 FCFA) est légèrement inférieure à la médiane (7 770 FCFA), indiquant une asymétrie mineure vers les valeurs basses, cohérente avec un skewness de 0,180 qualifié de distribution symétrique. L'écart-type de 1 594 FCFA avec un coefficient de variation de 20,9% traduit une dispersion modérée à élevée du cours autour de sa moyenne. Le kurtosis de -1,041 (distribution platykurtique) révèle une distribution aplatie avec une faible concentration autour de la moyenne et un risque de pics moins prononcé qu'une distribution normale — le titre évolue par paliers plutôt que par chocs brutaux. La volatilité annualisée de 42,5% classe BICB dans la catégorie des titres à volatilité élevée (&gt;30%), ce qui est cohérent avec la forte amplitude du range observé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(8 542,25 FCFA) et la MM50 (8 995,80 FCFA) se situent toutes deux au-dessus du cours actuel (8 460 FCFA), configuration baissière de court terme. La MM20 étant inférieure à la MM50, on observe un croisement baissier (death cross) confirmant la pression vendeuse récente. La décision technique est **Vente**, le cours évoluant sous ses deux moyennes de référence.</w:t>
      </w:r>
    </w:p>
    <w:p>
      <w:pPr>
        <w:spacing w:after="120" w:line="276" w:lineRule="auto"/>
      </w:pPr>
      <w:r>
        <w:t>**Bandes de Bollinger** : Le cours (8 460 FCFA) se situe dans la moitié inférieure de la bande, entre la borne inférieure (8 034,52 FCFA) et la borne supérieure (9 049,99 FCFA), sans contact avec les extrêmes. L'amplitude de la bande (~1 015 FCFA) reflète une volatilité encore soutenue mais en voie de normalisation. La décision est **Neutre**, le titre n'étant ni en survente ni en surachat technique.</w:t>
      </w:r>
    </w:p>
    <w:p>
      <w:pPr>
        <w:spacing w:after="120" w:line="276" w:lineRule="auto"/>
      </w:pPr>
      <w:r>
        <w:t>**MACD** : La ligne MACD (-199,62) est inférieure à sa ligne de signal (-179,71), avec un histogramme négatif qui traduit un momentum baissier persistant. L'écart entre les deux lignes reste modéré, suggérant une pression vendeuse qui s'essouffle progressivement sans retournement confirmé. La décision est **Vente**, le croisement baissier n'étant pas encore invalidé.</w:t>
      </w:r>
    </w:p>
    <w:p>
      <w:pPr>
        <w:spacing w:after="120" w:line="276" w:lineRule="auto"/>
      </w:pPr>
      <w:r>
        <w:t>**RSI** : À 45,37, le RSI se situe en zone neutre (30-70), légèrement sous le seuil médian de 50, ce qui traduit un léger avantage aux vendeurs sans excès. Aucun signal de surachat (&gt;70) ni de survente (&lt;30) n'est présent. La décision est **Neutre**, le titre conservant un potentiel de rebond comme de repli.</w:t>
      </w:r>
    </w:p>
    <w:p>
      <w:pPr>
        <w:spacing w:after="120" w:line="276" w:lineRule="auto"/>
      </w:pPr>
      <w:r>
        <w:t>**Stochastique** : Le %K (15,09) et le %D (11,32) évoluent tous deux en zone de survente (&lt;20), avec un %K légèrement supérieur au %D — configuration propice à un croisement haussier imminent. Cette position extrême suggère un épuisement de la pression vendeuse et un possible rebond technique. La décision est **Achat**, signal contracyclique par rapport aux autres indicateurs.</w:t>
      </w:r>
    </w:p>
    <w:p>
      <w:pPr>
        <w:spacing w:after="120" w:line="276" w:lineRule="auto"/>
      </w:pPr>
      <w:r>
        <w:t>**Conclusion technique** : Les indicateurs présentent une configuration **mitigée à dominante baissière de court terme** (MM et MACD en Vente, Bollinger et RSI neutres), mais le Stochastique en zone de survente signale un potentiel de rebond technique. Le titre se trouve dans une phase de consolidation après sa forte hausse, avec un support immédiat autour de 8 034 FCFA (borne inférieure de Bollinger) et une résistance vers 8 995 FCFA (MM50). La divergence entre le Stochastique (Achat) et le MACD (Vente) invite à la prudence : un retournement haussier n'est crédible qu'en cas de franchissement de la MM20 à 8 542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BICB affiche un Produit Net Bancaire (équivalent du chiffre d'affaires bancaire) de **52,805 Mds FCFA**, en croissance de **+16,49%**, porté par une marge d'intérêts de 100,361 Mds FCFA et des commissions de 12,072 Mds FCFA. Le résultat net s'établit à **36,237 Mds FCFA**, soit une marge nette exceptionnelle de 68,62% (bonifiée par un coût du risque négatif de +5,075 Mds FCFA de reprises). Le **ROE de 26,82%** (largement &gt;15%, seuil d'excellence) et le **ROA de 1,96%** confirment une rentabilité de premier plan. Le **coefficient d'exploitation de 31,12%** (&lt;60%, donc très efficace) traduit une discipline de coûts remarquable. Le ratio crédits nets/dépôts de 97,5% (1 151,5 Mds de créances clientèle pour 1 181,0 Mds de dépôts) signale une transformation tendue, tandis que le coût du risque de 9,61% des charges financières reste un point de vigilance. La structure financière affiche un ratio d'endettement de 22,46% et une solvabilité générale de 107,90% (&gt;1, donc solvable), mais une autonomie financière faible de 7,33% — caractéristique du modèle bancaire à fort levier.</w:t>
      </w:r>
    </w:p>
    <w:p>
      <w:pPr>
        <w:spacing w:after="120" w:line="276" w:lineRule="auto"/>
      </w:pPr>
      <w:r>
        <w:t>**Estimations basées sur les rapports trimestriels** : Le rapport du **T1 2026** (publié en 2026) révèle un PNB de 14,6 Mds FCFA (+35%) et un résultat net de 8,0 Mds FCFA (+48%), avec des dépôts en hausse de 6% à 1 248,3 Mds FCFA — dynamique commerciale confirmée. Le rapport **S1 2026** (analysé le 22/09/2026) confirme cette tendance avec un PNB de 31,9 Mds FCFA (+19%), un RBE bondissant de +31% à 22,9 Mds FCFA grâce à des charges en repli de 4%, et un résultat net de 18,4 Mds FCFA (+11%). Toutefois, le coût du risque redevient une charge de 3,6 Mds FCFA (contre un produit de 2,4 Mds au S1 2025), normalisant la comparaison. **On estime** ainsi que l'exercice 2026 devrait afficher un PNB annuel proche de 63-65 Mds FCFA et un résultat net de l'ordre de 37-39 Mds FCFA, soit une croissance modérée du bénéfice (+2 à +8%) après l'année exceptionnelle 2025. Le rapport annuel 2025 (analysé le 22/06/2026) souligne un ratio de solvabilité de 19,64% (vs 11,5% réglementaire) offrant une marge de manœuvre confortable. **Recommandation fondamentale : CONSERVER à ACHAT** — les fondamentaux sont solides (ROE 26,8%, coefficient d'exploitation 31,1%, leader béninois), mais la normalisation du coût du risque et la tension sur la liquidité (ratio crédits/dépôts 97,5%) imposent une surveillance accrue.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**Sur la valorisation (Partie 0)**, le PER de 13,5x et le P/B de 3,62x intègrent une prime de qualité justifiée par le ROE de 26,8%, mais l'EV/EBITDA de 24,1x suggère une valorisation déjà exigeante, limitant le potentiel de re-rating. **Le comportement du cours (Partie 1)** est marqué par une hausse exceptionnelle de +61,14% sur 100 jours, une volatilité élevée de 42,5% et une distribution platykurtique (kurtosis -1,041) — le titre a probablement déjà intégré une large part du bon newsflow, avec un risque de consolidation. **Les signaux techniques (Partie 2)** sont majoritairement baissiers à court terme (MM en Vente, MACD en Vente, cours sous MM20 et MM50), mais le Stochastique en survente (15,09) suggère un rebond technique imminent — configuration de divergence nécessitant confirmation. **Les fondamentaux (Partie 3)** restent solides (ROE 26,8%, PNB +16,5% en 2025, PNB +19% au S1 2026), mais la normalisation du coût du risque et la tension liquidité (97,5%) tempèrent l'enthousiasme. **Les prédictions IA (J+1 à J+10)** projettent une trajectoire haussière de 8 806 à 9 080 FCFA (+7,3% sur 10 jours), ce qui **contredit** les signaux techniques baissiers de court terme mais **confirme** le rebond anticipé par le Stochastique. Face à cette divergence entre technique baissière et prédictions haussières, la convergence fondamentale (rentabilité élevée) et la valorisation raisonnable (PER 13,5x) plaident pour une posture positive à moyen terme.</w:t>
      </w:r>
    </w:p>
    <w:p>
      <w:pPr>
        <w:spacing w:after="120" w:line="276" w:lineRule="auto"/>
      </w:pPr>
      <w:r>
        <w:t>**Recommandation finale : CONSERVER** (avec biais acheteur sur repli vers 8 034 FCFA). Le niveau de confiance est **Moyen** — la solidité fondamentale est certaine, mais l'exigence de valorisation (EV/EBITDA 24,1x) et la normalisation du coût du risque créent une incertitude sur le potentiel de surperformance à court terme. Le niveau de risque global est **Moyen à Élevé** (volatilité 42,5%, tension liquidité, coût du risque en normalisation). L'horizon d'investissement optimal est le **moyen terme (3-12 mois)**, le temps que la banque confirme la soutenabilité de sa croissance (S1 2026 : PNB +19%, RN +11%) et que le marché digère la forte hausse récente. Un renforcement est envisageable sous 8 200 FCFA, avec un objectif de cours à 9 500-10 000 FCFA en cas de confirmation du rebond technique et de poursuite de la dynamique bénéficiaire.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533.50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736 titres</w:t>
            </w:r>
          </w:p>
        </w:tc>
        <w:tc>
          <w:tcPr>
            <w:tcW w:type="dxa" w:w="2268"/>
            <w:shd w:fill="FFF2CC" w:val="clear"/>
          </w:tcPr>
          <w:p>
            <w:r>
              <w:rPr>
                <w:b/>
                <w:color w:val="503200"/>
                <w:sz w:val="16"/>
              </w:rPr>
              <w:t xml:space="preserve">Cours actuel : </w:t>
            </w:r>
            <w:r>
              <w:rPr>
                <w:color w:val="000000"/>
                <w:sz w:val="17"/>
              </w:rPr>
              <w:t>32,010 FCFA</w:t>
            </w:r>
          </w:p>
          <w:p>
            <w:r>
              <w:rPr>
                <w:b/>
                <w:color w:val="503200"/>
                <w:sz w:val="16"/>
              </w:rPr>
              <w:t xml:space="preserve">Var. 100 jours : </w:t>
            </w:r>
            <w:r>
              <w:rPr>
                <w:b/>
                <w:color w:val="007800"/>
                <w:sz w:val="17"/>
              </w:rPr>
              <w:t>+13.31%</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27,505 FCFA</w:t>
            </w:r>
          </w:p>
          <w:p>
            <w:r>
              <w:rPr>
                <w:b/>
                <w:color w:val="503200"/>
                <w:sz w:val="16"/>
              </w:rPr>
              <w:t xml:space="preserve">Volatilité ann. : </w:t>
            </w:r>
            <w:r>
              <w:rPr>
                <w:color w:val="000000"/>
                <w:sz w:val="17"/>
              </w:rPr>
              <w:t>38.7%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5.98% (Moyenne) — μ=29,854 FCFA, σ=1,785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β=0.9428 (Neutre (suit le marché)) — Cov=0.000073, Var(idx)=0.000078, ρ=0.342,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736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σ_j=2.44%/j (Stable) — Vol. annualisée≈38.7%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29,800</w:t>
            </w:r>
          </w:p>
        </w:tc>
        <w:tc>
          <w:tcPr>
            <w:tcW w:type="dxa" w:w="1440"/>
            <w:shd w:fill="FAFAFA" w:val="clear"/>
          </w:tcPr>
          <w:p>
            <w:r>
              <w:rPr>
                <w:b/>
                <w:sz w:val="17"/>
              </w:rPr>
              <w:t>31,612</w:t>
            </w:r>
          </w:p>
        </w:tc>
        <w:tc>
          <w:tcPr>
            <w:tcW w:type="dxa" w:w="1440"/>
            <w:shd w:fill="FAFAFA" w:val="clear"/>
          </w:tcPr>
          <w:p>
            <w:r>
              <w:rPr>
                <w:sz w:val="17"/>
              </w:rPr>
              <w:t>33,425</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28,999</w:t>
            </w:r>
          </w:p>
        </w:tc>
        <w:tc>
          <w:tcPr>
            <w:tcW w:type="dxa" w:w="1440"/>
            <w:shd w:fill="FAFAFA" w:val="clear"/>
          </w:tcPr>
          <w:p>
            <w:r>
              <w:rPr>
                <w:b/>
                <w:sz w:val="17"/>
              </w:rPr>
              <w:t>31,558</w:t>
            </w:r>
          </w:p>
        </w:tc>
        <w:tc>
          <w:tcPr>
            <w:tcW w:type="dxa" w:w="1440"/>
            <w:shd w:fill="FAFAFA" w:val="clear"/>
          </w:tcPr>
          <w:p>
            <w:r>
              <w:rPr>
                <w:sz w:val="17"/>
              </w:rPr>
              <w:t>34,117</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28,355</w:t>
            </w:r>
          </w:p>
        </w:tc>
        <w:tc>
          <w:tcPr>
            <w:tcW w:type="dxa" w:w="1440"/>
            <w:shd w:fill="FAFAFA" w:val="clear"/>
          </w:tcPr>
          <w:p>
            <w:r>
              <w:rPr>
                <w:b/>
                <w:sz w:val="17"/>
              </w:rPr>
              <w:t>31,482</w:t>
            </w:r>
          </w:p>
        </w:tc>
        <w:tc>
          <w:tcPr>
            <w:tcW w:type="dxa" w:w="1440"/>
            <w:shd w:fill="FAFAFA" w:val="clear"/>
          </w:tcPr>
          <w:p>
            <w:r>
              <w:rPr>
                <w:sz w:val="17"/>
              </w:rPr>
              <w:t>34,608</w:t>
            </w:r>
          </w:p>
        </w:tc>
        <w:tc>
          <w:tcPr>
            <w:tcW w:type="dxa" w:w="1440"/>
            <w:shd w:fill="FAFAFA" w:val="clear"/>
          </w:tcPr>
          <w:p>
            <w:r>
              <w:rPr>
                <w:b/>
                <w:color w:val="C00000"/>
                <w:sz w:val="17"/>
              </w:rPr>
              <w:t>-1.7%</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27,811</w:t>
            </w:r>
          </w:p>
        </w:tc>
        <w:tc>
          <w:tcPr>
            <w:tcW w:type="dxa" w:w="1440"/>
            <w:shd w:fill="FAFAFA" w:val="clear"/>
          </w:tcPr>
          <w:p>
            <w:r>
              <w:rPr>
                <w:b/>
                <w:sz w:val="17"/>
              </w:rPr>
              <w:t>31,413</w:t>
            </w:r>
          </w:p>
        </w:tc>
        <w:tc>
          <w:tcPr>
            <w:tcW w:type="dxa" w:w="1440"/>
            <w:shd w:fill="FAFAFA" w:val="clear"/>
          </w:tcPr>
          <w:p>
            <w:r>
              <w:rPr>
                <w:sz w:val="17"/>
              </w:rPr>
              <w:t>35,015</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2026-10-27</w:t>
            </w:r>
          </w:p>
        </w:tc>
        <w:tc>
          <w:tcPr>
            <w:tcW w:type="dxa" w:w="1440"/>
            <w:shd w:fill="FFDCE0" w:val="clear"/>
          </w:tcPr>
          <w:p>
            <w:r>
              <w:rPr>
                <w:sz w:val="17"/>
              </w:rPr>
              <w:t>27,333</w:t>
            </w:r>
          </w:p>
        </w:tc>
        <w:tc>
          <w:tcPr>
            <w:tcW w:type="dxa" w:w="1440"/>
            <w:shd w:fill="FFDCE0" w:val="clear"/>
          </w:tcPr>
          <w:p>
            <w:r>
              <w:rPr>
                <w:b/>
                <w:sz w:val="17"/>
              </w:rPr>
              <w:t>31,352</w:t>
            </w:r>
          </w:p>
        </w:tc>
        <w:tc>
          <w:tcPr>
            <w:tcW w:type="dxa" w:w="1440"/>
            <w:shd w:fill="FFDCE0" w:val="clear"/>
          </w:tcPr>
          <w:p>
            <w:r>
              <w:rPr>
                <w:sz w:val="17"/>
              </w:rPr>
              <w:t>35,372</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2026-10-28</w:t>
            </w:r>
          </w:p>
        </w:tc>
        <w:tc>
          <w:tcPr>
            <w:tcW w:type="dxa" w:w="1440"/>
            <w:shd w:fill="FFDCE0" w:val="clear"/>
          </w:tcPr>
          <w:p>
            <w:r>
              <w:rPr>
                <w:sz w:val="17"/>
              </w:rPr>
              <w:t>26,900</w:t>
            </w:r>
          </w:p>
        </w:tc>
        <w:tc>
          <w:tcPr>
            <w:tcW w:type="dxa" w:w="1440"/>
            <w:shd w:fill="FFDCE0" w:val="clear"/>
          </w:tcPr>
          <w:p>
            <w:r>
              <w:rPr>
                <w:b/>
                <w:sz w:val="17"/>
              </w:rPr>
              <w:t>31,295</w:t>
            </w:r>
          </w:p>
        </w:tc>
        <w:tc>
          <w:tcPr>
            <w:tcW w:type="dxa" w:w="1440"/>
            <w:shd w:fill="FFDCE0" w:val="clear"/>
          </w:tcPr>
          <w:p>
            <w:r>
              <w:rPr>
                <w:sz w:val="17"/>
              </w:rPr>
              <w:t>35,690</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2026-10-29</w:t>
            </w:r>
          </w:p>
        </w:tc>
        <w:tc>
          <w:tcPr>
            <w:tcW w:type="dxa" w:w="1440"/>
            <w:shd w:fill="FFDCE0" w:val="clear"/>
          </w:tcPr>
          <w:p>
            <w:r>
              <w:rPr>
                <w:sz w:val="17"/>
              </w:rPr>
              <w:t>26,501</w:t>
            </w:r>
          </w:p>
        </w:tc>
        <w:tc>
          <w:tcPr>
            <w:tcW w:type="dxa" w:w="1440"/>
            <w:shd w:fill="FFDCE0" w:val="clear"/>
          </w:tcPr>
          <w:p>
            <w:r>
              <w:rPr>
                <w:b/>
                <w:sz w:val="17"/>
              </w:rPr>
              <w:t>31,240</w:t>
            </w:r>
          </w:p>
        </w:tc>
        <w:tc>
          <w:tcPr>
            <w:tcW w:type="dxa" w:w="1440"/>
            <w:shd w:fill="FFDCE0" w:val="clear"/>
          </w:tcPr>
          <w:p>
            <w:r>
              <w:rPr>
                <w:sz w:val="17"/>
              </w:rPr>
              <w:t>35,979</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2026-10-30</w:t>
            </w:r>
          </w:p>
        </w:tc>
        <w:tc>
          <w:tcPr>
            <w:tcW w:type="dxa" w:w="1440"/>
            <w:shd w:fill="FFDCE0" w:val="clear"/>
          </w:tcPr>
          <w:p>
            <w:r>
              <w:rPr>
                <w:sz w:val="17"/>
              </w:rPr>
              <w:t>26,129</w:t>
            </w:r>
          </w:p>
        </w:tc>
        <w:tc>
          <w:tcPr>
            <w:tcW w:type="dxa" w:w="1440"/>
            <w:shd w:fill="FFDCE0" w:val="clear"/>
          </w:tcPr>
          <w:p>
            <w:r>
              <w:rPr>
                <w:b/>
                <w:sz w:val="17"/>
              </w:rPr>
              <w:t>31,186</w:t>
            </w:r>
          </w:p>
        </w:tc>
        <w:tc>
          <w:tcPr>
            <w:tcW w:type="dxa" w:w="1440"/>
            <w:shd w:fill="FFDCE0" w:val="clear"/>
          </w:tcPr>
          <w:p>
            <w:r>
              <w:rPr>
                <w:sz w:val="17"/>
              </w:rPr>
              <w:t>36,244</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2026-11-02</w:t>
            </w:r>
          </w:p>
        </w:tc>
        <w:tc>
          <w:tcPr>
            <w:tcW w:type="dxa" w:w="1440"/>
            <w:shd w:fill="FFDCE0" w:val="clear"/>
          </w:tcPr>
          <w:p>
            <w:r>
              <w:rPr>
                <w:sz w:val="17"/>
              </w:rPr>
              <w:t>25,779</w:t>
            </w:r>
          </w:p>
        </w:tc>
        <w:tc>
          <w:tcPr>
            <w:tcW w:type="dxa" w:w="1440"/>
            <w:shd w:fill="FFDCE0" w:val="clear"/>
          </w:tcPr>
          <w:p>
            <w:r>
              <w:rPr>
                <w:b/>
                <w:sz w:val="17"/>
              </w:rPr>
              <w:t>31,134</w:t>
            </w:r>
          </w:p>
        </w:tc>
        <w:tc>
          <w:tcPr>
            <w:tcW w:type="dxa" w:w="1440"/>
            <w:shd w:fill="FFDCE0" w:val="clear"/>
          </w:tcPr>
          <w:p>
            <w:r>
              <w:rPr>
                <w:sz w:val="17"/>
              </w:rPr>
              <w:t>36,489</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2026-11-03</w:t>
            </w:r>
          </w:p>
        </w:tc>
        <w:tc>
          <w:tcPr>
            <w:tcW w:type="dxa" w:w="1440"/>
            <w:shd w:fill="FFDCE0" w:val="clear"/>
          </w:tcPr>
          <w:p>
            <w:r>
              <w:rPr>
                <w:sz w:val="17"/>
              </w:rPr>
              <w:t>25,448</w:t>
            </w:r>
          </w:p>
        </w:tc>
        <w:tc>
          <w:tcPr>
            <w:tcW w:type="dxa" w:w="1440"/>
            <w:shd w:fill="FFDCE0" w:val="clear"/>
          </w:tcPr>
          <w:p>
            <w:r>
              <w:rPr>
                <w:b/>
                <w:sz w:val="17"/>
              </w:rPr>
              <w:t>31,084</w:t>
            </w:r>
          </w:p>
        </w:tc>
        <w:tc>
          <w:tcPr>
            <w:tcW w:type="dxa" w:w="1440"/>
            <w:shd w:fill="FFDCE0" w:val="clear"/>
          </w:tcPr>
          <w:p>
            <w:r>
              <w:rPr>
                <w:sz w:val="17"/>
              </w:rPr>
              <w:t>36,719</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 BICC (BICICI)</w:t>
        <w:br/>
        <w:t>### Bourse Régionale des Valeurs Mobilières (BRVM) — Secteur Bancaire</w:t>
        <w:br/>
        <w:t>*Analyse réalisée sur la base des données de marché (100 derniers jours), des états financiers 2025 et des rapports trimestriels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BICC s'établit à **533,50 Mds FCFA**, un niveau qui la place parmi les valeurs bancaires de premier plan de la cote BRVM, avec une liquidité de marché significative. Le BPA de **2 191 FCFA/action** traduit la profitabilité directe de chaque titre, tandis que le PER de **14,6x** situe la valeur légèrement au-dessus de la moyenne historique du marché BRVM (8-12x), signalant une prime de qualité mais non une exubérance. Le ratio P/B de **4,42x** — supérieur au seuil de 4x — confirme que le marché valorise l'action à une forte prime sur sa valeur comptable, reflet de la rentabilité exceptionnelle (ROE de 30,3%) plutôt que d'une anomalie. Enfin, l'EV/EBITDA de **10,6x**, dans la fourchette 10-15x, traduit une valorisation exigeante mais cohérente avec la capacité opérationnelle de la banque, l'ensemble dessinant un profil « qualité chère mais justifiée ».</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affiche une **variation totale de +13,31%**, portée par une dernière séance vigoureuse de **+1,94%**, confirmant une dynamique haussière de fond. Le range de trading s'étend de **27 505 FCFA** (plus bas) à **34 895 FCFA** (plus haut), soit une amplitude de près de 27%, le cours actuel de **32 010 FCFA** se situant dans la moitié supérieure de cette fourchette. La moyenne de **29 854 FCFA** dépasse la médiane et le mode (tous deux à **29 000 FCFA**), écart qui, conjugué à un **skewness de 0,920**, révèle une asymétrie positive : la distribution est tirée vers le haut par des journées de forte hausse, avec davantage de séances sous la moyenne. L'**écart-type de 1 794 FCFA (CV=6,0%)** indique une dispersion modérée du cours autour de sa tendance, tandis que le **kurtosis de -0,297** (mésokurtique) suggère une distribution proche de la normale, sans risque marqué de pics extrêmes. La **volatilité annualisée de 38,7%** classe le titre dans la catégorie des valeurs à volatilité élevée (&gt;30%), caractéristique fréquente des petites et moyennes capitalisations bancaires de la BRVM, exigeant une tolérance au risque adaptée.</w:t>
      </w:r>
    </w:p>
    <w:p>
      <w:pPr>
        <w:spacing w:after="120" w:line="276" w:lineRule="auto"/>
      </w:pPr>
      <w:r>
        <w:t>---</w:t>
      </w:r>
    </w:p>
    <w:p>
      <w:pPr>
        <w:spacing w:after="120" w:line="276" w:lineRule="auto"/>
      </w:pPr>
      <w:r>
        <w:t>## PARTIE 2 : ANALYSE TECHNIQUE DÉTAILLÉE</w:t>
      </w:r>
    </w:p>
    <w:p>
      <w:pPr>
        <w:spacing w:after="120" w:line="276" w:lineRule="auto"/>
      </w:pPr>
      <w:r>
        <w:t>**Moyennes Mobiles** : La MM20 (**31 868,75 FCFA**) et la MM50 (**31 165,40 FCFA**) se situent toutes deux sous le cours actuel de 32 010 FCFA, avec une MM20 supérieure à la MM50 — configuration haussière classique (croisement doré). Le cours évoluant au-dessus de ses deux moyennes, la décision technique est **Achat**, signalant que la tendance de court et moyen terme reste favorable malgré la consolidation récente.</w:t>
      </w:r>
    </w:p>
    <w:p>
      <w:pPr>
        <w:spacing w:after="120" w:line="276" w:lineRule="auto"/>
      </w:pPr>
      <w:r>
        <w:t>**Bandes de Bollinger** : Le cours (32 010 FCFA) se situe entre la borne inférieure (**29 616,16 FCFA**) et la borne supérieure (**34 121,34 FCFA**), plus proche du centre que des extrêmes. Cette position médiane, dans un canal relativement large, traduit une volatilité encore présente mais sans tension directionnelle immédiate ; la décision est **Neutre**, le titre n'étant ni en zone de survente ni de surachat.</w:t>
      </w:r>
    </w:p>
    <w:p>
      <w:pPr>
        <w:spacing w:after="120" w:line="276" w:lineRule="auto"/>
      </w:pPr>
      <w:r>
        <w:t>**MACD** : La valeur du MACD (**96,56**) est nettement inférieure à sa ligne de signal (**188,20**), configuration baissière qui traduit un essoufflement du momentum haussier malgré la tendance de fond positive. La décision **Vente** suggère une prudence à court terme, le croisement MACD/signal n'étant pas encore favorable.</w:t>
      </w:r>
    </w:p>
    <w:p>
      <w:pPr>
        <w:spacing w:after="120" w:line="276" w:lineRule="auto"/>
      </w:pPr>
      <w:r>
        <w:t>**RSI** : À **38,69**, l'indicateur se situe dans la zone neutre basse (30-70), sans atteindre le seuil de survente (&lt;30). Cette valeur traduit un léger affaiblissement de la pression acheteuse sans signal de retournement franc ; la décision est **Neutre**, le titre conservant un potentiel de rebond technique.</w:t>
      </w:r>
    </w:p>
    <w:p>
      <w:pPr>
        <w:spacing w:after="120" w:line="276" w:lineRule="auto"/>
      </w:pPr>
      <w:r>
        <w:t>**Stochastique** : Le %K (**33,95**) est supérieur au %D (**25,51**), avec un croisement récent en zone basse qui pourrait préfigurer un rebond, mais les deux courbes restent sous le seuil de 20 sans y être franchement installées. La décision **Neutre** reflète cette configuration ambiguë, entre sortie de survente et absence de confirmation haussière.</w:t>
      </w:r>
    </w:p>
    <w:p>
      <w:pPr>
        <w:spacing w:after="120" w:line="276" w:lineRule="auto"/>
      </w:pPr>
      <w:r>
        <w:t>**Conclusion technique** : Les indicateurs présentent une **divergence notable** : les moyennes mobiles plaident pour l'achat (tendance de fond haussière), tandis que le MACD signale une vente (momentum affaibli) et que le RSI, le stochastique et les Bollinger restent neutres. Cette configuration mixte traduit une phase de consolidation au sein d'une tendance haussière plus large, le titre ayant besoin d'une confirmation de reprise du momentum pour valider la poursuite du mouvement. La prudence à court terme est de mise, sans remise en cause de la structure haussière de moyen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(états financiers officiels)** : En 2025, BICC affiche un **Produit Net Bancaire (PNB) de 79 563 Mds FCFA** (équivalent du chiffre d'affaires bancaire), en croissance de **+16,90%**, et un **résultat net de 36 520 Mds FCFA**, soit une marge nette remarquable de **45,90%**. La rentabilité des fonds propres (**ROE de 30,29%**) dépasse très largement le seuil d'excellence de 15%, tandis que le **ROA de 3,24%** confirme l'efficacité de l'utilisation de l'actif (1 126,27 Mds FCFA). Le **coefficient d'exploitation de 50,83%** — inférieur au seuil de 60% et proche du niveau d'excellence de 50% — témoigne d'une banque particulièrement efficace dans la gestion de ses charges. Le **coût du risque rapporté aux charges financières (-12,15%)** et les provisions de **-1 498 Mds FCFA** signalent un portefeuille de crédit globalement maîtrisé, bien qu'à surveiller. La structure bilancielle est solide : **dépôts clientèle de 952,87 Mds FCFA** contre **créances clientèle de 524,44 Mds FCFA**, soit un ratio de transformation de 55%, avec une **trésorerie nette de 136,36 Mds FCFA** et une **capacité de remboursement de 0,40 an** (dette financière/CAF) extrêmement confortable.</w:t>
      </w:r>
    </w:p>
    <w:p>
      <w:pPr>
        <w:spacing w:after="120" w:line="276" w:lineRule="auto"/>
      </w:pPr>
      <w:r>
        <w:t>**Estimations basées sur les rapports trimestriels 2026** : Le rapport du **T1 2026** (publié en 2026) confirme l'accélération : PNB de **21 214 MFCFA (+17,0%)**, résultat net de **10 387 MFCFA (+29,7%)** et marge nette de **49,0%**, malgré une baisse des crédits de 4,5% (remboursements anticipés). Le rapport du **S1 2026** (publié en 2026) renforce cette dynamique avec un PNB de **42 637 MFCFA (+14,8%)**, un résultat net de **19 948 MFCFA (+22,7%)** et un RBE en hausse de **+33,2%**, les frais de gestion reculant de 2,2%. **Point de vigilance majeur** : le coût du risque bondit de **-123 MFCFA à -1 778 MFCFA (+1 343,1%)** au S1 2026, signal d'alerte sur la qualité du portefeuille. Sur cette base, on estime que l'exercice 2026 devrait afficher un PNB annuel proche de **85-88 Mds FCFA** et un résultat net de l'ordre de **40-42 Mds FCFA**, confirmant la poursuite de la croissance à deux chiffres, sous réserve d'une stabilisation du coût du risque au S2.</w:t>
      </w:r>
    </w:p>
    <w:p>
      <w:pPr>
        <w:spacing w:after="120" w:line="276" w:lineRule="auto"/>
      </w:pPr>
      <w:r>
        <w:t>**Recommandation fondamentale** : La solidité financière, la rentabilité exceptionnelle (ROE &gt;30%) et la croissance soutenue plaident pour un profil de qualité, tempéré par la dégradation du coût du risque et l'absence d'information sur le dividende. Recommandation fondamentale : **ACHAT avec vigilance**.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**globalement favorable mais nuancé**. Sur le plan de la **valorisation (Partie 0)**, le PER de 14,6x et le P/B de 4,42x traduisent une action chère en apparence, mais justifiée par un ROE de 30,3% et une croissance à deux chiffres — il s'agit d'une prime de qualité, non d'une surévaluation spéculative. Le **comportement du cours (Partie 1)** est haussier (+13,31% sur 100 jours) avec une volatilité élevée (38,7%) et une asymétrie positive (skewness 0,920) favorisant les détenteurs, mais le kurtosis mésokurtique n'annonce pas de chocs extrêmes. Les **signaux techniques (Partie 2)** sont divergents : les moyennes mobiles confirment la tendance haussière, mais le MACD signale une vente et les autres oscillateurs restent neutres, plaidant pour une consolidation avant reprise. Les **fondamentaux (Partie 3)** sont excellents — ROE 30,3%, coefficient d'exploitation 50,8%, croissance du PNB de +16,9% en 2025 et +14,8% au S1 2026 — même si la flambée du coût du risque (+1 343%) constitue un point de surveillance. Les **prédictions IA (J+1 à J+10)** anticipent une légère dérive baissière de 32 010 à 31 352 FCFA (-2,1%), cohérente avec le signal MACD et la phase de consolidation technique, sans contredire la tendance de fond.</w:t>
      </w:r>
    </w:p>
    <w:p>
      <w:pPr>
        <w:spacing w:after="120" w:line="276" w:lineRule="auto"/>
      </w:pPr>
      <w:r>
        <w:t>**Recommandation finale : ACHAT** — avec un **niveau de confiance Moyen** et un **risque global Moyen**. La convergence entre fondamentaux solides, valorisation justifiée et tendance de fond haussière soutient la thèse d'achat, mais la divergence technique (MACD baissier) et les prédictions IA légèrement baissières à court terme invitent à privilégier une **entrée progressive** plutôt qu'immédiate. L'horizon optimal est le **moyen terme (3-12 mois)**, le temps que la consolidation technique s'achève et que la dynamique bénéficiaire 2026 se matérialise, avec un point de vigilance sur l'évolution du coût du risque au second semestre.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BICICI affiche une croissance solide de ses r\u00e9sultats et une am\u00e9lioration de son efficacit\u00e9 op\u00e9rationnelle, avec un R\u00e9sultat Net en hausse de 22,7%. La dynamique commerciale soutenue et la ma\u00eetrise des charges renforcent la confiance dans la poursuite de cette performance."}</w:t>
      </w:r>
    </w:p>
    <w:p>
      <w:pPr>
        <w:spacing w:before="40"/>
        <w:ind w:left="400"/>
      </w:pPr>
      <w:r>
        <w:rPr>
          <w:sz w:val="18"/>
        </w:rPr>
        <w:t>Au premier semestre 2026, la BICICI affiche une performance opérationnelle et financière en nette amélioration malgré un environnement international incertain et des conditions financières contraignantes. Le Produit Net Bancaire progresse de 14,8% à 42 637 MXOF, porté par la marge d'intermédiation (+18,0%) et les commissions nettes (+17,0%). Les frais de gestion reculent de 2,2% à 18 932 MXOF, ce qui permet au Résultat Brut d'Exploitation de bondir de 33,2% à 23 705 MXOF. Le Résultat Net s'établit à 19 948 MXOF, en hausse de 22,7% par rapport au premier semestre 2025. Les encours de crédits et les dépôts de la clientèle progressent respectivement de 4,1% et 6,4%, confirmant la dynamique comm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'-1 778 MXOF', 'depots_clientele': '1 007 993 MXOF', 'frais_de_gestion': '18 932 MXOF', 'produit_net_bancaire': '42 637 MXOF', 'credits_nets_clientele': '533 422 MXOF', 'resultat_brut_exploitation': '23 705 MXOF', 'resultat_courant_avant_impot': '21 810 MXOF'}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19 948 MXOF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14,8% à 42 637 MXOF au S1 2026.</w:t>
      </w:r>
    </w:p>
    <w:p>
      <w:pPr>
        <w:pStyle w:val="ListBullet"/>
        <w:spacing w:before="20" w:after="20"/>
        <w:ind w:left="700"/>
      </w:pPr>
      <w:r>
        <w:rPr>
          <w:sz w:val="18"/>
        </w:rPr>
        <w:t>Marge d'intermédiation en progression de 18,0% et commissions nettes en hausse de 17,0%.</w:t>
      </w:r>
    </w:p>
    <w:p>
      <w:pPr>
        <w:pStyle w:val="ListBullet"/>
        <w:spacing w:before="20" w:after="20"/>
        <w:ind w:left="700"/>
      </w:pPr>
      <w:r>
        <w:rPr>
          <w:sz w:val="18"/>
        </w:rPr>
        <w:t>Frais de gestion en baisse de 2,2% à 18 932 MXOF, traduisant une bonne maîtrise des charges.</w:t>
      </w:r>
    </w:p>
    <w:p>
      <w:pPr>
        <w:pStyle w:val="ListBullet"/>
        <w:spacing w:before="20" w:after="20"/>
        <w:ind w:left="700"/>
      </w:pPr>
      <w:r>
        <w:rPr>
          <w:sz w:val="18"/>
        </w:rPr>
        <w:t>Résultat Brut d'Exploitation en forte croissance de 33,2% à 23 705 MXOF.</w:t>
      </w:r>
    </w:p>
    <w:p>
      <w:pPr>
        <w:pStyle w:val="ListBullet"/>
        <w:spacing w:before="20" w:after="20"/>
        <w:ind w:left="700"/>
      </w:pPr>
      <w:r>
        <w:rPr>
          <w:sz w:val="18"/>
        </w:rPr>
        <w:t>Résultat Net bénéficiaire de 19 948 MXOF, en progression de 22,7% sur un an.</w:t>
      </w:r>
    </w:p>
    <w:p>
      <w:pPr>
        <w:pStyle w:val="ListBullet"/>
        <w:spacing w:before="20" w:after="20"/>
        <w:ind w:left="700"/>
      </w:pPr>
      <w:r>
        <w:rPr>
          <w:sz w:val="18"/>
        </w:rPr>
        <w:t>Crédits nets à la clientèle en hausse de 4,1% à 533 422 MXOF.</w:t>
      </w:r>
    </w:p>
    <w:p>
      <w:pPr>
        <w:spacing w:before="40"/>
        <w:ind w:left="400"/>
      </w:pPr>
      <w:r>
        <w:rPr>
          <w:b/>
          <w:color w:val="C05000"/>
          <w:sz w:val="18"/>
        </w:rPr>
        <w:t xml:space="preserve">⚠️ Risques : </w:t>
      </w:r>
      <w:r>
        <w:rPr>
          <w:sz w:val="18"/>
        </w:rPr>
        <w:t xml:space="preserve">["D\u00e9gradation de l'environnement \u00e9conomique international et tensions g\u00e9opolitiques persistantes.", "Hausse significative du co\u00fbt du risque (+1 343,1%) pouvant impacter la qualit\u00e9 du portefeuille de cr\u00e9dits.", "Renforcement des exigences r\u00e9glementaires et pression </w:t>
      </w:r>
    </w:p>
    <w:p>
      <w:pPr>
        <w:spacing w:before="40"/>
        <w:ind w:left="400"/>
      </w:pPr>
      <w:r>
        <w:rPr>
          <w:b/>
          <w:color w:val="0064A0"/>
          <w:sz w:val="18"/>
        </w:rPr>
        <w:t xml:space="preserve">🔮 Perspectives : </w:t>
      </w:r>
      <w:r>
        <w:rPr>
          <w:sz w:val="18"/>
        </w:rPr>
        <w:t>Au second semestre 2026, la BICICI entend poursuivre sa dynamique de croissance et consolider ses niveaux de performance et de rentabilité. La banque veillera à la maîtrise des principaux facteurs de risque, notamment le coût du risque, tout en capitalisant sur la digitalisation et l'évolution des 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11.39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2,885 titres</w:t>
            </w:r>
          </w:p>
        </w:tc>
        <w:tc>
          <w:tcPr>
            <w:tcW w:type="dxa" w:w="2268"/>
            <w:shd w:fill="FFF2CC" w:val="clear"/>
          </w:tcPr>
          <w:p>
            <w:r>
              <w:rPr>
                <w:b/>
                <w:color w:val="503200"/>
                <w:sz w:val="16"/>
              </w:rPr>
              <w:t xml:space="preserve">Cours actuel : </w:t>
            </w:r>
            <w:r>
              <w:rPr>
                <w:color w:val="000000"/>
                <w:sz w:val="17"/>
              </w:rPr>
              <w:t>1,720 FCFA</w:t>
            </w:r>
          </w:p>
          <w:p>
            <w:r>
              <w:rPr>
                <w:b/>
                <w:color w:val="503200"/>
                <w:sz w:val="16"/>
              </w:rPr>
              <w:t xml:space="preserve">Var. 100 jours : </w:t>
            </w:r>
            <w:r>
              <w:rPr>
                <w:b/>
                <w:color w:val="007800"/>
                <w:sz w:val="17"/>
              </w:rPr>
              <w:t>+8.52%</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1,585 FCFA</w:t>
            </w:r>
          </w:p>
          <w:p>
            <w:r>
              <w:rPr>
                <w:b/>
                <w:color w:val="503200"/>
                <w:sz w:val="16"/>
              </w:rPr>
              <w:t xml:space="preserve">Volatilité ann. : </w:t>
            </w:r>
            <w:r>
              <w:rPr>
                <w:color w:val="000000"/>
                <w:sz w:val="17"/>
              </w:rPr>
              <w:t>53.1%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7.93% (Moyenne) — μ=1,948 FCFA, σ=154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β=0.5475 (Défensif) — Cov=0.000043, Var(idx)=0.000078, ρ=0.147,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σ_j=3.34%/j (Modérée) — Vol. annualisée≈53.1%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2026-10-21</w:t>
            </w:r>
          </w:p>
        </w:tc>
        <w:tc>
          <w:tcPr>
            <w:tcW w:type="dxa" w:w="1440"/>
            <w:shd w:fill="C6EFCE" w:val="clear"/>
          </w:tcPr>
          <w:p>
            <w:r>
              <w:rPr>
                <w:sz w:val="17"/>
              </w:rPr>
              <w:t>1,649</w:t>
            </w:r>
          </w:p>
        </w:tc>
        <w:tc>
          <w:tcPr>
            <w:tcW w:type="dxa" w:w="1440"/>
            <w:shd w:fill="C6EFCE" w:val="clear"/>
          </w:tcPr>
          <w:p>
            <w:r>
              <w:rPr>
                <w:b/>
                <w:sz w:val="17"/>
              </w:rPr>
              <w:t>1,759</w:t>
            </w:r>
          </w:p>
        </w:tc>
        <w:tc>
          <w:tcPr>
            <w:tcW w:type="dxa" w:w="1440"/>
            <w:shd w:fill="C6EFCE" w:val="clear"/>
          </w:tcPr>
          <w:p>
            <w:r>
              <w:rPr>
                <w:sz w:val="17"/>
              </w:rPr>
              <w:t>1,869</w:t>
            </w:r>
          </w:p>
        </w:tc>
        <w:tc>
          <w:tcPr>
            <w:tcW w:type="dxa" w:w="1440"/>
            <w:shd w:fill="C6EFCE" w:val="clear"/>
          </w:tcPr>
          <w:p>
            <w:r>
              <w:rPr>
                <w:b/>
                <w:color w:val="008000"/>
                <w:sz w:val="17"/>
              </w:rPr>
              <w:t>+2.3%</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1,596</w:t>
            </w:r>
          </w:p>
        </w:tc>
        <w:tc>
          <w:tcPr>
            <w:tcW w:type="dxa" w:w="1440"/>
            <w:shd w:fill="FAFAFA" w:val="clear"/>
          </w:tcPr>
          <w:p>
            <w:r>
              <w:rPr>
                <w:b/>
                <w:sz w:val="17"/>
              </w:rPr>
              <w:t>1,750</w:t>
            </w:r>
          </w:p>
        </w:tc>
        <w:tc>
          <w:tcPr>
            <w:tcW w:type="dxa" w:w="1440"/>
            <w:shd w:fill="FAFAFA" w:val="clear"/>
          </w:tcPr>
          <w:p>
            <w:r>
              <w:rPr>
                <w:sz w:val="17"/>
              </w:rPr>
              <w:t>1,905</w:t>
            </w:r>
          </w:p>
        </w:tc>
        <w:tc>
          <w:tcPr>
            <w:tcW w:type="dxa" w:w="1440"/>
            <w:shd w:fill="FAFAFA" w:val="clear"/>
          </w:tcPr>
          <w:p>
            <w:r>
              <w:rPr>
                <w:b/>
                <w:color w:val="008000"/>
                <w:sz w:val="17"/>
              </w:rPr>
              <w:t>+1.8%</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1,564</w:t>
            </w:r>
          </w:p>
        </w:tc>
        <w:tc>
          <w:tcPr>
            <w:tcW w:type="dxa" w:w="1440"/>
            <w:shd w:fill="FAFAFA" w:val="clear"/>
          </w:tcPr>
          <w:p>
            <w:r>
              <w:rPr>
                <w:b/>
                <w:sz w:val="17"/>
              </w:rPr>
              <w:t>1,754</w:t>
            </w:r>
          </w:p>
        </w:tc>
        <w:tc>
          <w:tcPr>
            <w:tcW w:type="dxa" w:w="1440"/>
            <w:shd w:fill="FAFAFA" w:val="clear"/>
          </w:tcPr>
          <w:p>
            <w:r>
              <w:rPr>
                <w:sz w:val="17"/>
              </w:rPr>
              <w:t>1,944</w:t>
            </w:r>
          </w:p>
        </w:tc>
        <w:tc>
          <w:tcPr>
            <w:tcW w:type="dxa" w:w="1440"/>
            <w:shd w:fill="FAFAFA" w:val="clear"/>
          </w:tcPr>
          <w:p>
            <w:r>
              <w:rPr>
                <w:b/>
                <w:color w:val="008000"/>
                <w:sz w:val="17"/>
              </w:rPr>
              <w:t>+2.0%</w:t>
            </w:r>
          </w:p>
        </w:tc>
      </w:tr>
      <w:tr>
        <w:tc>
          <w:tcPr>
            <w:tcW w:type="dxa" w:w="1440"/>
            <w:shd w:fill="C6EFCE" w:val="clear"/>
          </w:tcPr>
          <w:p>
            <w:r>
              <w:rPr>
                <w:sz w:val="17"/>
              </w:rPr>
              <w:t>J+4  ⭐</w:t>
            </w:r>
          </w:p>
        </w:tc>
        <w:tc>
          <w:tcPr>
            <w:tcW w:type="dxa" w:w="1440"/>
            <w:shd w:fill="C6EFCE" w:val="clear"/>
          </w:tcPr>
          <w:p>
            <w:r>
              <w:rPr>
                <w:sz w:val="17"/>
              </w:rPr>
              <w:t>2026-10-26</w:t>
            </w:r>
          </w:p>
        </w:tc>
        <w:tc>
          <w:tcPr>
            <w:tcW w:type="dxa" w:w="1440"/>
            <w:shd w:fill="C6EFCE" w:val="clear"/>
          </w:tcPr>
          <w:p>
            <w:r>
              <w:rPr>
                <w:sz w:val="17"/>
              </w:rPr>
              <w:t>1,539</w:t>
            </w:r>
          </w:p>
        </w:tc>
        <w:tc>
          <w:tcPr>
            <w:tcW w:type="dxa" w:w="1440"/>
            <w:shd w:fill="C6EFCE" w:val="clear"/>
          </w:tcPr>
          <w:p>
            <w:r>
              <w:rPr>
                <w:b/>
                <w:sz w:val="17"/>
              </w:rPr>
              <w:t>1,759</w:t>
            </w:r>
          </w:p>
        </w:tc>
        <w:tc>
          <w:tcPr>
            <w:tcW w:type="dxa" w:w="1440"/>
            <w:shd w:fill="C6EFCE" w:val="clear"/>
          </w:tcPr>
          <w:p>
            <w:r>
              <w:rPr>
                <w:sz w:val="17"/>
              </w:rPr>
              <w:t>1,979</w:t>
            </w:r>
          </w:p>
        </w:tc>
        <w:tc>
          <w:tcPr>
            <w:tcW w:type="dxa" w:w="1440"/>
            <w:shd w:fill="C6EFCE" w:val="clear"/>
          </w:tcPr>
          <w:p>
            <w:r>
              <w:rPr>
                <w:b/>
                <w:color w:val="008000"/>
                <w:sz w:val="17"/>
              </w:rPr>
              <w:t>+2.3%</w:t>
            </w:r>
          </w:p>
        </w:tc>
      </w:tr>
      <w:tr>
        <w:tc>
          <w:tcPr>
            <w:tcW w:type="dxa" w:w="1440"/>
            <w:shd w:fill="C6EFCE" w:val="clear"/>
          </w:tcPr>
          <w:p>
            <w:r>
              <w:rPr>
                <w:sz w:val="17"/>
              </w:rPr>
              <w:t>J+5  ⭐</w:t>
            </w:r>
          </w:p>
        </w:tc>
        <w:tc>
          <w:tcPr>
            <w:tcW w:type="dxa" w:w="1440"/>
            <w:shd w:fill="C6EFCE" w:val="clear"/>
          </w:tcPr>
          <w:p>
            <w:r>
              <w:rPr>
                <w:sz w:val="17"/>
              </w:rPr>
              <w:t>2026-10-27</w:t>
            </w:r>
          </w:p>
        </w:tc>
        <w:tc>
          <w:tcPr>
            <w:tcW w:type="dxa" w:w="1440"/>
            <w:shd w:fill="C6EFCE" w:val="clear"/>
          </w:tcPr>
          <w:p>
            <w:r>
              <w:rPr>
                <w:sz w:val="17"/>
              </w:rPr>
              <w:t>1,516</w:t>
            </w:r>
          </w:p>
        </w:tc>
        <w:tc>
          <w:tcPr>
            <w:tcW w:type="dxa" w:w="1440"/>
            <w:shd w:fill="C6EFCE" w:val="clear"/>
          </w:tcPr>
          <w:p>
            <w:r>
              <w:rPr>
                <w:b/>
                <w:sz w:val="17"/>
              </w:rPr>
              <w:t>1,763</w:t>
            </w:r>
          </w:p>
        </w:tc>
        <w:tc>
          <w:tcPr>
            <w:tcW w:type="dxa" w:w="1440"/>
            <w:shd w:fill="C6EFCE" w:val="clear"/>
          </w:tcPr>
          <w:p>
            <w:r>
              <w:rPr>
                <w:sz w:val="17"/>
              </w:rPr>
              <w:t>2,009</w:t>
            </w:r>
          </w:p>
        </w:tc>
        <w:tc>
          <w:tcPr>
            <w:tcW w:type="dxa" w:w="1440"/>
            <w:shd w:fill="C6EFCE" w:val="clear"/>
          </w:tcPr>
          <w:p>
            <w:r>
              <w:rPr>
                <w:b/>
                <w:color w:val="008000"/>
                <w:sz w:val="17"/>
              </w:rPr>
              <w:t>+2.5%</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1,496</w:t>
            </w:r>
          </w:p>
        </w:tc>
        <w:tc>
          <w:tcPr>
            <w:tcW w:type="dxa" w:w="1440"/>
            <w:shd w:fill="C6EFCE" w:val="clear"/>
          </w:tcPr>
          <w:p>
            <w:r>
              <w:rPr>
                <w:b/>
                <w:sz w:val="17"/>
              </w:rPr>
              <w:t>1,766</w:t>
            </w:r>
          </w:p>
        </w:tc>
        <w:tc>
          <w:tcPr>
            <w:tcW w:type="dxa" w:w="1440"/>
            <w:shd w:fill="C6EFCE" w:val="clear"/>
          </w:tcPr>
          <w:p>
            <w:r>
              <w:rPr>
                <w:sz w:val="17"/>
              </w:rPr>
              <w:t>2,037</w:t>
            </w:r>
          </w:p>
        </w:tc>
        <w:tc>
          <w:tcPr>
            <w:tcW w:type="dxa" w:w="1440"/>
            <w:shd w:fill="C6EFCE" w:val="clear"/>
          </w:tcPr>
          <w:p>
            <w:r>
              <w:rPr>
                <w:b/>
                <w:color w:val="008000"/>
                <w:sz w:val="17"/>
              </w:rPr>
              <w:t>+2.7%</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1,476</w:t>
            </w:r>
          </w:p>
        </w:tc>
        <w:tc>
          <w:tcPr>
            <w:tcW w:type="dxa" w:w="1440"/>
            <w:shd w:fill="C6EFCE" w:val="clear"/>
          </w:tcPr>
          <w:p>
            <w:r>
              <w:rPr>
                <w:b/>
                <w:sz w:val="17"/>
              </w:rPr>
              <w:t>1,769</w:t>
            </w:r>
          </w:p>
        </w:tc>
        <w:tc>
          <w:tcPr>
            <w:tcW w:type="dxa" w:w="1440"/>
            <w:shd w:fill="C6EFCE" w:val="clear"/>
          </w:tcPr>
          <w:p>
            <w:r>
              <w:rPr>
                <w:sz w:val="17"/>
              </w:rPr>
              <w:t>2,062</w:t>
            </w:r>
          </w:p>
        </w:tc>
        <w:tc>
          <w:tcPr>
            <w:tcW w:type="dxa" w:w="1440"/>
            <w:shd w:fill="C6EFCE" w:val="clear"/>
          </w:tcPr>
          <w:p>
            <w:r>
              <w:rPr>
                <w:b/>
                <w:color w:val="008000"/>
                <w:sz w:val="17"/>
              </w:rPr>
              <w:t>+2.8%</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1,458</w:t>
            </w:r>
          </w:p>
        </w:tc>
        <w:tc>
          <w:tcPr>
            <w:tcW w:type="dxa" w:w="1440"/>
            <w:shd w:fill="C6EFCE" w:val="clear"/>
          </w:tcPr>
          <w:p>
            <w:r>
              <w:rPr>
                <w:b/>
                <w:sz w:val="17"/>
              </w:rPr>
              <w:t>1,772</w:t>
            </w:r>
          </w:p>
        </w:tc>
        <w:tc>
          <w:tcPr>
            <w:tcW w:type="dxa" w:w="1440"/>
            <w:shd w:fill="C6EFCE" w:val="clear"/>
          </w:tcPr>
          <w:p>
            <w:r>
              <w:rPr>
                <w:sz w:val="17"/>
              </w:rPr>
              <w:t>2,085</w:t>
            </w:r>
          </w:p>
        </w:tc>
        <w:tc>
          <w:tcPr>
            <w:tcW w:type="dxa" w:w="1440"/>
            <w:shd w:fill="C6EFCE" w:val="clear"/>
          </w:tcPr>
          <w:p>
            <w:r>
              <w:rPr>
                <w:b/>
                <w:color w:val="008000"/>
                <w:sz w:val="17"/>
              </w:rPr>
              <w:t>+3.0%</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1,441</w:t>
            </w:r>
          </w:p>
        </w:tc>
        <w:tc>
          <w:tcPr>
            <w:tcW w:type="dxa" w:w="1440"/>
            <w:shd w:fill="C6EFCE" w:val="clear"/>
          </w:tcPr>
          <w:p>
            <w:r>
              <w:rPr>
                <w:b/>
                <w:sz w:val="17"/>
              </w:rPr>
              <w:t>1,774</w:t>
            </w:r>
          </w:p>
        </w:tc>
        <w:tc>
          <w:tcPr>
            <w:tcW w:type="dxa" w:w="1440"/>
            <w:shd w:fill="C6EFCE" w:val="clear"/>
          </w:tcPr>
          <w:p>
            <w:r>
              <w:rPr>
                <w:sz w:val="17"/>
              </w:rPr>
              <w:t>2,107</w:t>
            </w:r>
          </w:p>
        </w:tc>
        <w:tc>
          <w:tcPr>
            <w:tcW w:type="dxa" w:w="1440"/>
            <w:shd w:fill="C6EFCE" w:val="clear"/>
          </w:tcPr>
          <w:p>
            <w:r>
              <w:rPr>
                <w:b/>
                <w:color w:val="008000"/>
                <w:sz w:val="17"/>
              </w:rPr>
              <w:t>+3.1%</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1,425</w:t>
            </w:r>
          </w:p>
        </w:tc>
        <w:tc>
          <w:tcPr>
            <w:tcW w:type="dxa" w:w="1440"/>
            <w:shd w:fill="C6EFCE" w:val="clear"/>
          </w:tcPr>
          <w:p>
            <w:r>
              <w:rPr>
                <w:b/>
                <w:sz w:val="17"/>
              </w:rPr>
              <w:t>1,776</w:t>
            </w:r>
          </w:p>
        </w:tc>
        <w:tc>
          <w:tcPr>
            <w:tcW w:type="dxa" w:w="1440"/>
            <w:shd w:fill="C6EFCE" w:val="clear"/>
          </w:tcPr>
          <w:p>
            <w:r>
              <w:rPr>
                <w:sz w:val="17"/>
              </w:rPr>
              <w:t>2,127</w:t>
            </w:r>
          </w:p>
        </w:tc>
        <w:tc>
          <w:tcPr>
            <w:tcW w:type="dxa" w:w="1440"/>
            <w:shd w:fill="C6EFCE" w:val="clear"/>
          </w:tcPr>
          <w:p>
            <w:r>
              <w:rPr>
                <w:b/>
                <w:color w:val="008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BNBC (BERNABE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11,39 milliards FCFA, un niveau modeste à l'échelle de la BRVM qui la classe parmi les petites capitalisations du marché. Le BPA de 3 FCFA par action traduit une rentabilité par titre quasi symbolique, cohérente avec un résultat net 2025 de seulement 22,3 millions FCFA. Le PER de 510,5x est aberrrant au regard de la moyenne BRVM (~8-12x) : les investisseurs paient environ 510 fois les bénéfices, ce qui signale soit une anticipation de forte croissance future, soit une décorrélation totale entre le prix et la rentabilité actuelle — la prudence est de rigueur. À l'inverse, le P/B de 0,64x indique que le marché valorise le titre à 36% sous sa valeur comptable (capitaux propres de 17,77 Mds FCFA), ce qui constitue une opportunité potentielle en cas de redressement des marges. Enfin, l'EV/EBITDA de 23,3x, très supérieur au seuil de 15x, traduit une valorisation exigeante de la capacité opérationnelle, difficilement justifiable au vu de la faiblesse de l'EBE (2,009 Mds FCFA) et de la marge nette de 0,05%.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BNBC affiche une variation totale positive de +8,52%, mais la dernière séance (J-1) enregistre une chute brutale de -7,03%, ramenant le titre à 1 720 FCFA. Le range de trading est large, entre un plus bas de 1 585 FCFA et un plus haut de 2 400 FCFA, soit une amplitude de plus de 51% qui témoigne d'une forte nervosité du marché. La tendance générale apparaît baissière sur la fin de période, le cours actuel (1 720 FCFA) se situant nettement sous la moyenne (1 948 FCFA) et la médiane (1 962 FCFA), avec un écart moyen-médiane faible (14 FCFA) confirmant une distribution quasi symétrique, cohérente avec le skewness de 0,335. L'écart-type de 155 FCFA et le coefficient de variation de 8,0% indiquent une dispersion modérée autour de la moyenne, tandis que le kurtosis de 0,584 (mésokurtique) suggère un risque de pics de volatilité proche d'une distribution normale, sans excès marqué. La volatilité annualisée de 53,1% classe clairement le titre dans la catégorie des valeurs à volatilité élevée (&gt;30%), ce qui implique un risque de perte en capital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(1 876,75 FCFA) et la MM50 (2 013,4 FCFA) se situent toutes deux au-dessus du cours actuel (1 720 FCFA), configurant une structure baissière avec le prix sous ses moyennes. La MM20 étant elle-même inférieure à la MM50, la tendance de fond est clairement descendante, ce qui justifie la décision technique de **Vente**.</w:t>
      </w:r>
    </w:p>
    <w:p>
      <w:pPr>
        <w:spacing w:after="120" w:line="276" w:lineRule="auto"/>
      </w:pPr>
      <w:r>
        <w:t>**Bandes de Bollinger** : Le cours (1 720 FCFA) évolue sous la borne inférieure (1 724,667 FCFA), signalant une survente extrême et une position en dehors de la zone de confiance statistique. Cette configuration, bien que baissière, plaide pour un rebond technique à court terme, justifiant la décision de **Achat** (retour à la moyenne attendu).</w:t>
      </w:r>
    </w:p>
    <w:p>
      <w:pPr>
        <w:spacing w:after="120" w:line="276" w:lineRule="auto"/>
      </w:pPr>
      <w:r>
        <w:t>**MACD** : La valeur du MACD (-66,668) est inférieure à sa ligne de signal (-57,388), avec un histogramme négatif qui confirme un momentum baissier persistant. La divergence négative n'étant pas encore résorbée, la décision de **Vente** reste justifiée à court terme.</w:t>
      </w:r>
    </w:p>
    <w:p>
      <w:pPr>
        <w:spacing w:after="120" w:line="276" w:lineRule="auto"/>
      </w:pPr>
      <w:r>
        <w:t>**RSI** : À 35,326, le RSI se situe dans la zone neutre basse (30-70), sans atteindre le seuil de survente (&lt;30). Il traduit une pression vendeuse modérée mais non extrême, justifiant la décision **Neutre** — ni signal d'achat franc, ni signal de vente urgent.</w:t>
      </w:r>
    </w:p>
    <w:p>
      <w:pPr>
        <w:spacing w:after="120" w:line="276" w:lineRule="auto"/>
      </w:pPr>
      <w:r>
        <w:t>**Stochastique** : Le %K à 0,0 et le %D à 16,173 montrent un croisement en zone de survente extrême, avec le %K au plancher absolu. Cette configuration est typiquement annonciatrice d'un rebond technique imminent, justifiant la décision de **Achat**.</w:t>
      </w:r>
    </w:p>
    <w:p>
      <w:pPr>
        <w:spacing w:after="120" w:line="276" w:lineRule="auto"/>
      </w:pPr>
      <w:r>
        <w:t>**Conclusion technique** : Les indicateurs sont majoritairement baissiers (MM, MACD) mais présentent des signaux de survente extrême (Bollinger inférieur, Stochastique à 0) qui plaident pour un rebond à très court terme. Cette divergence entre tendance de fond (baissière) et signaux de retournement (survente) suggère une phase de rebond technique fragile, sans inversion de tendance confirmée. La prudence reste de mise tant que le cours n'aura pas réintégré la borne inférieure des Bollinger et la 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BNBC affiche un chiffre d'affaires de 42,454 Mds FCFA, en recul de -6,31% par rapport à 2024 (45,312 Mds FCFA selon les états financiers 2024), confirmant une contraction de l'activité. Le résultat net s'établit à 22,318 millions FCFA, en amélioration de +205% par rapport aux 7,313 millions de 2024, mais la marge nette reste quasi nulle à 0,0526% et le ROE à 0,1256%, très loin du seuil de 15% considéré comme excellent. Le ROA de 0,0454% traduit une rentabilité des actifs insignifiante. **Adapté au secteur ENTREPRISE** : le BFR de 29,373 Mds FCFA est massif (69% du CA), avec un délai client élevé de 104,40 jours (risque de trésorerie important) et une durée de stockage de 339,23 jours (immobilisation de capital considérable), tandis que le délai fournisseur de 116,09 jours est favorable. La trésorerie nette est fortement négative à -16,689 Mds FCFA, et le flux opérationnel est négatif (-786,11 M FCFA), signe d'une génération de cash déficiente. **Estimations basées sur les rapports trimestriels** : selon le rapport T1 2026 (chiffre d'affaires stable à 11,194 Mds FCFA, -0,12%), le résultat net devient une perte de -65,566 millions FCFA contre +16,147 millions au T1 2025, soit une dégradation de -506% liée à l'intégration de la division Équipement en phase de démarrage — on estime donc que l'exercice 2026 pourrait rester sous pression malgré les perspectives de montée en puissance des divisions Équipement et Power. Le rapport du T3 2025 (CA cumulé 31,83 Mds FCFA, -3%) et le rapport semestriel 2025 (CA 21,67 Mds FCFA, +3%, perte nette -139,57 M FCFA) confirment une dégradation progressive de la rentabilité au fil de l'année 2025. **Conclusion fondamentale** : la société présente une structure bilancielle solide (autonomie financière de 36,16%, capitaux propres de 17,77 Mds FCFA) mais une rentabilité anémique, une trésorerie critique et une absence totale de dividende (0 FCFA en 2024 et 2025). Le profil est celui d'une entreprise en difficulté opérationnelle structurelle, dont la valorisation P/B &lt; 1 constitue le seul attrait réel pour un investisseur value patient.</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fortement contrasté. **Valorisation (Partie 0)** : le PER de 510,5x signale une surévaluation manifeste au regard des bénéfices, mais le P/B de 0,64x offre une marge de sécurité comptable — la valorisation est donc paradoxale, chère sur les flux, bon marché sur le patrimoine. **Comportement du cours (Partie 1)** : la tendance récente est baissière (-7,03% en J-1), avec une volatilité élevée (53,1%) et des statistiques (kurtosis 0,584, skewness 0,335) qui traduisent un risque de pics sans asymétrie marquée — profil préoccupant pour un investisseur averse au risque. **Signaux techniques (Partie 2)** : divergence entre indicateurs de tendance (MM, MACD baissiers) et signaux de survente (Bollinger inférieur, Stochastique à 0) — un rebond technique est possible mais fragile, sans inversion confirmée. **Fondamentaux (Partie 3)** : la solidité bilancielle (capitaux propres 17,77 Mds FCFA, autonomie 36,16%) contraste avec la faiblesse opérationnelle (marge nette 0,05%, ROE 0,13%, trésorerie -16,69 Mds FCFA) et les estimations T1 2026 (perte de -65,57 M FCFA) qui n'annoncent pas d'amélioration à court terme. **Prédictions IA (J+1 à J+10)** : la trajectoire projetée (1 759 → 1 750 → 1 754 → 1 759 → 1 763 FCFA) anticipe une légère reprise de +2,5% sur 10 jours, cohérente avec le rebond technique attendu mais contredisant la tendance baissière de fond. **Recommandation finale : CONSERVER** — la convergence entre P/B &lt; 1 (soutien patrimonial), signaux de survente technique et prédictions IA légèrement haussières plaide contre une vente panique, mais la faiblesse fondamentale (PER 510x, marge nette 0,05%, trésorerie négative) et la volatilité élevée interdisent tout achat. **Niveau de confiance : Moyen** (signaux contradictoires entre technique et fondamental). **Niveau de risque global : Élevé** (volatilité 53,1%, trésorerie nette -16,69 Mds FCFA, absence de dividende). **Horizon d'investissement optimal : moyen terme (3-12 mois)**, en surveillant impérativement les résultats du T2 2026 pour confirmer ou infirmer la trajectoire de redressement des nouvelles divisions.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372.35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5,408 titres</w:t>
            </w:r>
          </w:p>
        </w:tc>
        <w:tc>
          <w:tcPr>
            <w:tcW w:type="dxa" w:w="2268"/>
            <w:shd w:fill="FFF2CC" w:val="clear"/>
          </w:tcPr>
          <w:p>
            <w:r>
              <w:rPr>
                <w:b/>
                <w:color w:val="503200"/>
                <w:sz w:val="16"/>
              </w:rPr>
              <w:t xml:space="preserve">Cours actuel : </w:t>
            </w:r>
            <w:r>
              <w:rPr>
                <w:color w:val="000000"/>
                <w:sz w:val="17"/>
              </w:rPr>
              <w:t>9,180 FCFA</w:t>
            </w:r>
          </w:p>
          <w:p>
            <w:r>
              <w:rPr>
                <w:b/>
                <w:color w:val="503200"/>
                <w:sz w:val="16"/>
              </w:rPr>
              <w:t xml:space="preserve">Var. 100 jours : </w:t>
            </w:r>
            <w:r>
              <w:rPr>
                <w:b/>
                <w:color w:val="007800"/>
                <w:sz w:val="17"/>
              </w:rPr>
              <w:t>+3.15%</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6.00% (Moyenne) — μ=9,180 FCFA, σ=550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β=0.6083 (Défensif) — Cov=0.000047, Var(idx)=0.000078, ρ=0.305,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8,855</w:t>
            </w:r>
          </w:p>
        </w:tc>
        <w:tc>
          <w:tcPr>
            <w:tcW w:type="dxa" w:w="1440"/>
            <w:shd w:fill="FAFAFA" w:val="clear"/>
          </w:tcPr>
          <w:p>
            <w:r>
              <w:rPr>
                <w:b/>
                <w:sz w:val="17"/>
              </w:rPr>
              <w:t>9,157</w:t>
            </w:r>
          </w:p>
        </w:tc>
        <w:tc>
          <w:tcPr>
            <w:tcW w:type="dxa" w:w="1440"/>
            <w:shd w:fill="FAFAFA" w:val="clear"/>
          </w:tcPr>
          <w:p>
            <w:r>
              <w:rPr>
                <w:sz w:val="17"/>
              </w:rPr>
              <w:t>9,459</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2026-10-22</w:t>
            </w:r>
          </w:p>
        </w:tc>
        <w:tc>
          <w:tcPr>
            <w:tcW w:type="dxa" w:w="1440"/>
            <w:shd w:fill="FAFAFA" w:val="clear"/>
          </w:tcPr>
          <w:p>
            <w:r>
              <w:rPr>
                <w:sz w:val="17"/>
              </w:rPr>
              <w:t>8,713</w:t>
            </w:r>
          </w:p>
        </w:tc>
        <w:tc>
          <w:tcPr>
            <w:tcW w:type="dxa" w:w="1440"/>
            <w:shd w:fill="FAFAFA" w:val="clear"/>
          </w:tcPr>
          <w:p>
            <w:r>
              <w:rPr>
                <w:b/>
                <w:sz w:val="17"/>
              </w:rPr>
              <w:t>9,139</w:t>
            </w:r>
          </w:p>
        </w:tc>
        <w:tc>
          <w:tcPr>
            <w:tcW w:type="dxa" w:w="1440"/>
            <w:shd w:fill="FAFAFA" w:val="clear"/>
          </w:tcPr>
          <w:p>
            <w:r>
              <w:rPr>
                <w:sz w:val="17"/>
              </w:rPr>
              <w:t>9,565</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8,600</w:t>
            </w:r>
          </w:p>
        </w:tc>
        <w:tc>
          <w:tcPr>
            <w:tcW w:type="dxa" w:w="1440"/>
            <w:shd w:fill="FAFAFA" w:val="clear"/>
          </w:tcPr>
          <w:p>
            <w:r>
              <w:rPr>
                <w:b/>
                <w:sz w:val="17"/>
              </w:rPr>
              <w:t>9,121</w:t>
            </w:r>
          </w:p>
        </w:tc>
        <w:tc>
          <w:tcPr>
            <w:tcW w:type="dxa" w:w="1440"/>
            <w:shd w:fill="FAFAFA" w:val="clear"/>
          </w:tcPr>
          <w:p>
            <w:r>
              <w:rPr>
                <w:sz w:val="17"/>
              </w:rPr>
              <w:t>9,641</w:t>
            </w:r>
          </w:p>
        </w:tc>
        <w:tc>
          <w:tcPr>
            <w:tcW w:type="dxa" w:w="1440"/>
            <w:shd w:fill="FAFAFA" w:val="clear"/>
          </w:tcPr>
          <w:p>
            <w:r>
              <w:rPr>
                <w:b/>
                <w:color w:val="C00000"/>
                <w:sz w:val="17"/>
              </w:rPr>
              <w:t>-0.6%</w:t>
            </w:r>
          </w:p>
        </w:tc>
      </w:tr>
      <w:tr>
        <w:tc>
          <w:tcPr>
            <w:tcW w:type="dxa" w:w="1440"/>
            <w:shd w:fill="FAFAFA" w:val="clear"/>
          </w:tcPr>
          <w:p>
            <w:r>
              <w:rPr>
                <w:sz w:val="17"/>
              </w:rPr>
              <w:t>J+4  Moyenne</w:t>
            </w:r>
          </w:p>
        </w:tc>
        <w:tc>
          <w:tcPr>
            <w:tcW w:type="dxa" w:w="1440"/>
            <w:shd w:fill="FAFAFA" w:val="clear"/>
          </w:tcPr>
          <w:p>
            <w:r>
              <w:rPr>
                <w:sz w:val="17"/>
              </w:rPr>
              <w:t>2026-10-26</w:t>
            </w:r>
          </w:p>
        </w:tc>
        <w:tc>
          <w:tcPr>
            <w:tcW w:type="dxa" w:w="1440"/>
            <w:shd w:fill="FAFAFA" w:val="clear"/>
          </w:tcPr>
          <w:p>
            <w:r>
              <w:rPr>
                <w:sz w:val="17"/>
              </w:rPr>
              <w:t>8,506</w:t>
            </w:r>
          </w:p>
        </w:tc>
        <w:tc>
          <w:tcPr>
            <w:tcW w:type="dxa" w:w="1440"/>
            <w:shd w:fill="FAFAFA" w:val="clear"/>
          </w:tcPr>
          <w:p>
            <w:r>
              <w:rPr>
                <w:b/>
                <w:sz w:val="17"/>
              </w:rPr>
              <w:t>9,106</w:t>
            </w:r>
          </w:p>
        </w:tc>
        <w:tc>
          <w:tcPr>
            <w:tcW w:type="dxa" w:w="1440"/>
            <w:shd w:fill="FAFAFA" w:val="clear"/>
          </w:tcPr>
          <w:p>
            <w:r>
              <w:rPr>
                <w:sz w:val="17"/>
              </w:rPr>
              <w:t>9,706</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2026-10-27</w:t>
            </w:r>
          </w:p>
        </w:tc>
        <w:tc>
          <w:tcPr>
            <w:tcW w:type="dxa" w:w="1440"/>
            <w:shd w:fill="FAFAFA" w:val="clear"/>
          </w:tcPr>
          <w:p>
            <w:r>
              <w:rPr>
                <w:sz w:val="17"/>
              </w:rPr>
              <w:t>8,423</w:t>
            </w:r>
          </w:p>
        </w:tc>
        <w:tc>
          <w:tcPr>
            <w:tcW w:type="dxa" w:w="1440"/>
            <w:shd w:fill="FAFAFA" w:val="clear"/>
          </w:tcPr>
          <w:p>
            <w:r>
              <w:rPr>
                <w:b/>
                <w:sz w:val="17"/>
              </w:rPr>
              <w:t>9,093</w:t>
            </w:r>
          </w:p>
        </w:tc>
        <w:tc>
          <w:tcPr>
            <w:tcW w:type="dxa" w:w="1440"/>
            <w:shd w:fill="FAFAFA" w:val="clear"/>
          </w:tcPr>
          <w:p>
            <w:r>
              <w:rPr>
                <w:sz w:val="17"/>
              </w:rPr>
              <w:t>9,763</w:t>
            </w:r>
          </w:p>
        </w:tc>
        <w:tc>
          <w:tcPr>
            <w:tcW w:type="dxa" w:w="1440"/>
            <w:shd w:fill="FAFAFA" w:val="clear"/>
          </w:tcPr>
          <w:p>
            <w:r>
              <w:rPr>
                <w:b/>
                <w:color w:val="C00000"/>
                <w:sz w:val="17"/>
              </w:rPr>
              <w:t>-1.0%</w:t>
            </w:r>
          </w:p>
        </w:tc>
      </w:tr>
      <w:tr>
        <w:tc>
          <w:tcPr>
            <w:tcW w:type="dxa" w:w="1440"/>
            <w:shd w:fill="FAFAFA" w:val="clear"/>
          </w:tcPr>
          <w:p>
            <w:r>
              <w:rPr>
                <w:sz w:val="17"/>
              </w:rPr>
              <w:t>J+6  Moyenne</w:t>
            </w:r>
          </w:p>
        </w:tc>
        <w:tc>
          <w:tcPr>
            <w:tcW w:type="dxa" w:w="1440"/>
            <w:shd w:fill="FAFAFA" w:val="clear"/>
          </w:tcPr>
          <w:p>
            <w:r>
              <w:rPr>
                <w:sz w:val="17"/>
              </w:rPr>
              <w:t>2026-10-28</w:t>
            </w:r>
          </w:p>
        </w:tc>
        <w:tc>
          <w:tcPr>
            <w:tcW w:type="dxa" w:w="1440"/>
            <w:shd w:fill="FAFAFA" w:val="clear"/>
          </w:tcPr>
          <w:p>
            <w:r>
              <w:rPr>
                <w:sz w:val="17"/>
              </w:rPr>
              <w:t>8,347</w:t>
            </w:r>
          </w:p>
        </w:tc>
        <w:tc>
          <w:tcPr>
            <w:tcW w:type="dxa" w:w="1440"/>
            <w:shd w:fill="FAFAFA" w:val="clear"/>
          </w:tcPr>
          <w:p>
            <w:r>
              <w:rPr>
                <w:b/>
                <w:sz w:val="17"/>
              </w:rPr>
              <w:t>9,080</w:t>
            </w:r>
          </w:p>
        </w:tc>
        <w:tc>
          <w:tcPr>
            <w:tcW w:type="dxa" w:w="1440"/>
            <w:shd w:fill="FAFAFA" w:val="clear"/>
          </w:tcPr>
          <w:p>
            <w:r>
              <w:rPr>
                <w:sz w:val="17"/>
              </w:rPr>
              <w:t>9,813</w:t>
            </w:r>
          </w:p>
        </w:tc>
        <w:tc>
          <w:tcPr>
            <w:tcW w:type="dxa" w:w="1440"/>
            <w:shd w:fill="FAFAFA" w:val="clear"/>
          </w:tcPr>
          <w:p>
            <w:r>
              <w:rPr>
                <w:b/>
                <w:color w:val="C00000"/>
                <w:sz w:val="17"/>
              </w:rPr>
              <w:t>-1.1%</w:t>
            </w:r>
          </w:p>
        </w:tc>
      </w:tr>
      <w:tr>
        <w:tc>
          <w:tcPr>
            <w:tcW w:type="dxa" w:w="1440"/>
            <w:shd w:fill="FAFAFA" w:val="clear"/>
          </w:tcPr>
          <w:p>
            <w:r>
              <w:rPr>
                <w:sz w:val="17"/>
              </w:rPr>
              <w:t>J+7  Moyenne</w:t>
            </w:r>
          </w:p>
        </w:tc>
        <w:tc>
          <w:tcPr>
            <w:tcW w:type="dxa" w:w="1440"/>
            <w:shd w:fill="FAFAFA" w:val="clear"/>
          </w:tcPr>
          <w:p>
            <w:r>
              <w:rPr>
                <w:sz w:val="17"/>
              </w:rPr>
              <w:t>2026-10-29</w:t>
            </w:r>
          </w:p>
        </w:tc>
        <w:tc>
          <w:tcPr>
            <w:tcW w:type="dxa" w:w="1440"/>
            <w:shd w:fill="FAFAFA" w:val="clear"/>
          </w:tcPr>
          <w:p>
            <w:r>
              <w:rPr>
                <w:sz w:val="17"/>
              </w:rPr>
              <w:t>8,277</w:t>
            </w:r>
          </w:p>
        </w:tc>
        <w:tc>
          <w:tcPr>
            <w:tcW w:type="dxa" w:w="1440"/>
            <w:shd w:fill="FAFAFA" w:val="clear"/>
          </w:tcPr>
          <w:p>
            <w:r>
              <w:rPr>
                <w:b/>
                <w:sz w:val="17"/>
              </w:rPr>
              <w:t>9,068</w:t>
            </w:r>
          </w:p>
        </w:tc>
        <w:tc>
          <w:tcPr>
            <w:tcW w:type="dxa" w:w="1440"/>
            <w:shd w:fill="FAFAFA" w:val="clear"/>
          </w:tcPr>
          <w:p>
            <w:r>
              <w:rPr>
                <w:sz w:val="17"/>
              </w:rPr>
              <w:t>9,859</w:t>
            </w:r>
          </w:p>
        </w:tc>
        <w:tc>
          <w:tcPr>
            <w:tcW w:type="dxa" w:w="1440"/>
            <w:shd w:fill="FAFAFA" w:val="clear"/>
          </w:tcPr>
          <w:p>
            <w:r>
              <w:rPr>
                <w:b/>
                <w:color w:val="C00000"/>
                <w:sz w:val="17"/>
              </w:rPr>
              <w:t>-1.2%</w:t>
            </w:r>
          </w:p>
        </w:tc>
      </w:tr>
      <w:tr>
        <w:tc>
          <w:tcPr>
            <w:tcW w:type="dxa" w:w="1440"/>
            <w:shd w:fill="FAFAFA" w:val="clear"/>
          </w:tcPr>
          <w:p>
            <w:r>
              <w:rPr>
                <w:sz w:val="17"/>
              </w:rPr>
              <w:t>J+8  Moyenne</w:t>
            </w:r>
          </w:p>
        </w:tc>
        <w:tc>
          <w:tcPr>
            <w:tcW w:type="dxa" w:w="1440"/>
            <w:shd w:fill="FAFAFA" w:val="clear"/>
          </w:tcPr>
          <w:p>
            <w:r>
              <w:rPr>
                <w:sz w:val="17"/>
              </w:rPr>
              <w:t>2026-10-30</w:t>
            </w:r>
          </w:p>
        </w:tc>
        <w:tc>
          <w:tcPr>
            <w:tcW w:type="dxa" w:w="1440"/>
            <w:shd w:fill="FAFAFA" w:val="clear"/>
          </w:tcPr>
          <w:p>
            <w:r>
              <w:rPr>
                <w:sz w:val="17"/>
              </w:rPr>
              <w:t>8,212</w:t>
            </w:r>
          </w:p>
        </w:tc>
        <w:tc>
          <w:tcPr>
            <w:tcW w:type="dxa" w:w="1440"/>
            <w:shd w:fill="FAFAFA" w:val="clear"/>
          </w:tcPr>
          <w:p>
            <w:r>
              <w:rPr>
                <w:b/>
                <w:sz w:val="17"/>
              </w:rPr>
              <w:t>9,056</w:t>
            </w:r>
          </w:p>
        </w:tc>
        <w:tc>
          <w:tcPr>
            <w:tcW w:type="dxa" w:w="1440"/>
            <w:shd w:fill="FAFAFA" w:val="clear"/>
          </w:tcPr>
          <w:p>
            <w:r>
              <w:rPr>
                <w:sz w:val="17"/>
              </w:rPr>
              <w:t>9,901</w:t>
            </w:r>
          </w:p>
        </w:tc>
        <w:tc>
          <w:tcPr>
            <w:tcW w:type="dxa" w:w="1440"/>
            <w:shd w:fill="FAFAFA" w:val="clear"/>
          </w:tcPr>
          <w:p>
            <w:r>
              <w:rPr>
                <w:b/>
                <w:color w:val="C00000"/>
                <w:sz w:val="17"/>
              </w:rPr>
              <w:t>-1.3%</w:t>
            </w:r>
          </w:p>
        </w:tc>
      </w:tr>
      <w:tr>
        <w:tc>
          <w:tcPr>
            <w:tcW w:type="dxa" w:w="1440"/>
            <w:shd w:fill="FAFAFA" w:val="clear"/>
          </w:tcPr>
          <w:p>
            <w:r>
              <w:rPr>
                <w:sz w:val="17"/>
              </w:rPr>
              <w:t>J+9  Moyenne</w:t>
            </w:r>
          </w:p>
        </w:tc>
        <w:tc>
          <w:tcPr>
            <w:tcW w:type="dxa" w:w="1440"/>
            <w:shd w:fill="FAFAFA" w:val="clear"/>
          </w:tcPr>
          <w:p>
            <w:r>
              <w:rPr>
                <w:sz w:val="17"/>
              </w:rPr>
              <w:t>2026-11-02</w:t>
            </w:r>
          </w:p>
        </w:tc>
        <w:tc>
          <w:tcPr>
            <w:tcW w:type="dxa" w:w="1440"/>
            <w:shd w:fill="FAFAFA" w:val="clear"/>
          </w:tcPr>
          <w:p>
            <w:r>
              <w:rPr>
                <w:sz w:val="17"/>
              </w:rPr>
              <w:t>8,151</w:t>
            </w:r>
          </w:p>
        </w:tc>
        <w:tc>
          <w:tcPr>
            <w:tcW w:type="dxa" w:w="1440"/>
            <w:shd w:fill="FAFAFA" w:val="clear"/>
          </w:tcPr>
          <w:p>
            <w:r>
              <w:rPr>
                <w:b/>
                <w:sz w:val="17"/>
              </w:rPr>
              <w:t>9,045</w:t>
            </w:r>
          </w:p>
        </w:tc>
        <w:tc>
          <w:tcPr>
            <w:tcW w:type="dxa" w:w="1440"/>
            <w:shd w:fill="FAFAFA" w:val="clear"/>
          </w:tcPr>
          <w:p>
            <w:r>
              <w:rPr>
                <w:sz w:val="17"/>
              </w:rPr>
              <w:t>9,940</w:t>
            </w:r>
          </w:p>
        </w:tc>
        <w:tc>
          <w:tcPr>
            <w:tcW w:type="dxa" w:w="1440"/>
            <w:shd w:fill="FAFAFA" w:val="clear"/>
          </w:tcPr>
          <w:p>
            <w:r>
              <w:rPr>
                <w:b/>
                <w:color w:val="C00000"/>
                <w:sz w:val="17"/>
              </w:rPr>
              <w:t>-1.5%</w:t>
            </w:r>
          </w:p>
        </w:tc>
      </w:tr>
      <w:tr>
        <w:tc>
          <w:tcPr>
            <w:tcW w:type="dxa" w:w="1440"/>
            <w:shd w:fill="FAFAFA" w:val="clear"/>
          </w:tcPr>
          <w:p>
            <w:r>
              <w:rPr>
                <w:sz w:val="17"/>
              </w:rPr>
              <w:t>J+10  Moyenne</w:t>
            </w:r>
          </w:p>
        </w:tc>
        <w:tc>
          <w:tcPr>
            <w:tcW w:type="dxa" w:w="1440"/>
            <w:shd w:fill="FAFAFA" w:val="clear"/>
          </w:tcPr>
          <w:p>
            <w:r>
              <w:rPr>
                <w:sz w:val="17"/>
              </w:rPr>
              <w:t>2026-11-03</w:t>
            </w:r>
          </w:p>
        </w:tc>
        <w:tc>
          <w:tcPr>
            <w:tcW w:type="dxa" w:w="1440"/>
            <w:shd w:fill="FAFAFA" w:val="clear"/>
          </w:tcPr>
          <w:p>
            <w:r>
              <w:rPr>
                <w:sz w:val="17"/>
              </w:rPr>
              <w:t>8,093</w:t>
            </w:r>
          </w:p>
        </w:tc>
        <w:tc>
          <w:tcPr>
            <w:tcW w:type="dxa" w:w="1440"/>
            <w:shd w:fill="FAFAFA" w:val="clear"/>
          </w:tcPr>
          <w:p>
            <w:r>
              <w:rPr>
                <w:b/>
                <w:sz w:val="17"/>
              </w:rPr>
              <w:t>9,034</w:t>
            </w:r>
          </w:p>
        </w:tc>
        <w:tc>
          <w:tcPr>
            <w:tcW w:type="dxa" w:w="1440"/>
            <w:shd w:fill="FAFAFA" w:val="clear"/>
          </w:tcPr>
          <w:p>
            <w:r>
              <w:rPr>
                <w:sz w:val="17"/>
              </w:rPr>
              <w:t>9,976</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 RAPPORT D'ANALYSE FINANCIÈRE — BOA BÉNIN (BOAB)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372,35 milliards FCFA, BOAB s'affirme comme une valeur bancaire de premier plan sur le compartiment bancaire de la BRVM, représentant une capitalisation significative à l'échelle régionale. Le BPA de 496 FCFA/action traduit un bénéfice net par titre confortable, cohérent avec un résultat net 2025 de 20,107 milliards FCFA. Le PER de 18,5x se situe nettement au-dessus de la moyenne BRVM (~8-12x), signalant que le marché paie une prime certaine pour les bénéfices de la banque — valorisation « modérée » en absolu mais exigeante relativement au marché régional. Le P/B de 3,17x confirme cette prime de croissance : le marché valorise BOAB à plus de trois fois ses capitaux propres (117,507 Mds FCFA), ce qui traduit une forte confiance dans la qualité de son ROE (17,1%). Enfin, l'EV/EBITDA de 19,2x (&gt;15x) apparaît très exigeant, intégrant une anticipation de croissance soutenue ; cette valorisation riche laisse peu de marge d'erreur et rend le titre vulnérable à toute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 affiche une variation totale positive de +3,15%, malgré un repli de -0,22% sur la dernière séance (J-1), le cours s'établissant à 9 180 FCFA. Le range de trading est large, entre un plus bas de 8 520 FCFA et un plus haut de 10 350 FCFA, soit une amplitude de près de 21,5% qui témoigne d'une réelle animation du titre. La tendance générale est haussière mais essoufflée : le cours actuel (9 180 FCFA) se situe exactement sur sa moyenne sur 100 jours, signe d'un équilibre fragile après le pic de 10 350 FCFA. Les statistiques descriptives révèlent une distribution asymétrique : la moyenne (9 180 FCFA) dépasse la médiane (8 950 FCFA) et le mode (8 700 FCFA), confirmant un skewness positif de 0,918 — davantage de journées se sont négociées sous la moyenne, avec quelques séances hautes tirant la moyenne vers le haut. L'écart-type de 553 FCFA (CV = 6,0%) indique une dispersion modérée du cours, tandis que le kurtosis de -0,530 (mésokurtique) suggère une distribution proche de la normale, sans risque marqué de pics extrêmes. La volatilité annualisée de 27,8% positionne le titre dans la catégorie modérée (15-30%), acceptable pour une valeur bancaire de cette envergure.</w:t>
      </w:r>
    </w:p>
    <w:p>
      <w:pPr>
        <w:spacing w:after="120" w:line="276" w:lineRule="auto"/>
      </w:pPr>
      <w:r>
        <w:t>---</w:t>
      </w:r>
    </w:p>
    <w:p>
      <w:pPr>
        <w:spacing w:after="120" w:line="276" w:lineRule="auto"/>
      </w:pPr>
      <w:r>
        <w:t>## PARTIE 2 : ANALYSE TECHNIQUE DÉTAILLÉE</w:t>
      </w:r>
    </w:p>
    <w:p>
      <w:pPr>
        <w:spacing w:after="120" w:line="276" w:lineRule="auto"/>
      </w:pPr>
      <w:r>
        <w:t>**Moyennes Mobiles** : La MM20 (9 245,25 FCFA) et la MM50 (9 553,80 FCFA) se situent toutes deux au-dessus du cours actuel (9 180 FCFA), et la MM20 est elle-même inférieure à la MM50 — configuration baissière caractéristique d'un croisement négatif. Le cours évoluant sous ses deux moyennes, la pression vendeuse domine à court et moyen terme, justifiant la décision « Vente ».</w:t>
      </w:r>
    </w:p>
    <w:p>
      <w:pPr>
        <w:spacing w:after="120" w:line="276" w:lineRule="auto"/>
      </w:pPr>
      <w:r>
        <w:t>**Bandes de Bollinger** : Le cours (9 180 FCFA) se situe dans la moitié inférieure de la bande, entre la borne inférieure (8 815,18 FCFA) et la borne supérieure (9 675,32 FCFA), sans contact avec les extrêmes. Cette position centrale traduit une absence de signal directionnel fort et une volatilité contenue, justifiant la décision « Neutre » — le titre n'est ni en survente ni en surachat.</w:t>
      </w:r>
    </w:p>
    <w:p>
      <w:pPr>
        <w:spacing w:after="120" w:line="276" w:lineRule="auto"/>
      </w:pPr>
      <w:r>
        <w:t>**MACD** : La ligne MACD (-113,07) est inférieure à sa ligne de signal (-98,08), confirmant un momentum baissier persistant. L'écart négatif entre les deux lignes indique que la dynamique descendante n'est pas encore résorbée, ce qui valide la décision « Vente » et suggère une prudence sur les entrées à court terme.</w:t>
      </w:r>
    </w:p>
    <w:p>
      <w:pPr>
        <w:spacing w:after="120" w:line="276" w:lineRule="auto"/>
      </w:pPr>
      <w:r>
        <w:t>**RSI** : À 43,86, le RSI se situe dans la zone neutre (30-70), sans atteindre la zone de survente (&lt;30) ni de surachat (&gt;70). Cette valeur traduit un équilibre relatif entre acheteurs et vendeurs, avec une légère prédominance baissière, justifiant la décision « Neutre » — aucun signal de retournement n'est encore visible.</w:t>
      </w:r>
    </w:p>
    <w:p>
      <w:pPr>
        <w:spacing w:after="120" w:line="276" w:lineRule="auto"/>
      </w:pPr>
      <w:r>
        <w:t>**Stochastique** : Le %K (24,0) est supérieur au %D (16,89), les deux indicateurs évoluant en zone de survente (&lt;20 pour le %D). Ce positionnement suggère un possible essoufflement de la baisse et l'amorce d'un croisement haussier, mais la faiblesse des niveaux impose la prudence ; la décision reste « Neutre ».</w:t>
      </w:r>
    </w:p>
    <w:p>
      <w:pPr>
        <w:spacing w:after="120" w:line="276" w:lineRule="auto"/>
      </w:pPr>
      <w:r>
        <w:t>**Conclusion technique** : Les indicateurs convergent majoritairement vers un biais baissier à court terme (MM en configuration négative, MACD sous son signal), tempéré par un RSI et un stochastique en zone neutre/basse qui n'excluent pas un rebond technique. Le titre évolue dans une phase de consolidation sans direction forte, avec un cours collé à sa moyenne 100 jours. La prudence reste de mise tant que le cours n'aura pas reconquis la MM20 (9 245 FCFA) puis la MM50 (9 554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BOAB affiche un Produit Net Bancaire (équivalent du chiffre d'affaires bancaire) de 51,274 milliards FCFA en 2025, en croissance de 10,20% selon les données structurées, avec un résultat net de 20,107 milliards FCFA. La rentabilité est solide : ROE de 17,11% (&gt;15% = excellent) et ROA de 2,08%, tandis que la marge nette atteint 39,22%. Le coefficient d'exploitation de 49,53% (&lt;50%) classe la banque parmi les établissements très efficaces, confirmant une excellente maîtrise des charges. Le coût du risque rapporté aux charges financières s'établit à 22,50%, niveau élevé signalant un risque de crédit à surveiller, cohérent avec les provisions de 4,686 Mds FCFA. La structure de bilan révèle une forte dépendance aux dépôts clientèle (711,642 Mds FCFA, soit 73,8% du passif) face à des créances clientèle de 391,724 Mds FCFA — un ratio de transformation prudent (55%), typique d'une banque conservatrice privilégiant les titres d'État (329,253 Mds FCFA). L'autonomie financière de 12,18% reste faible mais usuelle pour le secteur, la solvabilité générale (113,87%) assurant la couverture des dettes.</w:t>
      </w:r>
    </w:p>
    <w:p>
      <w:pPr>
        <w:spacing w:after="120" w:line="276" w:lineRule="auto"/>
      </w:pPr>
      <w:r>
        <w:t>**Estimations issues des rapports trimestriels** : Le rapport du **T1 2026** (publié en 2026) confirme la dynamique avec un PNB de 12,329 Mds FCFA (+11%) et un résultat net de 4,502 Mds FCFA (+1%), soutenu par les commissions (+18,9%) et la marge nette bancaire (+8,5%) ; les dépôts progressent de 3,5% à 753,7 Mds FCFA. Sur cette base, on estime que l'exercice 2026 devrait maintenir une croissance du PNB à deux chiffres (~10-11%), avec un résultat net annuel projeté autour de 21-22 Mds FCFA si la pression sur les coûts se stabilise. Le rapport du **T3 2025** (30/09/2025) avait déjà montré un PNB trimestriel de 37,065 Mds FCFA (+9%) et un résultat net de 15,880 Mds FCFA (+13%), dans un contexte paradoxal de contraction du bilan (crédits -10%, dépôts -5%) compensée par une amélioration des marges. Les états financiers **2024** (31/12/2024) rappellent un résultat net de 19,647 Mds FCFA (-8,7%) et un ROE de ~16,7%, avant le rebond de 2025. **Conclusion fondamentale** : BOAB présente une solidité financière avérée (ROE &gt;17%, efficacité opérationnelle remarquable), mais fait face à des défis de croissance (contraction du bilan, coût du risque élevé) et à une valorisation exigeante ; le profil reste défensif et de qualité, avec une recommandation fondamentale de **conservation** dans l'attente de confirmation de la reprise du crédit.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 le PER de 18,5x et le P/B de 3,17x, bien supérieurs aux standards BRVM, indiquent une valorisation riche — le marché intègre déjà la qualité des fondamentaux, limitant le potentiel de re-rating. **Comportement du cours** : la tendance haussière (+3,15%) masque un essoufflement récent, avec un skewness positif (0,918) et une volatilité modérée (27,8%) qui traduisent un titre sans dynamique franche mais globalement stable. **Signaux techniques** : la convergence baissière (MM20 &lt; MM50, cours sous les deux moyennes, MACD négatif) contraste avec un RSI et un stochastique neutres/bas qui pourraient amorcer un rebond technique — les indicateurs sont majoritairement défavorables à court terme. **Fondamentaux** : la solidité est réelle (ROE 17,1%, coefficient d'exploitation 49,5%, PNB +10,2% en 2025, T1 2026 +11%), mais la croissance du résultat net marque le pas (+1% au T1 2026) et le coût du risque reste élevé. **Prédictions IA** : la trajectoire projetée (9 157 → 9 093 FCFA sur J+1 à J+10) confirme le biais baissier technique, avec une érosion progressive du cours vers 9 093 FCFA (-1,0% sur 10 jours), en cohérence avec les signaux techniques.</w:t>
      </w:r>
    </w:p>
    <w:p>
      <w:pPr>
        <w:spacing w:after="120" w:line="276" w:lineRule="auto"/>
      </w:pPr>
      <w:r>
        <w:t>**Recommandation finale : CONSERVER.** La convergence est partielle : la qualité fondamentale et la solidité financière plaident pour la détention, mais la valorisation exigeante, les signaux techniques baissiers et les prédictions IA descendantes interdisent tout renforcement à court terme. **Niveau de confiance : Moyen** (les fondamentaux soutiennent le titre mais la technique et la valorisation limitent l'upside). **Niveau de risque global : Moyen** (volatilité modérée, valorisation tendue, mais bilan solide). **Horizon optimal : moyen terme (3-12 mois)**, le temps que la dynamique de croissance du résultat net se confirme et que le cours reconquière ses moyennes mobiles ; un retour vers 8 815 FCFA (borne basse de Bollinger) constituerait une zone de renforcement pour un investisseur de long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343.86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6,303 titres</w:t>
            </w:r>
          </w:p>
        </w:tc>
        <w:tc>
          <w:tcPr>
            <w:tcW w:type="dxa" w:w="2268"/>
            <w:shd w:fill="FFF2CC" w:val="clear"/>
          </w:tcPr>
          <w:p>
            <w:r>
              <w:rPr>
                <w:b/>
                <w:color w:val="503200"/>
                <w:sz w:val="16"/>
              </w:rPr>
              <w:t xml:space="preserve">Cours actuel : </w:t>
            </w:r>
            <w:r>
              <w:rPr>
                <w:color w:val="000000"/>
                <w:sz w:val="17"/>
              </w:rPr>
              <w:t>7,815 FCFA</w:t>
            </w:r>
          </w:p>
          <w:p>
            <w:r>
              <w:rPr>
                <w:b/>
                <w:color w:val="503200"/>
                <w:sz w:val="16"/>
              </w:rPr>
              <w:t xml:space="preserve">Var. 100 jours : </w:t>
            </w:r>
            <w:r>
              <w:rPr>
                <w:b/>
                <w:color w:val="007800"/>
                <w:sz w:val="17"/>
              </w:rPr>
              <w:t>+39.55%</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16.22% (Élevée) — μ=7,144 FCFA, σ=1,159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β=0.7342 (Défensif) — Cov=0.000057, Var(idx)=0.000078, ρ=0.284,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7,535</w:t>
            </w:r>
          </w:p>
        </w:tc>
        <w:tc>
          <w:tcPr>
            <w:tcW w:type="dxa" w:w="1440"/>
            <w:shd w:fill="FAFAFA" w:val="clear"/>
          </w:tcPr>
          <w:p>
            <w:r>
              <w:rPr>
                <w:b/>
                <w:sz w:val="17"/>
              </w:rPr>
              <w:t>7,816</w:t>
            </w:r>
          </w:p>
        </w:tc>
        <w:tc>
          <w:tcPr>
            <w:tcW w:type="dxa" w:w="1440"/>
            <w:shd w:fill="FAFAFA" w:val="clear"/>
          </w:tcPr>
          <w:p>
            <w:r>
              <w:rPr>
                <w:sz w:val="17"/>
              </w:rPr>
              <w:t>8,096</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7,411</w:t>
            </w:r>
          </w:p>
        </w:tc>
        <w:tc>
          <w:tcPr>
            <w:tcW w:type="dxa" w:w="1440"/>
            <w:shd w:fill="FAFAFA" w:val="clear"/>
          </w:tcPr>
          <w:p>
            <w:r>
              <w:rPr>
                <w:b/>
                <w:sz w:val="17"/>
              </w:rPr>
              <w:t>7,807</w:t>
            </w:r>
          </w:p>
        </w:tc>
        <w:tc>
          <w:tcPr>
            <w:tcW w:type="dxa" w:w="1440"/>
            <w:shd w:fill="FAFAFA" w:val="clear"/>
          </w:tcPr>
          <w:p>
            <w:r>
              <w:rPr>
                <w:sz w:val="17"/>
              </w:rPr>
              <w:t>8,204</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7,315</w:t>
            </w:r>
          </w:p>
        </w:tc>
        <w:tc>
          <w:tcPr>
            <w:tcW w:type="dxa" w:w="1440"/>
            <w:shd w:fill="FAFAFA" w:val="clear"/>
          </w:tcPr>
          <w:p>
            <w:r>
              <w:rPr>
                <w:b/>
                <w:sz w:val="17"/>
              </w:rPr>
              <w:t>7,800</w:t>
            </w:r>
          </w:p>
        </w:tc>
        <w:tc>
          <w:tcPr>
            <w:tcW w:type="dxa" w:w="1440"/>
            <w:shd w:fill="FAFAFA" w:val="clear"/>
          </w:tcPr>
          <w:p>
            <w:r>
              <w:rPr>
                <w:sz w:val="17"/>
              </w:rPr>
              <w:t>8,286</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7,230</w:t>
            </w:r>
          </w:p>
        </w:tc>
        <w:tc>
          <w:tcPr>
            <w:tcW w:type="dxa" w:w="1440"/>
            <w:shd w:fill="FAFAFA" w:val="clear"/>
          </w:tcPr>
          <w:p>
            <w:r>
              <w:rPr>
                <w:b/>
                <w:sz w:val="17"/>
              </w:rPr>
              <w:t>7,790</w:t>
            </w:r>
          </w:p>
        </w:tc>
        <w:tc>
          <w:tcPr>
            <w:tcW w:type="dxa" w:w="1440"/>
            <w:shd w:fill="FAFAFA" w:val="clear"/>
          </w:tcPr>
          <w:p>
            <w:r>
              <w:rPr>
                <w:sz w:val="17"/>
              </w:rPr>
              <w:t>8,349</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2026-10-27</w:t>
            </w:r>
          </w:p>
        </w:tc>
        <w:tc>
          <w:tcPr>
            <w:tcW w:type="dxa" w:w="1440"/>
            <w:shd w:fill="FAFAFA" w:val="clear"/>
          </w:tcPr>
          <w:p>
            <w:r>
              <w:rPr>
                <w:sz w:val="17"/>
              </w:rPr>
              <w:t>7,152</w:t>
            </w:r>
          </w:p>
        </w:tc>
        <w:tc>
          <w:tcPr>
            <w:tcW w:type="dxa" w:w="1440"/>
            <w:shd w:fill="FAFAFA" w:val="clear"/>
          </w:tcPr>
          <w:p>
            <w:r>
              <w:rPr>
                <w:b/>
                <w:sz w:val="17"/>
              </w:rPr>
              <w:t>7,776</w:t>
            </w:r>
          </w:p>
        </w:tc>
        <w:tc>
          <w:tcPr>
            <w:tcW w:type="dxa" w:w="1440"/>
            <w:shd w:fill="FAFAFA" w:val="clear"/>
          </w:tcPr>
          <w:p>
            <w:r>
              <w:rPr>
                <w:sz w:val="17"/>
              </w:rPr>
              <w:t>8,401</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2026-10-28</w:t>
            </w:r>
          </w:p>
        </w:tc>
        <w:tc>
          <w:tcPr>
            <w:tcW w:type="dxa" w:w="1440"/>
            <w:shd w:fill="FAFAFA" w:val="clear"/>
          </w:tcPr>
          <w:p>
            <w:r>
              <w:rPr>
                <w:sz w:val="17"/>
              </w:rPr>
              <w:t>7,079</w:t>
            </w:r>
          </w:p>
        </w:tc>
        <w:tc>
          <w:tcPr>
            <w:tcW w:type="dxa" w:w="1440"/>
            <w:shd w:fill="FAFAFA" w:val="clear"/>
          </w:tcPr>
          <w:p>
            <w:r>
              <w:rPr>
                <w:b/>
                <w:sz w:val="17"/>
              </w:rPr>
              <w:t>7,762</w:t>
            </w:r>
          </w:p>
        </w:tc>
        <w:tc>
          <w:tcPr>
            <w:tcW w:type="dxa" w:w="1440"/>
            <w:shd w:fill="FAFAFA" w:val="clear"/>
          </w:tcPr>
          <w:p>
            <w:r>
              <w:rPr>
                <w:sz w:val="17"/>
              </w:rPr>
              <w:t>8,445</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2026-10-29</w:t>
            </w:r>
          </w:p>
        </w:tc>
        <w:tc>
          <w:tcPr>
            <w:tcW w:type="dxa" w:w="1440"/>
            <w:shd w:fill="FAFAFA" w:val="clear"/>
          </w:tcPr>
          <w:p>
            <w:r>
              <w:rPr>
                <w:sz w:val="17"/>
              </w:rPr>
              <w:t>7,011</w:t>
            </w:r>
          </w:p>
        </w:tc>
        <w:tc>
          <w:tcPr>
            <w:tcW w:type="dxa" w:w="1440"/>
            <w:shd w:fill="FAFAFA" w:val="clear"/>
          </w:tcPr>
          <w:p>
            <w:r>
              <w:rPr>
                <w:b/>
                <w:sz w:val="17"/>
              </w:rPr>
              <w:t>7,747</w:t>
            </w:r>
          </w:p>
        </w:tc>
        <w:tc>
          <w:tcPr>
            <w:tcW w:type="dxa" w:w="1440"/>
            <w:shd w:fill="FAFAFA" w:val="clear"/>
          </w:tcPr>
          <w:p>
            <w:r>
              <w:rPr>
                <w:sz w:val="17"/>
              </w:rPr>
              <w:t>8,483</w:t>
            </w:r>
          </w:p>
        </w:tc>
        <w:tc>
          <w:tcPr>
            <w:tcW w:type="dxa" w:w="1440"/>
            <w:shd w:fill="FAFAFA" w:val="clear"/>
          </w:tcPr>
          <w:p>
            <w:r>
              <w:rPr>
                <w:b/>
                <w:color w:val="C00000"/>
                <w:sz w:val="17"/>
              </w:rPr>
              <w:t>-0.9%</w:t>
            </w:r>
          </w:p>
        </w:tc>
      </w:tr>
      <w:tr>
        <w:tc>
          <w:tcPr>
            <w:tcW w:type="dxa" w:w="1440"/>
            <w:shd w:fill="FAFAFA" w:val="clear"/>
          </w:tcPr>
          <w:p>
            <w:r>
              <w:rPr>
                <w:sz w:val="17"/>
              </w:rPr>
              <w:t>J+8  ⭐</w:t>
            </w:r>
          </w:p>
        </w:tc>
        <w:tc>
          <w:tcPr>
            <w:tcW w:type="dxa" w:w="1440"/>
            <w:shd w:fill="FAFAFA" w:val="clear"/>
          </w:tcPr>
          <w:p>
            <w:r>
              <w:rPr>
                <w:sz w:val="17"/>
              </w:rPr>
              <w:t>2026-10-30</w:t>
            </w:r>
          </w:p>
        </w:tc>
        <w:tc>
          <w:tcPr>
            <w:tcW w:type="dxa" w:w="1440"/>
            <w:shd w:fill="FAFAFA" w:val="clear"/>
          </w:tcPr>
          <w:p>
            <w:r>
              <w:rPr>
                <w:sz w:val="17"/>
              </w:rPr>
              <w:t>6,947</w:t>
            </w:r>
          </w:p>
        </w:tc>
        <w:tc>
          <w:tcPr>
            <w:tcW w:type="dxa" w:w="1440"/>
            <w:shd w:fill="FAFAFA" w:val="clear"/>
          </w:tcPr>
          <w:p>
            <w:r>
              <w:rPr>
                <w:b/>
                <w:sz w:val="17"/>
              </w:rPr>
              <w:t>7,733</w:t>
            </w:r>
          </w:p>
        </w:tc>
        <w:tc>
          <w:tcPr>
            <w:tcW w:type="dxa" w:w="1440"/>
            <w:shd w:fill="FAFAFA" w:val="clear"/>
          </w:tcPr>
          <w:p>
            <w:r>
              <w:rPr>
                <w:sz w:val="17"/>
              </w:rPr>
              <w:t>8,518</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2026-11-02</w:t>
            </w:r>
          </w:p>
        </w:tc>
        <w:tc>
          <w:tcPr>
            <w:tcW w:type="dxa" w:w="1440"/>
            <w:shd w:fill="FAFAFA" w:val="clear"/>
          </w:tcPr>
          <w:p>
            <w:r>
              <w:rPr>
                <w:sz w:val="17"/>
              </w:rPr>
              <w:t>6,887</w:t>
            </w:r>
          </w:p>
        </w:tc>
        <w:tc>
          <w:tcPr>
            <w:tcW w:type="dxa" w:w="1440"/>
            <w:shd w:fill="FAFAFA" w:val="clear"/>
          </w:tcPr>
          <w:p>
            <w:r>
              <w:rPr>
                <w:b/>
                <w:sz w:val="17"/>
              </w:rPr>
              <w:t>7,718</w:t>
            </w:r>
          </w:p>
        </w:tc>
        <w:tc>
          <w:tcPr>
            <w:tcW w:type="dxa" w:w="1440"/>
            <w:shd w:fill="FAFAFA" w:val="clear"/>
          </w:tcPr>
          <w:p>
            <w:r>
              <w:rPr>
                <w:sz w:val="17"/>
              </w:rPr>
              <w:t>8,550</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2026-11-03</w:t>
            </w:r>
          </w:p>
        </w:tc>
        <w:tc>
          <w:tcPr>
            <w:tcW w:type="dxa" w:w="1440"/>
            <w:shd w:fill="FAFAFA" w:val="clear"/>
          </w:tcPr>
          <w:p>
            <w:r>
              <w:rPr>
                <w:sz w:val="17"/>
              </w:rPr>
              <w:t>6,830</w:t>
            </w:r>
          </w:p>
        </w:tc>
        <w:tc>
          <w:tcPr>
            <w:tcW w:type="dxa" w:w="1440"/>
            <w:shd w:fill="FAFAFA" w:val="clear"/>
          </w:tcPr>
          <w:p>
            <w:r>
              <w:rPr>
                <w:b/>
                <w:sz w:val="17"/>
              </w:rPr>
              <w:t>7,705</w:t>
            </w:r>
          </w:p>
        </w:tc>
        <w:tc>
          <w:tcPr>
            <w:tcW w:type="dxa" w:w="1440"/>
            <w:shd w:fill="FAFAFA" w:val="clear"/>
          </w:tcPr>
          <w:p>
            <w:r>
              <w:rPr>
                <w:sz w:val="17"/>
              </w:rPr>
              <w:t>8,580</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 RAPPORT D'ANALYSE FINANCIÈRE — BOA BURKINA FASO (BOABF)</w:t>
      </w:r>
    </w:p>
    <w:p>
      <w:pPr>
        <w:spacing w:after="120" w:line="276" w:lineRule="auto"/>
      </w:pPr>
      <w:r>
        <w:t>**Bourse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343,86 Mds FCFA, BOABF s'affirme comme une valeur de premier plan du compartiment bancaire de la BRVM, ce qui traduit une liquidité et une profondeur de marché supérieures à la moyenne régionale. Le BPA de 438 FCFA/action signifie que chaque titre génère près de 438 FCFA de bénéfice net, un niveau de rentabilité par action solide pour le secteur. Le PER de 17,9x se situe nettement au-dessus de la moyenne BRVM (8-12x), signalant que les investisseurs paient une prime pour cette banque — prime qui se justifie par la qualité de ses fondamentaux mais qui réduit la marge de sécurité. Le P/B de 2,72x confirme cette prime de croissance : le marché valorise l'action à près de trois fois sa valeur comptable, dans la fourchette 2-4x caractéristique des banques rentables. Enfin, l'EV/EBITDA de 7,8x, dans la zone raisonnable de 5-10x, suggère que la valeur d'entreprise reste cohérente avec la capacité opérationnelle de génération de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BOABF affiche une performance remarquable de +39,55%, portant le cours à 7 815 FCFA, malgré un repli de -1,64% lors de la dernière séance qui traduit une prise de bénéfices après un rallye soutenu. Le range de trading est large, du plus bas de 5 300 FCFA au plus haut de 9 090 FCFA, soit une amplitude de plus de 70% qui témoigne d'une forte dynamique haussière suivie d'une correction. La tendance générale reste haussière sur la période, mais le repli récent depuis les sommets suggère un essoufflement de court terme. Les statistiques descriptives révèlent une moyenne de 7 144 FCFA légèrement inférieure à la médiane de 7 200 FCFA, avec un mode à 7 100 FCFA : l'écart minime entre ces mesures de tendance centrale indique une distribution quasi symétrique, confirmée par un skewness de -0,066 (distribution symétrique). L'écart-type de 1 165 FCFA et le coefficient de variation de 16,3% traduisent une dispersion modérée du cours autour de sa moyenne. Le kurtosis négatif de -1,215 (distribution platykurtique) signale une faible concentration des rendements et un risque de pics extrêmes limité — un profil rassurant pour la gestion du risque. La volatilité annualisée de 36,0% place le titre dans la catégorie des valeurs à volatilité élevée (&gt;30%), ce qui est cohérent avec la dynamique récente et appelle à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(7 954 FCFA) et la MM50 (8 101,7 FCFA) se situent toutes deux au-dessus du cours actuel (7 815 FCFA), configurant une pression baissière de court terme. La MM20 étant inférieure à la MM50, on observe un croisement baissier (death cross) qui confirme la décision de **Vente** : le titre évolue sous ses deux moyennes de référence, signe d'une tendance descendante à court et moyen terme.</w:t>
      </w:r>
    </w:p>
    <w:p>
      <w:pPr>
        <w:spacing w:after="120" w:line="276" w:lineRule="auto"/>
      </w:pPr>
      <w:r>
        <w:t>**Bandes de Bollinger** : Le cours (7 815 FCFA) se situe dans la moitié inférieure de la bande, entre la borne inférieure (7 512,75 FCFA) et la borne supérieure (8 395,25 FCFA), mais plus proche du bas que du haut. Cette position reflète une pression vendeuse modérée sans situation de survente extrême, justifiant la décision **Neutre** : le titre n'est ni en zone d'achat technique évidente, ni en zone de surchauffe.</w:t>
      </w:r>
    </w:p>
    <w:p>
      <w:pPr>
        <w:spacing w:after="120" w:line="276" w:lineRule="auto"/>
      </w:pPr>
      <w:r>
        <w:t>**MACD** : La valeur du MACD (-45,456) est inférieure à sa ligne de signal (-32,142), et les deux sont en territoire négatif. Cette configuration baissière indique un momentum négatif persistant, avec une divergence défavorable qui confirme la décision de **Vente** : la dynamique de court terme reste orientée à la baisse.</w:t>
      </w:r>
    </w:p>
    <w:p>
      <w:pPr>
        <w:spacing w:after="120" w:line="276" w:lineRule="auto"/>
      </w:pPr>
      <w:r>
        <w:t>**RSI** : À 23,022, le RSI se situe nettement sous le seuil de 30, en zone de **survente**. Cette lecture, qui déclenche une décision d'**Achat** technique, suggère que le titre a été excessivement vendu et qu'un rebond technique est probable à court terme — signal potentiellement contradictoire avec les moyennes mobiles et le MACD.</w:t>
      </w:r>
    </w:p>
    <w:p>
      <w:pPr>
        <w:spacing w:after="120" w:line="276" w:lineRule="auto"/>
      </w:pPr>
      <w:r>
        <w:t>**Stochastique** : Le %K à 0,0 et le %D à 14,167 traduisent une position extrême en zone de survente, avec le %K sous le %D. Cette configuration, bien que baissière dans sa dynamique, déclenche une décision d'**Achat** : le stochastique signale un épuisement de la pression vendeuse et une possible inflexion haussière imminente.</w:t>
      </w:r>
    </w:p>
    <w:p>
      <w:pPr>
        <w:spacing w:after="120" w:line="276" w:lineRule="auto"/>
      </w:pPr>
      <w:r>
        <w:t>**Conclusion technique** : Les indicateurs présentent une divergence notable. Les moyennes mobiles et le MACD confirment une tendance baissière de court terme (décisions de Vente), tandis que le RSI et le stochastique, en zone de survente extrême, plaident pour un rebond technique (décisions d'Achat). Les Bandes de Bollinger restent neutres. Cette configuration suggère un titre en correction après un fort rallye, arrivé à un niveau de survente qui pourrait favoriser un rebond, mais sans confirmation de retournement de tendance à ce stade. La prudence est de mise : un rebond technique est possible, mais la tendance de fond reste baissière tant que le cours n'aura pas reconquis la MM20 (7 954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BOABF a réalisé un Produit Net Bancaire (PNB, équivalent du chiffre d'affaires pour une banque) de 57 820 Mds FCFA, quasi stable (+0,6%) par rapport à 2024 (57 490 Mds FCFA). Le résultat net s'établit à 19 252 Mds FCFA, en recul de -14,1% sur un an, principalement en raison du doublement du coût du risque (provisions de 8 355 Mds FCFA contre 4 303 Mds FCFA en 2024). La rentabilité des fonds propres (ROE) reste excellente à 15,22% (&gt;15% = excellent), tandis que le ROA de 1,68% traduit une rentabilité des actifs correcte pour le secteur. Le coefficient d'exploitation de 47,19% place la banque dans la catégorie des établissements très efficaces (&lt;50% = excellente), et le ratio dépôts/crédits (877 822 Mds FCFA de dépôts clientèle contre 474 064 Mds FCFA de créances clientèle, soit ~185%) témoigne d'une surliquidité confortable, bien que la banque soit peu transformatrice. Le coût du risque rapporté aux charges financières (33,92%) reste élevé, signalant un portefeuille de crédits sous pression.</w:t>
      </w:r>
    </w:p>
    <w:p>
      <w:pPr>
        <w:spacing w:after="120" w:line="276" w:lineRule="auto"/>
      </w:pPr>
      <w:r>
        <w:t>**Estimations basées sur les rapports trimestriels** : Les rapports les plus récents nuancent ce tableau annuel. Le rapport du **T1 2026 (31/03/2026)** montre un PNB de 12 694 Mds FCFA en baisse de -10,75% et un résultat net de 4 520 Mds FCFA en recul de -12,99%, avec des dépôts en hausse de +6,3% mais des crédits en léger repli (-1,2%). Le rapport du **S1 2026 (30/06/2026)** révèle en revanche une amélioration spectaculaire : le résultat net bondit de +31,0% à 10 770 Mds FCFA, porté par une normalisation du coût du risque (-2 396 Mds FCFA contre -6 876 Mds FCFA un an plus tôt, soit -65,2%), malgré un PNB toujours en repli (-5,2%). Le rapport annuel 2025 (31/12/2025) confirme que l'essentiel de la charge de risque s'est concentré au premier semestre 2025, cohérent avec le redressement observé ensuite. **On estime donc** que l'exercice 2026 devrait bénéficier d'un effet de base favorable sur le coût du risque, avec un résultat net en nette progression par rapport à 2025, mais la dynamique commerciale (PNB en baisse) reste le point d'attention majeur. La recommandation fondamentale est de **CONSERVER** : la solidité financière (ROE &gt;15%, coefficient d'exploitation &lt;50%, surliquidité) est indéniable, mais la contraction du PNB et la dépendance à la normalisation du risque appellent à la prudence.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 l'analyse révèle un profil contrasté. **Sur le plan de la valorisation (Partie 0)**, les ratios PER (17,9x) et P/B (2,72x) indiquent une prime significative par rapport à la moyenne BRVM, suggérant que le marché intègre déjà une bonne partie des qualités fondamentales de la banque — le titre n'est pas sous-évalué. **Le comportement du cours (Partie 1)** montre une tendance haussière de fond (+39,55% sur 100 jours) mais une correction récente, avec une volatilité élevée (36%) et une distribution symétrique sans risque de pics extrêmes (kurtosis -1,215), ce qui est plutôt favorable mais appelle à la prudence sur le court terme. **Les signaux techniques (Partie 2)** sont divergents : les moyennes mobiles et le MACD confirment une tendance baissière de court terme, tandis que le RSI (23,0) et le stochastique (0,0) en zone de survente extrême plaident pour un rebond technique imminent — cette divergence suggère un point d'inflexion possible mais non confirmé. **Les fondamentaux (Partie 3)** restent solides (ROE 15,22%, coefficient d'exploitation 47,19%, surliquidité), avec une amélioration du résultat net au S1 2026 (+31,0%) tirée par la normalisation du coût du risque, mais une dynamique commerciale atone (PNB -5,2%). **Les prédictions IA (J+1 à J+10)** anticipent une légère dérive baissière de 7 816 à 7 776 FCFA, confirmant la pression de court terme sans effondrement. Sur cette base, la convergence entre une valorisation exigeante, une technique baissière de court terme mais en survente, et des fondamentaux solides mais sans croissance commerciale, conduit à une recommandation de **CONSERVER**. Le niveau de confiance est **Moyen** (divergence technique), le niveau de risque **Moyen** (volatilité élevée mais distribution symétrique), et l'horizon optimal est le **moyen terme (3-12 mois)**, le temps que la normalisation du coût du risque se confirme et que la dynamique du PNB s'améliore. Un rebond technique de court terme est possible, mais il ne constitue pas un signal d'achat structurel tant que le cours n'aura pas reconquis la MM20 (7 954 FCFA) et que le PNB n'aura pas renoué avec la croissance.</w:t>
      </w:r>
    </w:p>
    <w:p>
      <w:pPr>
        <w:spacing w:after="120" w:line="276" w:lineRule="auto"/>
      </w:pPr>
      <w:r>
        <w:t>---</w:t>
      </w:r>
    </w:p>
    <w:p>
      <w:pPr>
        <w:spacing w:after="120" w:line="276" w:lineRule="auto"/>
      </w:pPr>
      <w:r>
        <w:t>*Rapport généré à partir des données BRVM officielles (exercice 2025 et rapports T1/S1 2026) — Analyse à titre informatif, ne constitue pas un conseil en investissement.*</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20261009   calendrier de paiement des dividendes   exercice 2025</w:t>
      </w:r>
    </w:p>
    <w:p>
      <w:pPr>
        <w:spacing w:before="20"/>
        <w:ind w:left="400"/>
      </w:pPr>
      <w:r>
        <w:rPr>
          <w:color w:val="505050"/>
          <w:sz w:val="17"/>
        </w:rPr>
        <w:t xml:space="preserve">Date : 12/10/2026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avec les montants nets par action, les dates de publication d'avis, les dates ex-dividende et les dates de paiement. Le document couvre plus de trente sociétés de la zone UEMOA, avec des paiements échelonnés d'avril à octobre 2026. Les montants indiqués sont nets, sauf pour les sociétés marquées d'un astérisque dont le dividende est brut avec application de l'IRVM.</w:t>
      </w:r>
    </w:p>
    <w:p>
      <w:pPr>
        <w:spacing w:before="60"/>
        <w:ind w:left="400"/>
      </w:pPr>
      <w:r>
        <w:rPr>
          <w:b/>
          <w:sz w:val="18"/>
        </w:rPr>
        <w:t>Points clés :</w:t>
      </w:r>
    </w:p>
    <w:p>
      <w:pPr>
        <w:pStyle w:val="ListBullet"/>
        <w:spacing w:before="20" w:after="20"/>
        <w:ind w:left="700"/>
      </w:pPr>
      <w:r>
        <w:rPr>
          <w:sz w:val="18"/>
        </w:rPr>
        <w:t>Le calendrier couvre les dividendes de l'exercice 2025 pour plus de 30 sociétés cotées à la BRVM</w:t>
      </w:r>
    </w:p>
    <w:p>
      <w:pPr>
        <w:pStyle w:val="ListBullet"/>
        <w:spacing w:before="20" w:after="20"/>
        <w:ind w:left="700"/>
      </w:pPr>
      <w:r>
        <w:rPr>
          <w:sz w:val="18"/>
        </w:rPr>
        <w:t>Les paiements s'échelonnent du 23 avril 2026 (BOA Burkina Faso) au 27 octobre 2026 (Africa Global Logistics CI)</w:t>
      </w:r>
    </w:p>
    <w:p>
      <w:pPr>
        <w:pStyle w:val="ListBullet"/>
        <w:spacing w:before="20" w:after="20"/>
        <w:ind w:left="700"/>
      </w:pPr>
      <w:r>
        <w:rPr>
          <w:sz w:val="18"/>
        </w:rPr>
        <w:t>Les montants nets par action varient de 0,9184 FCFA (Ecobank Transnational Incorporated) à 2 606 FCFA (Société Générale CI)</w:t>
      </w:r>
    </w:p>
    <w:p>
      <w:pPr>
        <w:pStyle w:val="ListBullet"/>
        <w:spacing w:before="20" w:after="20"/>
        <w:ind w:left="700"/>
      </w:pPr>
      <w:r>
        <w:rPr>
          <w:sz w:val="18"/>
        </w:rPr>
        <w:t>Les sociétés marquées d'un astérisque affichent un dividende brut soumis à l'IRVM de 12% pour les personnes physiques et 10% pour les personnes morales</w:t>
      </w:r>
    </w:p>
    <w:p>
      <w:pPr>
        <w:pStyle w:val="ListBullet"/>
        <w:spacing w:before="20" w:after="20"/>
        <w:ind w:left="700"/>
      </w:pPr>
      <w:r>
        <w:rPr>
          <w:sz w:val="18"/>
        </w:rPr>
        <w:t>Chaque ligne précise le numéro d'avis, la date de publication au BOC, la date ex-dividende (T-1) et la date de paiement (T)</w:t>
      </w:r>
    </w:p>
    <w:p>
      <w:pPr>
        <w:ind w:left="400"/>
      </w:pPr>
      <w:r>
        <w:rPr>
          <w:color w:val="B4B4B4"/>
          <w:sz w:val="14"/>
        </w:rPr>
        <w:t xml:space="preserve">· · · · · · · · · · · · · · · · · · · · · · · · · · · · · · </w:t>
      </w:r>
    </w:p>
    <w:p>
      <w:pPr>
        <w:spacing w:before="160"/>
      </w:pPr>
      <w:r>
        <w:rPr>
          <w:b/>
          <w:color w:val="0066CC"/>
          <w:sz w:val="20"/>
        </w:rPr>
        <w:t xml:space="preserve">[3]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[5]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10,623 titres</w:t>
            </w:r>
          </w:p>
        </w:tc>
        <w:tc>
          <w:tcPr>
            <w:tcW w:type="dxa" w:w="2268"/>
            <w:shd w:fill="FFF2CC" w:val="clear"/>
          </w:tcPr>
          <w:p>
            <w:r>
              <w:rPr>
                <w:b/>
                <w:color w:val="503200"/>
                <w:sz w:val="16"/>
              </w:rPr>
              <w:t xml:space="preserve">Cours actuel : </w:t>
            </w:r>
            <w:r>
              <w:rPr>
                <w:color w:val="000000"/>
                <w:sz w:val="17"/>
              </w:rPr>
              <w:t>11,250 FCFA</w:t>
            </w:r>
          </w:p>
          <w:p>
            <w:r>
              <w:rPr>
                <w:b/>
                <w:color w:val="503200"/>
                <w:sz w:val="16"/>
              </w:rPr>
              <w:t xml:space="preserve">Var. 100 jours : </w:t>
            </w:r>
            <w:r>
              <w:rPr>
                <w:b/>
                <w:color w:val="007800"/>
                <w:sz w:val="17"/>
              </w:rPr>
              <w:t>+27.19%</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8,800 FCFA</w:t>
            </w:r>
          </w:p>
          <w:p>
            <w:r>
              <w:rPr>
                <w:b/>
                <w:color w:val="503200"/>
                <w:sz w:val="16"/>
              </w:rPr>
              <w:t xml:space="preserve">Volatilité ann. : </w:t>
            </w:r>
            <w:r>
              <w:rPr>
                <w:color w:val="000000"/>
                <w:sz w:val="17"/>
              </w:rPr>
              <w:t>28.0%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13.18% (Moyenne) — μ=10,842 FCFA, σ=1,429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β=0.7089 (Défensif) — Cov=0.000055, Var(idx)=0.000078, ρ=0.352,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10,623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82/100  (Excellent)</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10,970</w:t>
            </w:r>
          </w:p>
        </w:tc>
        <w:tc>
          <w:tcPr>
            <w:tcW w:type="dxa" w:w="1440"/>
            <w:shd w:fill="FAFAFA" w:val="clear"/>
          </w:tcPr>
          <w:p>
            <w:r>
              <w:rPr>
                <w:b/>
                <w:sz w:val="17"/>
              </w:rPr>
              <w:t>11,286</w:t>
            </w:r>
          </w:p>
        </w:tc>
        <w:tc>
          <w:tcPr>
            <w:tcW w:type="dxa" w:w="1440"/>
            <w:shd w:fill="FAFAFA" w:val="clear"/>
          </w:tcPr>
          <w:p>
            <w:r>
              <w:rPr>
                <w:sz w:val="17"/>
              </w:rPr>
              <w:t>11,601</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2026-10-22</w:t>
            </w:r>
          </w:p>
        </w:tc>
        <w:tc>
          <w:tcPr>
            <w:tcW w:type="dxa" w:w="1440"/>
            <w:shd w:fill="FAFAFA" w:val="clear"/>
          </w:tcPr>
          <w:p>
            <w:r>
              <w:rPr>
                <w:sz w:val="17"/>
              </w:rPr>
              <w:t>10,846</w:t>
            </w:r>
          </w:p>
        </w:tc>
        <w:tc>
          <w:tcPr>
            <w:tcW w:type="dxa" w:w="1440"/>
            <w:shd w:fill="FAFAFA" w:val="clear"/>
          </w:tcPr>
          <w:p>
            <w:r>
              <w:rPr>
                <w:b/>
                <w:sz w:val="17"/>
              </w:rPr>
              <w:t>11,293</w:t>
            </w:r>
          </w:p>
        </w:tc>
        <w:tc>
          <w:tcPr>
            <w:tcW w:type="dxa" w:w="1440"/>
            <w:shd w:fill="FAFAFA" w:val="clear"/>
          </w:tcPr>
          <w:p>
            <w:r>
              <w:rPr>
                <w:sz w:val="17"/>
              </w:rPr>
              <w:t>11,740</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10,762</w:t>
            </w:r>
          </w:p>
        </w:tc>
        <w:tc>
          <w:tcPr>
            <w:tcW w:type="dxa" w:w="1440"/>
            <w:shd w:fill="FAFAFA" w:val="clear"/>
          </w:tcPr>
          <w:p>
            <w:r>
              <w:rPr>
                <w:b/>
                <w:sz w:val="17"/>
              </w:rPr>
              <w:t>11,311</w:t>
            </w:r>
          </w:p>
        </w:tc>
        <w:tc>
          <w:tcPr>
            <w:tcW w:type="dxa" w:w="1440"/>
            <w:shd w:fill="FAFAFA" w:val="clear"/>
          </w:tcPr>
          <w:p>
            <w:r>
              <w:rPr>
                <w:sz w:val="17"/>
              </w:rPr>
              <w:t>11,859</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2026-10-26</w:t>
            </w:r>
          </w:p>
        </w:tc>
        <w:tc>
          <w:tcPr>
            <w:tcW w:type="dxa" w:w="1440"/>
            <w:shd w:fill="FAFAFA" w:val="clear"/>
          </w:tcPr>
          <w:p>
            <w:r>
              <w:rPr>
                <w:sz w:val="17"/>
              </w:rPr>
              <w:t>10,695</w:t>
            </w:r>
          </w:p>
        </w:tc>
        <w:tc>
          <w:tcPr>
            <w:tcW w:type="dxa" w:w="1440"/>
            <w:shd w:fill="FAFAFA" w:val="clear"/>
          </w:tcPr>
          <w:p>
            <w:r>
              <w:rPr>
                <w:b/>
                <w:sz w:val="17"/>
              </w:rPr>
              <w:t>11,329</w:t>
            </w:r>
          </w:p>
        </w:tc>
        <w:tc>
          <w:tcPr>
            <w:tcW w:type="dxa" w:w="1440"/>
            <w:shd w:fill="FAFAFA" w:val="clear"/>
          </w:tcPr>
          <w:p>
            <w:r>
              <w:rPr>
                <w:sz w:val="17"/>
              </w:rPr>
              <w:t>11,963</w:t>
            </w:r>
          </w:p>
        </w:tc>
        <w:tc>
          <w:tcPr>
            <w:tcW w:type="dxa" w:w="1440"/>
            <w:shd w:fill="FAFAFA" w:val="clear"/>
          </w:tcPr>
          <w:p>
            <w:r>
              <w:rPr>
                <w:b/>
                <w:color w:val="008000"/>
                <w:sz w:val="17"/>
              </w:rPr>
              <w:t>+0.7%</w:t>
            </w:r>
          </w:p>
        </w:tc>
      </w:tr>
      <w:tr>
        <w:tc>
          <w:tcPr>
            <w:tcW w:type="dxa" w:w="1440"/>
            <w:shd w:fill="FAFAFA" w:val="clear"/>
          </w:tcPr>
          <w:p>
            <w:r>
              <w:rPr>
                <w:sz w:val="17"/>
              </w:rPr>
              <w:t>J+5  Moyenne</w:t>
            </w:r>
          </w:p>
        </w:tc>
        <w:tc>
          <w:tcPr>
            <w:tcW w:type="dxa" w:w="1440"/>
            <w:shd w:fill="FAFAFA" w:val="clear"/>
          </w:tcPr>
          <w:p>
            <w:r>
              <w:rPr>
                <w:sz w:val="17"/>
              </w:rPr>
              <w:t>2026-10-27</w:t>
            </w:r>
          </w:p>
        </w:tc>
        <w:tc>
          <w:tcPr>
            <w:tcW w:type="dxa" w:w="1440"/>
            <w:shd w:fill="FAFAFA" w:val="clear"/>
          </w:tcPr>
          <w:p>
            <w:r>
              <w:rPr>
                <w:sz w:val="17"/>
              </w:rPr>
              <w:t>10,637</w:t>
            </w:r>
          </w:p>
        </w:tc>
        <w:tc>
          <w:tcPr>
            <w:tcW w:type="dxa" w:w="1440"/>
            <w:shd w:fill="FAFAFA" w:val="clear"/>
          </w:tcPr>
          <w:p>
            <w:r>
              <w:rPr>
                <w:b/>
                <w:sz w:val="17"/>
              </w:rPr>
              <w:t>11,347</w:t>
            </w:r>
          </w:p>
        </w:tc>
        <w:tc>
          <w:tcPr>
            <w:tcW w:type="dxa" w:w="1440"/>
            <w:shd w:fill="FAFAFA" w:val="clear"/>
          </w:tcPr>
          <w:p>
            <w:r>
              <w:rPr>
                <w:sz w:val="17"/>
              </w:rPr>
              <w:t>12,057</w:t>
            </w:r>
          </w:p>
        </w:tc>
        <w:tc>
          <w:tcPr>
            <w:tcW w:type="dxa" w:w="1440"/>
            <w:shd w:fill="FAFAFA" w:val="clear"/>
          </w:tcPr>
          <w:p>
            <w:r>
              <w:rPr>
                <w:b/>
                <w:color w:val="008000"/>
                <w:sz w:val="17"/>
              </w:rPr>
              <w:t>+0.9%</w:t>
            </w:r>
          </w:p>
        </w:tc>
      </w:tr>
      <w:tr>
        <w:tc>
          <w:tcPr>
            <w:tcW w:type="dxa" w:w="1440"/>
            <w:shd w:fill="FAFAFA" w:val="clear"/>
          </w:tcPr>
          <w:p>
            <w:r>
              <w:rPr>
                <w:sz w:val="17"/>
              </w:rPr>
              <w:t>J+6  Moyenne</w:t>
            </w:r>
          </w:p>
        </w:tc>
        <w:tc>
          <w:tcPr>
            <w:tcW w:type="dxa" w:w="1440"/>
            <w:shd w:fill="FAFAFA" w:val="clear"/>
          </w:tcPr>
          <w:p>
            <w:r>
              <w:rPr>
                <w:sz w:val="17"/>
              </w:rPr>
              <w:t>2026-10-28</w:t>
            </w:r>
          </w:p>
        </w:tc>
        <w:tc>
          <w:tcPr>
            <w:tcW w:type="dxa" w:w="1440"/>
            <w:shd w:fill="FAFAFA" w:val="clear"/>
          </w:tcPr>
          <w:p>
            <w:r>
              <w:rPr>
                <w:sz w:val="17"/>
              </w:rPr>
              <w:t>10,585</w:t>
            </w:r>
          </w:p>
        </w:tc>
        <w:tc>
          <w:tcPr>
            <w:tcW w:type="dxa" w:w="1440"/>
            <w:shd w:fill="FAFAFA" w:val="clear"/>
          </w:tcPr>
          <w:p>
            <w:r>
              <w:rPr>
                <w:b/>
                <w:sz w:val="17"/>
              </w:rPr>
              <w:t>11,364</w:t>
            </w:r>
          </w:p>
        </w:tc>
        <w:tc>
          <w:tcPr>
            <w:tcW w:type="dxa" w:w="1440"/>
            <w:shd w:fill="FAFAFA" w:val="clear"/>
          </w:tcPr>
          <w:p>
            <w:r>
              <w:rPr>
                <w:sz w:val="17"/>
              </w:rPr>
              <w:t>12,144</w:t>
            </w:r>
          </w:p>
        </w:tc>
        <w:tc>
          <w:tcPr>
            <w:tcW w:type="dxa" w:w="1440"/>
            <w:shd w:fill="FAFAFA" w:val="clear"/>
          </w:tcPr>
          <w:p>
            <w:r>
              <w:rPr>
                <w:b/>
                <w:color w:val="008000"/>
                <w:sz w:val="17"/>
              </w:rPr>
              <w:t>+1.0%</w:t>
            </w:r>
          </w:p>
        </w:tc>
      </w:tr>
      <w:tr>
        <w:tc>
          <w:tcPr>
            <w:tcW w:type="dxa" w:w="1440"/>
            <w:shd w:fill="FAFAFA" w:val="clear"/>
          </w:tcPr>
          <w:p>
            <w:r>
              <w:rPr>
                <w:sz w:val="17"/>
              </w:rPr>
              <w:t>J+7  Moyenne</w:t>
            </w:r>
          </w:p>
        </w:tc>
        <w:tc>
          <w:tcPr>
            <w:tcW w:type="dxa" w:w="1440"/>
            <w:shd w:fill="FAFAFA" w:val="clear"/>
          </w:tcPr>
          <w:p>
            <w:r>
              <w:rPr>
                <w:sz w:val="17"/>
              </w:rPr>
              <w:t>2026-10-29</w:t>
            </w:r>
          </w:p>
        </w:tc>
        <w:tc>
          <w:tcPr>
            <w:tcW w:type="dxa" w:w="1440"/>
            <w:shd w:fill="FAFAFA" w:val="clear"/>
          </w:tcPr>
          <w:p>
            <w:r>
              <w:rPr>
                <w:sz w:val="17"/>
              </w:rPr>
              <w:t>10,538</w:t>
            </w:r>
          </w:p>
        </w:tc>
        <w:tc>
          <w:tcPr>
            <w:tcW w:type="dxa" w:w="1440"/>
            <w:shd w:fill="FAFAFA" w:val="clear"/>
          </w:tcPr>
          <w:p>
            <w:r>
              <w:rPr>
                <w:b/>
                <w:sz w:val="17"/>
              </w:rPr>
              <w:t>11,381</w:t>
            </w:r>
          </w:p>
        </w:tc>
        <w:tc>
          <w:tcPr>
            <w:tcW w:type="dxa" w:w="1440"/>
            <w:shd w:fill="FAFAFA" w:val="clear"/>
          </w:tcPr>
          <w:p>
            <w:r>
              <w:rPr>
                <w:sz w:val="17"/>
              </w:rPr>
              <w:t>12,224</w:t>
            </w:r>
          </w:p>
        </w:tc>
        <w:tc>
          <w:tcPr>
            <w:tcW w:type="dxa" w:w="1440"/>
            <w:shd w:fill="FAFAFA" w:val="clear"/>
          </w:tcPr>
          <w:p>
            <w:r>
              <w:rPr>
                <w:b/>
                <w:color w:val="008000"/>
                <w:sz w:val="17"/>
              </w:rPr>
              <w:t>+1.2%</w:t>
            </w:r>
          </w:p>
        </w:tc>
      </w:tr>
      <w:tr>
        <w:tc>
          <w:tcPr>
            <w:tcW w:type="dxa" w:w="1440"/>
            <w:shd w:fill="FAFAFA" w:val="clear"/>
          </w:tcPr>
          <w:p>
            <w:r>
              <w:rPr>
                <w:sz w:val="17"/>
              </w:rPr>
              <w:t>J+8  Moyenne</w:t>
            </w:r>
          </w:p>
        </w:tc>
        <w:tc>
          <w:tcPr>
            <w:tcW w:type="dxa" w:w="1440"/>
            <w:shd w:fill="FAFAFA" w:val="clear"/>
          </w:tcPr>
          <w:p>
            <w:r>
              <w:rPr>
                <w:sz w:val="17"/>
              </w:rPr>
              <w:t>2026-10-30</w:t>
            </w:r>
          </w:p>
        </w:tc>
        <w:tc>
          <w:tcPr>
            <w:tcW w:type="dxa" w:w="1440"/>
            <w:shd w:fill="FAFAFA" w:val="clear"/>
          </w:tcPr>
          <w:p>
            <w:r>
              <w:rPr>
                <w:sz w:val="17"/>
              </w:rPr>
              <w:t>10,495</w:t>
            </w:r>
          </w:p>
        </w:tc>
        <w:tc>
          <w:tcPr>
            <w:tcW w:type="dxa" w:w="1440"/>
            <w:shd w:fill="FAFAFA" w:val="clear"/>
          </w:tcPr>
          <w:p>
            <w:r>
              <w:rPr>
                <w:b/>
                <w:sz w:val="17"/>
              </w:rPr>
              <w:t>11,397</w:t>
            </w:r>
          </w:p>
        </w:tc>
        <w:tc>
          <w:tcPr>
            <w:tcW w:type="dxa" w:w="1440"/>
            <w:shd w:fill="FAFAFA" w:val="clear"/>
          </w:tcPr>
          <w:p>
            <w:r>
              <w:rPr>
                <w:sz w:val="17"/>
              </w:rPr>
              <w:t>12,300</w:t>
            </w:r>
          </w:p>
        </w:tc>
        <w:tc>
          <w:tcPr>
            <w:tcW w:type="dxa" w:w="1440"/>
            <w:shd w:fill="FAFAFA" w:val="clear"/>
          </w:tcPr>
          <w:p>
            <w:r>
              <w:rPr>
                <w:b/>
                <w:color w:val="008000"/>
                <w:sz w:val="17"/>
              </w:rPr>
              <w:t>+1.3%</w:t>
            </w:r>
          </w:p>
        </w:tc>
      </w:tr>
      <w:tr>
        <w:tc>
          <w:tcPr>
            <w:tcW w:type="dxa" w:w="1440"/>
            <w:shd w:fill="FAFAFA" w:val="clear"/>
          </w:tcPr>
          <w:p>
            <w:r>
              <w:rPr>
                <w:sz w:val="17"/>
              </w:rPr>
              <w:t>J+9  Moyenne</w:t>
            </w:r>
          </w:p>
        </w:tc>
        <w:tc>
          <w:tcPr>
            <w:tcW w:type="dxa" w:w="1440"/>
            <w:shd w:fill="FAFAFA" w:val="clear"/>
          </w:tcPr>
          <w:p>
            <w:r>
              <w:rPr>
                <w:sz w:val="17"/>
              </w:rPr>
              <w:t>2026-11-02</w:t>
            </w:r>
          </w:p>
        </w:tc>
        <w:tc>
          <w:tcPr>
            <w:tcW w:type="dxa" w:w="1440"/>
            <w:shd w:fill="FAFAFA" w:val="clear"/>
          </w:tcPr>
          <w:p>
            <w:r>
              <w:rPr>
                <w:sz w:val="17"/>
              </w:rPr>
              <w:t>10,454</w:t>
            </w:r>
          </w:p>
        </w:tc>
        <w:tc>
          <w:tcPr>
            <w:tcW w:type="dxa" w:w="1440"/>
            <w:shd w:fill="FAFAFA" w:val="clear"/>
          </w:tcPr>
          <w:p>
            <w:r>
              <w:rPr>
                <w:b/>
                <w:sz w:val="17"/>
              </w:rPr>
              <w:t>11,413</w:t>
            </w:r>
          </w:p>
        </w:tc>
        <w:tc>
          <w:tcPr>
            <w:tcW w:type="dxa" w:w="1440"/>
            <w:shd w:fill="FAFAFA" w:val="clear"/>
          </w:tcPr>
          <w:p>
            <w:r>
              <w:rPr>
                <w:sz w:val="17"/>
              </w:rPr>
              <w:t>12,371</w:t>
            </w:r>
          </w:p>
        </w:tc>
        <w:tc>
          <w:tcPr>
            <w:tcW w:type="dxa" w:w="1440"/>
            <w:shd w:fill="FAFAFA" w:val="clear"/>
          </w:tcPr>
          <w:p>
            <w:r>
              <w:rPr>
                <w:b/>
                <w:color w:val="008000"/>
                <w:sz w:val="17"/>
              </w:rPr>
              <w:t>+1.4%</w:t>
            </w:r>
          </w:p>
        </w:tc>
      </w:tr>
      <w:tr>
        <w:tc>
          <w:tcPr>
            <w:tcW w:type="dxa" w:w="1440"/>
            <w:shd w:fill="FAFAFA" w:val="clear"/>
          </w:tcPr>
          <w:p>
            <w:r>
              <w:rPr>
                <w:sz w:val="17"/>
              </w:rPr>
              <w:t>J+10  Moyenne</w:t>
            </w:r>
          </w:p>
        </w:tc>
        <w:tc>
          <w:tcPr>
            <w:tcW w:type="dxa" w:w="1440"/>
            <w:shd w:fill="FAFAFA" w:val="clear"/>
          </w:tcPr>
          <w:p>
            <w:r>
              <w:rPr>
                <w:sz w:val="17"/>
              </w:rPr>
              <w:t>2026-11-03</w:t>
            </w:r>
          </w:p>
        </w:tc>
        <w:tc>
          <w:tcPr>
            <w:tcW w:type="dxa" w:w="1440"/>
            <w:shd w:fill="FAFAFA" w:val="clear"/>
          </w:tcPr>
          <w:p>
            <w:r>
              <w:rPr>
                <w:sz w:val="17"/>
              </w:rPr>
              <w:t>10,416</w:t>
            </w:r>
          </w:p>
        </w:tc>
        <w:tc>
          <w:tcPr>
            <w:tcW w:type="dxa" w:w="1440"/>
            <w:shd w:fill="FAFAFA" w:val="clear"/>
          </w:tcPr>
          <w:p>
            <w:r>
              <w:rPr>
                <w:b/>
                <w:sz w:val="17"/>
              </w:rPr>
              <w:t>11,428</w:t>
            </w:r>
          </w:p>
        </w:tc>
        <w:tc>
          <w:tcPr>
            <w:tcW w:type="dxa" w:w="1440"/>
            <w:shd w:fill="FAFAFA" w:val="clear"/>
          </w:tcPr>
          <w:p>
            <w:r>
              <w:rPr>
                <w:sz w:val="17"/>
              </w:rPr>
              <w:t>12,440</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 BRVM | Secteur : Banque | Cours : 11 250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450,00 Mds FCFA, BOAC s'affirme comme une valeur de premier plan de la cote BRVM, dans le haut du classement des capitalisations bancaires régionales. Le BPA de 888 FCFA/action (contre 801 FCFA en 2024, selon le rapport annuel 2025 daté du 31/12/2025) traduit une rentabilité par titre en progression de près de 11%. Le PER de 12,7x se situe légèrement au-dessus de la fourchette moyenne BRVM (~8-12x), signalant une valorisation raisonnable mais non décotée, cohérente avec la qualité des bénéfices. Le P/B de 3,53x confirme que le marché accorde une prime de croissance substantielle (2-4x) sur la valeur comptable, justifiée par un ROE exceptionnel de 27,9%. En revanche, l'EV/EBITDA de 26,3x apparaît très exigeant (&gt;15x), reflétant une valorisation opérationnelle tendue qui intègre déjà une bonne part des anticipations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performance remarquable de +27,19%, malgré un léger repli de -0,53% sur la dernière séance. Le cours actuel (11 250 FCFA) évolue dans un range large de 8 800 à 13 450 FCFA, soit un écart de plus de 52% entre les extrêmes, témoignant d'une tendance générale nettement haussière mais ponctuée de phases de correction. La moyenne (10 842 FCFA) se situe en dessous de la médiane (11 295 FCFA), suggérant une légère asymétrie vers les valeurs basses sur la période, bien que le skewness de 0,001 confirme une distribution globalement symétrique. L'écart-type de 1 436 FCFA (CV=13,2%) indique une dispersion modérée du cours autour de sa moyenne. Le kurtosis négatif (-1,375, distribution platykurtique) signale une faible concentration des rendements et un risque de pics extrêmes limité — un profil rassurant. La volatilité annualisée de 28,0% place le titre dans la catégorie modérée (15-30%), acceptable pour une valeur bancaire de croissance.</w:t>
      </w:r>
    </w:p>
    <w:p>
      <w:pPr>
        <w:spacing w:after="120" w:line="276" w:lineRule="auto"/>
      </w:pPr>
      <w:r>
        <w:t>---</w:t>
      </w:r>
    </w:p>
    <w:p>
      <w:pPr>
        <w:spacing w:after="120" w:line="276" w:lineRule="auto"/>
      </w:pPr>
      <w:r>
        <w:t>## PARTIE 2 : ANALYSE TECHNIQUE DÉTAILLÉE</w:t>
      </w:r>
    </w:p>
    <w:p>
      <w:pPr>
        <w:spacing w:after="120" w:line="276" w:lineRule="auto"/>
      </w:pPr>
      <w:r>
        <w:t>**Moyennes Mobiles** : La MM20 (11 370,75) et la MM50 (12 058,20) se situent toutes deux au-dessus du cours actuel (11 250 FCFA), configuration baissière de court terme. Le prix évoluant sous ses deux moyennes, la décision technique est logiquement « Vente », traduisant une pression vendeuse persistante sur les dernières semaines malgré la tendance haussière de fond.</w:t>
      </w:r>
    </w:p>
    <w:p>
      <w:pPr>
        <w:spacing w:after="120" w:line="276" w:lineRule="auto"/>
      </w:pPr>
      <w:r>
        <w:t>**Bandes de Bollinger** : Le cours (11 250 FCFA) se situe dans la partie basse de la bande, entre la borne inférieure (11 031,63) et la borne supérieure (11 709,87). Cette position proche du support inférieur suggère un potentiel de rebond, mais la décision reste « Neutre » car le cours n'a pas encore cassé la borne basse, maintenant une configuration d'attente.</w:t>
      </w:r>
    </w:p>
    <w:p>
      <w:pPr>
        <w:spacing w:after="120" w:line="276" w:lineRule="auto"/>
      </w:pPr>
      <w:r>
        <w:t>**MACD** : La valeur du MACD (-154,88) est supérieure à son signal (-167,83), générant un croisement haussier bien que les deux lignes restent en territoire négatif. Ce momentum positif naissant justifie la décision « Achat », indiquant une possible inflexion de tendance à court terme.</w:t>
      </w:r>
    </w:p>
    <w:p>
      <w:pPr>
        <w:spacing w:after="120" w:line="276" w:lineRule="auto"/>
      </w:pPr>
      <w:r>
        <w:t>**RSI** : À 27,27, le RSI se situe nettement en zone de survente (&lt;30), signalant que le titre a été excessivement vendu et pourrait connaître un rebond technique. La décision « Achat » est cohérente avec cette configuration de survente.</w:t>
      </w:r>
    </w:p>
    <w:p>
      <w:pPr>
        <w:spacing w:after="120" w:line="276" w:lineRule="auto"/>
      </w:pPr>
      <w:r>
        <w:t>**Stochastique** : Le %K (0,0) est en dessous du %D (14,29), avec un %K au plancher absolu — situation extrême de survente. Bien que le croisement ne soit pas encore haussier, cette configuration extrême plaide pour un retournement imminent, d'où la décision « Achat ».</w:t>
      </w:r>
    </w:p>
    <w:p>
      <w:pPr>
        <w:spacing w:after="120" w:line="276" w:lineRule="auto"/>
      </w:pPr>
      <w:r>
        <w:t>**Conclusion technique** : Les indicateurs présentent une divergence intéressante : les moyennes mobiles restent baissières (cours sous MM20/MM50), mais le MACD, le RSI et le stochastique convergent tous vers un signal d'achat en zone de survente. Cette configuration suggère une correction en fin de cycle baissier de court terme, avec un potentiel de rebond technique vers la MM20 (11 370 FCFA) puis la MM50 (12 058 FCFA). Le signal global est donc tactiquement haussier malgré la pression baissière récente.</w:t>
      </w:r>
    </w:p>
    <w:p>
      <w:pPr>
        <w:spacing w:after="120" w:line="276" w:lineRule="auto"/>
      </w:pPr>
      <w:r>
        <w:t>---</w:t>
      </w:r>
    </w:p>
    <w:p>
      <w:pPr>
        <w:spacing w:after="120" w:line="276" w:lineRule="auto"/>
      </w:pPr>
      <w:r>
        <w:t>## PARTIE 3 : ANALYSE FONDAMENTALE</w:t>
      </w:r>
    </w:p>
    <w:p>
      <w:pPr>
        <w:spacing w:after="120" w:line="276" w:lineRule="auto"/>
      </w:pPr>
      <w:r>
        <w:t>Les états financiers annuels 2025 (rapport des commissaires aux comptes daté du 31/12/2025) révèlent une banque solide et rentable : le PNB s'établit à 73 545 Mds FCFA (en millions, soit 73,545 Mds FCFA), en hausse de +1,1% sur 2024, tandis que le résultat net atteint 35 540 Mds FCFA (+10,9%), porté par l'amélioration du coût du risque (-27,8%, à -4 902 Mds FCFA). Le ROE de 27,91% et le ROA de 3,22% confirment une rentabilité exceptionnelle, et le coefficient d'exploitation de 36,70% (&lt;60%) atteste d'une efficacité opérationnelle excellente. La structure bilancielle est dominée par les dépôts clientèle (850 548 Mds FCFA) face à des créances clientèle de 430 433 Mds FCFA, soit un ratio de transformation d'environ 51% — une collecte abondante qui finance prudemment l'activité de crédit. Le coût du risque rapporté aux charges financières (6,67%) reste modéré mais mérite une vigilance, tout comme la hausse de +52,1% des créances en souffrance (taux de sinistralité 8,59%). Sur la base du rapport T1 2026 (daté du 31/03/2026), le PNB progresse de +3,09% à 18 960 Mds FCFA et le résultat net de +0,91% à 10 801 Mds FCFA, mais le coût net du risque bondit de +314,75% — un signal de dégradation à surveiller pour l'exercice 2026. Le rapport d'examen limité S1 2026 (daté du 30/09/2026) confirme la sincérité des états financiers sans anomalie significative. La recommandation fondamentale est donc **positive** (solidité, rentabilité, dividende de 684 FCFA/action au titre de 2024), avec un point de vigilance sur la qualité du crédit.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mais globalement favorable. **Valorisation** : le PER de 12,7x et le P/B de 3,53x indiquent une valorisation raisonnable mais non décotée, tandis que l'EV/EBITDA de 26,3x traduit une exigence opérationnelle élevée — le titre n'est ni une opportunité de sous-évaluation manifeste, ni une valeur surévaluée. **Comportement du cours** : la tendance haussière de +27,19% sur 100 jours, la volatilité modérée (28%) et la distribution symétrique (skewness 0,001, kurtosis -1,375) offrent un profil de risque équilibré. **Signaux techniques** : la convergence du MACD, du RSI (27,27 en survente) et du stochastique (%K à 0) vers un signal d'achat contraste avec la pression baissière des moyennes mobiles, suggérant un rebond tactique imminent. **Fondamentaux** : la solidité bilancielle, le ROE de 27,9% et la croissance du résultat net (+10,9% en 2025) soutiennent la thèse haussière, tempérée par la dégradation du coût du risque au T1 2026. **Prédictions IA** : la trajectoire projetée (11 286 → 11 347 FCFA sur J+1 à J+10) confirme une légère reprise, cohérente avec les signaux techniques d'achat en survente.</w:t>
      </w:r>
    </w:p>
    <w:p>
      <w:pPr>
        <w:spacing w:after="120" w:line="276" w:lineRule="auto"/>
      </w:pPr>
      <w:r>
        <w:t>**Recommandation finale : CONSERVER (avec biais acheteur tactique)** — La convergence entre les signaux techniques d'achat (survente) et les prédictions IA haussières soutient un rebond de court terme, mais la valorisation non décotée (PER 12,7x, EV/EBITDA 26,3x) et la dégradation du coût du risque au T1 2026 limitent le potentiel d'appréciation immédiat. **Niveau de confiance : Moyen** (divergence entre technique haussière et fondamental prudent). **Niveau de risque : Moyen** (volatilité modérée, mais sensibilité au risque de crédit). **Horizon optimal : moyen terme (3-12 mois)**, le temps que la tendance haussière de fond se confirme et que la qualité du crédit se stabilise.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156.47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6,917 titres</w:t>
            </w:r>
          </w:p>
        </w:tc>
        <w:tc>
          <w:tcPr>
            <w:tcW w:type="dxa" w:w="2268"/>
            <w:shd w:fill="FFF2CC" w:val="clear"/>
          </w:tcPr>
          <w:p>
            <w:r>
              <w:rPr>
                <w:b/>
                <w:color w:val="503200"/>
                <w:sz w:val="16"/>
              </w:rPr>
              <w:t xml:space="preserve">Cours actuel : </w:t>
            </w:r>
            <w:r>
              <w:rPr>
                <w:color w:val="000000"/>
                <w:sz w:val="17"/>
              </w:rPr>
              <w:t>5,700 FCFA</w:t>
            </w:r>
          </w:p>
          <w:p>
            <w:r>
              <w:rPr>
                <w:b/>
                <w:color w:val="503200"/>
                <w:sz w:val="16"/>
              </w:rPr>
              <w:t xml:space="preserve">Var. 100 jours : </w:t>
            </w:r>
            <w:r>
              <w:rPr>
                <w:b/>
                <w:color w:val="007800"/>
                <w:sz w:val="17"/>
              </w:rPr>
              <w:t>+9.62%</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12.82% (Moyenne) — μ=5,724 FCFA, σ=734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β=1.3103 (Agressif) — Cov=0.000102, Var(idx)=0.000078, ρ=0.416,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6,917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σ_j=2.75%/j (Stable) — Vol. annualisée≈43.7%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5,364</w:t>
            </w:r>
          </w:p>
        </w:tc>
        <w:tc>
          <w:tcPr>
            <w:tcW w:type="dxa" w:w="1440"/>
            <w:shd w:fill="FAFAFA" w:val="clear"/>
          </w:tcPr>
          <w:p>
            <w:r>
              <w:rPr>
                <w:b/>
                <w:sz w:val="17"/>
              </w:rPr>
              <w:t>5,661</w:t>
            </w:r>
          </w:p>
        </w:tc>
        <w:tc>
          <w:tcPr>
            <w:tcW w:type="dxa" w:w="1440"/>
            <w:shd w:fill="FAFAFA" w:val="clear"/>
          </w:tcPr>
          <w:p>
            <w:r>
              <w:rPr>
                <w:sz w:val="17"/>
              </w:rPr>
              <w:t>5,958</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5,194</w:t>
            </w:r>
          </w:p>
        </w:tc>
        <w:tc>
          <w:tcPr>
            <w:tcW w:type="dxa" w:w="1440"/>
            <w:shd w:fill="FAFAFA" w:val="clear"/>
          </w:tcPr>
          <w:p>
            <w:r>
              <w:rPr>
                <w:b/>
                <w:sz w:val="17"/>
              </w:rPr>
              <w:t>5,610</w:t>
            </w:r>
          </w:p>
        </w:tc>
        <w:tc>
          <w:tcPr>
            <w:tcW w:type="dxa" w:w="1440"/>
            <w:shd w:fill="FAFAFA" w:val="clear"/>
          </w:tcPr>
          <w:p>
            <w:r>
              <w:rPr>
                <w:sz w:val="17"/>
              </w:rPr>
              <w:t>6,026</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2026-10-23</w:t>
            </w:r>
          </w:p>
        </w:tc>
        <w:tc>
          <w:tcPr>
            <w:tcW w:type="dxa" w:w="1440"/>
            <w:shd w:fill="FFDCE0" w:val="clear"/>
          </w:tcPr>
          <w:p>
            <w:r>
              <w:rPr>
                <w:sz w:val="17"/>
              </w:rPr>
              <w:t>5,054</w:t>
            </w:r>
          </w:p>
        </w:tc>
        <w:tc>
          <w:tcPr>
            <w:tcW w:type="dxa" w:w="1440"/>
            <w:shd w:fill="FFDCE0" w:val="clear"/>
          </w:tcPr>
          <w:p>
            <w:r>
              <w:rPr>
                <w:b/>
                <w:sz w:val="17"/>
              </w:rPr>
              <w:t>5,558</w:t>
            </w:r>
          </w:p>
        </w:tc>
        <w:tc>
          <w:tcPr>
            <w:tcW w:type="dxa" w:w="1440"/>
            <w:shd w:fill="FFDCE0" w:val="clear"/>
          </w:tcPr>
          <w:p>
            <w:r>
              <w:rPr>
                <w:sz w:val="17"/>
              </w:rPr>
              <w:t>6,063</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2026-10-26</w:t>
            </w:r>
          </w:p>
        </w:tc>
        <w:tc>
          <w:tcPr>
            <w:tcW w:type="dxa" w:w="1440"/>
            <w:shd w:fill="FFDCE0" w:val="clear"/>
          </w:tcPr>
          <w:p>
            <w:r>
              <w:rPr>
                <w:sz w:val="17"/>
              </w:rPr>
              <w:t>4,933</w:t>
            </w:r>
          </w:p>
        </w:tc>
        <w:tc>
          <w:tcPr>
            <w:tcW w:type="dxa" w:w="1440"/>
            <w:shd w:fill="FFDCE0" w:val="clear"/>
          </w:tcPr>
          <w:p>
            <w:r>
              <w:rPr>
                <w:b/>
                <w:sz w:val="17"/>
              </w:rPr>
              <w:t>5,511</w:t>
            </w:r>
          </w:p>
        </w:tc>
        <w:tc>
          <w:tcPr>
            <w:tcW w:type="dxa" w:w="1440"/>
            <w:shd w:fill="FFDCE0" w:val="clear"/>
          </w:tcPr>
          <w:p>
            <w:r>
              <w:rPr>
                <w:sz w:val="17"/>
              </w:rPr>
              <w:t>6,089</w:t>
            </w:r>
          </w:p>
        </w:tc>
        <w:tc>
          <w:tcPr>
            <w:tcW w:type="dxa" w:w="1440"/>
            <w:shd w:fill="FFDCE0" w:val="clear"/>
          </w:tcPr>
          <w:p>
            <w:r>
              <w:rPr>
                <w:b/>
                <w:color w:val="C00000"/>
                <w:sz w:val="17"/>
              </w:rPr>
              <w:t>-3.3%</w:t>
            </w:r>
          </w:p>
        </w:tc>
      </w:tr>
      <w:tr>
        <w:tc>
          <w:tcPr>
            <w:tcW w:type="dxa" w:w="1440"/>
            <w:shd w:fill="FFDCE0" w:val="clear"/>
          </w:tcPr>
          <w:p>
            <w:r>
              <w:rPr>
                <w:sz w:val="17"/>
              </w:rPr>
              <w:t>J+5  ⭐</w:t>
            </w:r>
          </w:p>
        </w:tc>
        <w:tc>
          <w:tcPr>
            <w:tcW w:type="dxa" w:w="1440"/>
            <w:shd w:fill="FFDCE0" w:val="clear"/>
          </w:tcPr>
          <w:p>
            <w:r>
              <w:rPr>
                <w:sz w:val="17"/>
              </w:rPr>
              <w:t>2026-10-27</w:t>
            </w:r>
          </w:p>
        </w:tc>
        <w:tc>
          <w:tcPr>
            <w:tcW w:type="dxa" w:w="1440"/>
            <w:shd w:fill="FFDCE0" w:val="clear"/>
          </w:tcPr>
          <w:p>
            <w:r>
              <w:rPr>
                <w:sz w:val="17"/>
              </w:rPr>
              <w:t>4,827</w:t>
            </w:r>
          </w:p>
        </w:tc>
        <w:tc>
          <w:tcPr>
            <w:tcW w:type="dxa" w:w="1440"/>
            <w:shd w:fill="FFDCE0" w:val="clear"/>
          </w:tcPr>
          <w:p>
            <w:r>
              <w:rPr>
                <w:b/>
                <w:sz w:val="17"/>
              </w:rPr>
              <w:t>5,468</w:t>
            </w:r>
          </w:p>
        </w:tc>
        <w:tc>
          <w:tcPr>
            <w:tcW w:type="dxa" w:w="1440"/>
            <w:shd w:fill="FFDCE0" w:val="clear"/>
          </w:tcPr>
          <w:p>
            <w:r>
              <w:rPr>
                <w:sz w:val="17"/>
              </w:rPr>
              <w:t>6,109</w:t>
            </w:r>
          </w:p>
        </w:tc>
        <w:tc>
          <w:tcPr>
            <w:tcW w:type="dxa" w:w="1440"/>
            <w:shd w:fill="FFDCE0" w:val="clear"/>
          </w:tcPr>
          <w:p>
            <w:r>
              <w:rPr>
                <w:b/>
                <w:color w:val="C00000"/>
                <w:sz w:val="17"/>
              </w:rPr>
              <w:t>-4.1%</w:t>
            </w:r>
          </w:p>
        </w:tc>
      </w:tr>
      <w:tr>
        <w:tc>
          <w:tcPr>
            <w:tcW w:type="dxa" w:w="1440"/>
            <w:shd w:fill="FFDCE0" w:val="clear"/>
          </w:tcPr>
          <w:p>
            <w:r>
              <w:rPr>
                <w:sz w:val="17"/>
              </w:rPr>
              <w:t>J+6  ⭐</w:t>
            </w:r>
          </w:p>
        </w:tc>
        <w:tc>
          <w:tcPr>
            <w:tcW w:type="dxa" w:w="1440"/>
            <w:shd w:fill="FFDCE0" w:val="clear"/>
          </w:tcPr>
          <w:p>
            <w:r>
              <w:rPr>
                <w:sz w:val="17"/>
              </w:rPr>
              <w:t>2026-10-28</w:t>
            </w:r>
          </w:p>
        </w:tc>
        <w:tc>
          <w:tcPr>
            <w:tcW w:type="dxa" w:w="1440"/>
            <w:shd w:fill="FFDCE0" w:val="clear"/>
          </w:tcPr>
          <w:p>
            <w:r>
              <w:rPr>
                <w:sz w:val="17"/>
              </w:rPr>
              <w:t>4,730</w:t>
            </w:r>
          </w:p>
        </w:tc>
        <w:tc>
          <w:tcPr>
            <w:tcW w:type="dxa" w:w="1440"/>
            <w:shd w:fill="FFDCE0" w:val="clear"/>
          </w:tcPr>
          <w:p>
            <w:r>
              <w:rPr>
                <w:b/>
                <w:sz w:val="17"/>
              </w:rPr>
              <w:t>5,427</w:t>
            </w:r>
          </w:p>
        </w:tc>
        <w:tc>
          <w:tcPr>
            <w:tcW w:type="dxa" w:w="1440"/>
            <w:shd w:fill="FFDCE0" w:val="clear"/>
          </w:tcPr>
          <w:p>
            <w:r>
              <w:rPr>
                <w:sz w:val="17"/>
              </w:rPr>
              <w:t>6,124</w:t>
            </w:r>
          </w:p>
        </w:tc>
        <w:tc>
          <w:tcPr>
            <w:tcW w:type="dxa" w:w="1440"/>
            <w:shd w:fill="FFDCE0" w:val="clear"/>
          </w:tcPr>
          <w:p>
            <w:r>
              <w:rPr>
                <w:b/>
                <w:color w:val="C00000"/>
                <w:sz w:val="17"/>
              </w:rPr>
              <w:t>-4.8%</w:t>
            </w:r>
          </w:p>
        </w:tc>
      </w:tr>
      <w:tr>
        <w:tc>
          <w:tcPr>
            <w:tcW w:type="dxa" w:w="1440"/>
            <w:shd w:fill="FFDCE0" w:val="clear"/>
          </w:tcPr>
          <w:p>
            <w:r>
              <w:rPr>
                <w:sz w:val="17"/>
              </w:rPr>
              <w:t>J+7  ⭐</w:t>
            </w:r>
          </w:p>
        </w:tc>
        <w:tc>
          <w:tcPr>
            <w:tcW w:type="dxa" w:w="1440"/>
            <w:shd w:fill="FFDCE0" w:val="clear"/>
          </w:tcPr>
          <w:p>
            <w:r>
              <w:rPr>
                <w:sz w:val="17"/>
              </w:rPr>
              <w:t>2026-10-29</w:t>
            </w:r>
          </w:p>
        </w:tc>
        <w:tc>
          <w:tcPr>
            <w:tcW w:type="dxa" w:w="1440"/>
            <w:shd w:fill="FFDCE0" w:val="clear"/>
          </w:tcPr>
          <w:p>
            <w:r>
              <w:rPr>
                <w:sz w:val="17"/>
              </w:rPr>
              <w:t>4,641</w:t>
            </w:r>
          </w:p>
        </w:tc>
        <w:tc>
          <w:tcPr>
            <w:tcW w:type="dxa" w:w="1440"/>
            <w:shd w:fill="FFDCE0" w:val="clear"/>
          </w:tcPr>
          <w:p>
            <w:r>
              <w:rPr>
                <w:b/>
                <w:sz w:val="17"/>
              </w:rPr>
              <w:t>5,389</w:t>
            </w:r>
          </w:p>
        </w:tc>
        <w:tc>
          <w:tcPr>
            <w:tcW w:type="dxa" w:w="1440"/>
            <w:shd w:fill="FFDCE0" w:val="clear"/>
          </w:tcPr>
          <w:p>
            <w:r>
              <w:rPr>
                <w:sz w:val="17"/>
              </w:rPr>
              <w:t>6,136</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2026-10-30</w:t>
            </w:r>
          </w:p>
        </w:tc>
        <w:tc>
          <w:tcPr>
            <w:tcW w:type="dxa" w:w="1440"/>
            <w:shd w:fill="FFDCE0" w:val="clear"/>
          </w:tcPr>
          <w:p>
            <w:r>
              <w:rPr>
                <w:sz w:val="17"/>
              </w:rPr>
              <w:t>4,558</w:t>
            </w:r>
          </w:p>
        </w:tc>
        <w:tc>
          <w:tcPr>
            <w:tcW w:type="dxa" w:w="1440"/>
            <w:shd w:fill="FFDCE0" w:val="clear"/>
          </w:tcPr>
          <w:p>
            <w:r>
              <w:rPr>
                <w:b/>
                <w:sz w:val="17"/>
              </w:rPr>
              <w:t>5,352</w:t>
            </w:r>
          </w:p>
        </w:tc>
        <w:tc>
          <w:tcPr>
            <w:tcW w:type="dxa" w:w="1440"/>
            <w:shd w:fill="FFDCE0" w:val="clear"/>
          </w:tcPr>
          <w:p>
            <w:r>
              <w:rPr>
                <w:sz w:val="17"/>
              </w:rPr>
              <w:t>6,146</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2026-11-02</w:t>
            </w:r>
          </w:p>
        </w:tc>
        <w:tc>
          <w:tcPr>
            <w:tcW w:type="dxa" w:w="1440"/>
            <w:shd w:fill="FFDCE0" w:val="clear"/>
          </w:tcPr>
          <w:p>
            <w:r>
              <w:rPr>
                <w:sz w:val="17"/>
              </w:rPr>
              <w:t>4,480</w:t>
            </w:r>
          </w:p>
        </w:tc>
        <w:tc>
          <w:tcPr>
            <w:tcW w:type="dxa" w:w="1440"/>
            <w:shd w:fill="FFDCE0" w:val="clear"/>
          </w:tcPr>
          <w:p>
            <w:r>
              <w:rPr>
                <w:b/>
                <w:sz w:val="17"/>
              </w:rPr>
              <w:t>5,317</w:t>
            </w:r>
          </w:p>
        </w:tc>
        <w:tc>
          <w:tcPr>
            <w:tcW w:type="dxa" w:w="1440"/>
            <w:shd w:fill="FFDCE0" w:val="clear"/>
          </w:tcPr>
          <w:p>
            <w:r>
              <w:rPr>
                <w:sz w:val="17"/>
              </w:rPr>
              <w:t>6,153</w:t>
            </w:r>
          </w:p>
        </w:tc>
        <w:tc>
          <w:tcPr>
            <w:tcW w:type="dxa" w:w="1440"/>
            <w:shd w:fill="FFDCE0" w:val="clear"/>
          </w:tcPr>
          <w:p>
            <w:r>
              <w:rPr>
                <w:b/>
                <w:color w:val="C00000"/>
                <w:sz w:val="17"/>
              </w:rPr>
              <w:t>-6.7%</w:t>
            </w:r>
          </w:p>
        </w:tc>
      </w:tr>
      <w:tr>
        <w:tc>
          <w:tcPr>
            <w:tcW w:type="dxa" w:w="1440"/>
            <w:shd w:fill="FFDCE0" w:val="clear"/>
          </w:tcPr>
          <w:p>
            <w:r>
              <w:rPr>
                <w:sz w:val="17"/>
              </w:rPr>
              <w:t>J+10  ⭐</w:t>
            </w:r>
          </w:p>
        </w:tc>
        <w:tc>
          <w:tcPr>
            <w:tcW w:type="dxa" w:w="1440"/>
            <w:shd w:fill="FFDCE0" w:val="clear"/>
          </w:tcPr>
          <w:p>
            <w:r>
              <w:rPr>
                <w:sz w:val="17"/>
              </w:rPr>
              <w:t>2026-11-03</w:t>
            </w:r>
          </w:p>
        </w:tc>
        <w:tc>
          <w:tcPr>
            <w:tcW w:type="dxa" w:w="1440"/>
            <w:shd w:fill="FFDCE0" w:val="clear"/>
          </w:tcPr>
          <w:p>
            <w:r>
              <w:rPr>
                <w:sz w:val="17"/>
              </w:rPr>
              <w:t>4,407</w:t>
            </w:r>
          </w:p>
        </w:tc>
        <w:tc>
          <w:tcPr>
            <w:tcW w:type="dxa" w:w="1440"/>
            <w:shd w:fill="FFDCE0" w:val="clear"/>
          </w:tcPr>
          <w:p>
            <w:r>
              <w:rPr>
                <w:b/>
                <w:sz w:val="17"/>
              </w:rPr>
              <w:t>5,283</w:t>
            </w:r>
          </w:p>
        </w:tc>
        <w:tc>
          <w:tcPr>
            <w:tcW w:type="dxa" w:w="1440"/>
            <w:shd w:fill="FFDCE0" w:val="clear"/>
          </w:tcPr>
          <w:p>
            <w:r>
              <w:rPr>
                <w:sz w:val="17"/>
              </w:rPr>
              <w:t>6,159</w:t>
            </w:r>
          </w:p>
        </w:tc>
        <w:tc>
          <w:tcPr>
            <w:tcW w:type="dxa" w:w="1440"/>
            <w:shd w:fill="FFDCE0" w:val="clear"/>
          </w:tcPr>
          <w:p>
            <w:r>
              <w:rPr>
                <w:b/>
                <w:color w:val="C00000"/>
                <w:sz w:val="17"/>
              </w:rPr>
              <w:t>-7.3%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156,47 milliards FCFA, BOA Mali s'inscrit dans le peloton des valeurs bancaires de taille intermédiaire de la cote BRVM, sans atteindre les capitalisations phares du marché régional. Le BPA de 404 FCFA par action traduit la capacité bénéficiaire de la banque, et le PER de 14,1x — supérieur à la moyenne BRVM (8-12x) — indique que le marché consent une prime de valorisation pour ce titre, signe d'anticipations positives mais aussi d'une exigence de croissance soutenue. Le P/B de 3,14x confirme cette prime de croissance : le marché valorise l'action à plus de trois fois sa valeur comptable, ce qui se justifie par un ROE de 22,2% nettement supérieur au coût des fonds propres. L'EV/EBITDA de 7,0x, dans la fourchette raisonnable de 5-10x, suggère que la valeur d'entreprise reste cohérente avec la capacité opérationnelle de génération de résultats. L'ensemble dessine une valorisation exigeante mais défendable au regard de la qualité des fondamentaux.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BOAM affiche une variation totale de +9,62%, avec une dernière séance stable (+0,00%) à 5 700 FCFA, traduisant une consolidation après la progression. Le range de trading est large, entre un plus bas de 4 425 FCFA et un plus haut de 7 195 FCFA, soit une amplitude de près de 63% qui témoigne d'une forte agitation sur la période. La moyenne (5 724 FCFA) est quasi identique à la médiane (5 700 FCFA) et au mode (5 700 FCFA), ce qui indique une distribution remarquablement symétrique et un cours qui s'est stabilisé autour de son point d'équilibre. L'écart-type de 737 FCFA avec un coefficient de variation de 12,9% confirme une dispersion modérée du cours autour de sa moyenne. Le kurtosis de -0,820 (mésokurtique) signale une distribution proche de la normale, sans risque marqué de pics extrêmes, tandis que le skewness de -0,033 confirme une symétrie quasi parfaite. La volatilité annualisée de 43,7% positionne le titre dans la catégorie des valeurs à volatilité élevée (&gt;30%), ce qui est cohérent avec le profil de risque d'une banque évoluant dans un environnement macroéconomique et sécuritaire difficile.</w:t>
      </w:r>
    </w:p>
    <w:p>
      <w:pPr>
        <w:spacing w:after="120" w:line="276" w:lineRule="auto"/>
      </w:pPr>
      <w:r>
        <w:t>---</w:t>
      </w:r>
    </w:p>
    <w:p>
      <w:pPr>
        <w:spacing w:after="120" w:line="276" w:lineRule="auto"/>
      </w:pPr>
      <w:r>
        <w:t>## PARTIE 2 : ANALYSE TECHNIQUE DÉTAILLÉE</w:t>
      </w:r>
    </w:p>
    <w:p>
      <w:pPr>
        <w:spacing w:after="120" w:line="276" w:lineRule="auto"/>
      </w:pPr>
      <w:r>
        <w:t>**Moyennes Mobiles** : La MM20 (5 974,75 FCFA) et la MM50 (6 310,10 FCFA) se situent toutes deux au-dessus du cours actuel (5 700 FCFA), avec une MM50 supérieure à la MM20 — configuration baissière caractéristique. Le cours évolue sous ses deux moyennes, ce qui confirme la pression vendeuse et justifie la décision technique de **Vente**.</w:t>
      </w:r>
    </w:p>
    <w:p>
      <w:pPr>
        <w:spacing w:after="120" w:line="276" w:lineRule="auto"/>
      </w:pPr>
      <w:r>
        <w:t>**Bandes de Bollinger** : Le cours (5 700 FCFA) évolue dans la partie basse de la bande, entre la borne inférieure (5 542,10 FCFA) et la borne supérieure (6 407,40 FCFA), sans franchissement des extrêmes. Cette position proche de la borne basse traduit une pression baissière récente mais sans excès, justifiant la décision **Neutre** — le titre n'est ni en survente extrême ni en surachat.</w:t>
      </w:r>
    </w:p>
    <w:p>
      <w:pPr>
        <w:spacing w:after="120" w:line="276" w:lineRule="auto"/>
      </w:pPr>
      <w:r>
        <w:t>**MACD** : La valeur du MACD (-164,70) est inférieure à sa ligne de signal (-123,52), avec un histogramme négatif qui confirme un momentum baissier en cours. La divergence négative persistante entre MACD et signal valide la décision de **Vente**, bien que l'ampleur de l'écart suggère une possible attenuation prochaine de la pression baissière.</w:t>
      </w:r>
    </w:p>
    <w:p>
      <w:pPr>
        <w:spacing w:after="120" w:line="276" w:lineRule="auto"/>
      </w:pPr>
      <w:r>
        <w:t>**RSI** : À 26,02, le RSI se situe nettement en zone de survente (&lt;30), signalant un épuisement potentiel de la pression vendeuse et une opportunité de rebond technique. Cette configuration justifie la décision d'**Achat** — le titre pourrait être survendu à court terme.</w:t>
      </w:r>
    </w:p>
    <w:p>
      <w:pPr>
        <w:spacing w:after="120" w:line="276" w:lineRule="auto"/>
      </w:pPr>
      <w:r>
        <w:t>**Stochastique** : Avec %K et %D tous deux à 0,0, l'indicateur est en zone de survente extrême, position classique de retournement potentiel. Le croisement à venir des deux lignes constituerait un signal d'achat, justifiant la décision d'**Achat** malgré la faiblesse actuelle.</w:t>
      </w:r>
    </w:p>
    <w:p>
      <w:pPr>
        <w:spacing w:after="120" w:line="276" w:lineRule="auto"/>
      </w:pPr>
      <w:r>
        <w:t>**Conclusion technique** : Les indicateurs présentent une divergence notable : les moyennes mobiles et le MACD confirment une tendance baissière de fond, tandis que le RSI et le stochastique signalent une survente extrême propice à un rebond technique. Cette configuration contradictoire — tendance baissière mais survente — suggère un titre en fin de correction, où les vendeurs s'épuisent. La prudence reste de mise tant que le cours n'aura pas reconquis la MM20 (5 975 FCFA), mais le potentiel de rebond à court terme est réel.</w:t>
      </w:r>
    </w:p>
    <w:p>
      <w:pPr>
        <w:spacing w:after="120" w:line="276" w:lineRule="auto"/>
      </w:pPr>
      <w:r>
        <w:t>---</w:t>
      </w:r>
    </w:p>
    <w:p>
      <w:pPr>
        <w:spacing w:after="120" w:line="276" w:lineRule="auto"/>
      </w:pPr>
      <w:r>
        <w:t>## PARTIE 3 : ANALYSE FONDAMENTALE</w:t>
      </w:r>
    </w:p>
    <w:p>
      <w:pPr>
        <w:spacing w:after="120" w:line="276" w:lineRule="auto"/>
      </w:pPr>
      <w:r>
        <w:t>Les états financiers 2025 de BOA Mali (données structurées officielles) révèlent une banque solide et rentable : un Produit Net Bancaire de 37,996 milliards FCFA, un résultat net de 11,081 milliards FCFA et un total bilan de 593,455 milliards FCFA. La rentabilité est excellente avec un ROE de 22,24% (largement supérieur au seuil de 15%) et un ROA de 1,87%, tandis que la marge nette atteint 29,16% — un niveau remarquable pour le secteur. Le coefficient d'exploitation de 63,14% reste toutefois supérieur au seuil de 60% d'efficacité, signalant une marge de progression sur la maîtrise des charges. Le coût du risque rapporté aux charges financières (43,39%) demeure élevé et constitue le principal point de vigilance sur la qualité du portefeuille. La structure de bilan est typiquement bancaire : les dépôts clientèle (502,89 milliards FCFA) financent largement les créances clientèle (253,65 milliards FCFA), avec un ratio de transformation sain, et la trésorerie nette de 86,37 milliards FCFA assure une bonne liquidité. L'autonomie financière de 8,40% est faible mais conforme au modèle bancaire, où le levier est structurel.</w:t>
      </w:r>
    </w:p>
    <w:p>
      <w:pPr>
        <w:spacing w:after="120" w:line="276" w:lineRule="auto"/>
      </w:pPr>
      <w:r>
        <w:t>Les rapports narratifs confirment cette dynamique : le rapport du **T1 2026 (analysé le 12/09/2026)** affiche un PNB de 10 322 MFCFA en hausse de +22,97% sur un an, et le rapport du **S1 2026 (analysé le 24/09/2026)** montre un PNB de 21 987 MFCFA en progression de +17,5%. Sur cette base, on peut estimer que l'exercice 2026 devrait enregistrer une accélération de la croissance du PNB par rapport aux +5,08% de 2025, possiblement autour de +15% à +18%, tirée par le dynamisme commercial retrouvé. Les rapports antérieurs (S1 2025, T3 2025) témoignent déjà d'une trajectoire de forte amélioration du résultat net (+28,8% au S1 2025, +26,2% sur 9 mois 2025) grâce à la baisse du coût du risque et à la maîtrise des charges. La recommandation fondamentale est donc **positive** : solidité financière, rentabilité élevée, croissance accélérée en 2026, avec pour principaux risques le coût du risque encore élevé et l'exposition au contexte sécuritaire malien.</w:t>
      </w:r>
    </w:p>
    <w:p>
      <w:pPr>
        <w:spacing w:after="120" w:line="276" w:lineRule="auto"/>
      </w:pPr>
      <w:r>
        <w:t>---</w:t>
      </w:r>
    </w:p>
    <w:p>
      <w:pPr>
        <w:spacing w:after="120" w:line="276" w:lineRule="auto"/>
      </w:pPr>
      <w:r>
        <w:t>## PARTIE 4 : CONCLUSION D'INVESTISSEMENT</w:t>
      </w:r>
    </w:p>
    <w:p>
      <w:pPr>
        <w:spacing w:after="120" w:line="276" w:lineRule="auto"/>
      </w:pPr>
      <w:r>
        <w:t>La valorisation de BOAM (PER 14,1x, P/B 3,14x, EV/EBITDA 7,0x) traduit une prime de croissance justifiée par un ROE de 22,2%, mais qui laisse peu de marge d'erreur — le titre n'est pas sous-évalué. Le comportement du cours sur 100 jours (+9,62%) avec une distribution symétrique (skewness -0,033) et sans risque de pics extrêmes (kurtosis -0,82) est rassurant, mais la volatilité élevée (43,7%) et la position sous les moyennes mobiles traduisent une pression baissière de court terme. Les signaux techniques sont divergents : MACD et moyennes mobiles baissiers, mais RSI (26,0) et stochastique (0,0) en survente extrême annoncent un rebond probable. Les fondamentaux 2025 (PNB 37,996 Mds, résultat net 11,081 Mds, ROE 22,24%) et les rapports T1/S1 2026 (+22,97% et +17,5% de PNB) confirment une accélération de la croissance, ce qui plaide pour un profil de qualité. Les prédictions IA (5 661 → 5 468 FCFA sur 10 jours) anticipent une poursuite de la correction baissière à court terme, en cohérence avec les signaux techniques baissiers mais en contradiction avec la survente extrême du RSI. **Recommandation finale : CONSERVER**, avec un biais d'achat opportuniste en cas de repli vers 5 400-5 500 FCFA (zone de survente technique et de support). Le niveau de confiance est **Moyen** (divergence technique/fondamental à court terme), le risque global **Moyen** (volatilité élevée mais fondamentaux solides), et l'horizon optimal est le **moyen terme (3-12 mois)**, le temps que la croissance 2026 se matérialise dans les résultats et que la pression technique se dissipe.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99.84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8,823 titres</w:t>
            </w:r>
          </w:p>
        </w:tc>
        <w:tc>
          <w:tcPr>
            <w:tcW w:type="dxa" w:w="2268"/>
            <w:shd w:fill="FFF2CC" w:val="clear"/>
          </w:tcPr>
          <w:p>
            <w:r>
              <w:rPr>
                <w:b/>
                <w:color w:val="503200"/>
                <w:sz w:val="16"/>
              </w:rPr>
              <w:t xml:space="preserve">Cours actuel : </w:t>
            </w:r>
            <w:r>
              <w:rPr>
                <w:color w:val="000000"/>
                <w:sz w:val="17"/>
              </w:rPr>
              <w:t>4,800 FCFA</w:t>
            </w:r>
          </w:p>
          <w:p>
            <w:r>
              <w:rPr>
                <w:b/>
                <w:color w:val="503200"/>
                <w:sz w:val="16"/>
              </w:rPr>
              <w:t xml:space="preserve">Var. 100 jours : </w:t>
            </w:r>
            <w:r>
              <w:rPr>
                <w:b/>
                <w:color w:val="007800"/>
                <w:sz w:val="17"/>
              </w:rPr>
              <w:t>+28.69%</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3,695 FCFA</w:t>
            </w:r>
          </w:p>
          <w:p>
            <w:r>
              <w:rPr>
                <w:b/>
                <w:color w:val="503200"/>
                <w:sz w:val="16"/>
              </w:rPr>
              <w:t xml:space="preserve">Volatilité ann. : </w:t>
            </w:r>
            <w:r>
              <w:rPr>
                <w:color w:val="000000"/>
                <w:sz w:val="17"/>
              </w:rPr>
              <w:t>45.0%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13.11% (Moyenne) — μ=4,794 FCFA, σ=628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β=1.2465 (Agressif) — Cov=0.000097, Var(idx)=0.000078, ρ=0.399,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8,823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4,421</w:t>
            </w:r>
          </w:p>
        </w:tc>
        <w:tc>
          <w:tcPr>
            <w:tcW w:type="dxa" w:w="1440"/>
            <w:shd w:fill="FAFAFA" w:val="clear"/>
          </w:tcPr>
          <w:p>
            <w:r>
              <w:rPr>
                <w:b/>
                <w:sz w:val="17"/>
              </w:rPr>
              <w:t>4,720</w:t>
            </w:r>
          </w:p>
        </w:tc>
        <w:tc>
          <w:tcPr>
            <w:tcW w:type="dxa" w:w="1440"/>
            <w:shd w:fill="FAFAFA" w:val="clear"/>
          </w:tcPr>
          <w:p>
            <w:r>
              <w:rPr>
                <w:sz w:val="17"/>
              </w:rPr>
              <w:t>5,019</w:t>
            </w:r>
          </w:p>
        </w:tc>
        <w:tc>
          <w:tcPr>
            <w:tcW w:type="dxa" w:w="1440"/>
            <w:shd w:fill="FAFAFA" w:val="clear"/>
          </w:tcPr>
          <w:p>
            <w:r>
              <w:rPr>
                <w:b/>
                <w:color w:val="C00000"/>
                <w:sz w:val="17"/>
              </w:rPr>
              <w:t>-1.7%</w:t>
            </w:r>
          </w:p>
        </w:tc>
      </w:tr>
      <w:tr>
        <w:tc>
          <w:tcPr>
            <w:tcW w:type="dxa" w:w="1440"/>
            <w:shd w:fill="FAFAFA" w:val="clear"/>
          </w:tcPr>
          <w:p>
            <w:r>
              <w:rPr>
                <w:sz w:val="17"/>
              </w:rPr>
              <w:t>J+2  ⭐</w:t>
            </w:r>
          </w:p>
        </w:tc>
        <w:tc>
          <w:tcPr>
            <w:tcW w:type="dxa" w:w="1440"/>
            <w:shd w:fill="FAFAFA" w:val="clear"/>
          </w:tcPr>
          <w:p>
            <w:r>
              <w:rPr>
                <w:sz w:val="17"/>
              </w:rPr>
              <w:t>2026-10-22</w:t>
            </w:r>
          </w:p>
        </w:tc>
        <w:tc>
          <w:tcPr>
            <w:tcW w:type="dxa" w:w="1440"/>
            <w:shd w:fill="FAFAFA" w:val="clear"/>
          </w:tcPr>
          <w:p>
            <w:r>
              <w:rPr>
                <w:sz w:val="17"/>
              </w:rPr>
              <w:t>4,329</w:t>
            </w:r>
          </w:p>
        </w:tc>
        <w:tc>
          <w:tcPr>
            <w:tcW w:type="dxa" w:w="1440"/>
            <w:shd w:fill="FAFAFA" w:val="clear"/>
          </w:tcPr>
          <w:p>
            <w:r>
              <w:rPr>
                <w:b/>
                <w:sz w:val="17"/>
              </w:rPr>
              <w:t>4,756</w:t>
            </w:r>
          </w:p>
        </w:tc>
        <w:tc>
          <w:tcPr>
            <w:tcW w:type="dxa" w:w="1440"/>
            <w:shd w:fill="FAFAFA" w:val="clear"/>
          </w:tcPr>
          <w:p>
            <w:r>
              <w:rPr>
                <w:sz w:val="17"/>
              </w:rPr>
              <w:t>5,182</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4,256</w:t>
            </w:r>
          </w:p>
        </w:tc>
        <w:tc>
          <w:tcPr>
            <w:tcW w:type="dxa" w:w="1440"/>
            <w:shd w:fill="FAFAFA" w:val="clear"/>
          </w:tcPr>
          <w:p>
            <w:r>
              <w:rPr>
                <w:b/>
                <w:sz w:val="17"/>
              </w:rPr>
              <w:t>4,781</w:t>
            </w:r>
          </w:p>
        </w:tc>
        <w:tc>
          <w:tcPr>
            <w:tcW w:type="dxa" w:w="1440"/>
            <w:shd w:fill="FAFAFA" w:val="clear"/>
          </w:tcPr>
          <w:p>
            <w:r>
              <w:rPr>
                <w:sz w:val="17"/>
              </w:rPr>
              <w:t>5,307</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4,196</w:t>
            </w:r>
          </w:p>
        </w:tc>
        <w:tc>
          <w:tcPr>
            <w:tcW w:type="dxa" w:w="1440"/>
            <w:shd w:fill="FAFAFA" w:val="clear"/>
          </w:tcPr>
          <w:p>
            <w:r>
              <w:rPr>
                <w:b/>
                <w:sz w:val="17"/>
              </w:rPr>
              <w:t>4,805</w:t>
            </w:r>
          </w:p>
        </w:tc>
        <w:tc>
          <w:tcPr>
            <w:tcW w:type="dxa" w:w="1440"/>
            <w:shd w:fill="FAFAFA" w:val="clear"/>
          </w:tcPr>
          <w:p>
            <w:r>
              <w:rPr>
                <w:sz w:val="17"/>
              </w:rPr>
              <w:t>5,415</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2026-10-27</w:t>
            </w:r>
          </w:p>
        </w:tc>
        <w:tc>
          <w:tcPr>
            <w:tcW w:type="dxa" w:w="1440"/>
            <w:shd w:fill="FAFAFA" w:val="clear"/>
          </w:tcPr>
          <w:p>
            <w:r>
              <w:rPr>
                <w:sz w:val="17"/>
              </w:rPr>
              <w:t>4,144</w:t>
            </w:r>
          </w:p>
        </w:tc>
        <w:tc>
          <w:tcPr>
            <w:tcW w:type="dxa" w:w="1440"/>
            <w:shd w:fill="FAFAFA" w:val="clear"/>
          </w:tcPr>
          <w:p>
            <w:r>
              <w:rPr>
                <w:b/>
                <w:sz w:val="17"/>
              </w:rPr>
              <w:t>4,829</w:t>
            </w:r>
          </w:p>
        </w:tc>
        <w:tc>
          <w:tcPr>
            <w:tcW w:type="dxa" w:w="1440"/>
            <w:shd w:fill="FAFAFA" w:val="clear"/>
          </w:tcPr>
          <w:p>
            <w:r>
              <w:rPr>
                <w:sz w:val="17"/>
              </w:rPr>
              <w:t>5,514</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2026-10-28</w:t>
            </w:r>
          </w:p>
        </w:tc>
        <w:tc>
          <w:tcPr>
            <w:tcW w:type="dxa" w:w="1440"/>
            <w:shd w:fill="FAFAFA" w:val="clear"/>
          </w:tcPr>
          <w:p>
            <w:r>
              <w:rPr>
                <w:sz w:val="17"/>
              </w:rPr>
              <w:t>4,098</w:t>
            </w:r>
          </w:p>
        </w:tc>
        <w:tc>
          <w:tcPr>
            <w:tcW w:type="dxa" w:w="1440"/>
            <w:shd w:fill="FAFAFA" w:val="clear"/>
          </w:tcPr>
          <w:p>
            <w:r>
              <w:rPr>
                <w:b/>
                <w:sz w:val="17"/>
              </w:rPr>
              <w:t>4,852</w:t>
            </w:r>
          </w:p>
        </w:tc>
        <w:tc>
          <w:tcPr>
            <w:tcW w:type="dxa" w:w="1440"/>
            <w:shd w:fill="FAFAFA" w:val="clear"/>
          </w:tcPr>
          <w:p>
            <w:r>
              <w:rPr>
                <w:sz w:val="17"/>
              </w:rPr>
              <w:t>5,606</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2026-10-29</w:t>
            </w:r>
          </w:p>
        </w:tc>
        <w:tc>
          <w:tcPr>
            <w:tcW w:type="dxa" w:w="1440"/>
            <w:shd w:fill="FAFAFA" w:val="clear"/>
          </w:tcPr>
          <w:p>
            <w:r>
              <w:rPr>
                <w:sz w:val="17"/>
              </w:rPr>
              <w:t>4,057</w:t>
            </w:r>
          </w:p>
        </w:tc>
        <w:tc>
          <w:tcPr>
            <w:tcW w:type="dxa" w:w="1440"/>
            <w:shd w:fill="FAFAFA" w:val="clear"/>
          </w:tcPr>
          <w:p>
            <w:r>
              <w:rPr>
                <w:b/>
                <w:sz w:val="17"/>
              </w:rPr>
              <w:t>4,876</w:t>
            </w:r>
          </w:p>
        </w:tc>
        <w:tc>
          <w:tcPr>
            <w:tcW w:type="dxa" w:w="1440"/>
            <w:shd w:fill="FAFAFA" w:val="clear"/>
          </w:tcPr>
          <w:p>
            <w:r>
              <w:rPr>
                <w:sz w:val="17"/>
              </w:rPr>
              <w:t>5,694</w:t>
            </w:r>
          </w:p>
        </w:tc>
        <w:tc>
          <w:tcPr>
            <w:tcW w:type="dxa" w:w="1440"/>
            <w:shd w:fill="FAFAFA" w:val="clear"/>
          </w:tcPr>
          <w:p>
            <w:r>
              <w:rPr>
                <w:b/>
                <w:color w:val="008000"/>
                <w:sz w:val="17"/>
              </w:rPr>
              <w:t>+1.6%</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4,020</w:t>
            </w:r>
          </w:p>
        </w:tc>
        <w:tc>
          <w:tcPr>
            <w:tcW w:type="dxa" w:w="1440"/>
            <w:shd w:fill="C6EFCE" w:val="clear"/>
          </w:tcPr>
          <w:p>
            <w:r>
              <w:rPr>
                <w:b/>
                <w:sz w:val="17"/>
              </w:rPr>
              <w:t>4,899</w:t>
            </w:r>
          </w:p>
        </w:tc>
        <w:tc>
          <w:tcPr>
            <w:tcW w:type="dxa" w:w="1440"/>
            <w:shd w:fill="C6EFCE" w:val="clear"/>
          </w:tcPr>
          <w:p>
            <w:r>
              <w:rPr>
                <w:sz w:val="17"/>
              </w:rPr>
              <w:t>5,778</w:t>
            </w:r>
          </w:p>
        </w:tc>
        <w:tc>
          <w:tcPr>
            <w:tcW w:type="dxa" w:w="1440"/>
            <w:shd w:fill="C6EFCE" w:val="clear"/>
          </w:tcPr>
          <w:p>
            <w:r>
              <w:rPr>
                <w:b/>
                <w:color w:val="008000"/>
                <w:sz w:val="17"/>
              </w:rPr>
              <w:t>+2.1%</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3,985</w:t>
            </w:r>
          </w:p>
        </w:tc>
        <w:tc>
          <w:tcPr>
            <w:tcW w:type="dxa" w:w="1440"/>
            <w:shd w:fill="C6EFCE" w:val="clear"/>
          </w:tcPr>
          <w:p>
            <w:r>
              <w:rPr>
                <w:b/>
                <w:sz w:val="17"/>
              </w:rPr>
              <w:t>4,922</w:t>
            </w:r>
          </w:p>
        </w:tc>
        <w:tc>
          <w:tcPr>
            <w:tcW w:type="dxa" w:w="1440"/>
            <w:shd w:fill="C6EFCE" w:val="clear"/>
          </w:tcPr>
          <w:p>
            <w:r>
              <w:rPr>
                <w:sz w:val="17"/>
              </w:rPr>
              <w:t>5,859</w:t>
            </w:r>
          </w:p>
        </w:tc>
        <w:tc>
          <w:tcPr>
            <w:tcW w:type="dxa" w:w="1440"/>
            <w:shd w:fill="C6EFCE" w:val="clear"/>
          </w:tcPr>
          <w:p>
            <w:r>
              <w:rPr>
                <w:b/>
                <w:color w:val="008000"/>
                <w:sz w:val="17"/>
              </w:rPr>
              <w:t>+2.5%</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3,953</w:t>
            </w:r>
          </w:p>
        </w:tc>
        <w:tc>
          <w:tcPr>
            <w:tcW w:type="dxa" w:w="1440"/>
            <w:shd w:fill="C6EFCE" w:val="clear"/>
          </w:tcPr>
          <w:p>
            <w:r>
              <w:rPr>
                <w:b/>
                <w:sz w:val="17"/>
              </w:rPr>
              <w:t>4,945</w:t>
            </w:r>
          </w:p>
        </w:tc>
        <w:tc>
          <w:tcPr>
            <w:tcW w:type="dxa" w:w="1440"/>
            <w:shd w:fill="C6EFCE" w:val="clear"/>
          </w:tcPr>
          <w:p>
            <w:r>
              <w:rPr>
                <w:sz w:val="17"/>
              </w:rPr>
              <w:t>5,937</w:t>
            </w:r>
          </w:p>
        </w:tc>
        <w:tc>
          <w:tcPr>
            <w:tcW w:type="dxa" w:w="1440"/>
            <w:shd w:fill="C6EFCE" w:val="clear"/>
          </w:tcPr>
          <w:p>
            <w:r>
              <w:rPr>
                <w:b/>
                <w:color w:val="008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 RAPPORT D'ANALYSE FINANCIÈRE — BOAN (Bank of Africa Niger)</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99,84 milliards FCFA, BOAN s'inscrit dans la catégorie des valeurs moyennes de la cote BRVM, portée par un cours de 4 800 FCFA pour un BPA de seulement 20 FCFA/action — reflet direct de l'effondrement du résultat net 2025 à 409 millions FCFA. Le PER de 244,1x constitue un signal d'alerte majeur : les investisseurs paient l'équivalent de 244 années de bénéfices actuels, très loin de la moyenne BRVM (8-12x), ce qui traduit une anticipation spéculative d'un rebond spectaculaire plutôt qu'une valorisation sur les résultats présents. Le P/B de 2,77x indique que le marché valorise l'action à près de trois fois sa valeur comptable (capitaux propres de 36,06 Mds FCFA), soit une prime de croissance significative accordée à un établissement pourtant en phase de redressement. Enfin, l'EV/EBITDA de 38,4x, très supérieur au seuil de 15x généralement considéré comme exigeant, confirme que la valeur d'entreprise intègre déjà une normalisation rapide de la rentabilité opérationnelle — ces ratios combinés traduisent une **surévaluation manifeste sur les fondamentaux actuels**, à interpréter comme un pari sur le plan de redressement 2025-2027.</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progression totale remarquable de **+28,69%**, avec une dernière séance particulièrement dynamique (+6,67% en J-1), portant le cours à 4 800 FCFA. Le titre a évolué dans un range large de 1 950 FCFA, entre un plus bas de 3 695 FCFA et un plus haut de 5 645 FCFA, traduisant une tendance générale **haussière mais volatile**, soutenue par les espoirs de redressement post-sanctions et la publication du T1 2026. Les statistiques descriptives révèlent une distribution asymétrique : la moyenne (4 794 FCFA) est inférieure à la médiane (5 088 FCFA) et au mode (5 200 FCFA), confirmant un skewness négatif de -0,603 — le cours a passé plus de séances au-dessus de sa moyenne, mais quelques décrochages violents ont tiré la moyenne vers le bas. L'écart-type de 632 FCFA (CV de 13,2%) indique une dispersion modérée autour de la tendance, tandis que le kurtosis de -1,090 (distribution platykurtique) signale une **faible concentration des rendements et une absence de pics extrêmes**, donc un risque de queue moins prononcé qu'une distribution normale. La volatilité annualisée de **45,0%** positionne clairement BOAN dans la catégorie des titres à **volatilité élevée** (&gt;30%), cohérente avec un profil de valeur de retournement dans un environnement macroéconomique fragile.</w:t>
      </w:r>
    </w:p>
    <w:p>
      <w:pPr>
        <w:spacing w:after="120" w:line="276" w:lineRule="auto"/>
      </w:pPr>
      <w:r>
        <w:t>---</w:t>
      </w:r>
    </w:p>
    <w:p>
      <w:pPr>
        <w:spacing w:after="120" w:line="276" w:lineRule="auto"/>
      </w:pPr>
      <w:r>
        <w:t>## PARTIE 2 : ANALYSE TECHNIQUE DÉTAILLÉE</w:t>
      </w:r>
    </w:p>
    <w:p>
      <w:pPr>
        <w:spacing w:after="120" w:line="276" w:lineRule="auto"/>
      </w:pPr>
      <w:r>
        <w:t>**Moyennes Mobiles** : La MM20 (4 874,75 FCFA) est légèrement supérieure au cours actuel (4 800 FCFA), tandis que la MM50 (5 156,80 FCFA) se situe nettement au-dessus, configurant une structure baissière de court terme. Le cours évoluant sous ses deux moyennes mobiles, la pression vendeuse domine et justifie la **décision de Vente** des indicateurs.</w:t>
      </w:r>
    </w:p>
    <w:p>
      <w:pPr>
        <w:spacing w:after="120" w:line="276" w:lineRule="auto"/>
      </w:pPr>
      <w:r>
        <w:t>**Bandes de Bollinger** : Le cours (4 800 FCFA) se situe dans la moitié inférieure de la bande, entre la borne inférieure (4 318,04 FCFA) et la borne supérieure (5 431,47 FCFA), sans contact avec les extrêmes. Cette position centrale, dans un canal large reflétant la volatilité élevée, justifie la **décision Neutre** : ni signal de survente ni de surachat.</w:t>
      </w:r>
    </w:p>
    <w:p>
      <w:pPr>
        <w:spacing w:after="120" w:line="276" w:lineRule="auto"/>
      </w:pPr>
      <w:r>
        <w:t>**MACD** : La ligne MACD (-155,95) est inférieure à sa ligne de signal (-141,19), avec un histogramme négatif confirmant un momentum baissier persistant. La divergence négative entre MACD et signal traduit une dynamique de court terme défavorable, justifiant la **décision de Vente**.</w:t>
      </w:r>
    </w:p>
    <w:p>
      <w:pPr>
        <w:spacing w:after="120" w:line="276" w:lineRule="auto"/>
      </w:pPr>
      <w:r>
        <w:t>**RSI** : À 36,52, le RSI se situe dans la zone neutre basse (30-70), sans atteindre le seuil de survente (30). Le titre n'est donc ni survendu ni suracheté, mais la proximité de la zone de survente suggère une pression baissière modérée, cohérente avec la **décision Neutre**.</w:t>
      </w:r>
    </w:p>
    <w:p>
      <w:pPr>
        <w:spacing w:after="120" w:line="276" w:lineRule="auto"/>
      </w:pPr>
      <w:r>
        <w:t>**Stochastique** : Le %K (39,39) est supérieur au %D (21,33), configuration haussière de court terme suggérant un possible croisement positif à venir depuis la zone de survente. Toutefois, les deux lignes restent en territoire bas, justifiant la **décision Neutre** dans l'attente d'une confirmation du croisement.</w:t>
      </w:r>
    </w:p>
    <w:p>
      <w:pPr>
        <w:spacing w:after="120" w:line="276" w:lineRule="auto"/>
      </w:pPr>
      <w:r>
        <w:t>**Conclusion technique** : Les indicateurs présentent un tableau **majoritairement baissier à neutre** : deux signaux de vente (MM, MACD) contre trois signaux neutres (Bollinger, RSI, Stochastique). Le cours sous ses moyennes mobiles et un MACD négatif pèsent sur la tendance, mais la position du RSI et le potentiel croisement stochastique suggèrent une possible stabilisation. La convergence des signaux reste **insuffisante pour un retournement haussier confirmé** — le titre évolue dans une phase de consolidation baissière après son rallye de +28,69%.</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BOAN affiche un Produit Net Bancaire de 21 125 millions FCFA, en repli de -1,19% sur un an, pour un résultat net de seulement **409 millions FCFA** — effondrement de -91,8% par rapport aux 5 002 millions de 2024. La rentabilité est exsangue : ROE de 1,13% (contre 11,39% en 2024) et ROA de 0,14% (contre 1,49%), très loin des standards d'excellence (&gt;15% pour le ROE). Le coefficient d'exploitation de 74,37% dépasse largement le seuil de 60% d'efficacité, et le coût du risque rapporté aux charges financières atteint 67,30%, signalant un portefeuille de crédit très dégradé. La structure financière reste toutefois solvable (autonomie financière de 12,36%, solvabilité générale de 114,10%), avec des dépôts clientèle de 183,28 Mds FCFA couvrant les créances clientèle de 128,45 Mds FCFA (ratio de transformation de 70%), et une trésorerie nette négative de -43,52 Mds FCFA reflétant la dépendance aux dettes interbancaires (64,41 Mds FCFA).</w:t>
      </w:r>
    </w:p>
    <w:p>
      <w:pPr>
        <w:spacing w:after="120" w:line="276" w:lineRule="auto"/>
      </w:pPr>
      <w:r>
        <w:t>**Évolution temporelle et rapports narratifs** : Le rapport annuel 2024 (publié le 31/12/2024) documentait déjà la crise post-coup d'État avec un PNB de 21,38 Mds FCFA (-20,74%) et un résultat net de 5,00 Mds FCFA (-50,36%), mais avec un dividende maintenu de 225 FCFA/action (payout de 93,6%). Le rapport semestriel 2025 (30/06/2025) confirmait la dégradation (résultat net -25,2% à 2,39 Mds), tandis que le rapport du T3 2025 (30/09/2025) montrait un résultat net cumulé de 2,84 Mds (-33,1%) avec un coût du risque en hausse de 70%. Le rapport annuel 2025 (31/12/2025) acte l'effondrement avec la provision exceptionnelle de 4,8 Mds FCFA liée à la sinistralité sectorielle de 24%, et **aucun dividende n'est proposé** pour 2025.</w:t>
      </w:r>
    </w:p>
    <w:p>
      <w:pPr>
        <w:spacing w:after="120" w:line="276" w:lineRule="auto"/>
      </w:pPr>
      <w:r>
        <w:t>**Estimations basées sur les rapports trimestriels** : Le rapport du **T1 2026 (31/03/2026)** marque un **début de redressement net** : PNB de 5 170 M FCFA (+7,9%), résultat net de 1 467,3 M FCFA (+28,9%), RBE en hausse de +42,2% et coefficient d'exploitation ramené à 56,2% (contre 66,8%). Le coût du risque se dégrade toutefois fortement (+104,3%) sous l'effet de l'assainissement volontaire. Sur cette base, on peut **estimer** que l'exercice 2026 devrait afficher un PNB en croissance d'environ 6-8% (budget directeur de 22 327 M FCFA, +6,4%) et un résultat net en forte progression — le budget 2026 visant un résultat avant impôt de 7 280 M FCFA (+515%) avec un coût du risque réduit de -65,7%. **Conclusion fondamentale** : la solidité bilancielle et le soutien du groupe BOA constituent des atouts, mais la rentabilité 2025 est catastrophique et le redressement, bien qu'amorcé, reste à confirmer sur plusieurs trimestres — profil **spéculatif à risque élevé**, recommandation fondamentale de **CONSERVER sous surveillance rapprochée**.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**divorce profond entre valorisation et fondamentaux** : les ratios PER (244,1x), P/B (2,77x) et EV/EBITDA (38,4x) traduisent une surévaluation manifeste sur les résultats 2025, mais intègrent l'anticipation d'un rebond 2026-2027. Le comportement du cours (+28,69% sur 100 jours, volatilité de 45%) est haussier mais fragile, avec une distribution platykurtique et un skewness négatif indiquant des décrochages ponctuels violents. Les signaux techniques sont **majoritairement baissiers** (MM et MACD en vente, cours sous MM20 et MM50), avec un RSI à 36,52 proche de la survente et un stochastique en zone basse suggérant une possible stabilisation — mais sans convergence haussière confirmée. Les fondamentaux 2025 sont très dégradés (ROE de 1,13%, résultat net -91,8%), tempérés par le redressement du T1 2026 (résultat net +28,9%, coefficient d'exploitation à 56,2%) et un bilan solvable. Les **prédictions IA (J+1 à J+10)** anticipent une trajectoire légèrement baissière puis stabilisée (4 720 → 4 829 FCFA), en phase avec la consolidation technique actuelle plutôt qu'avec un rebond immédiat.</w:t>
      </w:r>
    </w:p>
    <w:p>
      <w:pPr>
        <w:spacing w:after="120" w:line="276" w:lineRule="auto"/>
      </w:pPr>
      <w:r>
        <w:t>**Recommandation finale : CONSERVER** — avec un niveau de confiance **Moyen** et un niveau de risque **Élevé**. La convergence est partielle : la technique (baissière) et la valorisation (surévaluée) plaident pour la prudence, tandis que les fondamentaux (redressement T1 2026) et les prédictions IA (stabilisation) soutiennent le maintien en portefeuille. La divergence entre le rallye passé (+28,69%) et les signaux techniques actuels invite à ne pas renforcer à ces niveaux. **Horizon optimal : moyen terme (3-12 mois)**, le temps de confirmer sur deux à trois trimestres supplémentaires la pérennité du redressement opérationnel avant d'envisager un passage à l'achat — les investisseurs en recherche de dividendes ou de rentabilité immédiate doivent s'abstenir, aucun dividende n'étant distribué depuis 2024.</w:t>
      </w:r>
    </w:p>
    <w:p>
      <w:pPr>
        <w:spacing w:after="120" w:line="276" w:lineRule="auto"/>
      </w:pPr>
      <w:r>
        <w:t>---</w:t>
      </w:r>
    </w:p>
    <w:p>
      <w:pPr>
        <w:spacing w:after="120" w:line="276" w:lineRule="auto"/>
      </w:pPr>
      <w:r>
        <w:t>*Rapport généré le 20 octobre 2026 — Sources : BRVM Données Financières (exercice 2025), rapports trimestriels T1 2026, S1 2025, T3 2025, rapports annuels 2024 et 2025, analyses IA de prédiction de cours.*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288.00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11,305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+6.03%</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7,260 FCFA</w:t>
            </w:r>
          </w:p>
          <w:p>
            <w:r>
              <w:rPr>
                <w:b/>
                <w:color w:val="503200"/>
                <w:sz w:val="16"/>
              </w:rPr>
              <w:t xml:space="preserve">Volatilité ann. : </w:t>
            </w:r>
            <w:r>
              <w:rPr>
                <w:color w:val="000000"/>
                <w:sz w:val="17"/>
              </w:rPr>
              <w:t>22.5%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4.88% (Faible) — μ=7,787 FCFA, σ=380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β=0.5453 (Défensif) — Cov=0.000042, Var(idx)=0.000078, ρ=0.337,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11,305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σ_j=1.42%/j (Stable) — Vol. annualisée≈22.5%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7,684</w:t>
            </w:r>
          </w:p>
        </w:tc>
        <w:tc>
          <w:tcPr>
            <w:tcW w:type="dxa" w:w="1440"/>
            <w:shd w:fill="FAFAFA" w:val="clear"/>
          </w:tcPr>
          <w:p>
            <w:r>
              <w:rPr>
                <w:b/>
                <w:sz w:val="17"/>
              </w:rPr>
              <w:t>7,861</w:t>
            </w:r>
          </w:p>
        </w:tc>
        <w:tc>
          <w:tcPr>
            <w:tcW w:type="dxa" w:w="1440"/>
            <w:shd w:fill="FAFAFA" w:val="clear"/>
          </w:tcPr>
          <w:p>
            <w:r>
              <w:rPr>
                <w:sz w:val="17"/>
              </w:rPr>
              <w:t>8,037</w:t>
            </w:r>
          </w:p>
        </w:tc>
        <w:tc>
          <w:tcPr>
            <w:tcW w:type="dxa" w:w="1440"/>
            <w:shd w:fill="FAFAFA" w:val="clear"/>
          </w:tcPr>
          <w:p>
            <w:r>
              <w:rPr>
                <w:b/>
                <w:color w:val="C00000"/>
                <w:sz w:val="17"/>
              </w:rPr>
              <w:t>-1.7%</w:t>
            </w:r>
          </w:p>
        </w:tc>
      </w:tr>
      <w:tr>
        <w:tc>
          <w:tcPr>
            <w:tcW w:type="dxa" w:w="1440"/>
            <w:shd w:fill="FFDCE0" w:val="clear"/>
          </w:tcPr>
          <w:p>
            <w:r>
              <w:rPr>
                <w:sz w:val="17"/>
              </w:rPr>
              <w:t>J+2  ⭐⭐⭐</w:t>
            </w:r>
          </w:p>
        </w:tc>
        <w:tc>
          <w:tcPr>
            <w:tcW w:type="dxa" w:w="1440"/>
            <w:shd w:fill="FFDCE0" w:val="clear"/>
          </w:tcPr>
          <w:p>
            <w:r>
              <w:rPr>
                <w:sz w:val="17"/>
              </w:rPr>
              <w:t>2026-10-22</w:t>
            </w:r>
          </w:p>
        </w:tc>
        <w:tc>
          <w:tcPr>
            <w:tcW w:type="dxa" w:w="1440"/>
            <w:shd w:fill="FFDCE0" w:val="clear"/>
          </w:tcPr>
          <w:p>
            <w:r>
              <w:rPr>
                <w:sz w:val="17"/>
              </w:rPr>
              <w:t>7,502</w:t>
            </w:r>
          </w:p>
        </w:tc>
        <w:tc>
          <w:tcPr>
            <w:tcW w:type="dxa" w:w="1440"/>
            <w:shd w:fill="FFDCE0" w:val="clear"/>
          </w:tcPr>
          <w:p>
            <w:r>
              <w:rPr>
                <w:b/>
                <w:sz w:val="17"/>
              </w:rPr>
              <w:t>7,748</w:t>
            </w:r>
          </w:p>
        </w:tc>
        <w:tc>
          <w:tcPr>
            <w:tcW w:type="dxa" w:w="1440"/>
            <w:shd w:fill="FFDCE0" w:val="clear"/>
          </w:tcPr>
          <w:p>
            <w:r>
              <w:rPr>
                <w:sz w:val="17"/>
              </w:rPr>
              <w:t>7,994</w:t>
            </w:r>
          </w:p>
        </w:tc>
        <w:tc>
          <w:tcPr>
            <w:tcW w:type="dxa" w:w="1440"/>
            <w:shd w:fill="FFDCE0" w:val="clear"/>
          </w:tcPr>
          <w:p>
            <w:r>
              <w:rPr>
                <w:b/>
                <w:color w:val="C00000"/>
                <w:sz w:val="17"/>
              </w:rPr>
              <w:t>-3.1%</w:t>
            </w:r>
          </w:p>
        </w:tc>
      </w:tr>
      <w:tr>
        <w:tc>
          <w:tcPr>
            <w:tcW w:type="dxa" w:w="1440"/>
            <w:shd w:fill="FFDCE0" w:val="clear"/>
          </w:tcPr>
          <w:p>
            <w:r>
              <w:rPr>
                <w:sz w:val="17"/>
              </w:rPr>
              <w:t>J+3  ⭐⭐⭐</w:t>
            </w:r>
          </w:p>
        </w:tc>
        <w:tc>
          <w:tcPr>
            <w:tcW w:type="dxa" w:w="1440"/>
            <w:shd w:fill="FFDCE0" w:val="clear"/>
          </w:tcPr>
          <w:p>
            <w:r>
              <w:rPr>
                <w:sz w:val="17"/>
              </w:rPr>
              <w:t>2026-10-23</w:t>
            </w:r>
          </w:p>
        </w:tc>
        <w:tc>
          <w:tcPr>
            <w:tcW w:type="dxa" w:w="1440"/>
            <w:shd w:fill="FFDCE0" w:val="clear"/>
          </w:tcPr>
          <w:p>
            <w:r>
              <w:rPr>
                <w:sz w:val="17"/>
              </w:rPr>
              <w:t>7,345</w:t>
            </w:r>
          </w:p>
        </w:tc>
        <w:tc>
          <w:tcPr>
            <w:tcW w:type="dxa" w:w="1440"/>
            <w:shd w:fill="FFDCE0" w:val="clear"/>
          </w:tcPr>
          <w:p>
            <w:r>
              <w:rPr>
                <w:b/>
                <w:sz w:val="17"/>
              </w:rPr>
              <w:t>7,642</w:t>
            </w:r>
          </w:p>
        </w:tc>
        <w:tc>
          <w:tcPr>
            <w:tcW w:type="dxa" w:w="1440"/>
            <w:shd w:fill="FFDCE0" w:val="clear"/>
          </w:tcPr>
          <w:p>
            <w:r>
              <w:rPr>
                <w:sz w:val="17"/>
              </w:rPr>
              <w:t>7,940</w:t>
            </w:r>
          </w:p>
        </w:tc>
        <w:tc>
          <w:tcPr>
            <w:tcW w:type="dxa" w:w="1440"/>
            <w:shd w:fill="FFDCE0" w:val="clear"/>
          </w:tcPr>
          <w:p>
            <w:r>
              <w:rPr>
                <w:b/>
                <w:color w:val="C00000"/>
                <w:sz w:val="17"/>
              </w:rPr>
              <w:t>-4.5%</w:t>
            </w:r>
          </w:p>
        </w:tc>
      </w:tr>
      <w:tr>
        <w:tc>
          <w:tcPr>
            <w:tcW w:type="dxa" w:w="1440"/>
            <w:shd w:fill="FFDCE0" w:val="clear"/>
          </w:tcPr>
          <w:p>
            <w:r>
              <w:rPr>
                <w:sz w:val="17"/>
              </w:rPr>
              <w:t>J+4  Moyenne</w:t>
            </w:r>
          </w:p>
        </w:tc>
        <w:tc>
          <w:tcPr>
            <w:tcW w:type="dxa" w:w="1440"/>
            <w:shd w:fill="FFDCE0" w:val="clear"/>
          </w:tcPr>
          <w:p>
            <w:r>
              <w:rPr>
                <w:sz w:val="17"/>
              </w:rPr>
              <w:t>2026-10-26</w:t>
            </w:r>
          </w:p>
        </w:tc>
        <w:tc>
          <w:tcPr>
            <w:tcW w:type="dxa" w:w="1440"/>
            <w:shd w:fill="FFDCE0" w:val="clear"/>
          </w:tcPr>
          <w:p>
            <w:r>
              <w:rPr>
                <w:sz w:val="17"/>
              </w:rPr>
              <w:t>7,205</w:t>
            </w:r>
          </w:p>
        </w:tc>
        <w:tc>
          <w:tcPr>
            <w:tcW w:type="dxa" w:w="1440"/>
            <w:shd w:fill="FFDCE0" w:val="clear"/>
          </w:tcPr>
          <w:p>
            <w:r>
              <w:rPr>
                <w:b/>
                <w:sz w:val="17"/>
              </w:rPr>
              <w:t>7,544</w:t>
            </w:r>
          </w:p>
        </w:tc>
        <w:tc>
          <w:tcPr>
            <w:tcW w:type="dxa" w:w="1440"/>
            <w:shd w:fill="FFDCE0" w:val="clear"/>
          </w:tcPr>
          <w:p>
            <w:r>
              <w:rPr>
                <w:sz w:val="17"/>
              </w:rPr>
              <w:t>7,883</w:t>
            </w:r>
          </w:p>
        </w:tc>
        <w:tc>
          <w:tcPr>
            <w:tcW w:type="dxa" w:w="1440"/>
            <w:shd w:fill="FFDCE0" w:val="clear"/>
          </w:tcPr>
          <w:p>
            <w:r>
              <w:rPr>
                <w:b/>
                <w:color w:val="C00000"/>
                <w:sz w:val="17"/>
              </w:rPr>
              <w:t>-5.7%</w:t>
            </w:r>
          </w:p>
        </w:tc>
      </w:tr>
      <w:tr>
        <w:tc>
          <w:tcPr>
            <w:tcW w:type="dxa" w:w="1440"/>
            <w:shd w:fill="FFDCE0" w:val="clear"/>
          </w:tcPr>
          <w:p>
            <w:r>
              <w:rPr>
                <w:sz w:val="17"/>
              </w:rPr>
              <w:t>J+5  Moyenne</w:t>
            </w:r>
          </w:p>
        </w:tc>
        <w:tc>
          <w:tcPr>
            <w:tcW w:type="dxa" w:w="1440"/>
            <w:shd w:fill="FFDCE0" w:val="clear"/>
          </w:tcPr>
          <w:p>
            <w:r>
              <w:rPr>
                <w:sz w:val="17"/>
              </w:rPr>
              <w:t>2026-10-27</w:t>
            </w:r>
          </w:p>
        </w:tc>
        <w:tc>
          <w:tcPr>
            <w:tcW w:type="dxa" w:w="1440"/>
            <w:shd w:fill="FFDCE0" w:val="clear"/>
          </w:tcPr>
          <w:p>
            <w:r>
              <w:rPr>
                <w:sz w:val="17"/>
              </w:rPr>
              <w:t>7,076</w:t>
            </w:r>
          </w:p>
        </w:tc>
        <w:tc>
          <w:tcPr>
            <w:tcW w:type="dxa" w:w="1440"/>
            <w:shd w:fill="FFDCE0" w:val="clear"/>
          </w:tcPr>
          <w:p>
            <w:r>
              <w:rPr>
                <w:b/>
                <w:sz w:val="17"/>
              </w:rPr>
              <w:t>7,450</w:t>
            </w:r>
          </w:p>
        </w:tc>
        <w:tc>
          <w:tcPr>
            <w:tcW w:type="dxa" w:w="1440"/>
            <w:shd w:fill="FFDCE0" w:val="clear"/>
          </w:tcPr>
          <w:p>
            <w:r>
              <w:rPr>
                <w:sz w:val="17"/>
              </w:rPr>
              <w:t>7,825</w:t>
            </w:r>
          </w:p>
        </w:tc>
        <w:tc>
          <w:tcPr>
            <w:tcW w:type="dxa" w:w="1440"/>
            <w:shd w:fill="FFDCE0" w:val="clear"/>
          </w:tcPr>
          <w:p>
            <w:r>
              <w:rPr>
                <w:b/>
                <w:color w:val="C00000"/>
                <w:sz w:val="17"/>
              </w:rPr>
              <w:t>-6.9%</w:t>
            </w:r>
          </w:p>
        </w:tc>
      </w:tr>
      <w:tr>
        <w:tc>
          <w:tcPr>
            <w:tcW w:type="dxa" w:w="1440"/>
            <w:shd w:fill="FFDCE0" w:val="clear"/>
          </w:tcPr>
          <w:p>
            <w:r>
              <w:rPr>
                <w:sz w:val="17"/>
              </w:rPr>
              <w:t>J+6  Moyenne</w:t>
            </w:r>
          </w:p>
        </w:tc>
        <w:tc>
          <w:tcPr>
            <w:tcW w:type="dxa" w:w="1440"/>
            <w:shd w:fill="FFDCE0" w:val="clear"/>
          </w:tcPr>
          <w:p>
            <w:r>
              <w:rPr>
                <w:sz w:val="17"/>
              </w:rPr>
              <w:t>2026-10-28</w:t>
            </w:r>
          </w:p>
        </w:tc>
        <w:tc>
          <w:tcPr>
            <w:tcW w:type="dxa" w:w="1440"/>
            <w:shd w:fill="FFDCE0" w:val="clear"/>
          </w:tcPr>
          <w:p>
            <w:r>
              <w:rPr>
                <w:sz w:val="17"/>
              </w:rPr>
              <w:t>6,956</w:t>
            </w:r>
          </w:p>
        </w:tc>
        <w:tc>
          <w:tcPr>
            <w:tcW w:type="dxa" w:w="1440"/>
            <w:shd w:fill="FFDCE0" w:val="clear"/>
          </w:tcPr>
          <w:p>
            <w:r>
              <w:rPr>
                <w:b/>
                <w:sz w:val="17"/>
              </w:rPr>
              <w:t>7,361</w:t>
            </w:r>
          </w:p>
        </w:tc>
        <w:tc>
          <w:tcPr>
            <w:tcW w:type="dxa" w:w="1440"/>
            <w:shd w:fill="FFDCE0" w:val="clear"/>
          </w:tcPr>
          <w:p>
            <w:r>
              <w:rPr>
                <w:sz w:val="17"/>
              </w:rPr>
              <w:t>7,766</w:t>
            </w:r>
          </w:p>
        </w:tc>
        <w:tc>
          <w:tcPr>
            <w:tcW w:type="dxa" w:w="1440"/>
            <w:shd w:fill="FFDCE0" w:val="clear"/>
          </w:tcPr>
          <w:p>
            <w:r>
              <w:rPr>
                <w:b/>
                <w:color w:val="C00000"/>
                <w:sz w:val="17"/>
              </w:rPr>
              <w:t>-8.0%</w:t>
            </w:r>
          </w:p>
        </w:tc>
      </w:tr>
      <w:tr>
        <w:tc>
          <w:tcPr>
            <w:tcW w:type="dxa" w:w="1440"/>
            <w:shd w:fill="FFDCE0" w:val="clear"/>
          </w:tcPr>
          <w:p>
            <w:r>
              <w:rPr>
                <w:sz w:val="17"/>
              </w:rPr>
              <w:t>J+7  Moyenne</w:t>
            </w:r>
          </w:p>
        </w:tc>
        <w:tc>
          <w:tcPr>
            <w:tcW w:type="dxa" w:w="1440"/>
            <w:shd w:fill="FFDCE0" w:val="clear"/>
          </w:tcPr>
          <w:p>
            <w:r>
              <w:rPr>
                <w:sz w:val="17"/>
              </w:rPr>
              <w:t>2026-10-29</w:t>
            </w:r>
          </w:p>
        </w:tc>
        <w:tc>
          <w:tcPr>
            <w:tcW w:type="dxa" w:w="1440"/>
            <w:shd w:fill="FFDCE0" w:val="clear"/>
          </w:tcPr>
          <w:p>
            <w:r>
              <w:rPr>
                <w:sz w:val="17"/>
              </w:rPr>
              <w:t>6,844</w:t>
            </w:r>
          </w:p>
        </w:tc>
        <w:tc>
          <w:tcPr>
            <w:tcW w:type="dxa" w:w="1440"/>
            <w:shd w:fill="FFDCE0" w:val="clear"/>
          </w:tcPr>
          <w:p>
            <w:r>
              <w:rPr>
                <w:b/>
                <w:sz w:val="17"/>
              </w:rPr>
              <w:t>7,276</w:t>
            </w:r>
          </w:p>
        </w:tc>
        <w:tc>
          <w:tcPr>
            <w:tcW w:type="dxa" w:w="1440"/>
            <w:shd w:fill="FFDCE0" w:val="clear"/>
          </w:tcPr>
          <w:p>
            <w:r>
              <w:rPr>
                <w:sz w:val="17"/>
              </w:rPr>
              <w:t>7,709</w:t>
            </w:r>
          </w:p>
        </w:tc>
        <w:tc>
          <w:tcPr>
            <w:tcW w:type="dxa" w:w="1440"/>
            <w:shd w:fill="FFDCE0" w:val="clear"/>
          </w:tcPr>
          <w:p>
            <w:r>
              <w:rPr>
                <w:b/>
                <w:color w:val="C00000"/>
                <w:sz w:val="17"/>
              </w:rPr>
              <w:t>-9.0%</w:t>
            </w:r>
          </w:p>
        </w:tc>
      </w:tr>
      <w:tr>
        <w:tc>
          <w:tcPr>
            <w:tcW w:type="dxa" w:w="1440"/>
            <w:shd w:fill="FFDCE0" w:val="clear"/>
          </w:tcPr>
          <w:p>
            <w:r>
              <w:rPr>
                <w:sz w:val="17"/>
              </w:rPr>
              <w:t>J+8  Moyenne</w:t>
            </w:r>
          </w:p>
        </w:tc>
        <w:tc>
          <w:tcPr>
            <w:tcW w:type="dxa" w:w="1440"/>
            <w:shd w:fill="FFDCE0" w:val="clear"/>
          </w:tcPr>
          <w:p>
            <w:r>
              <w:rPr>
                <w:sz w:val="17"/>
              </w:rPr>
              <w:t>2026-10-30</w:t>
            </w:r>
          </w:p>
        </w:tc>
        <w:tc>
          <w:tcPr>
            <w:tcW w:type="dxa" w:w="1440"/>
            <w:shd w:fill="FFDCE0" w:val="clear"/>
          </w:tcPr>
          <w:p>
            <w:r>
              <w:rPr>
                <w:sz w:val="17"/>
              </w:rPr>
              <w:t>6,738</w:t>
            </w:r>
          </w:p>
        </w:tc>
        <w:tc>
          <w:tcPr>
            <w:tcW w:type="dxa" w:w="1440"/>
            <w:shd w:fill="FFDCE0" w:val="clear"/>
          </w:tcPr>
          <w:p>
            <w:r>
              <w:rPr>
                <w:b/>
                <w:sz w:val="17"/>
              </w:rPr>
              <w:t>7,195</w:t>
            </w:r>
          </w:p>
        </w:tc>
        <w:tc>
          <w:tcPr>
            <w:tcW w:type="dxa" w:w="1440"/>
            <w:shd w:fill="FFDCE0" w:val="clear"/>
          </w:tcPr>
          <w:p>
            <w:r>
              <w:rPr>
                <w:sz w:val="17"/>
              </w:rPr>
              <w:t>7,652</w:t>
            </w:r>
          </w:p>
        </w:tc>
        <w:tc>
          <w:tcPr>
            <w:tcW w:type="dxa" w:w="1440"/>
            <w:shd w:fill="FFDCE0" w:val="clear"/>
          </w:tcPr>
          <w:p>
            <w:r>
              <w:rPr>
                <w:b/>
                <w:color w:val="C00000"/>
                <w:sz w:val="17"/>
              </w:rPr>
              <w:t>-10.1%</w:t>
            </w:r>
          </w:p>
        </w:tc>
      </w:tr>
      <w:tr>
        <w:tc>
          <w:tcPr>
            <w:tcW w:type="dxa" w:w="1440"/>
            <w:shd w:fill="FFDCE0" w:val="clear"/>
          </w:tcPr>
          <w:p>
            <w:r>
              <w:rPr>
                <w:sz w:val="17"/>
              </w:rPr>
              <w:t>J+9  Moyenne</w:t>
            </w:r>
          </w:p>
        </w:tc>
        <w:tc>
          <w:tcPr>
            <w:tcW w:type="dxa" w:w="1440"/>
            <w:shd w:fill="FFDCE0" w:val="clear"/>
          </w:tcPr>
          <w:p>
            <w:r>
              <w:rPr>
                <w:sz w:val="17"/>
              </w:rPr>
              <w:t>2026-11-02</w:t>
            </w:r>
          </w:p>
        </w:tc>
        <w:tc>
          <w:tcPr>
            <w:tcW w:type="dxa" w:w="1440"/>
            <w:shd w:fill="FFDCE0" w:val="clear"/>
          </w:tcPr>
          <w:p>
            <w:r>
              <w:rPr>
                <w:sz w:val="17"/>
              </w:rPr>
              <w:t>6,638</w:t>
            </w:r>
          </w:p>
        </w:tc>
        <w:tc>
          <w:tcPr>
            <w:tcW w:type="dxa" w:w="1440"/>
            <w:shd w:fill="FFDCE0" w:val="clear"/>
          </w:tcPr>
          <w:p>
            <w:r>
              <w:rPr>
                <w:b/>
                <w:sz w:val="17"/>
              </w:rPr>
              <w:t>7,117</w:t>
            </w:r>
          </w:p>
        </w:tc>
        <w:tc>
          <w:tcPr>
            <w:tcW w:type="dxa" w:w="1440"/>
            <w:shd w:fill="FFDCE0" w:val="clear"/>
          </w:tcPr>
          <w:p>
            <w:r>
              <w:rPr>
                <w:sz w:val="17"/>
              </w:rPr>
              <w:t>7,597</w:t>
            </w:r>
          </w:p>
        </w:tc>
        <w:tc>
          <w:tcPr>
            <w:tcW w:type="dxa" w:w="1440"/>
            <w:shd w:fill="FFDCE0" w:val="clear"/>
          </w:tcPr>
          <w:p>
            <w:r>
              <w:rPr>
                <w:b/>
                <w:color w:val="C00000"/>
                <w:sz w:val="17"/>
              </w:rPr>
              <w:t>-11.0%</w:t>
            </w:r>
          </w:p>
        </w:tc>
      </w:tr>
      <w:tr>
        <w:tc>
          <w:tcPr>
            <w:tcW w:type="dxa" w:w="1440"/>
            <w:shd w:fill="FFDCE0" w:val="clear"/>
          </w:tcPr>
          <w:p>
            <w:r>
              <w:rPr>
                <w:sz w:val="17"/>
              </w:rPr>
              <w:t>J+10  Moyenne</w:t>
            </w:r>
          </w:p>
        </w:tc>
        <w:tc>
          <w:tcPr>
            <w:tcW w:type="dxa" w:w="1440"/>
            <w:shd w:fill="FFDCE0" w:val="clear"/>
          </w:tcPr>
          <w:p>
            <w:r>
              <w:rPr>
                <w:sz w:val="17"/>
              </w:rPr>
              <w:t>2026-11-03</w:t>
            </w:r>
          </w:p>
        </w:tc>
        <w:tc>
          <w:tcPr>
            <w:tcW w:type="dxa" w:w="1440"/>
            <w:shd w:fill="FFDCE0" w:val="clear"/>
          </w:tcPr>
          <w:p>
            <w:r>
              <w:rPr>
                <w:sz w:val="17"/>
              </w:rPr>
              <w:t>6,543</w:t>
            </w:r>
          </w:p>
        </w:tc>
        <w:tc>
          <w:tcPr>
            <w:tcW w:type="dxa" w:w="1440"/>
            <w:shd w:fill="FFDCE0" w:val="clear"/>
          </w:tcPr>
          <w:p>
            <w:r>
              <w:rPr>
                <w:b/>
                <w:sz w:val="17"/>
              </w:rPr>
              <w:t>7,043</w:t>
            </w:r>
          </w:p>
        </w:tc>
        <w:tc>
          <w:tcPr>
            <w:tcW w:type="dxa" w:w="1440"/>
            <w:shd w:fill="FFDCE0" w:val="clear"/>
          </w:tcPr>
          <w:p>
            <w:r>
              <w:rPr>
                <w:sz w:val="17"/>
              </w:rPr>
              <w:t>7,544</w:t>
            </w:r>
          </w:p>
        </w:tc>
        <w:tc>
          <w:tcPr>
            <w:tcW w:type="dxa" w:w="1440"/>
            <w:shd w:fill="FFDCE0" w:val="clear"/>
          </w:tcPr>
          <w:p>
            <w:r>
              <w:rPr>
                <w:b/>
                <w:color w:val="C00000"/>
                <w:sz w:val="17"/>
              </w:rPr>
              <w:t>-12.0%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RAPPORT D'ANALYSE FINANCIÈRE — BOA SÉNÉGAL (BOAS)</w:t>
        <w:br/>
        <w:t>### 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**288,00 Mds FCFA**, BOA Sénégal s'affirme comme une valeur bancaire de premier plan sur la BRVM, représentant une capitalisation significative à l'échelle du marché régional. Le **BPA de 608 FCFA/action** traduit la capacité bénéficiaire solide de la banque, chaque titre générant un bénéfice net substantiel. Le **PER de 13,1x**, légèrement supérieur à la moyenne BRVM (~8-12x), indique que les investisseurs acceptent une prime modérée pour la qualité de la croissance et la régularité des résultats de BOAS — une valorisation raisonnable mais non décotée. Le **P/B de 2,98x** (fourchette 2-4x) confirme que le marché valorise le titre à près de trois fois sa valeur comptable, accordant une prime de croissance justifiée par un ROE de 22,7%. Enfin, l'**EV/EBITDA de 8,5x** (fourchette 5-10x) situe la valeur totale de l'entreprise à un multiple raisonnable de sa capacité opérationnelle, cohérent avec les standards du secteur bancaire régional.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BOAS affiche une **variation totale positive de +6,03%**, portant le cours à **8 000 FCFA**, malgré un repli de **-1,23% lors de la dernière séance** (J-1). Le range de trading s'étend de **7 260 FCFA** (plus bas) à **8 500 FCFA** (plus haut), soit une amplitude de près de 17%, témoignant d'une dynamique haussière globalement maîtrisée. La tendance générale est donc **haussière mais avec une consolidation récente**, le cours s'étant replié depuis son sommet. Les statistiques descriptives révèlent une **moyenne de 7 787 FCFA** légèrement supérieure à la **médiane de 7 730 FCFA**, suggérant une distribution très légèrement asymétrique à droite, confirmée par un **skewness de 0,114** (distribution quasi symétrique). L'**écart-type de 382 FCFA (CV = 4,9%)** indique une dispersion du cours relativement faible, signe d'un titre stable. Le **kurtosis de -1,446** (distribution platykurtique) traduit une faible concentration des rendements et un risque de pics extrêmes limité — un profil rassurant pour l'investisseur. La **volatilité annualisée de 22,5%** positionne BOAS dans la catégorie des titres à volatilité **modérée** (15-30%), cohérente avec son statut de valeur bancaire de qualité.</w:t>
      </w:r>
    </w:p>
    <w:p>
      <w:pPr>
        <w:spacing w:after="120" w:line="276" w:lineRule="auto"/>
      </w:pPr>
      <w:r>
        <w:t>---</w:t>
      </w:r>
    </w:p>
    <w:p>
      <w:pPr>
        <w:spacing w:after="120" w:line="276" w:lineRule="auto"/>
      </w:pPr>
      <w:r>
        <w:t>## PARTIE 2 : ANALYSE TECHNIQUE DÉTAILLÉE</w:t>
      </w:r>
    </w:p>
    <w:p>
      <w:pPr>
        <w:spacing w:after="120" w:line="276" w:lineRule="auto"/>
      </w:pPr>
      <w:r>
        <w:t>**Moyennes Mobiles** : La MM20 (8 099,25 FCFA) et la MM50 (8 107,20 FCFA) se situent toutes deux **au-dessus du cours actuel** (8 000 FCFA), signalant une pression baissière de court terme et un croisement défavorable. La proximité des deux moyennes (écart de seulement 8 FCFA) indique une absence de tendance directionnelle nette, justifiant la **décision de Vente**.</w:t>
      </w:r>
    </w:p>
    <w:p>
      <w:pPr>
        <w:spacing w:after="120" w:line="276" w:lineRule="auto"/>
      </w:pPr>
      <w:r>
        <w:t>**Bandes de Bollinger** : Le cours (8 000 FCFA) évolue dans la moitié inférieure de la bande, entre la borne inférieure (7 795,185 FCFA) et la borne supérieure (8 403,315 FCFA), sans contact avec les extrêmes. Cette position centrale traduit une **volatilité contenue** et une absence de signal directionnel fort, justifiant la **décision Neutre**.</w:t>
      </w:r>
    </w:p>
    <w:p>
      <w:pPr>
        <w:spacing w:after="120" w:line="276" w:lineRule="auto"/>
      </w:pPr>
      <w:r>
        <w:t>**MACD** : La valeur du MACD (5,557) est **nettement inférieure à son signal** (22,592), configuration baissière classique indiquant un momentum négatif et une perte de dynamique haussière. La divergence négative persistante confirme la **décision de Vente**.</w:t>
      </w:r>
    </w:p>
    <w:p>
      <w:pPr>
        <w:spacing w:after="120" w:line="276" w:lineRule="auto"/>
      </w:pPr>
      <w:r>
        <w:t>**RSI** : À **33,708**, le RSI se situe dans la zone neutre basse, proche du seuil de survente (30) sans l'atteindre. Le titre n'est ni suracheté ni franchement survendu, mais la proximité du seuil de survente suggère une pression vendeuse modérée, justifiant la **décision Neutre**.</w:t>
      </w:r>
    </w:p>
    <w:p>
      <w:pPr>
        <w:spacing w:after="120" w:line="276" w:lineRule="auto"/>
      </w:pPr>
      <w:r>
        <w:t>**Stochastique** : Le %K à **0,0** et le %D à **11,111** placent l'indicateur en **zone de survente extrême**, avec un %K au plancher signalant un épuisement potentiel de la pression vendeuse. Cette configuration est typiquement annonciatrice d'un rebond technique, justifiant la **décision d'Achat** — seul indicateur positif du lot.</w:t>
      </w:r>
    </w:p>
    <w:p>
      <w:pPr>
        <w:spacing w:after="120" w:line="276" w:lineRule="auto"/>
      </w:pPr>
      <w:r>
        <w:t>**Conclusion technique** : Les indicateurs présentent une **configuration majoritairement baissière à neutre** (MM en Vente, MACD en Vente, Bollinger et RSI neutres), tempérée par un signal d'achat contrarien du Stochastique en survente extrême. Le titre se trouve dans une phase de consolidation baissière de court terme, mais la survente stochastique suggère qu'un rebond technique pourrait se matérialiser. La convergence partielle des signaux invite à la **prudence**, avec un potentiel de rebond à surveiller autour du support de 7 795 FCFA (borne inférieure de Bollinger).</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 Sénégal affiche un **Produit Net Bancaire (PNB) de 51,926 Mds FCFA** et un **résultat net de 21,905 Mds FCFA**, soit une **marge nette remarquable de 42,19%**. La rentabilité des fonds propres (**ROE de 22,69%**) dépasse largement le seuil d'excellence de 15%, tandis que le **ROA de 2,62%** confirme une utilisation efficiente de l'actif (836,158 Mds FCFA). Le **coefficient d'exploitation de 44,02%** (&lt; 50%) classe la banque parmi les établissements **très efficaces** sur le plan opérationnel. Le **coût du risque rapporté aux charges financières s'établit à 23,31%**, niveau à surveiller mais maîtrisé. La structure de bilan révèle une **transformation bancaire saine** : dépôts clientèle de 686,927 Mds FCFA contre créances clientèle de 386,424 Mds FCFA, soit un ratio de transformation de 56%, typique d'une banque prudente. L'autonomie financière de 11,54% reste faible (norme bancaire), mais la **solvabilité générale de 113,05%** et la couverture des intérêts à 132,58% assurent la solidité.</w:t>
      </w:r>
    </w:p>
    <w:p>
      <w:pPr>
        <w:spacing w:after="120" w:line="276" w:lineRule="auto"/>
      </w:pPr>
      <w:r>
        <w:t>**Estimations basées sur les rapports trimestriels** : Le **rapport du T1 2026 (daté du 31 mars 2026)** confirme la dynamique : PNB de 12 580 M FCFA (+6,82%), résultat net de 5 741 M FCFA (+9,78%), coefficient d'exploitation amélioré à 42,1%, et forte collecte de dépôts (+16,68%). Le **rapport S1 2026 (daté du 30 juin 2026)** rapporte un PNB semestriel de 27 206 M FCFA, en hausse, confirmant l'accélération. Sur cette base, **on estime que l'exercice 2026 devrait enregistrer un PNB annuel d'environ 54-55 Mds FCFA et un résultat net de l'ordre de 23-24 Mds FCFA**, prolongeant la croissance de 2025. Les rapports antérieurs (T3 2025 daté du 30/09/2025 : PNB +6,71%, résultat net +10,01% ; S1 2025 : résultat net +12,70%) confirment une **trajectoire de croissance régulière et de qualité**, avec amélioration continue du coût du risque et de l'efficacité opérationnelle.</w:t>
      </w:r>
    </w:p>
    <w:p>
      <w:pPr>
        <w:spacing w:after="120" w:line="276" w:lineRule="auto"/>
      </w:pPr>
      <w:r>
        <w:t>**Recommandation fondamentale** : BOAS présente une **solidité financière remarquable** (ROE &gt;22%, coefficient d'exploitation &lt;45%, croissance à deux chiffres du résultat net), portée par une collecte de dépôts vigoureuse et une gestion prudente des risques. Les perspectives 2026 sont positives, avec un plan triennal 2025-2027 en cours. Les principaux risques demeurent la concentration sur le marché sénégalais, la concurrence accrue et l'exposition au risque de crédit dans un environnement économique incertain.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Sur le plan de la **valorisation (Partie 0)**, les ratios (PER 13,1x, P/B 2,98x, EV/EBITDA 8,5x) indiquent une valorisation **raisonnable mais sans décote**, le marché intégrant déjà la qualité de la croissance. Le **comportement du cours (Partie 1)** est globalement favorable (+6,03% sur 100 jours, volatilité modérée de 22,5%, distribution symétrique et platykurtique sans risque de pics), bien que la consolidation récente (-1,23% en J-1) traduise une prise de bénéfices. Les **signaux techniques (Partie 2)** sont **majoritairement baissiers à neutres** (MM et MACD en Vente, Bollinger et RSI neutres), seul le Stochastique en survente extrême suggérant un rebond contrarien. Les **fondamentaux (Partie 3)** demeurent **excellents** : ROE de 22,69%, coefficient d'exploitation de 44%, croissance du résultat net de +9,78% au T1 2026, avec des estimations 2026 en prolongement haussier. Les **prédictions IA (J+1 à J+10)** anticipent une **trajectoire baissière** (de 7 861 à 7 450 FCFA), cohérente avec les signaux techniques de court terme mais en **divergence avec les fondamentaux**.</w:t>
      </w:r>
    </w:p>
    <w:p>
      <w:pPr>
        <w:spacing w:after="120" w:line="276" w:lineRule="auto"/>
      </w:pPr>
      <w:r>
        <w:t>**Recommandation finale : CONSERVER** — avec un biais positif à moyen terme. La convergence entre valorisation raisonnable, fondamentaux solides et croissance régulière soutient la thèse d'un titre de qualité, mais la divergence des signaux techniques de court terme et des prédictions IA baissières invite à la patience plutôt qu'à l'achat immédiat. **Niveau de confiance : Moyen** (divergence technique/fondamental). **Niveau de risque global : Moyen** (risque de crédit et concentration géographique, tempérés par la solidité financière). **Horizon d'investissement optimal : moyen à long terme (6-18 mois)**, le temps que la consolidation technique s'achève et que la croissance fondamentale se matérialise dans le cours ; un point d'entrée plus favorable pourrait se présenter autour de 7 450-7 600 FCFA, niveaux ciblés par les prédictions IA et proches du support de Bollinger (7 795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17.73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2,060 titres</w:t>
            </w:r>
          </w:p>
        </w:tc>
        <w:tc>
          <w:tcPr>
            <w:tcW w:type="dxa" w:w="2268"/>
            <w:shd w:fill="FFF2CC" w:val="clear"/>
          </w:tcPr>
          <w:p>
            <w:r>
              <w:rPr>
                <w:b/>
                <w:color w:val="503200"/>
                <w:sz w:val="16"/>
              </w:rPr>
              <w:t xml:space="preserve">Cours actuel : </w:t>
            </w:r>
            <w:r>
              <w:rPr>
                <w:color w:val="000000"/>
                <w:sz w:val="17"/>
              </w:rPr>
              <w:t>2,995 FCFA</w:t>
            </w:r>
          </w:p>
          <w:p>
            <w:r>
              <w:rPr>
                <w:b/>
                <w:color w:val="503200"/>
                <w:sz w:val="16"/>
              </w:rPr>
              <w:t xml:space="preserve">Var. 100 jours : </w:t>
            </w:r>
            <w:r>
              <w:rPr>
                <w:b/>
                <w:color w:val="B40000"/>
                <w:sz w:val="17"/>
              </w:rPr>
              <w:t>-14.43%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2,995 FCFA</w:t>
            </w:r>
          </w:p>
          <w:p>
            <w:r>
              <w:rPr>
                <w:b/>
                <w:color w:val="503200"/>
                <w:sz w:val="16"/>
              </w:rPr>
              <w:t xml:space="preserve">Volatilité ann. : </w:t>
            </w:r>
            <w:r>
              <w:rPr>
                <w:color w:val="000000"/>
                <w:sz w:val="17"/>
              </w:rPr>
              <w:t>45.4%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9.27% (Moyenne) — μ=3,639 FCFA, σ=337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β=0.4002 (Défensif) — Cov=0.000031, Var(idx)=0.000078, ρ=0.122,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2,891</w:t>
            </w:r>
          </w:p>
        </w:tc>
        <w:tc>
          <w:tcPr>
            <w:tcW w:type="dxa" w:w="1440"/>
            <w:shd w:fill="FAFAFA" w:val="clear"/>
          </w:tcPr>
          <w:p>
            <w:r>
              <w:rPr>
                <w:b/>
                <w:sz w:val="17"/>
              </w:rPr>
              <w:t>3,004</w:t>
            </w:r>
          </w:p>
        </w:tc>
        <w:tc>
          <w:tcPr>
            <w:tcW w:type="dxa" w:w="1440"/>
            <w:shd w:fill="FAFAFA" w:val="clear"/>
          </w:tcPr>
          <w:p>
            <w:r>
              <w:rPr>
                <w:sz w:val="17"/>
              </w:rPr>
              <w:t>3,117</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2,849</w:t>
            </w:r>
          </w:p>
        </w:tc>
        <w:tc>
          <w:tcPr>
            <w:tcW w:type="dxa" w:w="1440"/>
            <w:shd w:fill="FAFAFA" w:val="clear"/>
          </w:tcPr>
          <w:p>
            <w:r>
              <w:rPr>
                <w:b/>
                <w:sz w:val="17"/>
              </w:rPr>
              <w:t>3,010</w:t>
            </w:r>
          </w:p>
        </w:tc>
        <w:tc>
          <w:tcPr>
            <w:tcW w:type="dxa" w:w="1440"/>
            <w:shd w:fill="FAFAFA" w:val="clear"/>
          </w:tcPr>
          <w:p>
            <w:r>
              <w:rPr>
                <w:sz w:val="17"/>
              </w:rPr>
              <w:t>3,170</w:t>
            </w:r>
          </w:p>
        </w:tc>
        <w:tc>
          <w:tcPr>
            <w:tcW w:type="dxa" w:w="1440"/>
            <w:shd w:fill="FAFAFA" w:val="clear"/>
          </w:tcPr>
          <w:p>
            <w:r>
              <w:rPr>
                <w:b/>
                <w:color w:val="008000"/>
                <w:sz w:val="17"/>
              </w:rPr>
              <w:t>+0.5%</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2,818</w:t>
            </w:r>
          </w:p>
        </w:tc>
        <w:tc>
          <w:tcPr>
            <w:tcW w:type="dxa" w:w="1440"/>
            <w:shd w:fill="FAFAFA" w:val="clear"/>
          </w:tcPr>
          <w:p>
            <w:r>
              <w:rPr>
                <w:b/>
                <w:sz w:val="17"/>
              </w:rPr>
              <w:t>3,015</w:t>
            </w:r>
          </w:p>
        </w:tc>
        <w:tc>
          <w:tcPr>
            <w:tcW w:type="dxa" w:w="1440"/>
            <w:shd w:fill="FAFAFA" w:val="clear"/>
          </w:tcPr>
          <w:p>
            <w:r>
              <w:rPr>
                <w:sz w:val="17"/>
              </w:rPr>
              <w:t>3,211</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2,789</w:t>
            </w:r>
          </w:p>
        </w:tc>
        <w:tc>
          <w:tcPr>
            <w:tcW w:type="dxa" w:w="1440"/>
            <w:shd w:fill="FAFAFA" w:val="clear"/>
          </w:tcPr>
          <w:p>
            <w:r>
              <w:rPr>
                <w:b/>
                <w:sz w:val="17"/>
              </w:rPr>
              <w:t>3,017</w:t>
            </w:r>
          </w:p>
        </w:tc>
        <w:tc>
          <w:tcPr>
            <w:tcW w:type="dxa" w:w="1440"/>
            <w:shd w:fill="FAFAFA" w:val="clear"/>
          </w:tcPr>
          <w:p>
            <w:r>
              <w:rPr>
                <w:sz w:val="17"/>
              </w:rPr>
              <w:t>3,244</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2026-10-27</w:t>
            </w:r>
          </w:p>
        </w:tc>
        <w:tc>
          <w:tcPr>
            <w:tcW w:type="dxa" w:w="1440"/>
            <w:shd w:fill="FAFAFA" w:val="clear"/>
          </w:tcPr>
          <w:p>
            <w:r>
              <w:rPr>
                <w:sz w:val="17"/>
              </w:rPr>
              <w:t>2,762</w:t>
            </w:r>
          </w:p>
        </w:tc>
        <w:tc>
          <w:tcPr>
            <w:tcW w:type="dxa" w:w="1440"/>
            <w:shd w:fill="FAFAFA" w:val="clear"/>
          </w:tcPr>
          <w:p>
            <w:r>
              <w:rPr>
                <w:b/>
                <w:sz w:val="17"/>
              </w:rPr>
              <w:t>3,016</w:t>
            </w:r>
          </w:p>
        </w:tc>
        <w:tc>
          <w:tcPr>
            <w:tcW w:type="dxa" w:w="1440"/>
            <w:shd w:fill="FAFAFA" w:val="clear"/>
          </w:tcPr>
          <w:p>
            <w:r>
              <w:rPr>
                <w:sz w:val="17"/>
              </w:rPr>
              <w:t>3,270</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2026-10-28</w:t>
            </w:r>
          </w:p>
        </w:tc>
        <w:tc>
          <w:tcPr>
            <w:tcW w:type="dxa" w:w="1440"/>
            <w:shd w:fill="FAFAFA" w:val="clear"/>
          </w:tcPr>
          <w:p>
            <w:r>
              <w:rPr>
                <w:sz w:val="17"/>
              </w:rPr>
              <w:t>2,735</w:t>
            </w:r>
          </w:p>
        </w:tc>
        <w:tc>
          <w:tcPr>
            <w:tcW w:type="dxa" w:w="1440"/>
            <w:shd w:fill="FAFAFA" w:val="clear"/>
          </w:tcPr>
          <w:p>
            <w:r>
              <w:rPr>
                <w:b/>
                <w:sz w:val="17"/>
              </w:rPr>
              <w:t>3,013</w:t>
            </w:r>
          </w:p>
        </w:tc>
        <w:tc>
          <w:tcPr>
            <w:tcW w:type="dxa" w:w="1440"/>
            <w:shd w:fill="FAFAFA" w:val="clear"/>
          </w:tcPr>
          <w:p>
            <w:r>
              <w:rPr>
                <w:sz w:val="17"/>
              </w:rPr>
              <w:t>3,291</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2026-10-29</w:t>
            </w:r>
          </w:p>
        </w:tc>
        <w:tc>
          <w:tcPr>
            <w:tcW w:type="dxa" w:w="1440"/>
            <w:shd w:fill="FAFAFA" w:val="clear"/>
          </w:tcPr>
          <w:p>
            <w:r>
              <w:rPr>
                <w:sz w:val="17"/>
              </w:rPr>
              <w:t>2,709</w:t>
            </w:r>
          </w:p>
        </w:tc>
        <w:tc>
          <w:tcPr>
            <w:tcW w:type="dxa" w:w="1440"/>
            <w:shd w:fill="FAFAFA" w:val="clear"/>
          </w:tcPr>
          <w:p>
            <w:r>
              <w:rPr>
                <w:b/>
                <w:sz w:val="17"/>
              </w:rPr>
              <w:t>3,008</w:t>
            </w:r>
          </w:p>
        </w:tc>
        <w:tc>
          <w:tcPr>
            <w:tcW w:type="dxa" w:w="1440"/>
            <w:shd w:fill="FAFAFA" w:val="clear"/>
          </w:tcPr>
          <w:p>
            <w:r>
              <w:rPr>
                <w:sz w:val="17"/>
              </w:rPr>
              <w:t>3,308</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2026-10-30</w:t>
            </w:r>
          </w:p>
        </w:tc>
        <w:tc>
          <w:tcPr>
            <w:tcW w:type="dxa" w:w="1440"/>
            <w:shd w:fill="FAFAFA" w:val="clear"/>
          </w:tcPr>
          <w:p>
            <w:r>
              <w:rPr>
                <w:sz w:val="17"/>
              </w:rPr>
              <w:t>2,683</w:t>
            </w:r>
          </w:p>
        </w:tc>
        <w:tc>
          <w:tcPr>
            <w:tcW w:type="dxa" w:w="1440"/>
            <w:shd w:fill="FAFAFA" w:val="clear"/>
          </w:tcPr>
          <w:p>
            <w:r>
              <w:rPr>
                <w:b/>
                <w:sz w:val="17"/>
              </w:rPr>
              <w:t>3,003</w:t>
            </w:r>
          </w:p>
        </w:tc>
        <w:tc>
          <w:tcPr>
            <w:tcW w:type="dxa" w:w="1440"/>
            <w:shd w:fill="FAFAFA" w:val="clear"/>
          </w:tcPr>
          <w:p>
            <w:r>
              <w:rPr>
                <w:sz w:val="17"/>
              </w:rPr>
              <w:t>3,323</w:t>
            </w:r>
          </w:p>
        </w:tc>
        <w:tc>
          <w:tcPr>
            <w:tcW w:type="dxa" w:w="1440"/>
            <w:shd w:fill="FAFAFA" w:val="clear"/>
          </w:tcPr>
          <w:p>
            <w:r>
              <w:rPr>
                <w:b/>
                <w:color w:val="008000"/>
                <w:sz w:val="17"/>
              </w:rPr>
              <w:t>+0.3%</w:t>
            </w:r>
          </w:p>
        </w:tc>
      </w:tr>
      <w:tr>
        <w:tc>
          <w:tcPr>
            <w:tcW w:type="dxa" w:w="1440"/>
            <w:shd w:fill="FAFAFA" w:val="clear"/>
          </w:tcPr>
          <w:p>
            <w:r>
              <w:rPr>
                <w:sz w:val="17"/>
              </w:rPr>
              <w:t>J+9  ⭐</w:t>
            </w:r>
          </w:p>
        </w:tc>
        <w:tc>
          <w:tcPr>
            <w:tcW w:type="dxa" w:w="1440"/>
            <w:shd w:fill="FAFAFA" w:val="clear"/>
          </w:tcPr>
          <w:p>
            <w:r>
              <w:rPr>
                <w:sz w:val="17"/>
              </w:rPr>
              <w:t>2026-11-02</w:t>
            </w:r>
          </w:p>
        </w:tc>
        <w:tc>
          <w:tcPr>
            <w:tcW w:type="dxa" w:w="1440"/>
            <w:shd w:fill="FAFAFA" w:val="clear"/>
          </w:tcPr>
          <w:p>
            <w:r>
              <w:rPr>
                <w:sz w:val="17"/>
              </w:rPr>
              <w:t>2,658</w:t>
            </w:r>
          </w:p>
        </w:tc>
        <w:tc>
          <w:tcPr>
            <w:tcW w:type="dxa" w:w="1440"/>
            <w:shd w:fill="FAFAFA" w:val="clear"/>
          </w:tcPr>
          <w:p>
            <w:r>
              <w:rPr>
                <w:b/>
                <w:sz w:val="17"/>
              </w:rPr>
              <w:t>2,997</w:t>
            </w:r>
          </w:p>
        </w:tc>
        <w:tc>
          <w:tcPr>
            <w:tcW w:type="dxa" w:w="1440"/>
            <w:shd w:fill="FAFAFA" w:val="clear"/>
          </w:tcPr>
          <w:p>
            <w:r>
              <w:rPr>
                <w:sz w:val="17"/>
              </w:rPr>
              <w:t>3,335</w:t>
            </w:r>
          </w:p>
        </w:tc>
        <w:tc>
          <w:tcPr>
            <w:tcW w:type="dxa" w:w="1440"/>
            <w:shd w:fill="FAFAFA" w:val="clear"/>
          </w:tcPr>
          <w:p>
            <w:r>
              <w:rPr>
                <w:b/>
                <w:color w:val="008000"/>
                <w:sz w:val="17"/>
              </w:rPr>
              <w:t>+0.1%</w:t>
            </w:r>
          </w:p>
        </w:tc>
      </w:tr>
      <w:tr>
        <w:tc>
          <w:tcPr>
            <w:tcW w:type="dxa" w:w="1440"/>
            <w:shd w:fill="FAFAFA" w:val="clear"/>
          </w:tcPr>
          <w:p>
            <w:r>
              <w:rPr>
                <w:sz w:val="17"/>
              </w:rPr>
              <w:t>J+10  ⭐</w:t>
            </w:r>
          </w:p>
        </w:tc>
        <w:tc>
          <w:tcPr>
            <w:tcW w:type="dxa" w:w="1440"/>
            <w:shd w:fill="FAFAFA" w:val="clear"/>
          </w:tcPr>
          <w:p>
            <w:r>
              <w:rPr>
                <w:sz w:val="17"/>
              </w:rPr>
              <w:t>2026-11-03</w:t>
            </w:r>
          </w:p>
        </w:tc>
        <w:tc>
          <w:tcPr>
            <w:tcW w:type="dxa" w:w="1440"/>
            <w:shd w:fill="FAFAFA" w:val="clear"/>
          </w:tcPr>
          <w:p>
            <w:r>
              <w:rPr>
                <w:sz w:val="17"/>
              </w:rPr>
              <w:t>2,634</w:t>
            </w:r>
          </w:p>
        </w:tc>
        <w:tc>
          <w:tcPr>
            <w:tcW w:type="dxa" w:w="1440"/>
            <w:shd w:fill="FAFAFA" w:val="clear"/>
          </w:tcPr>
          <w:p>
            <w:r>
              <w:rPr>
                <w:b/>
                <w:sz w:val="17"/>
              </w:rPr>
              <w:t>2,991</w:t>
            </w:r>
          </w:p>
        </w:tc>
        <w:tc>
          <w:tcPr>
            <w:tcW w:type="dxa" w:w="1440"/>
            <w:shd w:fill="FAFAFA" w:val="clear"/>
          </w:tcPr>
          <w:p>
            <w:r>
              <w:rPr>
                <w:sz w:val="17"/>
              </w:rPr>
              <w:t>3,347</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 RAPPORT D'ANALYSE FINANCIÈRE — CABC (SICABLE)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17,73 milliards FCFA, un niveau modeste à l'échelle de la BRVM qui la classe parmi les petites capitalisations du marché régional. Le BPA de 243 FCFA par action signifie que chaque titre génère environ 243 FCFA de bénéfice net, ce qui, rapporté au cours actuel de 2 995 FCFA, donne un PER de 12,3x — un niveau modéré mais légèrement supérieur à la moyenne BRVM (8-12x), suggérant que le marché intègre déjà une part de croissance. Le P/B de 1,90x indique que le marché valorise l'action à près du double de sa valeur comptable, ce qui reste raisonnable pour une entreprise industrielle mais traduit une prime de valorisation. Enfin, l'EV/EBITDA de 5,9x situe la valeur d'entreprise à environ 6 fois la capacité opérationnelle, un multiple raisonnable qui n'appelle ni à la sous-évaluation flagrante ni à la surévaluation.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CABC a enregistré une variation totale de **-14,43%**, avec une dernière séance en léger repli de **-0,17%**, portant le cours actuel à **2 995 FCFA**. Le range de trading est particulièrement large, avec un plus haut à **4 500 FCFA** et un plus bas à **2 995 FCFA** — le cours actuel se situe donc exactement au plus bas de la période, ce qui traduit une tendance clairement baissière et une pression vendeuse persistante. Les statistiques descriptives révèlent une moyenne de **3 639 FCFA** contre une médiane de **3 545 FCFA**, soit un écart de 94 FCFA : la moyenne étant supérieure à la médiane, la distribution est légèrement tirée vers le haut par des valeurs extrêmes hautes, cohérent avec le skewness de **0,453** (distribution qualifiée de symétrique mais légèrement positive). L'écart-type de **339 FCFA** avec un coefficient de variation de **9,3%** indique une dispersion modérée autour de la moyenne, tandis que le kurtosis de **0,021** (mésokurtique) suggère une distribution proche de la normale, sans risque excessif de pics extrêmes. La volatilité annualisée de **45,4%** positionne le titre dans la catégorie des valeurs à volatilité élevée (&gt;30%), ce qui est préoccupant pour un investisseur averse au risque et traduit une forte sensibilité aux annonces et aux flux de marché.</w:t>
      </w:r>
    </w:p>
    <w:p>
      <w:pPr>
        <w:spacing w:after="120" w:line="276" w:lineRule="auto"/>
      </w:pPr>
      <w:r>
        <w:t>---</w:t>
      </w:r>
    </w:p>
    <w:p>
      <w:pPr>
        <w:spacing w:after="120" w:line="276" w:lineRule="auto"/>
      </w:pPr>
      <w:r>
        <w:t>## PARTIE 2 : ANALYSE TECHNIQUE DÉTAILLÉE</w:t>
      </w:r>
    </w:p>
    <w:p>
      <w:pPr>
        <w:spacing w:after="120" w:line="276" w:lineRule="auto"/>
      </w:pPr>
      <w:r>
        <w:t>**Moyennes Mobiles** : La MM20 se situe à **3 214,0 FCFA** et la MM50 à **3 396,2 FCFA**, toutes deux nettement au-dessus du cours actuel de 2 995 FCFA. Cette configuration — cours sous les deux moyennes — confirme une tendance baissière de court et moyen terme, avec la MM20 elle-même sous la MM50, signalant une accélération de la pression vendeuse. La décision technique qui en résulte est **Vente**, les moyennes mobiles agissant comme des résistances dynamiques.</w:t>
      </w:r>
    </w:p>
    <w:p>
      <w:pPr>
        <w:spacing w:after="120" w:line="276" w:lineRule="auto"/>
      </w:pPr>
      <w:r>
        <w:t>**Bandes de Bollinger** : La borne supérieure est à **3 510,16 FCFA** et la borne inférieure à **2 917,84 FCFA**, avec un cours actuel de 2 995 FCFA qui se situe dans la partie basse de la bande, à seulement 77 FCFA de la borne inférieure. Cette position proche du plancher traduit une pression baissière forte mais aussi un potentiel de rebond technique si le cours teste la borne inférieure. La décision est **Neutre**, le cours n'ayant pas encore cassé la borne inférieure, ce qui laisse une possibilité de stabilisation.</w:t>
      </w:r>
    </w:p>
    <w:p>
      <w:pPr>
        <w:spacing w:after="120" w:line="276" w:lineRule="auto"/>
      </w:pPr>
      <w:r>
        <w:t>**MACD** : La valeur du MACD est de **-116,91** contre un signal à **-94,77**, soit un MACD inférieur à son signal (divergence négative de 22,14 points). Cette configuration confirme un momentum baissier en cours, le MACD évoluant en territoire négatif et sous sa ligne de signal, ce qui justifie la décision **Vente**. Aucun signe de retournement n'est visible à ce stade.</w:t>
      </w:r>
    </w:p>
    <w:p>
      <w:pPr>
        <w:spacing w:after="120" w:line="276" w:lineRule="auto"/>
      </w:pPr>
      <w:r>
        <w:t>**RSI** : Le RSI s'établit à **18,25**, un niveau extrêmement bas qui place le titre en zone de **survente sévère** (seuil de survente à 30). Un RSI inférieur à 20 est statistiquement rare et suggère que la pression vendeuse est excessive à court terme, ouvrant la voie à un rebond technique. La décision qui en découle est **Achat**, en anticipation d'un retournement à court terme.</w:t>
      </w:r>
    </w:p>
    <w:p>
      <w:pPr>
        <w:spacing w:after="120" w:line="276" w:lineRule="auto"/>
      </w:pPr>
      <w:r>
        <w:t>**Stochastique** : Le %K et le %D sont tous deux à **0,0**, un niveau plancher absolu qui confirme une survente extrême et une capitulation des vendeurs. Cette configuration est cohérente avec le RSI et plaide pour un rebond imminent, justifiant la décision **Achat**.</w:t>
      </w:r>
    </w:p>
    <w:p>
      <w:pPr>
        <w:spacing w:after="120" w:line="276" w:lineRule="auto"/>
      </w:pPr>
      <w:r>
        <w:t>**Conclusion technique** : Les indicateurs présentent une divergence marquée : les moyennes mobiles et le MACD confirment une tendance baissière structurelle, tandis que le RSI (18,25) et le stochastique (0,0) signalent une survente extrême propice à un rebond technique. Les Bandes de Bollinger en position neutre n'apportent pas de confirmation directionnelle. Cette configuration suggère un scénario de **rebond technique à court terme** dans un contexte de tendance baissière plus large — un signal d'achat spéculatif mais risqué, à confirmer par une reprise des volumes et un retour du cours au-dessus de la MM20 (3 214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CABC a réalisé un chiffre d'affaires de **21,263 milliards FCFA**, en croissance de **11,18%** par rapport à 2024, avec un résultat net de **1,439 milliard FCFA** (marge nette de 6,77%). Le ROE s'établit à **15,40%** (niveau excellent, supérieur au seuil de 15%) et le ROA à **6,10%**, traduisant une bonne rentabilité des fonds propres mais une rotation des actifs modérée (90,06%). La structure financière est saine avec une autonomie financière de **39,58%** (capitaux propres/total bilan) et une dépendance financière très faible de **4,47%** (dettes financières/total bilan), tandis que la liquidité générale de **242,60%** confirme une excellente couverture du passif circulant. Cependant, deux points d'attention majeurs émergent : le **délai clients de 144,69 jours** (créances clients de 8,429 milliards FCFA) et la **durée de stockage de 152,12 jours** (stocks de 7,400 milliards FCFA), tous deux élevés et générateurs de tension sur la trésorerie — le flux opérationnel est d'ailleurs négatif à **-819,66 millions FCFA** et le Free Cash Flow à **-982,71 millions FCFA**, malgré une trésorerie nette positive de 5,139 milliards FCFA.</w:t>
      </w:r>
    </w:p>
    <w:p>
      <w:pPr>
        <w:spacing w:after="120" w:line="276" w:lineRule="auto"/>
      </w:pPr>
      <w:r>
        <w:t>**Évolution temporelle et rapports** : Les rapports officiels confirment cette dynamique. Le rapport annuel certifié 2024 (daté du 31/12/2024) indiquait un CA de 19,125 milliards FCFA (+7,7%) et un résultat net de 1,225 milliard FCFA, avec une trésorerie nette de 6,865 milliards FCFA et aucune dette financière — situation qui s'est depuis légèrement dégradée avec l'apparition de 417,60 millions FCFA de dettes financières en 2025. Le rapport du 3ème trimestre 2025 (daté du 30/09/2025) faisait état d'un CA cumulé de 16,630 milliards FCFA (+13,7%) et d'un résultat net de 1,329,5 millions FCFA (+26,0%), avec une marge nette de 8,0% — cohérent avec le résultat annuel de 1,439 milliard FCFA. **Cependant, le rapport du T1 2026 (daté de 2026) révèle une dégradation brutale** : CA en baisse de **-26,5%** à 3,794 milliards FCFA, perte d'exploitation de **-236,6 millions FCFA** (contre un bénéfice de 432 millions FCFA au T1 2025) et résultat net déficitaire de **-221,7 millions FCFA**, en raison d'une maintenance planifiée du parc machines et d'une inflation des cours des métaux (+23% en 3 mois). La direction anticipe toutefois une normalisation dès le T2 2026.</w:t>
      </w:r>
    </w:p>
    <w:p>
      <w:pPr>
        <w:spacing w:after="120" w:line="276" w:lineRule="auto"/>
      </w:pPr>
      <w:r>
        <w:t>**Recommandation fondamentale** : La société présente des fondamentaux globalement solides (ROE &gt;15%, structure financière saine, croissance du CA à deux chiffres) mais des fragilités croissantes (BFR élevé, flux opérationnel négatif, dégradation du T1 2026). Le profil est celui d'une entreprise industrielle cyclique, sensible aux cours des métaux et à la demande en infrastructures, avec une gestion financière prudente mais une efficacité opérationnelle à surveiller. La recommandation fondamentale est **CONSERVER avec vigilance**, en attendant la confirmation de la normalisation annoncée pour le T2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les ratios (PER 12,3x, P/B 1,90x, EV/EBITDA 5,9x) indiquent une valorisation raisonnable mais sans décote significative, le marché intégrant déjà une part de croissance. **Le comportement du cours (Partie 1)** est clairement préoccupant : tendance baissière de -14,43% sur 100 jours, cours au plus bas de la période, volatilité élevée de 45,4% et skewness positif suggérant des pics hauts isolés — un profil défavorable pour un investisseur prudent. **Les signaux techniques (Partie 2)** présentent une divergence majeure : les indicateurs de tendance (MM, MACD) sont baissiers, mais les oscillateurs (RSI à 18,25, stochastique à 0,0) signalent une survente extrême propice à un rebond technique à court terme. **Les fondamentaux (Partie 3)** sont solides sur l'exercice 2025 (ROE 15,40%, CA +11,18%, autonomie financière 39,58%) mais entachés par la dégradation brutale du T1 2026 (perte nette de -221,7 millions FCFA) et des tensions persistantes sur le BFR. **Les prédictions IA (J+1 à J+10)** anticipent une trajectoire légèrement haussière (3 004 → 3 017 FCFA, soit +0,7% sur 10 jours), cohérente avec le scénario de rebond technique suggéré par le RSI et le stochastique, mais sans conviction forte.</w:t>
      </w:r>
    </w:p>
    <w:p>
      <w:pPr>
        <w:spacing w:after="120" w:line="276" w:lineRule="auto"/>
      </w:pPr>
      <w:r>
        <w:t>**Recommandation finale : CONSERVER** — avec un biais spéculatif pour les investisseurs avertis. La convergence est partielle : le rebond technique anticipé par les oscillateurs et les prédictions IA est contrebalancé par la tendance baissière structurelle et la dégradation du T1 2026. **Niveau de confiance : Moyen** (les signaux techniques de survente sont fiables à court terme, mais les fondamentaux à venir restent incertains). **Niveau de risque global : Élevé** (volatilité de 45,4%, dégradation récente des résultats, dépendance aux matières premières). **Horizon d'investissement optimal : Court terme (1-3 mois)** pour capter le rebond technique vers 3 214 FCFA (MM20), avec un stop-loss strict sous 2 917 FCFA (borne inférieure de Bollinger) ; **moyen terme (3-12 mois)** pour les investisseurs fondamentaux, en attendant la confirmation de la normalisation au T2 2026 avant tout renforcement.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992.00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1,547 titres</w:t>
            </w:r>
          </w:p>
        </w:tc>
        <w:tc>
          <w:tcPr>
            <w:tcW w:type="dxa" w:w="2268"/>
            <w:shd w:fill="FFF2CC" w:val="clear"/>
          </w:tcPr>
          <w:p>
            <w:r>
              <w:rPr>
                <w:b/>
                <w:color w:val="503200"/>
                <w:sz w:val="16"/>
              </w:rPr>
              <w:t xml:space="preserve">Cours actuel : </w:t>
            </w:r>
            <w:r>
              <w:rPr>
                <w:color w:val="000000"/>
                <w:sz w:val="17"/>
              </w:rPr>
              <w:t>31,000 FCFA</w:t>
            </w:r>
          </w:p>
          <w:p>
            <w:r>
              <w:rPr>
                <w:b/>
                <w:color w:val="503200"/>
                <w:sz w:val="16"/>
              </w:rPr>
              <w:t xml:space="preserve">Var. 100 jours : </w:t>
            </w:r>
            <w:r>
              <w:rPr>
                <w:b/>
                <w:color w:val="007800"/>
                <w:sz w:val="17"/>
              </w:rPr>
              <w:t>+43.78%</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20,900 FCFA</w:t>
            </w:r>
          </w:p>
          <w:p>
            <w:r>
              <w:rPr>
                <w:b/>
                <w:color w:val="503200"/>
                <w:sz w:val="16"/>
              </w:rPr>
              <w:t xml:space="preserve">Volatilité ann. : </w:t>
            </w:r>
            <w:r>
              <w:rPr>
                <w:color w:val="000000"/>
                <w:sz w:val="17"/>
              </w:rPr>
              <w:t>44.4%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14.30% (Moyenne) — μ=27,966 FCFA, σ=3,998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β=1.2586 (Agressif) — Cov=0.000098, Var(idx)=0.000078, ρ=0.397,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σ_j=2.80%/j (Stable) — Vol. annualisée≈44.4%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2026-10-21</w:t>
            </w:r>
          </w:p>
        </w:tc>
        <w:tc>
          <w:tcPr>
            <w:tcW w:type="dxa" w:w="1440"/>
            <w:shd w:fill="FFDCE0" w:val="clear"/>
          </w:tcPr>
          <w:p>
            <w:r>
              <w:rPr>
                <w:sz w:val="17"/>
              </w:rPr>
              <w:t>28,604</w:t>
            </w:r>
          </w:p>
        </w:tc>
        <w:tc>
          <w:tcPr>
            <w:tcW w:type="dxa" w:w="1440"/>
            <w:shd w:fill="FFDCE0" w:val="clear"/>
          </w:tcPr>
          <w:p>
            <w:r>
              <w:rPr>
                <w:b/>
                <w:sz w:val="17"/>
              </w:rPr>
              <w:t>30,133</w:t>
            </w:r>
          </w:p>
        </w:tc>
        <w:tc>
          <w:tcPr>
            <w:tcW w:type="dxa" w:w="1440"/>
            <w:shd w:fill="FFDCE0" w:val="clear"/>
          </w:tcPr>
          <w:p>
            <w:r>
              <w:rPr>
                <w:sz w:val="17"/>
              </w:rPr>
              <w:t>31,663</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2026-10-22</w:t>
            </w:r>
          </w:p>
        </w:tc>
        <w:tc>
          <w:tcPr>
            <w:tcW w:type="dxa" w:w="1440"/>
            <w:shd w:fill="FFDCE0" w:val="clear"/>
          </w:tcPr>
          <w:p>
            <w:r>
              <w:rPr>
                <w:sz w:val="17"/>
              </w:rPr>
              <w:t>27,554</w:t>
            </w:r>
          </w:p>
        </w:tc>
        <w:tc>
          <w:tcPr>
            <w:tcW w:type="dxa" w:w="1440"/>
            <w:shd w:fill="FFDCE0" w:val="clear"/>
          </w:tcPr>
          <w:p>
            <w:r>
              <w:rPr>
                <w:b/>
                <w:sz w:val="17"/>
              </w:rPr>
              <w:t>29,685</w:t>
            </w:r>
          </w:p>
        </w:tc>
        <w:tc>
          <w:tcPr>
            <w:tcW w:type="dxa" w:w="1440"/>
            <w:shd w:fill="FFDCE0" w:val="clear"/>
          </w:tcPr>
          <w:p>
            <w:r>
              <w:rPr>
                <w:sz w:val="17"/>
              </w:rPr>
              <w:t>31,816</w:t>
            </w:r>
          </w:p>
        </w:tc>
        <w:tc>
          <w:tcPr>
            <w:tcW w:type="dxa" w:w="1440"/>
            <w:shd w:fill="FFDCE0" w:val="clear"/>
          </w:tcPr>
          <w:p>
            <w:r>
              <w:rPr>
                <w:b/>
                <w:color w:val="C00000"/>
                <w:sz w:val="17"/>
              </w:rPr>
              <w:t>-4.2%</w:t>
            </w:r>
          </w:p>
        </w:tc>
      </w:tr>
      <w:tr>
        <w:tc>
          <w:tcPr>
            <w:tcW w:type="dxa" w:w="1440"/>
            <w:shd w:fill="FFDCE0" w:val="clear"/>
          </w:tcPr>
          <w:p>
            <w:r>
              <w:rPr>
                <w:sz w:val="17"/>
              </w:rPr>
              <w:t>J+3  Moyenne</w:t>
            </w:r>
          </w:p>
        </w:tc>
        <w:tc>
          <w:tcPr>
            <w:tcW w:type="dxa" w:w="1440"/>
            <w:shd w:fill="FFDCE0" w:val="clear"/>
          </w:tcPr>
          <w:p>
            <w:r>
              <w:rPr>
                <w:sz w:val="17"/>
              </w:rPr>
              <w:t>2026-10-23</w:t>
            </w:r>
          </w:p>
        </w:tc>
        <w:tc>
          <w:tcPr>
            <w:tcW w:type="dxa" w:w="1440"/>
            <w:shd w:fill="FFDCE0" w:val="clear"/>
          </w:tcPr>
          <w:p>
            <w:r>
              <w:rPr>
                <w:sz w:val="17"/>
              </w:rPr>
              <w:t>26,868</w:t>
            </w:r>
          </w:p>
        </w:tc>
        <w:tc>
          <w:tcPr>
            <w:tcW w:type="dxa" w:w="1440"/>
            <w:shd w:fill="FFDCE0" w:val="clear"/>
          </w:tcPr>
          <w:p>
            <w:r>
              <w:rPr>
                <w:b/>
                <w:sz w:val="17"/>
              </w:rPr>
              <w:t>29,458</w:t>
            </w:r>
          </w:p>
        </w:tc>
        <w:tc>
          <w:tcPr>
            <w:tcW w:type="dxa" w:w="1440"/>
            <w:shd w:fill="FFDCE0" w:val="clear"/>
          </w:tcPr>
          <w:p>
            <w:r>
              <w:rPr>
                <w:sz w:val="17"/>
              </w:rPr>
              <w:t>32,048</w:t>
            </w:r>
          </w:p>
        </w:tc>
        <w:tc>
          <w:tcPr>
            <w:tcW w:type="dxa" w:w="1440"/>
            <w:shd w:fill="FFDCE0" w:val="clear"/>
          </w:tcPr>
          <w:p>
            <w:r>
              <w:rPr>
                <w:b/>
                <w:color w:val="C00000"/>
                <w:sz w:val="17"/>
              </w:rPr>
              <w:t>-5.0%</w:t>
            </w:r>
          </w:p>
        </w:tc>
      </w:tr>
      <w:tr>
        <w:tc>
          <w:tcPr>
            <w:tcW w:type="dxa" w:w="1440"/>
            <w:shd w:fill="FFDCE0" w:val="clear"/>
          </w:tcPr>
          <w:p>
            <w:r>
              <w:rPr>
                <w:sz w:val="17"/>
              </w:rPr>
              <w:t>J+4  ⭐</w:t>
            </w:r>
          </w:p>
        </w:tc>
        <w:tc>
          <w:tcPr>
            <w:tcW w:type="dxa" w:w="1440"/>
            <w:shd w:fill="FFDCE0" w:val="clear"/>
          </w:tcPr>
          <w:p>
            <w:r>
              <w:rPr>
                <w:sz w:val="17"/>
              </w:rPr>
              <w:t>2026-10-26</w:t>
            </w:r>
          </w:p>
        </w:tc>
        <w:tc>
          <w:tcPr>
            <w:tcW w:type="dxa" w:w="1440"/>
            <w:shd w:fill="FFDCE0" w:val="clear"/>
          </w:tcPr>
          <w:p>
            <w:r>
              <w:rPr>
                <w:sz w:val="17"/>
              </w:rPr>
              <w:t>26,330</w:t>
            </w:r>
          </w:p>
        </w:tc>
        <w:tc>
          <w:tcPr>
            <w:tcW w:type="dxa" w:w="1440"/>
            <w:shd w:fill="FFDCE0" w:val="clear"/>
          </w:tcPr>
          <w:p>
            <w:r>
              <w:rPr>
                <w:b/>
                <w:sz w:val="17"/>
              </w:rPr>
              <w:t>29,305</w:t>
            </w:r>
          </w:p>
        </w:tc>
        <w:tc>
          <w:tcPr>
            <w:tcW w:type="dxa" w:w="1440"/>
            <w:shd w:fill="FFDCE0" w:val="clear"/>
          </w:tcPr>
          <w:p>
            <w:r>
              <w:rPr>
                <w:sz w:val="17"/>
              </w:rPr>
              <w:t>32,281</w:t>
            </w:r>
          </w:p>
        </w:tc>
        <w:tc>
          <w:tcPr>
            <w:tcW w:type="dxa" w:w="1440"/>
            <w:shd w:fill="FFDCE0" w:val="clear"/>
          </w:tcPr>
          <w:p>
            <w:r>
              <w:rPr>
                <w:b/>
                <w:color w:val="C00000"/>
                <w:sz w:val="17"/>
              </w:rPr>
              <w:t>-5.5%</w:t>
            </w:r>
          </w:p>
        </w:tc>
      </w:tr>
      <w:tr>
        <w:tc>
          <w:tcPr>
            <w:tcW w:type="dxa" w:w="1440"/>
            <w:shd w:fill="FFDCE0" w:val="clear"/>
          </w:tcPr>
          <w:p>
            <w:r>
              <w:rPr>
                <w:sz w:val="17"/>
              </w:rPr>
              <w:t>J+5  ⭐</w:t>
            </w:r>
          </w:p>
        </w:tc>
        <w:tc>
          <w:tcPr>
            <w:tcW w:type="dxa" w:w="1440"/>
            <w:shd w:fill="FFDCE0" w:val="clear"/>
          </w:tcPr>
          <w:p>
            <w:r>
              <w:rPr>
                <w:sz w:val="17"/>
              </w:rPr>
              <w:t>2026-10-27</w:t>
            </w:r>
          </w:p>
        </w:tc>
        <w:tc>
          <w:tcPr>
            <w:tcW w:type="dxa" w:w="1440"/>
            <w:shd w:fill="FFDCE0" w:val="clear"/>
          </w:tcPr>
          <w:p>
            <w:r>
              <w:rPr>
                <w:sz w:val="17"/>
              </w:rPr>
              <w:t>25,858</w:t>
            </w:r>
          </w:p>
        </w:tc>
        <w:tc>
          <w:tcPr>
            <w:tcW w:type="dxa" w:w="1440"/>
            <w:shd w:fill="FFDCE0" w:val="clear"/>
          </w:tcPr>
          <w:p>
            <w:r>
              <w:rPr>
                <w:b/>
                <w:sz w:val="17"/>
              </w:rPr>
              <w:t>29,169</w:t>
            </w:r>
          </w:p>
        </w:tc>
        <w:tc>
          <w:tcPr>
            <w:tcW w:type="dxa" w:w="1440"/>
            <w:shd w:fill="FFDCE0" w:val="clear"/>
          </w:tcPr>
          <w:p>
            <w:r>
              <w:rPr>
                <w:sz w:val="17"/>
              </w:rPr>
              <w:t>32,480</w:t>
            </w:r>
          </w:p>
        </w:tc>
        <w:tc>
          <w:tcPr>
            <w:tcW w:type="dxa" w:w="1440"/>
            <w:shd w:fill="FFDCE0" w:val="clear"/>
          </w:tcPr>
          <w:p>
            <w:r>
              <w:rPr>
                <w:b/>
                <w:color w:val="C00000"/>
                <w:sz w:val="17"/>
              </w:rPr>
              <w:t>-5.9%</w:t>
            </w:r>
          </w:p>
        </w:tc>
      </w:tr>
      <w:tr>
        <w:tc>
          <w:tcPr>
            <w:tcW w:type="dxa" w:w="1440"/>
            <w:shd w:fill="FFDCE0" w:val="clear"/>
          </w:tcPr>
          <w:p>
            <w:r>
              <w:rPr>
                <w:sz w:val="17"/>
              </w:rPr>
              <w:t>J+6  ⭐</w:t>
            </w:r>
          </w:p>
        </w:tc>
        <w:tc>
          <w:tcPr>
            <w:tcW w:type="dxa" w:w="1440"/>
            <w:shd w:fill="FFDCE0" w:val="clear"/>
          </w:tcPr>
          <w:p>
            <w:r>
              <w:rPr>
                <w:sz w:val="17"/>
              </w:rPr>
              <w:t>2026-10-28</w:t>
            </w:r>
          </w:p>
        </w:tc>
        <w:tc>
          <w:tcPr>
            <w:tcW w:type="dxa" w:w="1440"/>
            <w:shd w:fill="FFDCE0" w:val="clear"/>
          </w:tcPr>
          <w:p>
            <w:r>
              <w:rPr>
                <w:sz w:val="17"/>
              </w:rPr>
              <w:t>25,438</w:t>
            </w:r>
          </w:p>
        </w:tc>
        <w:tc>
          <w:tcPr>
            <w:tcW w:type="dxa" w:w="1440"/>
            <w:shd w:fill="FFDCE0" w:val="clear"/>
          </w:tcPr>
          <w:p>
            <w:r>
              <w:rPr>
                <w:b/>
                <w:sz w:val="17"/>
              </w:rPr>
              <w:t>29,050</w:t>
            </w:r>
          </w:p>
        </w:tc>
        <w:tc>
          <w:tcPr>
            <w:tcW w:type="dxa" w:w="1440"/>
            <w:shd w:fill="FFDCE0" w:val="clear"/>
          </w:tcPr>
          <w:p>
            <w:r>
              <w:rPr>
                <w:sz w:val="17"/>
              </w:rPr>
              <w:t>32,663</w:t>
            </w:r>
          </w:p>
        </w:tc>
        <w:tc>
          <w:tcPr>
            <w:tcW w:type="dxa" w:w="1440"/>
            <w:shd w:fill="FFDCE0" w:val="clear"/>
          </w:tcPr>
          <w:p>
            <w:r>
              <w:rPr>
                <w:b/>
                <w:color w:val="C00000"/>
                <w:sz w:val="17"/>
              </w:rPr>
              <w:t>-6.3%</w:t>
            </w:r>
          </w:p>
        </w:tc>
      </w:tr>
      <w:tr>
        <w:tc>
          <w:tcPr>
            <w:tcW w:type="dxa" w:w="1440"/>
            <w:shd w:fill="FFDCE0" w:val="clear"/>
          </w:tcPr>
          <w:p>
            <w:r>
              <w:rPr>
                <w:sz w:val="17"/>
              </w:rPr>
              <w:t>J+7  ⭐</w:t>
            </w:r>
          </w:p>
        </w:tc>
        <w:tc>
          <w:tcPr>
            <w:tcW w:type="dxa" w:w="1440"/>
            <w:shd w:fill="FFDCE0" w:val="clear"/>
          </w:tcPr>
          <w:p>
            <w:r>
              <w:rPr>
                <w:sz w:val="17"/>
              </w:rPr>
              <w:t>2026-10-29</w:t>
            </w:r>
          </w:p>
        </w:tc>
        <w:tc>
          <w:tcPr>
            <w:tcW w:type="dxa" w:w="1440"/>
            <w:shd w:fill="FFDCE0" w:val="clear"/>
          </w:tcPr>
          <w:p>
            <w:r>
              <w:rPr>
                <w:sz w:val="17"/>
              </w:rPr>
              <w:t>25,058</w:t>
            </w:r>
          </w:p>
        </w:tc>
        <w:tc>
          <w:tcPr>
            <w:tcW w:type="dxa" w:w="1440"/>
            <w:shd w:fill="FFDCE0" w:val="clear"/>
          </w:tcPr>
          <w:p>
            <w:r>
              <w:rPr>
                <w:b/>
                <w:sz w:val="17"/>
              </w:rPr>
              <w:t>28,946</w:t>
            </w:r>
          </w:p>
        </w:tc>
        <w:tc>
          <w:tcPr>
            <w:tcW w:type="dxa" w:w="1440"/>
            <w:shd w:fill="FFDCE0" w:val="clear"/>
          </w:tcPr>
          <w:p>
            <w:r>
              <w:rPr>
                <w:sz w:val="17"/>
              </w:rPr>
              <w:t>32,834</w:t>
            </w:r>
          </w:p>
        </w:tc>
        <w:tc>
          <w:tcPr>
            <w:tcW w:type="dxa" w:w="1440"/>
            <w:shd w:fill="FFDCE0" w:val="clear"/>
          </w:tcPr>
          <w:p>
            <w:r>
              <w:rPr>
                <w:b/>
                <w:color w:val="C00000"/>
                <w:sz w:val="17"/>
              </w:rPr>
              <w:t>-6.6%</w:t>
            </w:r>
          </w:p>
        </w:tc>
      </w:tr>
      <w:tr>
        <w:tc>
          <w:tcPr>
            <w:tcW w:type="dxa" w:w="1440"/>
            <w:shd w:fill="FFDCE0" w:val="clear"/>
          </w:tcPr>
          <w:p>
            <w:r>
              <w:rPr>
                <w:sz w:val="17"/>
              </w:rPr>
              <w:t>J+8  ⭐</w:t>
            </w:r>
          </w:p>
        </w:tc>
        <w:tc>
          <w:tcPr>
            <w:tcW w:type="dxa" w:w="1440"/>
            <w:shd w:fill="FFDCE0" w:val="clear"/>
          </w:tcPr>
          <w:p>
            <w:r>
              <w:rPr>
                <w:sz w:val="17"/>
              </w:rPr>
              <w:t>2026-10-30</w:t>
            </w:r>
          </w:p>
        </w:tc>
        <w:tc>
          <w:tcPr>
            <w:tcW w:type="dxa" w:w="1440"/>
            <w:shd w:fill="FFDCE0" w:val="clear"/>
          </w:tcPr>
          <w:p>
            <w:r>
              <w:rPr>
                <w:sz w:val="17"/>
              </w:rPr>
              <w:t>24,711</w:t>
            </w:r>
          </w:p>
        </w:tc>
        <w:tc>
          <w:tcPr>
            <w:tcW w:type="dxa" w:w="1440"/>
            <w:shd w:fill="FFDCE0" w:val="clear"/>
          </w:tcPr>
          <w:p>
            <w:r>
              <w:rPr>
                <w:b/>
                <w:sz w:val="17"/>
              </w:rPr>
              <w:t>28,855</w:t>
            </w:r>
          </w:p>
        </w:tc>
        <w:tc>
          <w:tcPr>
            <w:tcW w:type="dxa" w:w="1440"/>
            <w:shd w:fill="FFDCE0" w:val="clear"/>
          </w:tcPr>
          <w:p>
            <w:r>
              <w:rPr>
                <w:sz w:val="17"/>
              </w:rPr>
              <w:t>32,998</w:t>
            </w:r>
          </w:p>
        </w:tc>
        <w:tc>
          <w:tcPr>
            <w:tcW w:type="dxa" w:w="1440"/>
            <w:shd w:fill="FFDCE0" w:val="clear"/>
          </w:tcPr>
          <w:p>
            <w:r>
              <w:rPr>
                <w:b/>
                <w:color w:val="C00000"/>
                <w:sz w:val="17"/>
              </w:rPr>
              <w:t>-6.9%</w:t>
            </w:r>
          </w:p>
        </w:tc>
      </w:tr>
      <w:tr>
        <w:tc>
          <w:tcPr>
            <w:tcW w:type="dxa" w:w="1440"/>
            <w:shd w:fill="FFDCE0" w:val="clear"/>
          </w:tcPr>
          <w:p>
            <w:r>
              <w:rPr>
                <w:sz w:val="17"/>
              </w:rPr>
              <w:t>J+9  ⭐</w:t>
            </w:r>
          </w:p>
        </w:tc>
        <w:tc>
          <w:tcPr>
            <w:tcW w:type="dxa" w:w="1440"/>
            <w:shd w:fill="FFDCE0" w:val="clear"/>
          </w:tcPr>
          <w:p>
            <w:r>
              <w:rPr>
                <w:sz w:val="17"/>
              </w:rPr>
              <w:t>2026-11-02</w:t>
            </w:r>
          </w:p>
        </w:tc>
        <w:tc>
          <w:tcPr>
            <w:tcW w:type="dxa" w:w="1440"/>
            <w:shd w:fill="FFDCE0" w:val="clear"/>
          </w:tcPr>
          <w:p>
            <w:r>
              <w:rPr>
                <w:sz w:val="17"/>
              </w:rPr>
              <w:t>24,392</w:t>
            </w:r>
          </w:p>
        </w:tc>
        <w:tc>
          <w:tcPr>
            <w:tcW w:type="dxa" w:w="1440"/>
            <w:shd w:fill="FFDCE0" w:val="clear"/>
          </w:tcPr>
          <w:p>
            <w:r>
              <w:rPr>
                <w:b/>
                <w:sz w:val="17"/>
              </w:rPr>
              <w:t>28,774</w:t>
            </w:r>
          </w:p>
        </w:tc>
        <w:tc>
          <w:tcPr>
            <w:tcW w:type="dxa" w:w="1440"/>
            <w:shd w:fill="FFDCE0" w:val="clear"/>
          </w:tcPr>
          <w:p>
            <w:r>
              <w:rPr>
                <w:sz w:val="17"/>
              </w:rPr>
              <w:t>33,157</w:t>
            </w:r>
          </w:p>
        </w:tc>
        <w:tc>
          <w:tcPr>
            <w:tcW w:type="dxa" w:w="1440"/>
            <w:shd w:fill="FFDCE0" w:val="clear"/>
          </w:tcPr>
          <w:p>
            <w:r>
              <w:rPr>
                <w:b/>
                <w:color w:val="C00000"/>
                <w:sz w:val="17"/>
              </w:rPr>
              <w:t>-7.2%</w:t>
            </w:r>
          </w:p>
        </w:tc>
      </w:tr>
      <w:tr>
        <w:tc>
          <w:tcPr>
            <w:tcW w:type="dxa" w:w="1440"/>
            <w:shd w:fill="FFDCE0" w:val="clear"/>
          </w:tcPr>
          <w:p>
            <w:r>
              <w:rPr>
                <w:sz w:val="17"/>
              </w:rPr>
              <w:t>J+10  ⭐</w:t>
            </w:r>
          </w:p>
        </w:tc>
        <w:tc>
          <w:tcPr>
            <w:tcW w:type="dxa" w:w="1440"/>
            <w:shd w:fill="FFDCE0" w:val="clear"/>
          </w:tcPr>
          <w:p>
            <w:r>
              <w:rPr>
                <w:sz w:val="17"/>
              </w:rPr>
              <w:t>2026-11-03</w:t>
            </w:r>
          </w:p>
        </w:tc>
        <w:tc>
          <w:tcPr>
            <w:tcW w:type="dxa" w:w="1440"/>
            <w:shd w:fill="FFDCE0" w:val="clear"/>
          </w:tcPr>
          <w:p>
            <w:r>
              <w:rPr>
                <w:sz w:val="17"/>
              </w:rPr>
              <w:t>24,094</w:t>
            </w:r>
          </w:p>
        </w:tc>
        <w:tc>
          <w:tcPr>
            <w:tcW w:type="dxa" w:w="1440"/>
            <w:shd w:fill="FFDCE0" w:val="clear"/>
          </w:tcPr>
          <w:p>
            <w:r>
              <w:rPr>
                <w:b/>
                <w:sz w:val="17"/>
              </w:rPr>
              <w:t>28,702</w:t>
            </w:r>
          </w:p>
        </w:tc>
        <w:tc>
          <w:tcPr>
            <w:tcW w:type="dxa" w:w="1440"/>
            <w:shd w:fill="FFDCE0" w:val="clear"/>
          </w:tcPr>
          <w:p>
            <w:r>
              <w:rPr>
                <w:sz w:val="17"/>
              </w:rPr>
              <w:t>33,310</w:t>
            </w:r>
          </w:p>
        </w:tc>
        <w:tc>
          <w:tcPr>
            <w:tcW w:type="dxa" w:w="1440"/>
            <w:shd w:fill="FFDCE0" w:val="clear"/>
          </w:tcPr>
          <w:p>
            <w:r>
              <w:rPr>
                <w:b/>
                <w:color w:val="C00000"/>
                <w:sz w:val="17"/>
              </w:rPr>
              <w:t>-7.4%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RAPPORT D'ANALYSE FINANCIÈRE — CORIS BANK INTERNATIONAL (CBIBF)</w:t>
        <w:br/>
        <w:t>### 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Coris Bank International affiche une capitalisation boursière de **992,00 Mds FCFA**, un niveau qui la place parmi les valeurs bancaires les plus capitalisées de la cote BRVM, témoignant de la confiance du marché envers le groupe. Le **BPA de 2 047 FCFA/action** traduit une capacité bénéficiaire solide, chaque titre générant plus de 2 000 FCFA de bénéfice net. Le **PER de 15,1x** se situe au-dessus de la moyenne BRVM (généralement 8-12x), signalant que les investisseurs acceptent de payer une prime pour la croissance et la qualité des résultats de la banque — une valorisation « modérée » mais non excessive au regard de la dynamique bénéficiaire (+36,6% en 2025). L'**EV/EBITDA de 11,2x**, dans la fourchette 10-15x, confirme une valorisation élevée de la capacité opérationnelle, cohérente avec la prime de croissance accordée au titre. Le ratio P/B n'est pas fourni dans les données disponibles, ce qui limite l'appréciation de la valorisation par rapport aux fonds propres comptables.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progression spectaculaire de **+43,78%**, avec une dernière séance encore positive de **+1,62%**, portant le cours à **31 000 FCFA**. Le range de trading est particulièrement large, oscillant entre un plus bas de **20 900 FCFA** et un plus haut de **34 450 FCFA**, soit un spread de plus de 64% qui illustre une phase de forte revalorisation. La tendance générale est clairement **haussière**, portée par l'amélioration des fondamentaux (résultat net 2025 en hausse de 36,6%) et la forte collecte de dépôts. Les statistiques descriptives révèlent une moyenne de **27 966 FCFA** légèrement inférieure à la médiane de **28 700 FCFA**, suggérant une distribution faiblement asymétrique à gauche, cohérente avec le **skewness de -0,360** qualifié de « symétrique » (léger étirement vers les valeurs basses). L'**écart-type de 4 018 FCFA (CV=14,4%)** indique une dispersion modérée autour de la moyenne, tandis que le **kurtosis de -1,031** (distribution platykurtique, aplatie) traduit une faible concentration des rendements et un risque de pics extrêmes limité — un profil plutôt rassurant pour la gestion du risque. La **volatilité annualisée de 44,4%** classe toutefois le titre dans la catégorie des valeurs **très volatiles** (&gt;30%), ce qui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(30 851,5 FCFA) et la MM50 (31 045,7 FCFA) se situent toutes deux au-dessus du cours actuel (31 000 FCFA), avec une MM50 légèrement supérieure à la MM20 — configuration baissière de court terme. Le cours évoluant sous ses moyennes, la décision technique est **Vente**, signalant une perte de momentum après le rallye.</w:t>
      </w:r>
    </w:p>
    <w:p>
      <w:pPr>
        <w:spacing w:after="120" w:line="276" w:lineRule="auto"/>
      </w:pPr>
      <w:r>
        <w:t>**Bandes de Bollinger** : Le cours (31 000 FCFA) se situe dans la partie médiane de la bande, entre la borne inférieure (29 018,5 FCFA) et supérieure (32 684,5 FCFA), sans test des extrêmes. Cette position centrale, avec un écartement modéré des bandes, traduit une volatilité en normalisation et justifie la décision **Neutre**, sans signal directionnel fort.</w:t>
      </w:r>
    </w:p>
    <w:p>
      <w:pPr>
        <w:spacing w:after="120" w:line="276" w:lineRule="auto"/>
      </w:pPr>
      <w:r>
        <w:t>**MACD** : La valeur du MACD (-193,276) est inférieure à sa ligne de signal (-161,405), confirmant une divergence baissière et un momentum négatif persistant. La décision est **Vente**, bien que l'amplitude reste contenue, suggérant une correction plutôt qu'un retournement majeur.</w:t>
      </w:r>
    </w:p>
    <w:p>
      <w:pPr>
        <w:spacing w:after="120" w:line="276" w:lineRule="auto"/>
      </w:pPr>
      <w:r>
        <w:t>**RSI** : À **41,131**, le RSI se situe en zone neutre (30-70), sans atteindre la zone de survente (&lt;30). La décision est **Neutre** : le titre n'est ni survendu ni suracheté, laissant place à une consolidation sans pression extrême.</w:t>
      </w:r>
    </w:p>
    <w:p>
      <w:pPr>
        <w:spacing w:after="120" w:line="276" w:lineRule="auto"/>
      </w:pPr>
      <w:r>
        <w:t>**Stochastique** : Le %K (66,667) est supérieur au %D (49,063), avec un croisement haussier récent en zone médiane. Cette configuration suggère un rebond de court terme, mais la décision reste **Neutre** car les niveaux ne sont pas extrêmes.</w:t>
      </w:r>
    </w:p>
    <w:p>
      <w:pPr>
        <w:spacing w:after="120" w:line="276" w:lineRule="auto"/>
      </w:pPr>
      <w:r>
        <w:t>**Conclusion technique** : Les indicateurs présentent une **divergence** — les moyennes mobiles et le MACD sont baissiers (Vente), tandis que le RSI, les Bollinger et le stochastique sont neutres, et le stochastique esquisse un rebond. Le titre sort d'un rallye de +43,78% et entre en phase de consolidation ; le signal dominant est **neutre à légèrement baissier** à court terme, sans rupture de tendance de fond.</w:t>
      </w:r>
    </w:p>
    <w:p>
      <w:pPr>
        <w:spacing w:after="120" w:line="276" w:lineRule="auto"/>
      </w:pPr>
      <w:r>
        <w:t>---</w:t>
      </w:r>
    </w:p>
    <w:p>
      <w:pPr>
        <w:spacing w:after="120" w:line="276" w:lineRule="auto"/>
      </w:pPr>
      <w:r>
        <w:t>## PARTIE 3 : ANALYSE FONDAMENTALE</w:t>
      </w:r>
    </w:p>
    <w:p>
      <w:pPr>
        <w:spacing w:after="120" w:line="276" w:lineRule="auto"/>
      </w:pPr>
      <w:r>
        <w:t>**En 2025**, Coris Bank International a réalisé un **Produit Net Bancaire (PNB) de 138,986 Mds FCFA** (+6,1% sur un an), équivalent du chiffre d'affaires pour une banque, pour un **résultat net de 65,495 Mds FCFA** en forte progression de **+36,6%** par rapport aux 47,937 Mds FCFA de 2024 (rapport annuel 2025, publié 2026). La rentabilité est remarquable : **marge nette de 47,12%**, **ROA de 2,18%** et **coefficient d'exploitation de 36,39%** — très en dessous du seuil de 60%, ce qui classe la banque parmi les établissements les plus efficaces du secteur. Le **coût du risque s'est amélioré de 59,3%** (à 16,5 Mds FCFA), traduisant l'assainissement réussi du portefeuille après l'exercice 2024 difficile (résultat net alors en baisse de 25,4% à cause d'une explosion des provisions). La structure bilancielle est solide : **total actif de 2 997,8 Mds FCFA**, **dépôts clientèle de 2 015,3 Mds FCFA** (+14,9%) et **créances clientèle de 1 327,0 Mds FCFA** (+5,4%), soit un ratio dépôts/crédits de 152% — une surliquidité confortable mais révélant une transformation crédit encore prudente. Les **rapports trimestriels 2026** confirment l'accélération : au **T1 2026** (rapport publié en 2026), le PNB bondit de **+28,5% à 36,8 Mds FCFA** et le résultat net de **+22,2% à 21,5 Mds FCFA**, avec des dépôts en hausse spectaculaire de **+37,9% à 2 365,1 Mds FCFA**. Sur cette base, **on estime** que l'exercice 2026 devrait dépasser largement 2025, avec un résultat net annualisé potentiellement supérieur à 80 Mds FCFA si la dynamique se maintient. La notation financière **AA/AI avec perspective stable** (Bloomfield) et le renforcement de la gouvernance (administrateurs indépendants) confortent la solidité. **Recommandation fondamentale : solide, avec des risques résiduels liés à l'environnement sécuritaire burkinabè et à la concentration géographique.**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mais globalement favorable**. Sur le plan de la **valorisation (Partie 0)**, le PER de 15,1x et l'EV/EBITDA de 11,2x indiquent une légère surévaluation relative à la moyenne BRVM, mais justifiée par la prime de croissance et d'efficacité. Le **comportement du cours (Partie 1)** montre une tendance haussière puissante (+43,78%) mais une volatilité élevée (44,4%) et une distribution platykurtique sans pics extrêmes — un profil de consolidation après rallye. Les **signaux techniques (Partie 2)** sont mitigés : moyennes mobiles et MACD baissiers, RSI et Bollinger neutres, stochastique en rebond — convergence vers une **phase de respiration** plutôt qu'un retournement. Les **fondamentaux (Partie 3)** sont excellents : résultat net 2025 en hausse de 36,6%, coefficient d'exploitation de 36,4%, T1 2026 en accélération (+22,2% de résultat net), et une surliquidité rassurante. Les **prédictions IA (J+1 à J+10)** anticipent une légère dérive baissière de 30 133 à 29 169 FCFA, cohérente avec la consolidation technique attendue, sans effondrement. **Recommandation finale : CONSERVER** (avec biais acheteur sur repli). La convergence entre fondamentaux solides et technique en consolidation plaide pour une **prise de position progressive** plutôt qu'un achat au prix actuel. **Niveau de confiance : Moyen** (fondamentaux élevés mais technique incertaine). **Niveau de risque : Moyen à Élevé** (volatilité de 44,4% et risque pays). **Horizon optimal : moyen à long terme (6-18 mois)**, le temps que la consolidation s'achève et que la croissance 2026 se matérialise dans les publications.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3,578 titres</w:t>
            </w:r>
          </w:p>
        </w:tc>
        <w:tc>
          <w:tcPr>
            <w:tcW w:type="dxa" w:w="2268"/>
            <w:shd w:fill="FFF2CC" w:val="clear"/>
          </w:tcPr>
          <w:p>
            <w:r>
              <w:rPr>
                <w:b/>
                <w:color w:val="503200"/>
                <w:sz w:val="16"/>
              </w:rPr>
              <w:t xml:space="preserve">Cours actuel : </w:t>
            </w:r>
            <w:r>
              <w:rPr>
                <w:color w:val="000000"/>
                <w:sz w:val="17"/>
              </w:rPr>
              <w:t>1,450 FCFA</w:t>
            </w:r>
          </w:p>
          <w:p>
            <w:r>
              <w:rPr>
                <w:b/>
                <w:color w:val="503200"/>
                <w:sz w:val="16"/>
              </w:rPr>
              <w:t xml:space="preserve">Var. 100 jours : </w:t>
            </w:r>
            <w:r>
              <w:rPr>
                <w:b/>
                <w:color w:val="B40000"/>
                <w:sz w:val="17"/>
              </w:rPr>
              <w:t>-3.97%</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47.8%</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19.0/100 → Faible</w:t>
      </w:r>
    </w:p>
    <w:p>
      <w:pPr>
        <w:spacing w:before="40" w:after="80"/>
      </w:pPr>
      <w:r>
        <w:rPr>
          <w:rFonts w:ascii="Courier New" w:hAnsi="Courier New"/>
          <w:color w:val="006400"/>
          <w:sz w:val="18"/>
        </w:rPr>
        <w:t>███░░░░░░░░░░░░░░░░░  19.0/100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6.01% (Moyenne) — μ=1,632 FCFA, σ=98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β=1.0534 (Neutre (suit le marché)) — Cov=0.000082, Var(idx)=0.000078, ρ=0.306,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48/100  (Moyen)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1,383</w:t>
            </w:r>
          </w:p>
        </w:tc>
        <w:tc>
          <w:tcPr>
            <w:tcW w:type="dxa" w:w="1440"/>
            <w:shd w:fill="FAFAFA" w:val="clear"/>
          </w:tcPr>
          <w:p>
            <w:r>
              <w:rPr>
                <w:b/>
                <w:sz w:val="17"/>
              </w:rPr>
              <w:t>1,454</w:t>
            </w:r>
          </w:p>
        </w:tc>
        <w:tc>
          <w:tcPr>
            <w:tcW w:type="dxa" w:w="1440"/>
            <w:shd w:fill="FAFAFA" w:val="clear"/>
          </w:tcPr>
          <w:p>
            <w:r>
              <w:rPr>
                <w:sz w:val="17"/>
              </w:rPr>
              <w:t>1,525</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1,362</w:t>
            </w:r>
          </w:p>
        </w:tc>
        <w:tc>
          <w:tcPr>
            <w:tcW w:type="dxa" w:w="1440"/>
            <w:shd w:fill="FAFAFA" w:val="clear"/>
          </w:tcPr>
          <w:p>
            <w:r>
              <w:rPr>
                <w:b/>
                <w:sz w:val="17"/>
              </w:rPr>
              <w:t>1,463</w:t>
            </w:r>
          </w:p>
        </w:tc>
        <w:tc>
          <w:tcPr>
            <w:tcW w:type="dxa" w:w="1440"/>
            <w:shd w:fill="FAFAFA" w:val="clear"/>
          </w:tcPr>
          <w:p>
            <w:r>
              <w:rPr>
                <w:sz w:val="17"/>
              </w:rPr>
              <w:t>1,564</w:t>
            </w:r>
          </w:p>
        </w:tc>
        <w:tc>
          <w:tcPr>
            <w:tcW w:type="dxa" w:w="1440"/>
            <w:shd w:fill="FAFAFA" w:val="clear"/>
          </w:tcPr>
          <w:p>
            <w:r>
              <w:rPr>
                <w:b/>
                <w:color w:val="008000"/>
                <w:sz w:val="17"/>
              </w:rPr>
              <w:t>+0.9%</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1,347</w:t>
            </w:r>
          </w:p>
        </w:tc>
        <w:tc>
          <w:tcPr>
            <w:tcW w:type="dxa" w:w="1440"/>
            <w:shd w:fill="FAFAFA" w:val="clear"/>
          </w:tcPr>
          <w:p>
            <w:r>
              <w:rPr>
                <w:b/>
                <w:sz w:val="17"/>
              </w:rPr>
              <w:t>1,471</w:t>
            </w:r>
          </w:p>
        </w:tc>
        <w:tc>
          <w:tcPr>
            <w:tcW w:type="dxa" w:w="1440"/>
            <w:shd w:fill="FAFAFA" w:val="clear"/>
          </w:tcPr>
          <w:p>
            <w:r>
              <w:rPr>
                <w:sz w:val="17"/>
              </w:rPr>
              <w:t>1,596</w:t>
            </w:r>
          </w:p>
        </w:tc>
        <w:tc>
          <w:tcPr>
            <w:tcW w:type="dxa" w:w="1440"/>
            <w:shd w:fill="FAFAFA" w:val="clear"/>
          </w:tcPr>
          <w:p>
            <w:r>
              <w:rPr>
                <w:b/>
                <w:color w:val="008000"/>
                <w:sz w:val="17"/>
              </w:rPr>
              <w:t>+1.5%</w:t>
            </w:r>
          </w:p>
        </w:tc>
      </w:tr>
      <w:tr>
        <w:tc>
          <w:tcPr>
            <w:tcW w:type="dxa" w:w="1440"/>
            <w:shd w:fill="C6EFCE" w:val="clear"/>
          </w:tcPr>
          <w:p>
            <w:r>
              <w:rPr>
                <w:sz w:val="17"/>
              </w:rPr>
              <w:t>J+4  ⭐</w:t>
            </w:r>
          </w:p>
        </w:tc>
        <w:tc>
          <w:tcPr>
            <w:tcW w:type="dxa" w:w="1440"/>
            <w:shd w:fill="C6EFCE" w:val="clear"/>
          </w:tcPr>
          <w:p>
            <w:r>
              <w:rPr>
                <w:sz w:val="17"/>
              </w:rPr>
              <w:t>2026-10-26</w:t>
            </w:r>
          </w:p>
        </w:tc>
        <w:tc>
          <w:tcPr>
            <w:tcW w:type="dxa" w:w="1440"/>
            <w:shd w:fill="C6EFCE" w:val="clear"/>
          </w:tcPr>
          <w:p>
            <w:r>
              <w:rPr>
                <w:sz w:val="17"/>
              </w:rPr>
              <w:t>1,335</w:t>
            </w:r>
          </w:p>
        </w:tc>
        <w:tc>
          <w:tcPr>
            <w:tcW w:type="dxa" w:w="1440"/>
            <w:shd w:fill="C6EFCE" w:val="clear"/>
          </w:tcPr>
          <w:p>
            <w:r>
              <w:rPr>
                <w:b/>
                <w:sz w:val="17"/>
              </w:rPr>
              <w:t>1,479</w:t>
            </w:r>
          </w:p>
        </w:tc>
        <w:tc>
          <w:tcPr>
            <w:tcW w:type="dxa" w:w="1440"/>
            <w:shd w:fill="C6EFCE" w:val="clear"/>
          </w:tcPr>
          <w:p>
            <w:r>
              <w:rPr>
                <w:sz w:val="17"/>
              </w:rPr>
              <w:t>1,624</w:t>
            </w:r>
          </w:p>
        </w:tc>
        <w:tc>
          <w:tcPr>
            <w:tcW w:type="dxa" w:w="1440"/>
            <w:shd w:fill="C6EFCE"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2026-10-27</w:t>
            </w:r>
          </w:p>
        </w:tc>
        <w:tc>
          <w:tcPr>
            <w:tcW w:type="dxa" w:w="1440"/>
            <w:shd w:fill="C6EFCE" w:val="clear"/>
          </w:tcPr>
          <w:p>
            <w:r>
              <w:rPr>
                <w:sz w:val="17"/>
              </w:rPr>
              <w:t>1,325</w:t>
            </w:r>
          </w:p>
        </w:tc>
        <w:tc>
          <w:tcPr>
            <w:tcW w:type="dxa" w:w="1440"/>
            <w:shd w:fill="C6EFCE" w:val="clear"/>
          </w:tcPr>
          <w:p>
            <w:r>
              <w:rPr>
                <w:b/>
                <w:sz w:val="17"/>
              </w:rPr>
              <w:t>1,487</w:t>
            </w:r>
          </w:p>
        </w:tc>
        <w:tc>
          <w:tcPr>
            <w:tcW w:type="dxa" w:w="1440"/>
            <w:shd w:fill="C6EFCE" w:val="clear"/>
          </w:tcPr>
          <w:p>
            <w:r>
              <w:rPr>
                <w:sz w:val="17"/>
              </w:rPr>
              <w:t>1,649</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1,316</w:t>
            </w:r>
          </w:p>
        </w:tc>
        <w:tc>
          <w:tcPr>
            <w:tcW w:type="dxa" w:w="1440"/>
            <w:shd w:fill="C6EFCE" w:val="clear"/>
          </w:tcPr>
          <w:p>
            <w:r>
              <w:rPr>
                <w:b/>
                <w:sz w:val="17"/>
              </w:rPr>
              <w:t>1,494</w:t>
            </w:r>
          </w:p>
        </w:tc>
        <w:tc>
          <w:tcPr>
            <w:tcW w:type="dxa" w:w="1440"/>
            <w:shd w:fill="C6EFCE" w:val="clear"/>
          </w:tcPr>
          <w:p>
            <w:r>
              <w:rPr>
                <w:sz w:val="17"/>
              </w:rPr>
              <w:t>1,673</w:t>
            </w:r>
          </w:p>
        </w:tc>
        <w:tc>
          <w:tcPr>
            <w:tcW w:type="dxa" w:w="1440"/>
            <w:shd w:fill="C6EFCE" w:val="clear"/>
          </w:tcPr>
          <w:p>
            <w:r>
              <w:rPr>
                <w:b/>
                <w:color w:val="008000"/>
                <w:sz w:val="17"/>
              </w:rPr>
              <w:t>+3.1%</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1,308</w:t>
            </w:r>
          </w:p>
        </w:tc>
        <w:tc>
          <w:tcPr>
            <w:tcW w:type="dxa" w:w="1440"/>
            <w:shd w:fill="C6EFCE" w:val="clear"/>
          </w:tcPr>
          <w:p>
            <w:r>
              <w:rPr>
                <w:b/>
                <w:sz w:val="17"/>
              </w:rPr>
              <w:t>1,502</w:t>
            </w:r>
          </w:p>
        </w:tc>
        <w:tc>
          <w:tcPr>
            <w:tcW w:type="dxa" w:w="1440"/>
            <w:shd w:fill="C6EFCE" w:val="clear"/>
          </w:tcPr>
          <w:p>
            <w:r>
              <w:rPr>
                <w:sz w:val="17"/>
              </w:rPr>
              <w:t>1,696</w:t>
            </w:r>
          </w:p>
        </w:tc>
        <w:tc>
          <w:tcPr>
            <w:tcW w:type="dxa" w:w="1440"/>
            <w:shd w:fill="C6EFCE" w:val="clear"/>
          </w:tcPr>
          <w:p>
            <w:r>
              <w:rPr>
                <w:b/>
                <w:color w:val="008000"/>
                <w:sz w:val="17"/>
              </w:rPr>
              <w:t>+3.6%</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1,300</w:t>
            </w:r>
          </w:p>
        </w:tc>
        <w:tc>
          <w:tcPr>
            <w:tcW w:type="dxa" w:w="1440"/>
            <w:shd w:fill="C6EFCE" w:val="clear"/>
          </w:tcPr>
          <w:p>
            <w:r>
              <w:rPr>
                <w:b/>
                <w:sz w:val="17"/>
              </w:rPr>
              <w:t>1,508</w:t>
            </w:r>
          </w:p>
        </w:tc>
        <w:tc>
          <w:tcPr>
            <w:tcW w:type="dxa" w:w="1440"/>
            <w:shd w:fill="C6EFCE" w:val="clear"/>
          </w:tcPr>
          <w:p>
            <w:r>
              <w:rPr>
                <w:sz w:val="17"/>
              </w:rPr>
              <w:t>1,717</w:t>
            </w:r>
          </w:p>
        </w:tc>
        <w:tc>
          <w:tcPr>
            <w:tcW w:type="dxa" w:w="1440"/>
            <w:shd w:fill="C6EFCE" w:val="clear"/>
          </w:tcPr>
          <w:p>
            <w:r>
              <w:rPr>
                <w:b/>
                <w:color w:val="008000"/>
                <w:sz w:val="17"/>
              </w:rPr>
              <w:t>+4.0%</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1,293</w:t>
            </w:r>
          </w:p>
        </w:tc>
        <w:tc>
          <w:tcPr>
            <w:tcW w:type="dxa" w:w="1440"/>
            <w:shd w:fill="C6EFCE" w:val="clear"/>
          </w:tcPr>
          <w:p>
            <w:r>
              <w:rPr>
                <w:b/>
                <w:sz w:val="17"/>
              </w:rPr>
              <w:t>1,515</w:t>
            </w:r>
          </w:p>
        </w:tc>
        <w:tc>
          <w:tcPr>
            <w:tcW w:type="dxa" w:w="1440"/>
            <w:shd w:fill="C6EFCE" w:val="clear"/>
          </w:tcPr>
          <w:p>
            <w:r>
              <w:rPr>
                <w:sz w:val="17"/>
              </w:rPr>
              <w:t>1,737</w:t>
            </w:r>
          </w:p>
        </w:tc>
        <w:tc>
          <w:tcPr>
            <w:tcW w:type="dxa" w:w="1440"/>
            <w:shd w:fill="C6EFCE" w:val="clear"/>
          </w:tcPr>
          <w:p>
            <w:r>
              <w:rPr>
                <w:b/>
                <w:color w:val="008000"/>
                <w:sz w:val="17"/>
              </w:rPr>
              <w:t>+4.5%</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1,286</w:t>
            </w:r>
          </w:p>
        </w:tc>
        <w:tc>
          <w:tcPr>
            <w:tcW w:type="dxa" w:w="1440"/>
            <w:shd w:fill="C6EFCE" w:val="clear"/>
          </w:tcPr>
          <w:p>
            <w:r>
              <w:rPr>
                <w:b/>
                <w:sz w:val="17"/>
              </w:rPr>
              <w:t>1,521</w:t>
            </w:r>
          </w:p>
        </w:tc>
        <w:tc>
          <w:tcPr>
            <w:tcW w:type="dxa" w:w="1440"/>
            <w:shd w:fill="C6EFCE" w:val="clear"/>
          </w:tcPr>
          <w:p>
            <w:r>
              <w:rPr>
                <w:sz w:val="17"/>
              </w:rPr>
              <w:t>1,756</w:t>
            </w:r>
          </w:p>
        </w:tc>
        <w:tc>
          <w:tcPr>
            <w:tcW w:type="dxa" w:w="1440"/>
            <w:shd w:fill="C6EFCE" w:val="clear"/>
          </w:tcPr>
          <w:p>
            <w:r>
              <w:rPr>
                <w:b/>
                <w:color w:val="008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262,99 milliards FCFA, CFAC figure parmi les valeurs les plus importantes de la cote BRVM, ce qui témoigne de son statut de leader du secteur automobile ivoirien. Le BPA s'établit à 26 FCFA/action pour l'exercice 2024, un niveau modeste qui traduit la compression des marges de l'entreprise. Le PER de 56,0x constitue un signal d'alerte majeur : les investisseurs paient plus de 56 fois les bénéfices, soit un multiple très supérieur à la moyenne BRVM (8-12x), ce qui intègre déjà une forte anticipation de redressement. Le P/B de 13,52x (largement au-dessus du seuil de 4x) indique que le marché valorise l'action à une prime considérable sur sa valeur comptable, tandis que l'EV/EBITDA de 28,6x (contre un seuil d'alerte de 15x) confirme que la valeur d'entreprise rapportée à la capacité opérationnelle est très exigeante. L'ensemble de ces ratios dessine une valorisation tendue qui ne laisse aucune marge d'erreur à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affiche une variation totale de -3,97%, terminant à 1 450 FCFA après un rebond de +1,40% lors de la dernière séance. Le range de trading s'étend de 1 350 FCFA (plus bas) à 1 825 FCFA (plus haut), soit une amplitude de 475 FCFA qui traduit une réelle nervosité du marché. La tendance générale est baissière, le cours actuel (1 450 FCFA) se situant nettement sous la moyenne de la période (1 632 FCFA). Les statistiques descriptives révèlent une distribution légèrement asymétrique à gauche : la moyenne (1 632 FCFA) est inférieure à la médiane (1 642 FCFA), et le skewness de -0,440 confirme cette asymétrie négative, signe que les baisses ont été plus prononcées que les hausses. L'écart-type de 99 FCFA avec un coefficient de variation de 6,0% indique une dispersion modérée autour de la moyenne, tandis que le kurtosis de -0,407 (mésokurtique) suggère un comportement proche d'une distribution normale, sans pics extrêmes marqués. La volatilité annualisée de 47,8% classe le titre dans la catégorie des valeurs à volatilité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(1 500,0 FCFA) et la MM50 (1 617,3 FCFA) se situent toutes deux au-dessus du cours actuel (1 450 FCFA), avec une MM20 inférieure à la MM50 — configuration baissière caractéristique. Le cours évoluant sous ses deux moyennes, la pression vendeuse domine clairement, justifiant la décision technique de **Vente**.</w:t>
      </w:r>
    </w:p>
    <w:p>
      <w:pPr>
        <w:spacing w:after="120" w:line="276" w:lineRule="auto"/>
      </w:pPr>
      <w:r>
        <w:t>**Bandes de Bollinger** : Le cours (1 450 FCFA) se situe dans la moitié inférieure de la bande, entre la borne inférieure (1 363,695 FCFA) et la borne supérieure (1 636,305 FCFA), sans contact avec les extrêmes. Cette position centrale traduit une absence de signal directionnel fort, d'où la décision **Neutre** ; l'amplitude de la bande (272,6 FCFA) confirme une volatilité encore présente mais en voie de normalisation.</w:t>
      </w:r>
    </w:p>
    <w:p>
      <w:pPr>
        <w:spacing w:after="120" w:line="276" w:lineRule="auto"/>
      </w:pPr>
      <w:r>
        <w:t>**MACD** : La valeur du MACD (-57,537) est inférieure à sa ligne de signal (-54,47), et les deux restent en territoire négatif. Cette configuration signale un momentum baissier persistant, bien que l'écart réduit entre les deux lignes suggère un essoufflement progressif de la dynamique négative ; la décision reste néanmoins **Vente**.</w:t>
      </w:r>
    </w:p>
    <w:p>
      <w:pPr>
        <w:spacing w:after="120" w:line="276" w:lineRule="auto"/>
      </w:pPr>
      <w:r>
        <w:t>**RSI** : À 36,607, le RSI se situe dans la zone neutre basse (30-70), sans atteindre le seuil de survente (30). Le titre n'est donc ni survendu ni suracheté, ce qui laisse une marge de baisse résiduelle mais limite le potentiel de rebond technique immédiat ; décision **Neutre**.</w:t>
      </w:r>
    </w:p>
    <w:p>
      <w:pPr>
        <w:spacing w:after="120" w:line="276" w:lineRule="auto"/>
      </w:pPr>
      <w:r>
        <w:t>**Stochastique** : Le %K (51,282) est supérieur au %D (40,339), avec un croisement haussier en zone médiane. Ce signal positif naissant contraste avec la tendance de fond baissière, suggérant une possible tentative de stabilisation à court terme ; la décision reste toutefois **Neutre** faute de confirmation.</w:t>
      </w:r>
    </w:p>
    <w:p>
      <w:pPr>
        <w:spacing w:after="120" w:line="276" w:lineRule="auto"/>
      </w:pPr>
      <w:r>
        <w:t>**Conclusion technique** : Les indicateurs convergent majoritairement vers une posture défensive — deux décisions de Vente (MM, MACD) contre trois Neutres (Bollinger, RSI, Stochastique). Le cours sous ses moyennes mobiles et un MACD négatif pèsent sur la tendance, tandis que le RSI non survendu et le croisement stochastique haussier laissent entrevoir un potentiel de rebond technique limité. La configuration globale plaide pour une **prudence**, sans signal d'achat confirmé à ce stade.</w:t>
      </w:r>
    </w:p>
    <w:p>
      <w:pPr>
        <w:spacing w:after="120" w:line="276" w:lineRule="auto"/>
      </w:pPr>
      <w:r>
        <w:t>---</w:t>
      </w:r>
    </w:p>
    <w:p>
      <w:pPr>
        <w:spacing w:after="120" w:line="276" w:lineRule="auto"/>
      </w:pPr>
      <w:r>
        <w:t>## PARTIE 3 : ANALYSE FONDAMENTALE (SECTION CRITIQUE)</w:t>
      </w:r>
    </w:p>
    <w:p>
      <w:pPr>
        <w:spacing w:after="120" w:line="276" w:lineRule="auto"/>
      </w:pPr>
      <w:r>
        <w:t>Les états financiers de l'exercice 2024 (rapport « ETATS FINANCIERS 2024 » daté du 31/12/2024) établissent un chiffre d'affaires de 158,313 milliards FCFA, en recul de -12,1% par rapport aux 180,162 milliards de 2023, et un résultat net de 4,693 milliards FCFA (-26,7%). La rentabilité reste néanmoins solide sur les fonds propres avec un ROE de 24,13% (nettement supérieur au seuil de 15%) et un ROA de 5,52%, tandis que la marge nette se compresse à 2,96% et la marge opérationnelle à 4,96%. Sur le plan de la structure financière, l'autonomie financière de 22,88% reste inférieure au seuil de 30%, la liquidité générale de 93,63% frôle l'unité (seuil de 1), et la trésorerie nette est négative à -624,20 millions FCFA — un point de vigilance confirmé par le Free Cash Flow négatif (-1,650 milliard FCFA) dû à des investissements lourds (-8,741 milliards FCFA). Les délais d'exploitation révèlent un risque de trésorerie : délai clients de 36,64 jours, durée de stockage élevée de 88,35 jours, mais un délai fournisseurs favorable de 81,75 jours ; le BFR négatif (-3,482 milliards FCFA) constitue toutefois un élément positif. Les rapports trimestriels récents (T1 2025 daté du 31/03/2025, S1 2025 du 30/06/2025, T3 2025 du 30/09/2025) montrent un **redressement spectaculaire** : CA T1 +14,5% à 46,161 milliards, résultat net T1 +279,7% à 3,836 milliards (marge nette 8,3%) ; S1 CA +18,4% à 91,182 milliards, résultat net +152,7% à 5,420 milliards (marge nette 5,9%) ; T3 CA +18,3% à 43,580 milliards, résultat net +38,1% à 1,489 milliard. Sur cette base, on peut **estimer** que l'exercice 2025 devrait renouer avec une croissance à deux chiffres du CA (probablement autour de 175-180 milliards FCFA) et un résultat net en forte progression, potentiellement supérieur à 9-10 milliards FCFA, ce qui ramènerait le PER vers des niveaux plus raisonnables (25-30x). La recommandation fondamentale est donc **positive à moyen terme** : la solidité du leadership (part de marché de 41,7% au T3 2025), le redressement des marges et la dynamique commerciale compensent les risques liés à la trésorerie tendue, à l'endettement et à la cyclicité du marché automobile.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(Partie 0)** : les ratios PER (56,0x), P/B (13,52x) et EV/EBITDA (28,6x) traduisent une surévaluation manifeste sur la base des bénéfices 2024, bien que cette prime intègre le redressement attendu de 2025. **Comportement du cours (Partie 1)** : la tendance baissière (-3,97% sur 100 jours), la volatilité élevée (47,8%) et le skewness négatif (-0,440) sont préoccupants, même si le kurtosis mésokurtique (-0,407) écarte le risque de pics extrêmes. **Signaux techniques (Partie 2)** : la convergence est défensive (MM et MACD en Vente, RSI et Bollinger Neutres), avec un timide croisement haussier du stochastique qui ne suffit pas à inverser la tendance. **Fondamentaux (Partie 3)** : le redressement trimestriel 2025 est spectaculaire (résultat net S1 +152,7%, T3 +38,1%) et le leadership marché se renforce, mais la trésorerie nette négative et le FCF négatif imposent la vigilance. **Prédictions IA (J+1 à J+10)** : la trajectoire projetée (1 454 → 1 487 FCFA, soit +2,5% sur 5 séances) est légèrement haussière et **contredit partiellement** les signaux techniques baissiers, suggérant une stabilisation voire un rebond de court terme.</w:t>
      </w:r>
    </w:p>
    <w:p>
      <w:pPr>
        <w:spacing w:after="120" w:line="276" w:lineRule="auto"/>
      </w:pPr>
      <w:r>
        <w:t>**Recommandation finale : CONSERVER** — avec un biais positif à moyen terme. La convergence est partielle : la valorisation exigeante et les signaux techniques baissiers plaident pour la prudence à court terme, mais les fondamentaux en net redressement (rapports T1/S1/T3 2025) et les prédictions IA légèrement haussières soutiennent le potentiel de l'action. **Niveau de confiance : Moyen** (les données 2025 sont des estimations basées sur les trimestriels, et la volatilité élevée accroît l'incertitude). **Niveau de risque global : Élevé** (volatilité de 47,8%, PER tendu, trésorerie négative). **Horizon d'investissement optimal : moyen terme (3-12 mois)**, le temps que les résultats annuels 2025 confirment le redressement et que la valorisation se normalise ; un investisseur averse au risque attendra une confirmation du retournement technique avant tout renforcement.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291.20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6,300 titres</w:t>
            </w:r>
          </w:p>
        </w:tc>
        <w:tc>
          <w:tcPr>
            <w:tcW w:type="dxa" w:w="2268"/>
            <w:shd w:fill="FFF2CC" w:val="clear"/>
          </w:tcPr>
          <w:p>
            <w:r>
              <w:rPr>
                <w:b/>
                <w:color w:val="503200"/>
                <w:sz w:val="16"/>
              </w:rPr>
              <w:t xml:space="preserve">Cours actuel : </w:t>
            </w:r>
            <w:r>
              <w:rPr>
                <w:color w:val="000000"/>
                <w:sz w:val="17"/>
              </w:rPr>
              <w:t>5,200 FCFA</w:t>
            </w:r>
          </w:p>
          <w:p>
            <w:r>
              <w:rPr>
                <w:b/>
                <w:color w:val="503200"/>
                <w:sz w:val="16"/>
              </w:rPr>
              <w:t xml:space="preserve">Var. 100 jours : </w:t>
            </w:r>
            <w:r>
              <w:rPr>
                <w:b/>
                <w:color w:val="007800"/>
                <w:sz w:val="17"/>
              </w:rPr>
              <w:t>+25.30%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4,150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13.68% (Moyenne) — μ=5,747 FCFA, σ=786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β=0.7800 (Défensif) — Cov=0.000061, Var(idx)=0.000078, ρ=0.225,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2026-10-21</w:t>
            </w:r>
          </w:p>
        </w:tc>
        <w:tc>
          <w:tcPr>
            <w:tcW w:type="dxa" w:w="1440"/>
            <w:shd w:fill="C6EFCE" w:val="clear"/>
          </w:tcPr>
          <w:p>
            <w:r>
              <w:rPr>
                <w:sz w:val="17"/>
              </w:rPr>
              <w:t>5,198</w:t>
            </w:r>
          </w:p>
        </w:tc>
        <w:tc>
          <w:tcPr>
            <w:tcW w:type="dxa" w:w="1440"/>
            <w:shd w:fill="C6EFCE" w:val="clear"/>
          </w:tcPr>
          <w:p>
            <w:r>
              <w:rPr>
                <w:b/>
                <w:sz w:val="17"/>
              </w:rPr>
              <w:t>5,440</w:t>
            </w:r>
          </w:p>
        </w:tc>
        <w:tc>
          <w:tcPr>
            <w:tcW w:type="dxa" w:w="1440"/>
            <w:shd w:fill="C6EFCE" w:val="clear"/>
          </w:tcPr>
          <w:p>
            <w:r>
              <w:rPr>
                <w:sz w:val="17"/>
              </w:rPr>
              <w:t>5,683</w:t>
            </w:r>
          </w:p>
        </w:tc>
        <w:tc>
          <w:tcPr>
            <w:tcW w:type="dxa" w:w="1440"/>
            <w:shd w:fill="C6EFCE" w:val="clear"/>
          </w:tcPr>
          <w:p>
            <w:r>
              <w:rPr>
                <w:b/>
                <w:color w:val="008000"/>
                <w:sz w:val="17"/>
              </w:rPr>
              <w:t>+4.6%</w:t>
            </w:r>
          </w:p>
        </w:tc>
      </w:tr>
      <w:tr>
        <w:tc>
          <w:tcPr>
            <w:tcW w:type="dxa" w:w="1440"/>
            <w:shd w:fill="C6EFCE" w:val="clear"/>
          </w:tcPr>
          <w:p>
            <w:r>
              <w:rPr>
                <w:sz w:val="17"/>
              </w:rPr>
              <w:t>J+2  Moyenne</w:t>
            </w:r>
          </w:p>
        </w:tc>
        <w:tc>
          <w:tcPr>
            <w:tcW w:type="dxa" w:w="1440"/>
            <w:shd w:fill="C6EFCE" w:val="clear"/>
          </w:tcPr>
          <w:p>
            <w:r>
              <w:rPr>
                <w:sz w:val="17"/>
              </w:rPr>
              <w:t>2026-10-22</w:t>
            </w:r>
          </w:p>
        </w:tc>
        <w:tc>
          <w:tcPr>
            <w:tcW w:type="dxa" w:w="1440"/>
            <w:shd w:fill="C6EFCE" w:val="clear"/>
          </w:tcPr>
          <w:p>
            <w:r>
              <w:rPr>
                <w:sz w:val="17"/>
              </w:rPr>
              <w:t>5,245</w:t>
            </w:r>
          </w:p>
        </w:tc>
        <w:tc>
          <w:tcPr>
            <w:tcW w:type="dxa" w:w="1440"/>
            <w:shd w:fill="C6EFCE" w:val="clear"/>
          </w:tcPr>
          <w:p>
            <w:r>
              <w:rPr>
                <w:b/>
                <w:sz w:val="17"/>
              </w:rPr>
              <w:t>5,598</w:t>
            </w:r>
          </w:p>
        </w:tc>
        <w:tc>
          <w:tcPr>
            <w:tcW w:type="dxa" w:w="1440"/>
            <w:shd w:fill="C6EFCE" w:val="clear"/>
          </w:tcPr>
          <w:p>
            <w:r>
              <w:rPr>
                <w:sz w:val="17"/>
              </w:rPr>
              <w:t>5,951</w:t>
            </w:r>
          </w:p>
        </w:tc>
        <w:tc>
          <w:tcPr>
            <w:tcW w:type="dxa" w:w="1440"/>
            <w:shd w:fill="C6EFCE" w:val="clear"/>
          </w:tcPr>
          <w:p>
            <w:r>
              <w:rPr>
                <w:b/>
                <w:color w:val="008000"/>
                <w:sz w:val="17"/>
              </w:rPr>
              <w:t>+7.7%</w:t>
            </w:r>
          </w:p>
        </w:tc>
      </w:tr>
      <w:tr>
        <w:tc>
          <w:tcPr>
            <w:tcW w:type="dxa" w:w="1440"/>
            <w:shd w:fill="C6EFCE" w:val="clear"/>
          </w:tcPr>
          <w:p>
            <w:r>
              <w:rPr>
                <w:sz w:val="17"/>
              </w:rPr>
              <w:t>J+3  Moyenne</w:t>
            </w:r>
          </w:p>
        </w:tc>
        <w:tc>
          <w:tcPr>
            <w:tcW w:type="dxa" w:w="1440"/>
            <w:shd w:fill="C6EFCE" w:val="clear"/>
          </w:tcPr>
          <w:p>
            <w:r>
              <w:rPr>
                <w:sz w:val="17"/>
              </w:rPr>
              <w:t>2026-10-23</w:t>
            </w:r>
          </w:p>
        </w:tc>
        <w:tc>
          <w:tcPr>
            <w:tcW w:type="dxa" w:w="1440"/>
            <w:shd w:fill="C6EFCE" w:val="clear"/>
          </w:tcPr>
          <w:p>
            <w:r>
              <w:rPr>
                <w:sz w:val="17"/>
              </w:rPr>
              <w:t>5,290</w:t>
            </w:r>
          </w:p>
        </w:tc>
        <w:tc>
          <w:tcPr>
            <w:tcW w:type="dxa" w:w="1440"/>
            <w:shd w:fill="C6EFCE" w:val="clear"/>
          </w:tcPr>
          <w:p>
            <w:r>
              <w:rPr>
                <w:b/>
                <w:sz w:val="17"/>
              </w:rPr>
              <w:t>5,733</w:t>
            </w:r>
          </w:p>
        </w:tc>
        <w:tc>
          <w:tcPr>
            <w:tcW w:type="dxa" w:w="1440"/>
            <w:shd w:fill="C6EFCE" w:val="clear"/>
          </w:tcPr>
          <w:p>
            <w:r>
              <w:rPr>
                <w:sz w:val="17"/>
              </w:rPr>
              <w:t>6,176</w:t>
            </w:r>
          </w:p>
        </w:tc>
        <w:tc>
          <w:tcPr>
            <w:tcW w:type="dxa" w:w="1440"/>
            <w:shd w:fill="C6EFCE" w:val="clear"/>
          </w:tcPr>
          <w:p>
            <w:r>
              <w:rPr>
                <w:b/>
                <w:color w:val="008000"/>
                <w:sz w:val="17"/>
              </w:rPr>
              <w:t>+10.2%</w:t>
            </w:r>
          </w:p>
        </w:tc>
      </w:tr>
      <w:tr>
        <w:tc>
          <w:tcPr>
            <w:tcW w:type="dxa" w:w="1440"/>
            <w:shd w:fill="C6EFCE" w:val="clear"/>
          </w:tcPr>
          <w:p>
            <w:r>
              <w:rPr>
                <w:sz w:val="17"/>
              </w:rPr>
              <w:t>J+4  ⭐</w:t>
            </w:r>
          </w:p>
        </w:tc>
        <w:tc>
          <w:tcPr>
            <w:tcW w:type="dxa" w:w="1440"/>
            <w:shd w:fill="C6EFCE" w:val="clear"/>
          </w:tcPr>
          <w:p>
            <w:r>
              <w:rPr>
                <w:sz w:val="17"/>
              </w:rPr>
              <w:t>2026-10-26</w:t>
            </w:r>
          </w:p>
        </w:tc>
        <w:tc>
          <w:tcPr>
            <w:tcW w:type="dxa" w:w="1440"/>
            <w:shd w:fill="C6EFCE" w:val="clear"/>
          </w:tcPr>
          <w:p>
            <w:r>
              <w:rPr>
                <w:sz w:val="17"/>
              </w:rPr>
              <w:t>5,286</w:t>
            </w:r>
          </w:p>
        </w:tc>
        <w:tc>
          <w:tcPr>
            <w:tcW w:type="dxa" w:w="1440"/>
            <w:shd w:fill="C6EFCE" w:val="clear"/>
          </w:tcPr>
          <w:p>
            <w:r>
              <w:rPr>
                <w:b/>
                <w:sz w:val="17"/>
              </w:rPr>
              <w:t>5,804</w:t>
            </w:r>
          </w:p>
        </w:tc>
        <w:tc>
          <w:tcPr>
            <w:tcW w:type="dxa" w:w="1440"/>
            <w:shd w:fill="C6EFCE" w:val="clear"/>
          </w:tcPr>
          <w:p>
            <w:r>
              <w:rPr>
                <w:sz w:val="17"/>
              </w:rPr>
              <w:t>6,322</w:t>
            </w:r>
          </w:p>
        </w:tc>
        <w:tc>
          <w:tcPr>
            <w:tcW w:type="dxa" w:w="1440"/>
            <w:shd w:fill="C6EFCE" w:val="clear"/>
          </w:tcPr>
          <w:p>
            <w:r>
              <w:rPr>
                <w:b/>
                <w:color w:val="008000"/>
                <w:sz w:val="17"/>
              </w:rPr>
              <w:t>+11.6%</w:t>
            </w:r>
          </w:p>
        </w:tc>
      </w:tr>
      <w:tr>
        <w:tc>
          <w:tcPr>
            <w:tcW w:type="dxa" w:w="1440"/>
            <w:shd w:fill="C6EFCE" w:val="clear"/>
          </w:tcPr>
          <w:p>
            <w:r>
              <w:rPr>
                <w:sz w:val="17"/>
              </w:rPr>
              <w:t>J+5  ⭐</w:t>
            </w:r>
          </w:p>
        </w:tc>
        <w:tc>
          <w:tcPr>
            <w:tcW w:type="dxa" w:w="1440"/>
            <w:shd w:fill="C6EFCE" w:val="clear"/>
          </w:tcPr>
          <w:p>
            <w:r>
              <w:rPr>
                <w:sz w:val="17"/>
              </w:rPr>
              <w:t>2026-10-27</w:t>
            </w:r>
          </w:p>
        </w:tc>
        <w:tc>
          <w:tcPr>
            <w:tcW w:type="dxa" w:w="1440"/>
            <w:shd w:fill="C6EFCE" w:val="clear"/>
          </w:tcPr>
          <w:p>
            <w:r>
              <w:rPr>
                <w:sz w:val="17"/>
              </w:rPr>
              <w:t>5,267</w:t>
            </w:r>
          </w:p>
        </w:tc>
        <w:tc>
          <w:tcPr>
            <w:tcW w:type="dxa" w:w="1440"/>
            <w:shd w:fill="C6EFCE" w:val="clear"/>
          </w:tcPr>
          <w:p>
            <w:r>
              <w:rPr>
                <w:b/>
                <w:sz w:val="17"/>
              </w:rPr>
              <w:t>5,850</w:t>
            </w:r>
          </w:p>
        </w:tc>
        <w:tc>
          <w:tcPr>
            <w:tcW w:type="dxa" w:w="1440"/>
            <w:shd w:fill="C6EFCE" w:val="clear"/>
          </w:tcPr>
          <w:p>
            <w:r>
              <w:rPr>
                <w:sz w:val="17"/>
              </w:rPr>
              <w:t>6,434</w:t>
            </w:r>
          </w:p>
        </w:tc>
        <w:tc>
          <w:tcPr>
            <w:tcW w:type="dxa" w:w="1440"/>
            <w:shd w:fill="C6EFCE" w:val="clear"/>
          </w:tcPr>
          <w:p>
            <w:r>
              <w:rPr>
                <w:b/>
                <w:color w:val="008000"/>
                <w:sz w:val="17"/>
              </w:rPr>
              <w:t>+12.5%</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5,243</w:t>
            </w:r>
          </w:p>
        </w:tc>
        <w:tc>
          <w:tcPr>
            <w:tcW w:type="dxa" w:w="1440"/>
            <w:shd w:fill="C6EFCE" w:val="clear"/>
          </w:tcPr>
          <w:p>
            <w:r>
              <w:rPr>
                <w:b/>
                <w:sz w:val="17"/>
              </w:rPr>
              <w:t>5,886</w:t>
            </w:r>
          </w:p>
        </w:tc>
        <w:tc>
          <w:tcPr>
            <w:tcW w:type="dxa" w:w="1440"/>
            <w:shd w:fill="C6EFCE" w:val="clear"/>
          </w:tcPr>
          <w:p>
            <w:r>
              <w:rPr>
                <w:sz w:val="17"/>
              </w:rPr>
              <w:t>6,530</w:t>
            </w:r>
          </w:p>
        </w:tc>
        <w:tc>
          <w:tcPr>
            <w:tcW w:type="dxa" w:w="1440"/>
            <w:shd w:fill="C6EFCE" w:val="clear"/>
          </w:tcPr>
          <w:p>
            <w:r>
              <w:rPr>
                <w:b/>
                <w:color w:val="008000"/>
                <w:sz w:val="17"/>
              </w:rPr>
              <w:t>+13.2%</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5,218</w:t>
            </w:r>
          </w:p>
        </w:tc>
        <w:tc>
          <w:tcPr>
            <w:tcW w:type="dxa" w:w="1440"/>
            <w:shd w:fill="C6EFCE" w:val="clear"/>
          </w:tcPr>
          <w:p>
            <w:r>
              <w:rPr>
                <w:b/>
                <w:sz w:val="17"/>
              </w:rPr>
              <w:t>5,916</w:t>
            </w:r>
          </w:p>
        </w:tc>
        <w:tc>
          <w:tcPr>
            <w:tcW w:type="dxa" w:w="1440"/>
            <w:shd w:fill="C6EFCE" w:val="clear"/>
          </w:tcPr>
          <w:p>
            <w:r>
              <w:rPr>
                <w:sz w:val="17"/>
              </w:rPr>
              <w:t>6,614</w:t>
            </w:r>
          </w:p>
        </w:tc>
        <w:tc>
          <w:tcPr>
            <w:tcW w:type="dxa" w:w="1440"/>
            <w:shd w:fill="C6EFCE" w:val="clear"/>
          </w:tcPr>
          <w:p>
            <w:r>
              <w:rPr>
                <w:b/>
                <w:color w:val="008000"/>
                <w:sz w:val="17"/>
              </w:rPr>
              <w:t>+13.8%</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5,191</w:t>
            </w:r>
          </w:p>
        </w:tc>
        <w:tc>
          <w:tcPr>
            <w:tcW w:type="dxa" w:w="1440"/>
            <w:shd w:fill="C6EFCE" w:val="clear"/>
          </w:tcPr>
          <w:p>
            <w:r>
              <w:rPr>
                <w:b/>
                <w:sz w:val="17"/>
              </w:rPr>
              <w:t>5,941</w:t>
            </w:r>
          </w:p>
        </w:tc>
        <w:tc>
          <w:tcPr>
            <w:tcW w:type="dxa" w:w="1440"/>
            <w:shd w:fill="C6EFCE" w:val="clear"/>
          </w:tcPr>
          <w:p>
            <w:r>
              <w:rPr>
                <w:sz w:val="17"/>
              </w:rPr>
              <w:t>6,690</w:t>
            </w:r>
          </w:p>
        </w:tc>
        <w:tc>
          <w:tcPr>
            <w:tcW w:type="dxa" w:w="1440"/>
            <w:shd w:fill="C6EFCE" w:val="clear"/>
          </w:tcPr>
          <w:p>
            <w:r>
              <w:rPr>
                <w:b/>
                <w:color w:val="008000"/>
                <w:sz w:val="17"/>
              </w:rPr>
              <w:t>+14.2%</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5,164</w:t>
            </w:r>
          </w:p>
        </w:tc>
        <w:tc>
          <w:tcPr>
            <w:tcW w:type="dxa" w:w="1440"/>
            <w:shd w:fill="C6EFCE" w:val="clear"/>
          </w:tcPr>
          <w:p>
            <w:r>
              <w:rPr>
                <w:b/>
                <w:sz w:val="17"/>
              </w:rPr>
              <w:t>5,962</w:t>
            </w:r>
          </w:p>
        </w:tc>
        <w:tc>
          <w:tcPr>
            <w:tcW w:type="dxa" w:w="1440"/>
            <w:shd w:fill="C6EFCE" w:val="clear"/>
          </w:tcPr>
          <w:p>
            <w:r>
              <w:rPr>
                <w:sz w:val="17"/>
              </w:rPr>
              <w:t>6,760</w:t>
            </w:r>
          </w:p>
        </w:tc>
        <w:tc>
          <w:tcPr>
            <w:tcW w:type="dxa" w:w="1440"/>
            <w:shd w:fill="C6EFCE" w:val="clear"/>
          </w:tcPr>
          <w:p>
            <w:r>
              <w:rPr>
                <w:b/>
                <w:color w:val="008000"/>
                <w:sz w:val="17"/>
              </w:rPr>
              <w:t>+14.7%</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5,137</w:t>
            </w:r>
          </w:p>
        </w:tc>
        <w:tc>
          <w:tcPr>
            <w:tcW w:type="dxa" w:w="1440"/>
            <w:shd w:fill="C6EFCE" w:val="clear"/>
          </w:tcPr>
          <w:p>
            <w:r>
              <w:rPr>
                <w:b/>
                <w:sz w:val="17"/>
              </w:rPr>
              <w:t>5,980</w:t>
            </w:r>
          </w:p>
        </w:tc>
        <w:tc>
          <w:tcPr>
            <w:tcW w:type="dxa" w:w="1440"/>
            <w:shd w:fill="C6EFCE" w:val="clear"/>
          </w:tcPr>
          <w:p>
            <w:r>
              <w:rPr>
                <w:sz w:val="17"/>
              </w:rPr>
              <w:t>6,824</w:t>
            </w:r>
          </w:p>
        </w:tc>
        <w:tc>
          <w:tcPr>
            <w:tcW w:type="dxa" w:w="1440"/>
            <w:shd w:fill="C6EFCE" w:val="clear"/>
          </w:tcPr>
          <w:p>
            <w:r>
              <w:rPr>
                <w:b/>
                <w:color w:val="008000"/>
                <w:sz w:val="17"/>
              </w:rPr>
              <w:t>+15.0%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 RAPPORT D'ANALYSE FINANCIÈRE — CIEC (BRVM)</w:t>
      </w:r>
    </w:p>
    <w:p>
      <w:pPr>
        <w:spacing w:after="120" w:line="276" w:lineRule="auto"/>
      </w:pPr>
      <w:r>
        <w:t>**Compagnie Ivoirienne d'Électricité — Secteur : Services publics / Électricité**</w:t>
        <w:br/>
        <w:t>*Cours de référence : 5 200 FCFA — Capitalisation : 291,20 Mds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CIEC s'établit à 291,20 Mds FCFA, un niveau qui la place parmi les valeurs les plus importantes de la cote BRVM, cohérent avec son statut de monopole régulé de l'électricité ivoirienne. Le BPA de 234 FCFA/action signifie que chaque titre génère 234 FCFA de bénéfice net, un niveau correct mais qui, rapporté au cours de 5 200 FCFA, conduit à un PER de 22,2x — soit environ le double de la moyenne BRVM (~8-12x), signalant que les investisseurs paient une prime significative pour la croissance attendue ou que le titre est surévalué. Le P/B de 8,10x confirme cette exigence : le marché valorise CIEC à plus de 8 fois sa valeur comptable, une prime très forte (&gt;4x) qui s'explique par la faible assise en capitaux propres (35,96 Mds FCFA) face à un actif total de 2 018 Mds FCFA, mais qui laisse peu de marge de sécurité. Enfin, l'EV/EBITDA de 12,9x (fourchette 10-15x) traduit une valorisation élevée de la capacité opérationnelle, l'entreprise étant valorisée à près de 13 fois son excédent brut d'exploitation de 37,16 Mds FCFA — un multiple qui n'est justifié que si la croissance bénéficiaire se maintient durablement.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CIEC affiche une variation totale positive de +25,30%, mais la dernière séance a été marquée par une correction brutale de -6,31%, signe d'une prise de bénéfices après un rallye soutenu. Le range de trading est très large, avec un plus haut à 7 400 FCFA et un plus bas à 4 150 FCFA, soit un écart de 78% entre les extrêmes — le cours actuel de 5 200 FCFA se situe donc dans la moitié basse de cette fourchette, à 30% sous son sommet. La tendance générale reste haussière sur la période, mais le récent décrochage suggère un essoufflement du momentum. Les statistiques descriptives révèlent une moyenne de 5 747 FCFA supérieure à la médiane de 5 382 FCFA, indiquant une distribution légèrement tirée vers le haut par les pics de cours ; le mode à 4 995 FCFA, proche du cours actuel, confirme que le titre évolue dans sa zone de fréquence la plus élevée. L'écart-type de 790 FCFA avec un coefficient de variation de 13,8% traduit une dispersion modérée autour de la moyenne, tandis que le kurtosis de -1,103 (distribution platykurtique) signale une faible concentration des rendements et un risque de mouvements amples moins fréquent qu'en distribution normale ; le skewness de 0,338, proche de zéro, confirme une distribution quasi symétrique sans biais directionnel marqué. La volatilité annualisée de 49,8% positionne clairement CIEC dans la catégorie des titres à volatilité élevée (&gt;30%), ce qui est cohérent avec la correction récente et impose une gestion du risque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(6 182 FCFA) et la MM50 (6 406 FCFA) se situent toutes deux nettement au-dessus du cours actuel (5 200 FCFA), avec une MM20 inférieure à la MM50, configuration baissière typique d'un marché en repli. Le cours évolue sous ses deux moyennes, ce qui valide la décision technique de **Vente** : la pression vendeuse domine et aucun croisement haussier n'est en vue.</w:t>
      </w:r>
    </w:p>
    <w:p>
      <w:pPr>
        <w:spacing w:after="120" w:line="276" w:lineRule="auto"/>
      </w:pPr>
      <w:r>
        <w:t>**Bandes de Bollinger** — La borne supérieure est à 6 863,51 FCFA et la borne inférieure à 5 500,49 FCFA, tandis que le cours (5 200 FCFA) se situe **sous la borne inférieure**, situation inhabituelle qui traduit une survente extrême et une extension baissière excessive. La décision technique affichée est **Achat**, cohérente avec un rebond statistique attendu vers la bande inférieure (5 500 FCFA) ; la largeur des bandes confirme la volatilité élevée déjà relevée.</w:t>
      </w:r>
    </w:p>
    <w:p>
      <w:pPr>
        <w:spacing w:after="120" w:line="276" w:lineRule="auto"/>
      </w:pPr>
      <w:r>
        <w:t>**MACD** — Le MACD (-227,95) est inférieur à son signal (-110,35), avec un histogramme négatif qui traduit un momentum baissier persistant. La décision est **Vente** : la divergence négative n'est pas encore résorbée et le croisement des lignes reste défavorable, même si l'amplitude suggère une possible exhaustion de la baisse.</w:t>
      </w:r>
    </w:p>
    <w:p>
      <w:pPr>
        <w:spacing w:after="120" w:line="276" w:lineRule="auto"/>
      </w:pPr>
      <w:r>
        <w:t>**RSI** — À 17,95, le RSI est très en dessous du seuil de survente de 30, un niveau extrême qui signale une pression vendeuse exceptionnelle. La décision est **Achat** : historiquement, un RSI sous 20 précède souvent un rebond technique, ce qui plaide pour une entrée contrariante à court terme.</w:t>
      </w:r>
    </w:p>
    <w:p>
      <w:pPr>
        <w:spacing w:after="120" w:line="276" w:lineRule="auto"/>
      </w:pPr>
      <w:r>
        <w:t>**Stochastique** — Le %K et le %D sont tous deux à 0,0, niveau plancher absolu qui confirme une survente maximale et un épuisement total de la dynamique baissière. La décision est **Achat** : un croisement haussier des deux lignes est imminent et constituerait le signal de retournement.</w:t>
      </w:r>
    </w:p>
    <w:p>
      <w:pPr>
        <w:spacing w:after="120" w:line="276" w:lineRule="auto"/>
      </w:pPr>
      <w:r>
        <w:t>**Conclusion technique** — Les indicateurs présentent une divergence flagrante : les moyennes mobiles et le MACD restent baissiers (tendance de fond négative), tandis que le RSI, le stochastique et les bandes de Bollinger signalent une survente extrême propice à un rebond technique. Cette configuration mixte — tendance baissière avec excès vendeur — suggère un potentiel de rebond à court terme vers 5 500-5 800 FCFA, mais sans inversion de tendance confirmée tant que le cours reste sous la MM20 (6 182 FCFA). Le signal dominant est donc un **achat tactique contrariant**, à condition d'accepter une volatilité élevée.</w:t>
      </w:r>
    </w:p>
    <w:p>
      <w:pPr>
        <w:spacing w:after="120" w:line="276" w:lineRule="auto"/>
      </w:pPr>
      <w:r>
        <w:t>---</w:t>
      </w:r>
    </w:p>
    <w:p>
      <w:pPr>
        <w:spacing w:after="120" w:line="276" w:lineRule="auto"/>
      </w:pPr>
      <w:r>
        <w:t>## PARTIE 3 : ANALYSE FONDAMENTALE</w:t>
      </w:r>
    </w:p>
    <w:p>
      <w:pPr>
        <w:spacing w:after="120" w:line="276" w:lineRule="auto"/>
      </w:pPr>
      <w:r>
        <w:t>En 2025, CIEC affiche un chiffre d'affaires de 302,32 Mds FCFA, en croissance de +14,82% selon les données structurées officielles, portée par la hausse des ventes d'énergie (+8,3% en volume national, +21,7% à l'export) et l'expansion de la base clientèle à 5 282 283 clients. Le résultat net s'établit à 13,127 Mds FCFA, en progression de +30% (contre 10,526 Mds FCFA en 2024), avec une marge nette de 4,34% et une marge opérationnelle de 7,40% — des niveaux modestes mais typiques d'un modèle régulé. La rentabilité des fonds propres est excellente avec un ROE de 36,50% (&gt;15%), bien que mécaniquement gonflé par la faible assise en capitaux propres (35,96 Mds FCFA) ; le ROA reste faible à 0,65%, reflet d'un actif très lourd (2 018,45 Mds FCFA) et d'une rotation de seulement 14,98%. Sur le plan de l'exploitation, le BFR est **négatif à -90,24 Mds FCFA** (favorable), mais le délai client de 164 jours constitue un risque de trésorerie significatif, tandis que le délai fournisseur de 970 jours offre un coussin de financement considérable ; la trésorerie nette positive de 32,19 Mds FCFA et le free cash flow de 20,17 Mds FCFA confirment la solidité du cash-flow. La structure financière est en revanche très fragile : autonomie financière de 1,78% seulement, ratio d'endettement de 612,94% et dépendance financière de 98,22%, même si la capacité de remboursement (7,64 années de CAF) et la couverture des intérêts (617,75%) restent rassurantes. Les rapports narratifs confirment cette dynamique : le rapport du 31/12/2026 (exercice 2025) souligne un EBE de 37,2 Mds FCFA (+23,2%) et un dividende de 234 FCFA/action représentant 99,8% du résultat net — un rendement attractif mais qui limite l'autofinancement ; le rapport S1 2025 (30/06/2025) faisait déjà état d'un CA semestriel de 134,92 Mds FCFA (+18,85%) et d'un résultat net de 5,096 Mds FCFA (+13,4%), confirmant la trajectoire annuelle. **Recommandation fondamentale : CONSERVER** — la croissance et le dividende sont solides, mais la valorisation exigeante, l'endettement massif et la dépendance réglementaire imposent la prudence.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 le PER de 22,2x, le P/B de 8,10x et l'EV/EBITDA de 12,9x indiquent une nette surévaluation relative au marché BRVM, laissant peu de marge de sécurité malgré la qualité des fondamentaux. **Comportement du cours** : la tendance haussière de +25,30% sur 100 jours est contrebalancée par la correction de -6,31% en J-1 et une volatilité élevée de 49,8%, avec une distribution platykurtique (kurtosis -1,103) et symétrique (skewness 0,338) qui n'offre pas de biais directionnel clair. **Signaux techniques** : divergence marquée entre les indicateurs de tendance (MM et MACD baissiers) et les oscillateurs en survente extrême (RSI 17,95, stochastique 0,0, cours sous la bande inférieure de Bollinger) — configuration propice à un rebond tactique mais non à une inversion durable. **Fondamentaux** : la croissance du CA (+14,82%) et du résultat net (+30%) en 2025, le ROE de 36,50% et le dividende de 234 FCFA sont solides, mais l'endettement extrême (612,94%) et la dépendance réglementaire limitent la visibilité. **Prédictions IA** : la trajectoire projetée (5 440 → 5 850 FCFA sur J+1 à J+10, soit +12,5%) **confirme** le scénario de rebond technique esquissé par le RSI et le stochastique, en cohérence avec la zone de survente actuelle.</w:t>
      </w:r>
    </w:p>
    <w:p>
      <w:pPr>
        <w:spacing w:after="120" w:line="276" w:lineRule="auto"/>
      </w:pPr>
      <w:r>
        <w:t>**Recommandation finale : CONSERVER** (avec opportunité tactique d'achat contrariant à court terme). La convergence entre la survente technique extrême et les prédictions haussières justifie une posture positive à court terme, mais la surévaluation fondamentale et la volatilité élevée interdisent un ACHAT franc sur horizon long. **Niveau de confiance : Moyen** — les signaux techniques de rebond sont clairs, mais la divergence avec les indicateurs de tendance et la valorisation exigeante tempèrent la conviction. **Niveau de risque global : Élevé** (volatilité 49,8%, endettement massif, dépendance réglementaire). **Horizon optimal : court terme (&lt;3 mois)** pour capter le rebond technique vers 5 800-6 000 FCFA, avec un stop-loss sous 4 950 FCFA ; à moyen/long terme, privilégier la conservation pour le rendement du dividende (234 FCFA, soit ~4,5% au cours actuel) en surveillant l'évolution du cadre réglementaire et de la trésorerie.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891.82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4,203 titres</w:t>
            </w:r>
          </w:p>
        </w:tc>
        <w:tc>
          <w:tcPr>
            <w:tcW w:type="dxa" w:w="2268"/>
            <w:shd w:fill="FFF2CC" w:val="clear"/>
          </w:tcPr>
          <w:p>
            <w:r>
              <w:rPr>
                <w:b/>
                <w:color w:val="503200"/>
                <w:sz w:val="16"/>
              </w:rPr>
              <w:t xml:space="preserve">Cours actuel : </w:t>
            </w:r>
            <w:r>
              <w:rPr>
                <w:color w:val="000000"/>
                <w:sz w:val="17"/>
              </w:rPr>
              <w:t>16,200 FCFA</w:t>
            </w:r>
          </w:p>
          <w:p>
            <w:r>
              <w:rPr>
                <w:b/>
                <w:color w:val="503200"/>
                <w:sz w:val="16"/>
              </w:rPr>
              <w:t xml:space="preserve">Var. 100 jours : </w:t>
            </w:r>
            <w:r>
              <w:rPr>
                <w:b/>
                <w:color w:val="B40000"/>
                <w:sz w:val="17"/>
              </w:rPr>
              <w:t>-0.55%</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15,715 FCFA</w:t>
            </w:r>
          </w:p>
          <w:p>
            <w:r>
              <w:rPr>
                <w:b/>
                <w:color w:val="503200"/>
                <w:sz w:val="16"/>
              </w:rPr>
              <w:t xml:space="preserve">Volatilité ann. : </w:t>
            </w:r>
            <w:r>
              <w:rPr>
                <w:color w:val="000000"/>
                <w:sz w:val="17"/>
              </w:rPr>
              <w:t>25.5%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2.71% (Faible) — μ=16,586 FCFA, σ=450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β=0.3882 (Défensif) — Cov=0.000030, Var(idx)=0.000078, ρ=0.212,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4,203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σ_j=1.61%/j (Stable) — Vol. annualisée≈25.5%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15,841</w:t>
            </w:r>
          </w:p>
        </w:tc>
        <w:tc>
          <w:tcPr>
            <w:tcW w:type="dxa" w:w="1440"/>
            <w:shd w:fill="FAFAFA" w:val="clear"/>
          </w:tcPr>
          <w:p>
            <w:r>
              <w:rPr>
                <w:b/>
                <w:sz w:val="17"/>
              </w:rPr>
              <w:t>16,224</w:t>
            </w:r>
          </w:p>
        </w:tc>
        <w:tc>
          <w:tcPr>
            <w:tcW w:type="dxa" w:w="1440"/>
            <w:shd w:fill="FAFAFA" w:val="clear"/>
          </w:tcPr>
          <w:p>
            <w:r>
              <w:rPr>
                <w:sz w:val="17"/>
              </w:rPr>
              <w:t>16,607</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2026-10-22</w:t>
            </w:r>
          </w:p>
        </w:tc>
        <w:tc>
          <w:tcPr>
            <w:tcW w:type="dxa" w:w="1440"/>
            <w:shd w:fill="FAFAFA" w:val="clear"/>
          </w:tcPr>
          <w:p>
            <w:r>
              <w:rPr>
                <w:sz w:val="17"/>
              </w:rPr>
              <w:t>15,709</w:t>
            </w:r>
          </w:p>
        </w:tc>
        <w:tc>
          <w:tcPr>
            <w:tcW w:type="dxa" w:w="1440"/>
            <w:shd w:fill="FAFAFA" w:val="clear"/>
          </w:tcPr>
          <w:p>
            <w:r>
              <w:rPr>
                <w:b/>
                <w:sz w:val="17"/>
              </w:rPr>
              <w:t>16,251</w:t>
            </w:r>
          </w:p>
        </w:tc>
        <w:tc>
          <w:tcPr>
            <w:tcW w:type="dxa" w:w="1440"/>
            <w:shd w:fill="FAFAFA" w:val="clear"/>
          </w:tcPr>
          <w:p>
            <w:r>
              <w:rPr>
                <w:sz w:val="17"/>
              </w:rPr>
              <w:t>16,793</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15,609</w:t>
            </w:r>
          </w:p>
        </w:tc>
        <w:tc>
          <w:tcPr>
            <w:tcW w:type="dxa" w:w="1440"/>
            <w:shd w:fill="FAFAFA" w:val="clear"/>
          </w:tcPr>
          <w:p>
            <w:r>
              <w:rPr>
                <w:b/>
                <w:sz w:val="17"/>
              </w:rPr>
              <w:t>16,274</w:t>
            </w:r>
          </w:p>
        </w:tc>
        <w:tc>
          <w:tcPr>
            <w:tcW w:type="dxa" w:w="1440"/>
            <w:shd w:fill="FAFAFA" w:val="clear"/>
          </w:tcPr>
          <w:p>
            <w:r>
              <w:rPr>
                <w:sz w:val="17"/>
              </w:rPr>
              <w:t>16,939</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2026-10-26</w:t>
            </w:r>
          </w:p>
        </w:tc>
        <w:tc>
          <w:tcPr>
            <w:tcW w:type="dxa" w:w="1440"/>
            <w:shd w:fill="FAFAFA" w:val="clear"/>
          </w:tcPr>
          <w:p>
            <w:r>
              <w:rPr>
                <w:sz w:val="17"/>
              </w:rPr>
              <w:t>15,528</w:t>
            </w:r>
          </w:p>
        </w:tc>
        <w:tc>
          <w:tcPr>
            <w:tcW w:type="dxa" w:w="1440"/>
            <w:shd w:fill="FAFAFA" w:val="clear"/>
          </w:tcPr>
          <w:p>
            <w:r>
              <w:rPr>
                <w:b/>
                <w:sz w:val="17"/>
              </w:rPr>
              <w:t>16,297</w:t>
            </w:r>
          </w:p>
        </w:tc>
        <w:tc>
          <w:tcPr>
            <w:tcW w:type="dxa" w:w="1440"/>
            <w:shd w:fill="FAFAFA" w:val="clear"/>
          </w:tcPr>
          <w:p>
            <w:r>
              <w:rPr>
                <w:sz w:val="17"/>
              </w:rPr>
              <w:t>17,066</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2026-10-27</w:t>
            </w:r>
          </w:p>
        </w:tc>
        <w:tc>
          <w:tcPr>
            <w:tcW w:type="dxa" w:w="1440"/>
            <w:shd w:fill="FAFAFA" w:val="clear"/>
          </w:tcPr>
          <w:p>
            <w:r>
              <w:rPr>
                <w:sz w:val="17"/>
              </w:rPr>
              <w:t>15,458</w:t>
            </w:r>
          </w:p>
        </w:tc>
        <w:tc>
          <w:tcPr>
            <w:tcW w:type="dxa" w:w="1440"/>
            <w:shd w:fill="FAFAFA" w:val="clear"/>
          </w:tcPr>
          <w:p>
            <w:r>
              <w:rPr>
                <w:b/>
                <w:sz w:val="17"/>
              </w:rPr>
              <w:t>16,319</w:t>
            </w:r>
          </w:p>
        </w:tc>
        <w:tc>
          <w:tcPr>
            <w:tcW w:type="dxa" w:w="1440"/>
            <w:shd w:fill="FAFAFA" w:val="clear"/>
          </w:tcPr>
          <w:p>
            <w:r>
              <w:rPr>
                <w:sz w:val="17"/>
              </w:rPr>
              <w:t>17,180</w:t>
            </w:r>
          </w:p>
        </w:tc>
        <w:tc>
          <w:tcPr>
            <w:tcW w:type="dxa" w:w="1440"/>
            <w:shd w:fill="FAFAFA" w:val="clear"/>
          </w:tcPr>
          <w:p>
            <w:r>
              <w:rPr>
                <w:b/>
                <w:color w:val="008000"/>
                <w:sz w:val="17"/>
              </w:rPr>
              <w:t>+0.7%</w:t>
            </w:r>
          </w:p>
        </w:tc>
      </w:tr>
      <w:tr>
        <w:tc>
          <w:tcPr>
            <w:tcW w:type="dxa" w:w="1440"/>
            <w:shd w:fill="FAFAFA" w:val="clear"/>
          </w:tcPr>
          <w:p>
            <w:r>
              <w:rPr>
                <w:sz w:val="17"/>
              </w:rPr>
              <w:t>J+6  Moyenne</w:t>
            </w:r>
          </w:p>
        </w:tc>
        <w:tc>
          <w:tcPr>
            <w:tcW w:type="dxa" w:w="1440"/>
            <w:shd w:fill="FAFAFA" w:val="clear"/>
          </w:tcPr>
          <w:p>
            <w:r>
              <w:rPr>
                <w:sz w:val="17"/>
              </w:rPr>
              <w:t>2026-10-28</w:t>
            </w:r>
          </w:p>
        </w:tc>
        <w:tc>
          <w:tcPr>
            <w:tcW w:type="dxa" w:w="1440"/>
            <w:shd w:fill="FAFAFA" w:val="clear"/>
          </w:tcPr>
          <w:p>
            <w:r>
              <w:rPr>
                <w:sz w:val="17"/>
              </w:rPr>
              <w:t>15,397</w:t>
            </w:r>
          </w:p>
        </w:tc>
        <w:tc>
          <w:tcPr>
            <w:tcW w:type="dxa" w:w="1440"/>
            <w:shd w:fill="FAFAFA" w:val="clear"/>
          </w:tcPr>
          <w:p>
            <w:r>
              <w:rPr>
                <w:b/>
                <w:sz w:val="17"/>
              </w:rPr>
              <w:t>16,341</w:t>
            </w:r>
          </w:p>
        </w:tc>
        <w:tc>
          <w:tcPr>
            <w:tcW w:type="dxa" w:w="1440"/>
            <w:shd w:fill="FAFAFA" w:val="clear"/>
          </w:tcPr>
          <w:p>
            <w:r>
              <w:rPr>
                <w:sz w:val="17"/>
              </w:rPr>
              <w:t>17,286</w:t>
            </w:r>
          </w:p>
        </w:tc>
        <w:tc>
          <w:tcPr>
            <w:tcW w:type="dxa" w:w="1440"/>
            <w:shd w:fill="FAFAFA" w:val="clear"/>
          </w:tcPr>
          <w:p>
            <w:r>
              <w:rPr>
                <w:b/>
                <w:color w:val="008000"/>
                <w:sz w:val="17"/>
              </w:rPr>
              <w:t>+0.9%</w:t>
            </w:r>
          </w:p>
        </w:tc>
      </w:tr>
      <w:tr>
        <w:tc>
          <w:tcPr>
            <w:tcW w:type="dxa" w:w="1440"/>
            <w:shd w:fill="FAFAFA" w:val="clear"/>
          </w:tcPr>
          <w:p>
            <w:r>
              <w:rPr>
                <w:sz w:val="17"/>
              </w:rPr>
              <w:t>J+7  Moyenne</w:t>
            </w:r>
          </w:p>
        </w:tc>
        <w:tc>
          <w:tcPr>
            <w:tcW w:type="dxa" w:w="1440"/>
            <w:shd w:fill="FAFAFA" w:val="clear"/>
          </w:tcPr>
          <w:p>
            <w:r>
              <w:rPr>
                <w:sz w:val="17"/>
              </w:rPr>
              <w:t>2026-10-29</w:t>
            </w:r>
          </w:p>
        </w:tc>
        <w:tc>
          <w:tcPr>
            <w:tcW w:type="dxa" w:w="1440"/>
            <w:shd w:fill="FAFAFA" w:val="clear"/>
          </w:tcPr>
          <w:p>
            <w:r>
              <w:rPr>
                <w:sz w:val="17"/>
              </w:rPr>
              <w:t>15,342</w:t>
            </w:r>
          </w:p>
        </w:tc>
        <w:tc>
          <w:tcPr>
            <w:tcW w:type="dxa" w:w="1440"/>
            <w:shd w:fill="FAFAFA" w:val="clear"/>
          </w:tcPr>
          <w:p>
            <w:r>
              <w:rPr>
                <w:b/>
                <w:sz w:val="17"/>
              </w:rPr>
              <w:t>16,363</w:t>
            </w:r>
          </w:p>
        </w:tc>
        <w:tc>
          <w:tcPr>
            <w:tcW w:type="dxa" w:w="1440"/>
            <w:shd w:fill="FAFAFA" w:val="clear"/>
          </w:tcPr>
          <w:p>
            <w:r>
              <w:rPr>
                <w:sz w:val="17"/>
              </w:rPr>
              <w:t>17,385</w:t>
            </w:r>
          </w:p>
        </w:tc>
        <w:tc>
          <w:tcPr>
            <w:tcW w:type="dxa" w:w="1440"/>
            <w:shd w:fill="FAFAFA" w:val="clear"/>
          </w:tcPr>
          <w:p>
            <w:r>
              <w:rPr>
                <w:b/>
                <w:color w:val="008000"/>
                <w:sz w:val="17"/>
              </w:rPr>
              <w:t>+1.0%</w:t>
            </w:r>
          </w:p>
        </w:tc>
      </w:tr>
      <w:tr>
        <w:tc>
          <w:tcPr>
            <w:tcW w:type="dxa" w:w="1440"/>
            <w:shd w:fill="FAFAFA" w:val="clear"/>
          </w:tcPr>
          <w:p>
            <w:r>
              <w:rPr>
                <w:sz w:val="17"/>
              </w:rPr>
              <w:t>J+8  Moyenne</w:t>
            </w:r>
          </w:p>
        </w:tc>
        <w:tc>
          <w:tcPr>
            <w:tcW w:type="dxa" w:w="1440"/>
            <w:shd w:fill="FAFAFA" w:val="clear"/>
          </w:tcPr>
          <w:p>
            <w:r>
              <w:rPr>
                <w:sz w:val="17"/>
              </w:rPr>
              <w:t>2026-10-30</w:t>
            </w:r>
          </w:p>
        </w:tc>
        <w:tc>
          <w:tcPr>
            <w:tcW w:type="dxa" w:w="1440"/>
            <w:shd w:fill="FAFAFA" w:val="clear"/>
          </w:tcPr>
          <w:p>
            <w:r>
              <w:rPr>
                <w:sz w:val="17"/>
              </w:rPr>
              <w:t>15,292</w:t>
            </w:r>
          </w:p>
        </w:tc>
        <w:tc>
          <w:tcPr>
            <w:tcW w:type="dxa" w:w="1440"/>
            <w:shd w:fill="FAFAFA" w:val="clear"/>
          </w:tcPr>
          <w:p>
            <w:r>
              <w:rPr>
                <w:b/>
                <w:sz w:val="17"/>
              </w:rPr>
              <w:t>16,385</w:t>
            </w:r>
          </w:p>
        </w:tc>
        <w:tc>
          <w:tcPr>
            <w:tcW w:type="dxa" w:w="1440"/>
            <w:shd w:fill="FAFAFA" w:val="clear"/>
          </w:tcPr>
          <w:p>
            <w:r>
              <w:rPr>
                <w:sz w:val="17"/>
              </w:rPr>
              <w:t>17,478</w:t>
            </w:r>
          </w:p>
        </w:tc>
        <w:tc>
          <w:tcPr>
            <w:tcW w:type="dxa" w:w="1440"/>
            <w:shd w:fill="FAFAFA" w:val="clear"/>
          </w:tcPr>
          <w:p>
            <w:r>
              <w:rPr>
                <w:b/>
                <w:color w:val="008000"/>
                <w:sz w:val="17"/>
              </w:rPr>
              <w:t>+1.1%</w:t>
            </w:r>
          </w:p>
        </w:tc>
      </w:tr>
      <w:tr>
        <w:tc>
          <w:tcPr>
            <w:tcW w:type="dxa" w:w="1440"/>
            <w:shd w:fill="FAFAFA" w:val="clear"/>
          </w:tcPr>
          <w:p>
            <w:r>
              <w:rPr>
                <w:sz w:val="17"/>
              </w:rPr>
              <w:t>J+9  Moyenne</w:t>
            </w:r>
          </w:p>
        </w:tc>
        <w:tc>
          <w:tcPr>
            <w:tcW w:type="dxa" w:w="1440"/>
            <w:shd w:fill="FAFAFA" w:val="clear"/>
          </w:tcPr>
          <w:p>
            <w:r>
              <w:rPr>
                <w:sz w:val="17"/>
              </w:rPr>
              <w:t>2026-11-02</w:t>
            </w:r>
          </w:p>
        </w:tc>
        <w:tc>
          <w:tcPr>
            <w:tcW w:type="dxa" w:w="1440"/>
            <w:shd w:fill="FAFAFA" w:val="clear"/>
          </w:tcPr>
          <w:p>
            <w:r>
              <w:rPr>
                <w:sz w:val="17"/>
              </w:rPr>
              <w:t>15,245</w:t>
            </w:r>
          </w:p>
        </w:tc>
        <w:tc>
          <w:tcPr>
            <w:tcW w:type="dxa" w:w="1440"/>
            <w:shd w:fill="FAFAFA" w:val="clear"/>
          </w:tcPr>
          <w:p>
            <w:r>
              <w:rPr>
                <w:b/>
                <w:sz w:val="17"/>
              </w:rPr>
              <w:t>16,406</w:t>
            </w:r>
          </w:p>
        </w:tc>
        <w:tc>
          <w:tcPr>
            <w:tcW w:type="dxa" w:w="1440"/>
            <w:shd w:fill="FAFAFA" w:val="clear"/>
          </w:tcPr>
          <w:p>
            <w:r>
              <w:rPr>
                <w:sz w:val="17"/>
              </w:rPr>
              <w:t>17,568</w:t>
            </w:r>
          </w:p>
        </w:tc>
        <w:tc>
          <w:tcPr>
            <w:tcW w:type="dxa" w:w="1440"/>
            <w:shd w:fill="FAFAFA" w:val="clear"/>
          </w:tcPr>
          <w:p>
            <w:r>
              <w:rPr>
                <w:b/>
                <w:color w:val="008000"/>
                <w:sz w:val="17"/>
              </w:rPr>
              <w:t>+1.3%</w:t>
            </w:r>
          </w:p>
        </w:tc>
      </w:tr>
      <w:tr>
        <w:tc>
          <w:tcPr>
            <w:tcW w:type="dxa" w:w="1440"/>
            <w:shd w:fill="FAFAFA" w:val="clear"/>
          </w:tcPr>
          <w:p>
            <w:r>
              <w:rPr>
                <w:sz w:val="17"/>
              </w:rPr>
              <w:t>J+10  Moyenne</w:t>
            </w:r>
          </w:p>
        </w:tc>
        <w:tc>
          <w:tcPr>
            <w:tcW w:type="dxa" w:w="1440"/>
            <w:shd w:fill="FAFAFA" w:val="clear"/>
          </w:tcPr>
          <w:p>
            <w:r>
              <w:rPr>
                <w:sz w:val="17"/>
              </w:rPr>
              <w:t>2026-11-03</w:t>
            </w:r>
          </w:p>
        </w:tc>
        <w:tc>
          <w:tcPr>
            <w:tcW w:type="dxa" w:w="1440"/>
            <w:shd w:fill="FAFAFA" w:val="clear"/>
          </w:tcPr>
          <w:p>
            <w:r>
              <w:rPr>
                <w:sz w:val="17"/>
              </w:rPr>
              <w:t>15,202</w:t>
            </w:r>
          </w:p>
        </w:tc>
        <w:tc>
          <w:tcPr>
            <w:tcW w:type="dxa" w:w="1440"/>
            <w:shd w:fill="FAFAFA" w:val="clear"/>
          </w:tcPr>
          <w:p>
            <w:r>
              <w:rPr>
                <w:b/>
                <w:sz w:val="17"/>
              </w:rPr>
              <w:t>16,428</w:t>
            </w:r>
          </w:p>
        </w:tc>
        <w:tc>
          <w:tcPr>
            <w:tcW w:type="dxa" w:w="1440"/>
            <w:shd w:fill="FAFAFA" w:val="clear"/>
          </w:tcPr>
          <w:p>
            <w:r>
              <w:rPr>
                <w:sz w:val="17"/>
              </w:rPr>
              <w:t>17,653</w:t>
            </w:r>
          </w:p>
        </w:tc>
        <w:tc>
          <w:tcPr>
            <w:tcW w:type="dxa" w:w="1440"/>
            <w:shd w:fill="FAFAFA" w:val="clear"/>
          </w:tcPr>
          <w:p>
            <w:r>
              <w:rPr>
                <w:b/>
                <w:color w:val="008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RAPPORT D'ANALYSE FINANCIÈRE — ECOBANK CÔTE D'IVOIRE (ECOC)</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Ecobank Côte d'Ivoire affiche une capitalisation boursière de 891,82 milliards FCFA, un niveau qui la place parmi les valeurs les plus importantes de la cote BRVM, témoignant de sa stature de banque systémique de l'UEMOA. Le BPA de 1 153 FCFA par action signifie que chaque titre génère un bénéfice net de plus de mille francs, un niveau confortable pour une valeur bancaire. Le PER de 14,0x se situe au-dessus de la moyenne BRVM (généralement 8-12x), traduisant une prime de qualité que le marché consent pour cette banque, mais qui reste modérée au regard de ses standards de rentabilité. Le P/B de 4,08x constitue en revanche le point d'attention majeur : le marché valorise l'action à plus de quatre fois sa valeur comptable, une prime exigeante qui intègre la forte rentabilité des fonds propres (ROE ~29%) mais qui limite la marge de sécurité en cas de dégradation. Enfin, l'EV/EBITDA de 13,8x, dans la fourchette haute (10-15x), confirme une valorisation tendue par rapport à la capacité opérationnelle, cohérente avec le profil premium de la valeur.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ECOC a enregistré une variation quasi nulle de -0,55%, avec une dernière séance stable à +0,00%, s'établissant à 16 200 FCFA. Le titre a évolué dans un couloir de trading resserré entre un plus bas de 15 715 FCFA et un plus haut de 17 725 FCFA, soit un range d'environ 12,8% — une amplitude contenue qui traduit une phase de consolidation plutôt qu'une tendance directionnelle marquée. La tendance générale est donc stable, avec une légère inclinaison baissière, le cours actuel (16 200 FCFA) se situant sous la moyenne (16 586 FCFA) et la médiane (16 620 FCFA). Les statistiques descriptives révèlent une distribution remarquablement symétrique : l'écart entre moyenne et médiane est minime (34 FCFA), le skewness de 0,191 confirme cette symétrie, et le kurtosis de -0,399 (mésokurtique) indique une distribution proche de la normale, sans risque de pics extrêmes. L'écart-type de 452 FCFA avec un coefficient de variation de seulement 2,7% démontre une dispersion très faible du cours autour de sa moyenne — un comportement de valeur défensive. La volatilité annualisée de 25,5% se situe dans la fourchette modérée (15-30%), cohérente avec une action bancaire de qualité mais sans excès de risque de marché.</w:t>
      </w:r>
    </w:p>
    <w:p>
      <w:pPr>
        <w:spacing w:after="120" w:line="276" w:lineRule="auto"/>
      </w:pPr>
      <w:r>
        <w:t>---</w:t>
      </w:r>
    </w:p>
    <w:p>
      <w:pPr>
        <w:spacing w:after="120" w:line="276" w:lineRule="auto"/>
      </w:pPr>
      <w:r>
        <w:t>## PARTIE 2 : ANALYSE TECHNIQUE DÉTAILLÉE</w:t>
      </w:r>
    </w:p>
    <w:p>
      <w:pPr>
        <w:spacing w:after="120" w:line="276" w:lineRule="auto"/>
      </w:pPr>
      <w:r>
        <w:t>**Moyennes Mobiles :** La MM20 (16 576,5 FCFA) et la MM50 (16 737,1 FCFA) se situent toutes deux au-dessus du cours actuel (16 200 FCFA), avec une MM20 inférieure à la MM50 — configuration baissière caractéristique. Le cours évoluant sous ses deux moyennes, la pression vendeuse domine et justifie la décision technique de **Vente**.</w:t>
      </w:r>
    </w:p>
    <w:p>
      <w:pPr>
        <w:spacing w:after="120" w:line="276" w:lineRule="auto"/>
      </w:pPr>
      <w:r>
        <w:t>**Bandes de Bollinger :** Le cours (16 200 FCFA) se positionne dans la moitié inférieure de la bande, entre la borne inférieure (15 831,7 FCFA) et la borne supérieure (17 321,3 FCFA), sans contact avec les extrêmes. Cette position centrale, couplée à un rétrécissement des bandes, signale une faible volatilité et une absence de signal directionnel fort, justifiant la décision **Neutre**.</w:t>
      </w:r>
    </w:p>
    <w:p>
      <w:pPr>
        <w:spacing w:after="120" w:line="276" w:lineRule="auto"/>
      </w:pPr>
      <w:r>
        <w:t>**MACD :** La ligne MACD (-214,369) est inférieure à sa ligne de signal (-146,245), confirmant un momentum baissier persistant. L'écart négatif entre les deux lignes traduit une dynamique descendante encore active, ce qui justifie la décision de **Vente**.</w:t>
      </w:r>
    </w:p>
    <w:p>
      <w:pPr>
        <w:spacing w:after="120" w:line="276" w:lineRule="auto"/>
      </w:pPr>
      <w:r>
        <w:t>**RSI :** À 32,239, le RSI se situe juste au-dessus du seuil de survente (30), dans une zone neutre basse. Le titre n'est pas encore techniquement survendu mais s'en approche, suggérant une pression baissière modérée sans signal d'achat contrarien, d'où la décision **Neutre**.</w:t>
      </w:r>
    </w:p>
    <w:p>
      <w:pPr>
        <w:spacing w:after="120" w:line="276" w:lineRule="auto"/>
      </w:pPr>
      <w:r>
        <w:t>**Stochastique :** Le %K (32,086) est supérieur au %D (21,39), avec un croisement récent qui pourrait amorcer un timide rebond depuis la zone de survente. Toutefois, les deux courbes restent en territoire bas, maintenant la décision **Neutre** en l'absence de confirmation haussière franche.</w:t>
      </w:r>
    </w:p>
    <w:p>
      <w:pPr>
        <w:spacing w:after="120" w:line="276" w:lineRule="auto"/>
      </w:pPr>
      <w:r>
        <w:t>**Conclusion technique :** L'ensemble des indicateurs penche majoritairement vers une configuration baissière modérée : cours sous les moyennes mobiles, MACD négatif, RSI proche de la survente et stochastique en zone basse. Aucun signal d'achat convergent n'émerge, mais la proximité de la survente et le positionnement central dans les bandes de Bollinger limitent le potentiel de baisse immédiat. Le titre se trouve dans une phase de consolidation baissière sans catalyseur technique haussier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ECOC affiche un Produit Net Bancaire (équivalent du chiffre d'affaires bancaire) de 132,725 milliards FCFA, un résultat net de 63,482 milliards FCFA et des capitaux propres de 218,573 milliards FCFA pour un total bilan de 2 054,491 milliards FCFA. Les ratios de rentabilité sont exceptionnels : ROE de 29,04% (très au-dessus du seuil de 15% considéré comme excellent) et ROA de 3,09%. Le coefficient d'exploitation de 42,89% place la banque dans la catégorie des établissements très efficaces (&lt;50%), et la marge nette de 47,83% témoigne d'une profitabilité remarquable. Le coût du risque rapporté aux charges financières s'établit à 1,36%, un niveau modéré nécessitant surveillance. La structure financière révèle une autonomie financière de 10,64% (faible au regard du seuil de 30%, mais normale pour une banque dont le modèle repose sur les dépôts) et un ratio d'endettement de 69,63%, avec une solvabilité générale de 111,9% (&gt;1, donc solvable). Le ratio dépôts/crédits s'établit à environ 64,7% (1 626 Mds de dépôts pour 1 051 Mds de créances), traduisant une capacité de transformation importante et une marge de déploiement du crédit.</w:t>
      </w:r>
    </w:p>
    <w:p>
      <w:pPr>
        <w:spacing w:after="120" w:line="276" w:lineRule="auto"/>
      </w:pPr>
      <w:r>
        <w:t>**Évolution temporelle et estimations :** Les rapports narratifs confirment une trajectoire de croissance solide. Le rapport annuel 2024 (publié le 31/12/2024) indiquait un PNB de 122,3 Mds (+11,0%) et un résultat net de 57,5 Mds (+19,6%), avec un ROE de 28,8% et un dividende de 804 FCFA/action. Le rapport S1 2026 (publié le 26/08/2026) montre un PNB de 64,078 Mds (+2,0%) mais un résultat net en repli de 8,6% à 26,408 Mds, pénalisé par un coût du risque multiplié par 7,4 (5,197 Mds contre 0,700 Md), avec un ROE de 26,9% et un coefficient d'exploitation de 45,2%. Le rapport T1 2026 confirme cette tendance (PNB +3,7%, résultat net -1,6%, ROE 23,0%). **Sur cette base, on estime que l'exercice 2026 devrait afficher un ralentissement de la croissance du résultat net (potentiellement -5% à -10% en glissement annuel), le provisionnement prudent pesant sur la rentabilité, mais les fondamentaux restent solides.** L'avis de convocation à l'AGO du 28/04/2026 (DOC 1) confirme un dividende de 888 FCFA brut/action (781 FCFA net), en hausse de 10,4% sur 2024, offrant un rendement d'environ 5,5% au cours actuel — un signal fort de confiance de la direction malgré le contexte.</w:t>
      </w:r>
    </w:p>
    <w:p>
      <w:pPr>
        <w:spacing w:after="120" w:line="276" w:lineRule="auto"/>
      </w:pPr>
      <w:r>
        <w:t>**Conclusion fondamentale :** ECOC demeure une banque de très haute qualité, avec des ratios de rentabilité parmi les meilleurs du secteur, une efficacité opérationnelle exemplaire et une politique actionnariale généreuse. Les risques identifiés — hausse du coût du risque, contraction des produits hors intérêts, dépendance aux revenus d'intérêts — sont réels mais semblent conjoncturels et volontairement provisionnés. La recommandation fondamentale est **CONSERVER**, avec un biais positif si le coût du risque se normalise au second semestre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(Partie 0)** : le PER de 14,0x et surtout le P/B de 4,08x indiquent une valorisation exigeante, intégrant déjà la prime de qualité, avec une marge de sécurité limitée. **Comportement du cours (Partie 1)** : la tendance est stable à légèrement baissière (-0,55%), avec une volatilité modérée (25,5%) et des statistiques rassurantes (distribution symétrique, kurtosis normal) — un comportement défensif mais sans dynamique haussière. **Signaux techniques (Partie 2)** : les indicateurs convergent majoritairement vers une pression baissière modérée (cours sous MM, MACD négatif), sans signal d'achat, mais la proximité de la survente limite le potentiel de baisse. **Fondamentaux (Partie 3)** : la solidité est indéniable (ROE 29%, coefficient d'exploitation 43%, dividende en hausse à 888 FCFA), mais le ralentissement du résultat net au S1 2026 et la montée du coût du risque tempèrent l'enthousiasme. **Prédictions IA (J+1 à J+10)** : la trajectoire prédite (16 224 → 16 319 FCFA, soit +0,7% sur 10 jours) suggère une légère reprise technique, cohérente avec le rebond du stochastique mais en contradiction avec le MACD baissier. Face à cette convergence partielle — fondamentaux solides mais valorisation tendue, technique baissière mais prédiction légèrement haussière — la recommandation finale est **CONSERVER**, avec un niveau de confiance **Moyen** et un niveau de risque global **Moyen**. L'horizon d'investissement optimal est le **moyen terme (3-12 mois)**, le temps que le coût du risque se normalise et que la valorisation se justifie par la confirmation des résultats. Un passage à **ACHAT** serait justifié si le cours revenait vers 15 500-15 700 FCFA (zone de support et de survente) ou si le S2 2026 confirmait la stabilisation du provisionnement ; à l'inverse, une **VENTE** se justifierait si le P/B restait supérieur à 4x avec une dégradation continue du coût du risque.</w:t>
      </w:r>
    </w:p>
    <w:p>
      <w:pPr>
        <w:spacing w:after="120" w:line="276" w:lineRule="auto"/>
      </w:pPr>
      <w:r>
        <w:t>---</w:t>
      </w:r>
    </w:p>
    <w:p>
      <w:pPr>
        <w:spacing w:after="120" w:line="276" w:lineRule="auto"/>
      </w:pPr>
      <w:r>
        <w:t>*Rapport généré à partir des données officielles BRVM (exercice 2025), des rapports narratifs (annuel 2024, T1/S1 2026) et des indicateurs techniques au 20 octobre 2026. Les prédictions IA sont indicatives et ne constituent pas une garantie de performance.*</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1,708,909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+116.67%</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30 FCFA</w:t>
            </w:r>
          </w:p>
          <w:p>
            <w:r>
              <w:rPr>
                <w:b/>
                <w:color w:val="503200"/>
                <w:sz w:val="16"/>
              </w:rPr>
              <w:t xml:space="preserve">Volatilité ann. : </w:t>
            </w:r>
            <w:r>
              <w:rPr>
                <w:color w:val="000000"/>
                <w:sz w:val="17"/>
              </w:rPr>
              <w:t>61.3%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25.21% (Élevée) — μ=59 FCFA, σ=15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β=1.9993 (Très agressif) — Cov=0.000156, Var(idx)=0.000078, ρ=0.453,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1,708,909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σ_j=3.86%/j (Modérée) — Vol. annualisée≈61.3%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63</w:t>
            </w:r>
          </w:p>
        </w:tc>
        <w:tc>
          <w:tcPr>
            <w:tcW w:type="dxa" w:w="1440"/>
            <w:shd w:fill="FAFAFA" w:val="clear"/>
          </w:tcPr>
          <w:p>
            <w:r>
              <w:rPr>
                <w:b/>
                <w:sz w:val="17"/>
              </w:rPr>
              <w:t>65</w:t>
            </w:r>
          </w:p>
        </w:tc>
        <w:tc>
          <w:tcPr>
            <w:tcW w:type="dxa" w:w="1440"/>
            <w:shd w:fill="FAFAFA" w:val="clear"/>
          </w:tcPr>
          <w:p>
            <w:r>
              <w:rPr>
                <w:sz w:val="17"/>
              </w:rPr>
              <w:t>67</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2026-10-22</w:t>
            </w:r>
          </w:p>
        </w:tc>
        <w:tc>
          <w:tcPr>
            <w:tcW w:type="dxa" w:w="1440"/>
            <w:shd w:fill="FAFAFA" w:val="clear"/>
          </w:tcPr>
          <w:p>
            <w:r>
              <w:rPr>
                <w:sz w:val="17"/>
              </w:rPr>
              <w:t>62</w:t>
            </w:r>
          </w:p>
        </w:tc>
        <w:tc>
          <w:tcPr>
            <w:tcW w:type="dxa" w:w="1440"/>
            <w:shd w:fill="FAFAFA" w:val="clear"/>
          </w:tcPr>
          <w:p>
            <w:r>
              <w:rPr>
                <w:b/>
                <w:sz w:val="17"/>
              </w:rPr>
              <w:t>65</w:t>
            </w:r>
          </w:p>
        </w:tc>
        <w:tc>
          <w:tcPr>
            <w:tcW w:type="dxa" w:w="1440"/>
            <w:shd w:fill="FAFAFA" w:val="clear"/>
          </w:tcPr>
          <w:p>
            <w:r>
              <w:rPr>
                <w:sz w:val="17"/>
              </w:rPr>
              <w:t>68</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61</w:t>
            </w:r>
          </w:p>
        </w:tc>
        <w:tc>
          <w:tcPr>
            <w:tcW w:type="dxa" w:w="1440"/>
            <w:shd w:fill="FAFAFA" w:val="clear"/>
          </w:tcPr>
          <w:p>
            <w:r>
              <w:rPr>
                <w:b/>
                <w:sz w:val="17"/>
              </w:rPr>
              <w:t>65</w:t>
            </w:r>
          </w:p>
        </w:tc>
        <w:tc>
          <w:tcPr>
            <w:tcW w:type="dxa" w:w="1440"/>
            <w:shd w:fill="FAFAFA" w:val="clear"/>
          </w:tcPr>
          <w:p>
            <w:r>
              <w:rPr>
                <w:sz w:val="17"/>
              </w:rPr>
              <w:t>69</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61</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2026-10-27</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2026-10-28</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2026-10-29</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2026-10-30</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2026-11-02</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2026-11-03</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 RAPPORT D'ANALYSE FINANCIÈRE — ETIT (Ecobank Transnational Incorporated)</w:t>
        <w:br/>
        <w:t>### BRVM | Secteur Bancaire | Données au 21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1 175,47 milliards FCFA, ETIT figure parmi les valeurs les plus capitalisées de la BRVM, ce qui en fait un pilier de l'indice régional et un titre de référence pour les investisseurs institutionnels. Le BPA de 19 FCFA par action signifie que chaque titre génère près de 19 FCFA de bénéfice net, un niveau qui, rapporté au cours actuel de 65 FCFA, donne un PER de seulement 3,4x — très en dessous de la moyenne BRVM (8-12x), signalant une sous-évaluation manifeste ou une forte décote de risque. Le P/B de 0,74x indique que le marché valorise la banque à 26% en dessous de sa valeur comptable, une anomalie qui constitue historiquement une zone d'opportunité pour les investisseurs value. Enfin, l'EV/EBITDA de 4,9x (sous le seuil de 5x) confirme que la valeur d'entreprise reste très modérée au regard de la capacité opérationnelle générée, renforçant le diagnostic d'un titre bon marché sur l'ensemble des métriques disponibles.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enregistré une variation totale spectaculaire de +116,67%, passant d'un plus bas de 30 FCFA à un plus haut de 78 FCFA, avant de se stabiliser à 65 FCFA lors de la dernière séance (variation J-1 de 0,00%). Cette performance exceptionnelle traduit une tendance haussière de fond, mais le repli depuis le sommet de 78 FCFA suggère une phase de consolidation ou de prise de bénéfices après le rallye. Les statistiques descriptives révèlent une moyenne de 59 FCFA contre une médiane de 66 FCFA : cet écart significatif confirme une distribution asymétrique, avec davantage de séances passées au-dessus de la moyenne (cohérent avec le skewness de -0,990, asymétrie négative). L'écart-type de 15 FCFA (CV de 25,3%) indique une dispersion modérée à élevée du cours autour de sa moyenne, tandis que le kurtosis de -0,724 (mésokurtique) suggère une distribution proche de la normale, sans risque excessif de pics extrêmes. La volatilité annualisée de 61,3% classe le titre dans la catégorie des valeurs très volatiles (&gt;30%), ce qui est cohérent avec un mouvement de +116% sur trois mois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(66,6 FCFA) et la MM50 (67,58 FCFA) se situent toutes deux au-dessus du cours actuel (65 FCFA), configurant une pression baissière de court terme. La MM20 étant légèrement sous la MM50, on observe un début de croisement baissier qui justifie la décision technique de **Vente** : le titre évolue sous ses moyennes de référence, signe d'une perte de momentum haussier.</w:t>
      </w:r>
    </w:p>
    <w:p>
      <w:pPr>
        <w:spacing w:after="120" w:line="276" w:lineRule="auto"/>
      </w:pPr>
      <w:r>
        <w:t>**Bandes de Bollinger** : Le cours (65 FCFA) se situe dans la partie basse de la bande, entre la borne inférieure (63,33 FCFA) et la borne supérieure (69,87 FCFA), sans franchissement de seuil. Cette position centrale-basse, avec un prix proche de la borne inférieure, traduit une volatilité contenue et une absence de signal directionnel fort, justifiant la décision **Neutre** : le titre n'est ni en survente extrême ni en surachat.</w:t>
      </w:r>
    </w:p>
    <w:p>
      <w:pPr>
        <w:spacing w:after="120" w:line="276" w:lineRule="auto"/>
      </w:pPr>
      <w:r>
        <w:t>**MACD** : La valeur du MACD (-0,859) est inférieure à sa ligne de signal (-0,66), et les deux restent en territoire négatif. Cette configuration baissière indique un momentum négatif persistant, avec une divergence défavorable qui confirme la décision de **Vente** : la dynamique de court terme reste orientée à la baisse malgré la stabilisation du cours.</w:t>
      </w:r>
    </w:p>
    <w:p>
      <w:pPr>
        <w:spacing w:after="120" w:line="276" w:lineRule="auto"/>
      </w:pPr>
      <w:r>
        <w:t>**RSI** : À 30,0 exactement, le RSI se situe à la frontière de la zone de survente (seuil &lt;30). Cette valeur charnière signale que le titre est proche d'un épuisement baissier, mais sans encore basculer en survente franche, ce qui justifie la décision **Neutre** : un rebond technique est possible mais non confirmé.</w:t>
      </w:r>
    </w:p>
    <w:p>
      <w:pPr>
        <w:spacing w:after="120" w:line="276" w:lineRule="auto"/>
      </w:pPr>
      <w:r>
        <w:t>**Stochastique** : Le %K et le %D sont tous deux à 0,0, positionnant le titre au plancher absolu de l'indicateur. Cette configuration extrême de survente totale, avec un croisement potentiel à venir, justifie la décision d'**Achat** : historiquement, un stochastique à 0 précède souvent un rebond technique à court terme.</w:t>
      </w:r>
    </w:p>
    <w:p>
      <w:pPr>
        <w:spacing w:after="120" w:line="276" w:lineRule="auto"/>
      </w:pPr>
      <w:r>
        <w:t>**Conclusion technique** : Les indicateurs présentent une divergence notable — les moyennes mobiles et le MACD confirment une tendance baissière de court terme, tandis que le RSI (30,0) et surtout le stochastique (0,0) signalent une survente extrême propice à un rebond. Les Bandes de Bollinger restent neutres. Cette configuration mixte suggère un titre en fin de correction, où le potentiel de rebond technique existe mais nécessite une confirmation par le volume et le franchissement de la MM20 (66,6 FCFA) pour valider un retournement.</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ETIT affiche un Produit Net Bancaire (équivalent du chiffre d'affaires bancaire) de 1 424,261 milliards FCFA, un résultat net de 345,523 milliards FCFA et des capitaux propres de 1 597,846 milliards FCFA. La rentabilité est excellente avec un ROE de 21,62% (largement supérieur au seuil de 15%) et un ROA de 1,80%, tandis que le coefficient d'exploitation de 27,35% témoigne d'une efficacité opérationnelle remarquable (très en dessous du seuil de 60%). Le coût du risque rapporté aux charges financières s'établit à 18,97%, un niveau élevé signalant un risque de crédit significatif à surveiller. La structure de bilan révèle une forte dépendance aux dépôts clientèle (14 120,139 milliards FCFA) face à des créances clientèle de 6 570,385 milliards FCFA, soit un ratio de transformation d'environ 47% — une banque davantage collectrice que prêteuse, avec une marge de manœuvre importante pour développer le crédit. L'autonomie financière est faible (8,30%), reflet du modèle bancaire à fort levier, mais la solvabilité générale (109,06%) reste supérieure à 1, donc techniquement solvable.</w:t>
      </w:r>
    </w:p>
    <w:p>
      <w:pPr>
        <w:spacing w:after="120" w:line="276" w:lineRule="auto"/>
      </w:pPr>
      <w:r>
        <w:t>**Estimations basées sur les rapports 2026** : Les rapports semestriels du 30 juin 2026 (analysés le 30 juillet 2026) confirment une dynamique solide : PNB de 721,318 milliards FCFA (+15% sur un an), résultat net consolidé de 166,682 milliards FCFA (+6%), BPA de 0,80 $EU (+2%) et coefficient d'exploitation amélioré à 48,4%. Le rapport T1 2026 (PNB +23%, résultat net +16%) et le rapport S1 2026 permettent d'estimer que l'exercice 2026 devrait maintenir une croissance à deux chiffres du PNB, avec toutefois une vigilance sur le coût du risque (+40% au S1 2026, +73% au T1), principal signal d'alerte. Les recommandations des sources oscillent entre « acheter » (S1 2026) et « conserver » (T1 2026), reflétant la tension entre croissance robuste et montée des provisions.</w:t>
      </w:r>
    </w:p>
    <w:p>
      <w:pPr>
        <w:spacing w:after="120" w:line="276" w:lineRule="auto"/>
      </w:pPr>
      <w:r>
        <w:t>**Recommandation fondamentale** : La solidité financière d'ETIT est indéniable (ROE &gt;20%, efficacité opérationnelle exceptionnelle, croissance du PNB à deux chiffres), mais les risques de crédit (coût du risque en hausse) et la faible autonomie financière tempèrent l'enthousiasme. La valorisation très décotée (PER 3,4x, P/B 0,74x) offre une marge de sécurité substantielle pour un investisseur de long terme.</w:t>
      </w:r>
    </w:p>
    <w:p>
      <w:pPr>
        <w:spacing w:after="120" w:line="276" w:lineRule="auto"/>
      </w:pPr>
      <w:r>
        <w:t>---</w:t>
      </w:r>
    </w:p>
    <w:p>
      <w:pPr>
        <w:spacing w:after="120" w:line="276" w:lineRule="auto"/>
      </w:pPr>
      <w:r>
        <w:t>## PARTIE 4 : CONCLUSION D'INVESTISSEMENT</w:t>
      </w:r>
    </w:p>
    <w:p>
      <w:pPr>
        <w:spacing w:after="120" w:line="276" w:lineRule="auto"/>
      </w:pPr>
      <w:r>
        <w:t>La convergence des quatre dimensions analysées plaide pour une **opportunité d'achat à moyen terme, avec une entrée progressive**. Sur le plan de la **valorisation (Partie 0)**, les ratios PER (3,4x), P/B (0,74x) et EV/EBITDA (4,9x) indiquent tous une sous-évaluation marquée par rapport aux standards du marché, offrant une marge de sécurité rare. Le **comportement du cours (Partie 1)** est ambivalent : la tendance de fond est spectaculairement haussière (+116,67%), mais la volatilité élevée (61,3%) et le skewness négatif (-0,990) signalent un risque de correction après le rallye, la consolidation actuelle autour de 65 FCFA étant cohérente avec une prise de bénéfices. Les **signaux techniques (Partie 2)** sont divergents : baissiers sur les moyennes mobiles et le MACD, mais extrêmement survendus sur le stochastique (0,0) et le RSI (30,0), ce qui suggère un potentiel de rebond technique à court terme sans confirmation de retournement durable. Les **fondamentaux (Partie 3)** demeurent solides : ROE de 21,62% en 2025, PNB en croissance de +15% au S1 2026, coefficient d'exploitation de 27,35% (2025) — malgré un coût du risque croissant qui constitue le principal point de vigilance. Enfin, les **prédictions IA (J+1 à J+10)** anticipent une stricte stabilité à 65 FCFA sur les cinq séances projetées (21 au 27 octobre 2026), ce qui contredit la survente technique et suggère que le marché pourrait rester en consolidation avant tout rebond.</w:t>
      </w:r>
    </w:p>
    <w:p>
      <w:pPr>
        <w:spacing w:after="120" w:line="276" w:lineRule="auto"/>
      </w:pPr>
      <w:r>
        <w:t>**Recommandation finale : CONSERVER avec biais ACHAT progressif** — La sous-évaluation fondamentale et la solidité des ratios (ROE, coefficient d'exploitation) justifient une exposition, mais la divergence technique (MACD baissier vs stochastique en survente) et la volatilité élevée imposent la prudence sur le timing d'entrée. **Niveau de confiance : Moyen** (les fondamentaux sont solides mais le coût du risque croissant et la divergence technique limitent la visibilité). **Niveau de risque global : Moyen à Élevé** (volatilité de 61,3%, dépendance aux dépôts, coût du risque en hausse). **Horizon d'investissement optimal : moyen à long terme (6-18 mois)**, le temps que la consolidation technique s'achève et que la maîtrise du coût du risque se confirme au second semestre 2026, avec un objectif de cours à 78 FCFA (plus haut récent) en cas de retournement validé.</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25.46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4,200 titres</w:t>
            </w:r>
          </w:p>
        </w:tc>
        <w:tc>
          <w:tcPr>
            <w:tcW w:type="dxa" w:w="2268"/>
            <w:shd w:fill="FFF2CC" w:val="clear"/>
          </w:tcPr>
          <w:p>
            <w:r>
              <w:rPr>
                <w:b/>
                <w:color w:val="503200"/>
                <w:sz w:val="16"/>
              </w:rPr>
              <w:t xml:space="preserve">Cours actuel : </w:t>
            </w:r>
            <w:r>
              <w:rPr>
                <w:color w:val="000000"/>
                <w:sz w:val="17"/>
              </w:rPr>
              <w:t>1,805 FCFA</w:t>
            </w:r>
          </w:p>
          <w:p>
            <w:r>
              <w:rPr>
                <w:b/>
                <w:color w:val="503200"/>
                <w:sz w:val="16"/>
              </w:rPr>
              <w:t xml:space="preserve">Var. 100 jours : </w:t>
            </w:r>
            <w:r>
              <w:rPr>
                <w:b/>
                <w:color w:val="B40000"/>
                <w:sz w:val="17"/>
              </w:rPr>
              <w:t>-22.86%</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1,800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6.72% (Moyenne) — μ=2,063 FCFA, σ=139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β=0.4925 (Défensif) — Cov=0.000038, Var(idx)=0.000078, ρ=0.194,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4,200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1,716</w:t>
            </w:r>
          </w:p>
        </w:tc>
        <w:tc>
          <w:tcPr>
            <w:tcW w:type="dxa" w:w="1440"/>
            <w:shd w:fill="FAFAFA" w:val="clear"/>
          </w:tcPr>
          <w:p>
            <w:r>
              <w:rPr>
                <w:b/>
                <w:sz w:val="17"/>
              </w:rPr>
              <w:t>1,793</w:t>
            </w:r>
          </w:p>
        </w:tc>
        <w:tc>
          <w:tcPr>
            <w:tcW w:type="dxa" w:w="1440"/>
            <w:shd w:fill="FAFAFA" w:val="clear"/>
          </w:tcPr>
          <w:p>
            <w:r>
              <w:rPr>
                <w:sz w:val="17"/>
              </w:rPr>
              <w:t>1,870</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1,673</w:t>
            </w:r>
          </w:p>
        </w:tc>
        <w:tc>
          <w:tcPr>
            <w:tcW w:type="dxa" w:w="1440"/>
            <w:shd w:fill="FAFAFA" w:val="clear"/>
          </w:tcPr>
          <w:p>
            <w:r>
              <w:rPr>
                <w:b/>
                <w:sz w:val="17"/>
              </w:rPr>
              <w:t>1,781</w:t>
            </w:r>
          </w:p>
        </w:tc>
        <w:tc>
          <w:tcPr>
            <w:tcW w:type="dxa" w:w="1440"/>
            <w:shd w:fill="FAFAFA" w:val="clear"/>
          </w:tcPr>
          <w:p>
            <w:r>
              <w:rPr>
                <w:sz w:val="17"/>
              </w:rPr>
              <w:t>1,889</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1,637</w:t>
            </w:r>
          </w:p>
        </w:tc>
        <w:tc>
          <w:tcPr>
            <w:tcW w:type="dxa" w:w="1440"/>
            <w:shd w:fill="FAFAFA" w:val="clear"/>
          </w:tcPr>
          <w:p>
            <w:r>
              <w:rPr>
                <w:b/>
                <w:sz w:val="17"/>
              </w:rPr>
              <w:t>1,769</w:t>
            </w:r>
          </w:p>
        </w:tc>
        <w:tc>
          <w:tcPr>
            <w:tcW w:type="dxa" w:w="1440"/>
            <w:shd w:fill="FAFAFA" w:val="clear"/>
          </w:tcPr>
          <w:p>
            <w:r>
              <w:rPr>
                <w:sz w:val="17"/>
              </w:rPr>
              <w:t>1,901</w:t>
            </w:r>
          </w:p>
        </w:tc>
        <w:tc>
          <w:tcPr>
            <w:tcW w:type="dxa" w:w="1440"/>
            <w:shd w:fill="FAFAFA"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2026-10-26</w:t>
            </w:r>
          </w:p>
        </w:tc>
        <w:tc>
          <w:tcPr>
            <w:tcW w:type="dxa" w:w="1440"/>
            <w:shd w:fill="FFDCE0" w:val="clear"/>
          </w:tcPr>
          <w:p>
            <w:r>
              <w:rPr>
                <w:sz w:val="17"/>
              </w:rPr>
              <w:t>1,606</w:t>
            </w:r>
          </w:p>
        </w:tc>
        <w:tc>
          <w:tcPr>
            <w:tcW w:type="dxa" w:w="1440"/>
            <w:shd w:fill="FFDCE0" w:val="clear"/>
          </w:tcPr>
          <w:p>
            <w:r>
              <w:rPr>
                <w:b/>
                <w:sz w:val="17"/>
              </w:rPr>
              <w:t>1,757</w:t>
            </w:r>
          </w:p>
        </w:tc>
        <w:tc>
          <w:tcPr>
            <w:tcW w:type="dxa" w:w="1440"/>
            <w:shd w:fill="FFDCE0" w:val="clear"/>
          </w:tcPr>
          <w:p>
            <w:r>
              <w:rPr>
                <w:sz w:val="17"/>
              </w:rPr>
              <w:t>1,908</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2026-10-27</w:t>
            </w:r>
          </w:p>
        </w:tc>
        <w:tc>
          <w:tcPr>
            <w:tcW w:type="dxa" w:w="1440"/>
            <w:shd w:fill="FFDCE0" w:val="clear"/>
          </w:tcPr>
          <w:p>
            <w:r>
              <w:rPr>
                <w:sz w:val="17"/>
              </w:rPr>
              <w:t>1,578</w:t>
            </w:r>
          </w:p>
        </w:tc>
        <w:tc>
          <w:tcPr>
            <w:tcW w:type="dxa" w:w="1440"/>
            <w:shd w:fill="FFDCE0" w:val="clear"/>
          </w:tcPr>
          <w:p>
            <w:r>
              <w:rPr>
                <w:b/>
                <w:sz w:val="17"/>
              </w:rPr>
              <w:t>1,746</w:t>
            </w:r>
          </w:p>
        </w:tc>
        <w:tc>
          <w:tcPr>
            <w:tcW w:type="dxa" w:w="1440"/>
            <w:shd w:fill="FFDCE0" w:val="clear"/>
          </w:tcPr>
          <w:p>
            <w:r>
              <w:rPr>
                <w:sz w:val="17"/>
              </w:rPr>
              <w:t>1,914</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2026-10-28</w:t>
            </w:r>
          </w:p>
        </w:tc>
        <w:tc>
          <w:tcPr>
            <w:tcW w:type="dxa" w:w="1440"/>
            <w:shd w:fill="FFDCE0" w:val="clear"/>
          </w:tcPr>
          <w:p>
            <w:r>
              <w:rPr>
                <w:sz w:val="17"/>
              </w:rPr>
              <w:t>1,552</w:t>
            </w:r>
          </w:p>
        </w:tc>
        <w:tc>
          <w:tcPr>
            <w:tcW w:type="dxa" w:w="1440"/>
            <w:shd w:fill="FFDCE0" w:val="clear"/>
          </w:tcPr>
          <w:p>
            <w:r>
              <w:rPr>
                <w:b/>
                <w:sz w:val="17"/>
              </w:rPr>
              <w:t>1,735</w:t>
            </w:r>
          </w:p>
        </w:tc>
        <w:tc>
          <w:tcPr>
            <w:tcW w:type="dxa" w:w="1440"/>
            <w:shd w:fill="FFDCE0" w:val="clear"/>
          </w:tcPr>
          <w:p>
            <w:r>
              <w:rPr>
                <w:sz w:val="17"/>
              </w:rPr>
              <w:t>1,917</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2026-10-29</w:t>
            </w:r>
          </w:p>
        </w:tc>
        <w:tc>
          <w:tcPr>
            <w:tcW w:type="dxa" w:w="1440"/>
            <w:shd w:fill="FFDCE0" w:val="clear"/>
          </w:tcPr>
          <w:p>
            <w:r>
              <w:rPr>
                <w:sz w:val="17"/>
              </w:rPr>
              <w:t>1,528</w:t>
            </w:r>
          </w:p>
        </w:tc>
        <w:tc>
          <w:tcPr>
            <w:tcW w:type="dxa" w:w="1440"/>
            <w:shd w:fill="FFDCE0" w:val="clear"/>
          </w:tcPr>
          <w:p>
            <w:r>
              <w:rPr>
                <w:b/>
                <w:sz w:val="17"/>
              </w:rPr>
              <w:t>1,724</w:t>
            </w:r>
          </w:p>
        </w:tc>
        <w:tc>
          <w:tcPr>
            <w:tcW w:type="dxa" w:w="1440"/>
            <w:shd w:fill="FFDCE0" w:val="clear"/>
          </w:tcPr>
          <w:p>
            <w:r>
              <w:rPr>
                <w:sz w:val="17"/>
              </w:rPr>
              <w:t>1,920</w:t>
            </w:r>
          </w:p>
        </w:tc>
        <w:tc>
          <w:tcPr>
            <w:tcW w:type="dxa" w:w="1440"/>
            <w:shd w:fill="FFDCE0" w:val="clear"/>
          </w:tcPr>
          <w:p>
            <w:r>
              <w:rPr>
                <w:b/>
                <w:color w:val="C00000"/>
                <w:sz w:val="17"/>
              </w:rPr>
              <w:t>-4.5%</w:t>
            </w:r>
          </w:p>
        </w:tc>
      </w:tr>
      <w:tr>
        <w:tc>
          <w:tcPr>
            <w:tcW w:type="dxa" w:w="1440"/>
            <w:shd w:fill="FFDCE0" w:val="clear"/>
          </w:tcPr>
          <w:p>
            <w:r>
              <w:rPr>
                <w:sz w:val="17"/>
              </w:rPr>
              <w:t>J+8  ⭐</w:t>
            </w:r>
          </w:p>
        </w:tc>
        <w:tc>
          <w:tcPr>
            <w:tcW w:type="dxa" w:w="1440"/>
            <w:shd w:fill="FFDCE0" w:val="clear"/>
          </w:tcPr>
          <w:p>
            <w:r>
              <w:rPr>
                <w:sz w:val="17"/>
              </w:rPr>
              <w:t>2026-10-30</w:t>
            </w:r>
          </w:p>
        </w:tc>
        <w:tc>
          <w:tcPr>
            <w:tcW w:type="dxa" w:w="1440"/>
            <w:shd w:fill="FFDCE0" w:val="clear"/>
          </w:tcPr>
          <w:p>
            <w:r>
              <w:rPr>
                <w:sz w:val="17"/>
              </w:rPr>
              <w:t>1,505</w:t>
            </w:r>
          </w:p>
        </w:tc>
        <w:tc>
          <w:tcPr>
            <w:tcW w:type="dxa" w:w="1440"/>
            <w:shd w:fill="FFDCE0" w:val="clear"/>
          </w:tcPr>
          <w:p>
            <w:r>
              <w:rPr>
                <w:b/>
                <w:sz w:val="17"/>
              </w:rPr>
              <w:t>1,713</w:t>
            </w:r>
          </w:p>
        </w:tc>
        <w:tc>
          <w:tcPr>
            <w:tcW w:type="dxa" w:w="1440"/>
            <w:shd w:fill="FFDCE0" w:val="clear"/>
          </w:tcPr>
          <w:p>
            <w:r>
              <w:rPr>
                <w:sz w:val="17"/>
              </w:rPr>
              <w:t>1,921</w:t>
            </w:r>
          </w:p>
        </w:tc>
        <w:tc>
          <w:tcPr>
            <w:tcW w:type="dxa" w:w="1440"/>
            <w:shd w:fill="FFDCE0" w:val="clear"/>
          </w:tcPr>
          <w:p>
            <w:r>
              <w:rPr>
                <w:b/>
                <w:color w:val="C00000"/>
                <w:sz w:val="17"/>
              </w:rPr>
              <w:t>-5.1%</w:t>
            </w:r>
          </w:p>
        </w:tc>
      </w:tr>
      <w:tr>
        <w:tc>
          <w:tcPr>
            <w:tcW w:type="dxa" w:w="1440"/>
            <w:shd w:fill="FFDCE0" w:val="clear"/>
          </w:tcPr>
          <w:p>
            <w:r>
              <w:rPr>
                <w:sz w:val="17"/>
              </w:rPr>
              <w:t>J+9  ⭐</w:t>
            </w:r>
          </w:p>
        </w:tc>
        <w:tc>
          <w:tcPr>
            <w:tcW w:type="dxa" w:w="1440"/>
            <w:shd w:fill="FFDCE0" w:val="clear"/>
          </w:tcPr>
          <w:p>
            <w:r>
              <w:rPr>
                <w:sz w:val="17"/>
              </w:rPr>
              <w:t>2026-11-02</w:t>
            </w:r>
          </w:p>
        </w:tc>
        <w:tc>
          <w:tcPr>
            <w:tcW w:type="dxa" w:w="1440"/>
            <w:shd w:fill="FFDCE0" w:val="clear"/>
          </w:tcPr>
          <w:p>
            <w:r>
              <w:rPr>
                <w:sz w:val="17"/>
              </w:rPr>
              <w:t>1,483</w:t>
            </w:r>
          </w:p>
        </w:tc>
        <w:tc>
          <w:tcPr>
            <w:tcW w:type="dxa" w:w="1440"/>
            <w:shd w:fill="FFDCE0" w:val="clear"/>
          </w:tcPr>
          <w:p>
            <w:r>
              <w:rPr>
                <w:b/>
                <w:sz w:val="17"/>
              </w:rPr>
              <w:t>1,702</w:t>
            </w:r>
          </w:p>
        </w:tc>
        <w:tc>
          <w:tcPr>
            <w:tcW w:type="dxa" w:w="1440"/>
            <w:shd w:fill="FFDCE0" w:val="clear"/>
          </w:tcPr>
          <w:p>
            <w:r>
              <w:rPr>
                <w:sz w:val="17"/>
              </w:rPr>
              <w:t>1,922</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2026-11-03</w:t>
            </w:r>
          </w:p>
        </w:tc>
        <w:tc>
          <w:tcPr>
            <w:tcW w:type="dxa" w:w="1440"/>
            <w:shd w:fill="FFDCE0" w:val="clear"/>
          </w:tcPr>
          <w:p>
            <w:r>
              <w:rPr>
                <w:sz w:val="17"/>
              </w:rPr>
              <w:t>1,462</w:t>
            </w:r>
          </w:p>
        </w:tc>
        <w:tc>
          <w:tcPr>
            <w:tcW w:type="dxa" w:w="1440"/>
            <w:shd w:fill="FFDCE0" w:val="clear"/>
          </w:tcPr>
          <w:p>
            <w:r>
              <w:rPr>
                <w:b/>
                <w:sz w:val="17"/>
              </w:rPr>
              <w:t>1,692</w:t>
            </w:r>
          </w:p>
        </w:tc>
        <w:tc>
          <w:tcPr>
            <w:tcW w:type="dxa" w:w="1440"/>
            <w:shd w:fill="FFDCE0" w:val="clear"/>
          </w:tcPr>
          <w:p>
            <w:r>
              <w:rPr>
                <w:sz w:val="17"/>
              </w:rPr>
              <w:t>1,922</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FTSC (FILTISAC CI)**</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FTSC s'établit à 25,46 Mds FCFA, un niveau modeste à l'échelle de la BRVM qui la place parmi les petites capitalisations du compartiment industriel. Le BPA de 33 FCFA/action traduit un bénéfice net par titre très faible, cohérent avec l'effondrement du résultat net 2025 à 465,98 M FCFA. Le PER de 54,6x est très élevé au regard de la moyenne BRVM (~8-12x) : les investisseurs paient plus de 54 fois les bénéfices actuels, ce qui intègre implicitement une forte anticipation de redressement — prudence requise. Le P/B de 1,62x reste raisonnable (fourchette 1-2x), le marché valorisant légèrement au-dessus de la valeur comptable (capitaux propres de 15,70 Mds FCFA). Enfin, l'EV/EBITDA de 34,8x est très exigeant (&gt;15x), signifiant que la valeur d'entreprise représente près de 35 fois la capacité opérationnelle, reflet d'un EBE comprimé à 1,501 Mds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FTSC a enregistré une variation totale de -22,86%, avec une dernière séance stable (+0,00%) à 1 805 FCFA. Le range de trading s'étend de 2 430 FCFA (plus haut) à 1 800 FCFA (plus bas) — le cours actuel évolue donc tout près de son plancher, signe d'une tendance clairement baissière. La moyenne (2 063 FCFA) est supérieure à la médiane (2 010 FCFA), avec un mode à 1 990 FCFA, indiquant une distribution légèrement tirée vers le haut par les séances antérieures de cours élevés, tandis que le cours actuel se situe sous ces trois repères. L'écart-type de 139 FCFA (CV=6,8%) traduit une dispersion modérée du cours autour de sa moyenne. Le kurtosis de -0,029 (mésokurtique, proche d'une distribution normale) suggère une absence de pics extrêmes récents, et le skewness de 0,436 (distribution symétrique) confirme un profil équilibré sans forte asymétrie. La volatilité annualisée de 35,2% classe le titre dans la catégorie **élevée** (&gt;30%), ce qui est cohérent avec la correction marquée subie sur la période.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(1 908,75 FCFA) et la MM50 (2 045,70 FCFA) se situent toutes deux au-dessus du cours actuel (1 805 FCFA), et la MM20 est sous la MM50 — configuration baissière caractéristique. Le cours évoluant sous ses deux moyennes, la pression vendeuse domine, justifiant la décision **Vente**.</w:t>
      </w:r>
    </w:p>
    <w:p>
      <w:pPr>
        <w:spacing w:after="120" w:line="276" w:lineRule="auto"/>
      </w:pPr>
      <w:r>
        <w:t>**Bandes de Bollinger** : Le cours (1 805 FCFA) se situe dans la partie basse du canal, entre la borne inférieure (1 750,24 FCFA) et la borne supérieure (2 067,26 FCFA), sans franchissement de la borne basse. La volatilité reste contenue dans le canal, et la position proche du plancher sans signal de rebond justifie la décision **Neutre**.</w:t>
      </w:r>
    </w:p>
    <w:p>
      <w:pPr>
        <w:spacing w:after="120" w:line="276" w:lineRule="auto"/>
      </w:pPr>
      <w:r>
        <w:t>**MACD** : La valeur du MACD (-67,769) est inférieure à son signal (-58,721), avec un histogramme négatif — le momentum baissier se poursuit et la divergence négative confirme la tendance descendante. La décision **Vente** est cohérente avec cette configuration.</w:t>
      </w:r>
    </w:p>
    <w:p>
      <w:pPr>
        <w:spacing w:after="120" w:line="276" w:lineRule="auto"/>
      </w:pPr>
      <w:r>
        <w:t>**RSI** : À 30,612, le RSI se situe tout juste au-dessus du seuil de survente (30), dans la zone neutre basse. Le titre approche d'une zone de survente potentielle sans y être encore entré, ce qui justifie la décision **Neutre** — un rebond technique n'est pas exclu mais non confirmé.</w:t>
      </w:r>
    </w:p>
    <w:p>
      <w:pPr>
        <w:spacing w:after="120" w:line="276" w:lineRule="auto"/>
      </w:pPr>
      <w:r>
        <w:t>**Stochastique** : Le %K (2,564) et le %D (1,709) sont tous deux en zone de survente extrême (&lt;20), avec un %K légèrement supérieur au %D — configuration propice à un rebond technique à court terme. La décision **Achat** contraste avec les autres indicateurs et signale un possible essoufflement de la baisse.</w:t>
      </w:r>
    </w:p>
    <w:p>
      <w:pPr>
        <w:spacing w:after="120" w:line="276" w:lineRule="auto"/>
      </w:pPr>
      <w:r>
        <w:t>**Conclusion technique** : Les indicateurs sont majoritairement baissiers (MM, MACD) avec un cours collé au plancher du range, mais le RSI proche de la survente et le stochastique en zone extrême suggèrent un potentiel de rebond technique. La convergence n'est pas totale : la tendance de fond reste négative, mais un rebond à court terme est plausible. Prudence avant tout position.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FTSC a réalisé un chiffre d'affaires de 32,109 Mds FCFA (+4,6% vs 2024), mais son résultat net s'est effondré à 465,98 M FCFA contre 18 595 M FCFA en 2024 (-97,5%), la marge nette chutant de 60,6% à 1,45%. Cette dégradation s'explique par la disparition des produits exceptionnels de 2024 (résultat HAO de 381,6 M FCFA contre 18 863 M FCFA) et la chute des produits financiers (545 M FCFA contre 6 170 M FCFA). Le ROE n'est que de 2,97% et le ROA de 1,19%, très en deçà des standards de rentabilité (&gt;15% pour le ROE). En tant qu'entreprise industrielle, les délais d'exploitation sont préoccupants : délai clients de 213,72 jours (risque trésorerie élevé), durée de stockage de 214,65 jours (immobilisation de capital importante) et BFR de 11,529 Mds FCFA. La trésorerie nette est négative à -11,528 Mds FCFA, conséquence du versement de dividendes massifs en 2024 (28,2 Mds FCFA), et les capitaux propres ont fondu de 43,4 à 15,70 Mds FCFA. L'autonomie financière reste acceptable (40,11%) et la liquidité générale correcte (158,64%), mais la capacité de remboursement de 11,49 années est élevée. Sur la base du rapport T1 2026 (daté du 31 mars 2026), le CA progresse fortement de +55% à 8 901 M FCFA, porté par la demande d'emballages cacao, et le résultat d'exploitation redevient positif (75 M FCFA contre -78 M FCFA), mais le résultat net reste déficitaire à -154 M FCFA. On estime donc que l'exercice 2026 pourrait marquer un redressement opérationnel progressif, sans retour à la rentabilité nette avant plusieurs trimestres. Le communiqué du 08/07/2026 rassure sur la continuité d'activité malgré l'arrêt temporaire de la filature (interdiction d'exportation de jute par le Bangladesh, solution d'importation alternative mise en place). **Recommandation fondamentale : CONSERVER** — les risques (trésorerie négative, rentabilité fragile, dépendance cacao) sont réels, mais la croissance du CA et l'amélioration opérationnelle plaident pour une position attentiste.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tendue : PER de 54,6x et EV/EBITDA de 34,8x intègrent une anticipation de redressement que les fondamentaux actuels ne justifient pas encore, bien que le P/B de 1,62x reste raisonnable. Le comportement du cours (Partie 1) est préoccupant — tendance baissière de -22,86% sur 100 jours, cours au plancher du range, volatilité élevée de 35,2% — même si la distribution symétrique (skewness 0,436) et l'absence de pics extrêmes (kurtosis -0,029) limitent le risque de mouvement erratique. Les signaux techniques (Partie 2) sont majoritairement baissiers (MM, MACD en vente) mais divergent avec le stochastique en achat (survente extrême) et le RSI proche de la survente, suggérant un rebond technique possible sans inversion de tendance. Les fondamentaux (Partie 3) révèlent une entreprise en transition : CA en croissance (+4,6% en 2025, +55% au T1 2026), résultat opérationnel qui se redresse, mais résultat net toujours négatif au T1 2026 et trésorerie nette négative de -11,5 Mds FCFA. Les prédictions IA (J+1 à J+10) confirment la trajectoire baissière avec une descente progressive de 1 793 à 1 746 FCFA, en cohérence avec les signaux techniques baissiers et contredisant le rebond stochastique. **Recommandation finale : CONSERVER** — la convergence est partielle (baissière technique et prédictive, fondamental en transition, valorisation tendue), ce qui ne justifie ni un achat (valorisation excessive, rentabilité non rétablie) ni une vente précipitée (croissance du CA, redressement opérationnel en cours). **Niveau de confiance : Moyen** (signaux divergents entre technique court terme et fondamental en amélioration). **Niveau de risque : Élevé** (trésorerie négative, volatilité 35%, dépendance sectorielle cacao). **Horizon optimal : moyen terme (3-12 mois)**, le temps de confirmer deux trimestres consécutifs de résultat net positif et une clarification de la politique de dividende avant tout passage à l'achat.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4,874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+4.03%</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4.59% (Faible) — μ=4,081 FCFA, σ=187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β=0.6301 (Défensif) — Cov=0.000049, Var(idx)=0.000078, ρ=0.215,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4,874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σ_j=2.56%/j (Stable) — Vol. annualisée≈40.6%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3,839</w:t>
            </w:r>
          </w:p>
        </w:tc>
        <w:tc>
          <w:tcPr>
            <w:tcW w:type="dxa" w:w="1440"/>
            <w:shd w:fill="FAFAFA" w:val="clear"/>
          </w:tcPr>
          <w:p>
            <w:r>
              <w:rPr>
                <w:b/>
                <w:sz w:val="17"/>
              </w:rPr>
              <w:t>4,009</w:t>
            </w:r>
          </w:p>
        </w:tc>
        <w:tc>
          <w:tcPr>
            <w:tcW w:type="dxa" w:w="1440"/>
            <w:shd w:fill="FAFAFA" w:val="clear"/>
          </w:tcPr>
          <w:p>
            <w:r>
              <w:rPr>
                <w:sz w:val="17"/>
              </w:rPr>
              <w:t>4,179</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3,773</w:t>
            </w:r>
          </w:p>
        </w:tc>
        <w:tc>
          <w:tcPr>
            <w:tcW w:type="dxa" w:w="1440"/>
            <w:shd w:fill="FAFAFA" w:val="clear"/>
          </w:tcPr>
          <w:p>
            <w:r>
              <w:rPr>
                <w:b/>
                <w:sz w:val="17"/>
              </w:rPr>
              <w:t>4,013</w:t>
            </w:r>
          </w:p>
        </w:tc>
        <w:tc>
          <w:tcPr>
            <w:tcW w:type="dxa" w:w="1440"/>
            <w:shd w:fill="FAFAFA" w:val="clear"/>
          </w:tcPr>
          <w:p>
            <w:r>
              <w:rPr>
                <w:sz w:val="17"/>
              </w:rPr>
              <w:t>4,253</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3,724</w:t>
            </w:r>
          </w:p>
        </w:tc>
        <w:tc>
          <w:tcPr>
            <w:tcW w:type="dxa" w:w="1440"/>
            <w:shd w:fill="FAFAFA" w:val="clear"/>
          </w:tcPr>
          <w:p>
            <w:r>
              <w:rPr>
                <w:b/>
                <w:sz w:val="17"/>
              </w:rPr>
              <w:t>4,019</w:t>
            </w:r>
          </w:p>
        </w:tc>
        <w:tc>
          <w:tcPr>
            <w:tcW w:type="dxa" w:w="1440"/>
            <w:shd w:fill="FAFAFA" w:val="clear"/>
          </w:tcPr>
          <w:p>
            <w:r>
              <w:rPr>
                <w:sz w:val="17"/>
              </w:rPr>
              <w:t>4,313</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3,682</w:t>
            </w:r>
          </w:p>
        </w:tc>
        <w:tc>
          <w:tcPr>
            <w:tcW w:type="dxa" w:w="1440"/>
            <w:shd w:fill="FAFAFA" w:val="clear"/>
          </w:tcPr>
          <w:p>
            <w:r>
              <w:rPr>
                <w:b/>
                <w:sz w:val="17"/>
              </w:rPr>
              <w:t>4,023</w:t>
            </w:r>
          </w:p>
        </w:tc>
        <w:tc>
          <w:tcPr>
            <w:tcW w:type="dxa" w:w="1440"/>
            <w:shd w:fill="FAFAFA" w:val="clear"/>
          </w:tcPr>
          <w:p>
            <w:r>
              <w:rPr>
                <w:sz w:val="17"/>
              </w:rPr>
              <w:t>4,364</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2026-10-27</w:t>
            </w:r>
          </w:p>
        </w:tc>
        <w:tc>
          <w:tcPr>
            <w:tcW w:type="dxa" w:w="1440"/>
            <w:shd w:fill="FAFAFA" w:val="clear"/>
          </w:tcPr>
          <w:p>
            <w:r>
              <w:rPr>
                <w:sz w:val="17"/>
              </w:rPr>
              <w:t>3,647</w:t>
            </w:r>
          </w:p>
        </w:tc>
        <w:tc>
          <w:tcPr>
            <w:tcW w:type="dxa" w:w="1440"/>
            <w:shd w:fill="FAFAFA" w:val="clear"/>
          </w:tcPr>
          <w:p>
            <w:r>
              <w:rPr>
                <w:b/>
                <w:sz w:val="17"/>
              </w:rPr>
              <w:t>4,028</w:t>
            </w:r>
          </w:p>
        </w:tc>
        <w:tc>
          <w:tcPr>
            <w:tcW w:type="dxa" w:w="1440"/>
            <w:shd w:fill="FAFAFA" w:val="clear"/>
          </w:tcPr>
          <w:p>
            <w:r>
              <w:rPr>
                <w:sz w:val="17"/>
              </w:rPr>
              <w:t>4,410</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2026-10-28</w:t>
            </w:r>
          </w:p>
        </w:tc>
        <w:tc>
          <w:tcPr>
            <w:tcW w:type="dxa" w:w="1440"/>
            <w:shd w:fill="FAFAFA" w:val="clear"/>
          </w:tcPr>
          <w:p>
            <w:r>
              <w:rPr>
                <w:sz w:val="17"/>
              </w:rPr>
              <w:t>3,619</w:t>
            </w:r>
          </w:p>
        </w:tc>
        <w:tc>
          <w:tcPr>
            <w:tcW w:type="dxa" w:w="1440"/>
            <w:shd w:fill="FAFAFA" w:val="clear"/>
          </w:tcPr>
          <w:p>
            <w:r>
              <w:rPr>
                <w:b/>
                <w:sz w:val="17"/>
              </w:rPr>
              <w:t>4,038</w:t>
            </w:r>
          </w:p>
        </w:tc>
        <w:tc>
          <w:tcPr>
            <w:tcW w:type="dxa" w:w="1440"/>
            <w:shd w:fill="FAFAFA" w:val="clear"/>
          </w:tcPr>
          <w:p>
            <w:r>
              <w:rPr>
                <w:sz w:val="17"/>
              </w:rPr>
              <w:t>4,457</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2026-10-29</w:t>
            </w:r>
          </w:p>
        </w:tc>
        <w:tc>
          <w:tcPr>
            <w:tcW w:type="dxa" w:w="1440"/>
            <w:shd w:fill="FAFAFA" w:val="clear"/>
          </w:tcPr>
          <w:p>
            <w:r>
              <w:rPr>
                <w:sz w:val="17"/>
              </w:rPr>
              <w:t>3,590</w:t>
            </w:r>
          </w:p>
        </w:tc>
        <w:tc>
          <w:tcPr>
            <w:tcW w:type="dxa" w:w="1440"/>
            <w:shd w:fill="FAFAFA" w:val="clear"/>
          </w:tcPr>
          <w:p>
            <w:r>
              <w:rPr>
                <w:b/>
                <w:sz w:val="17"/>
              </w:rPr>
              <w:t>4,044</w:t>
            </w:r>
          </w:p>
        </w:tc>
        <w:tc>
          <w:tcPr>
            <w:tcW w:type="dxa" w:w="1440"/>
            <w:shd w:fill="FAFAFA" w:val="clear"/>
          </w:tcPr>
          <w:p>
            <w:r>
              <w:rPr>
                <w:sz w:val="17"/>
              </w:rPr>
              <w:t>4,497</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2026-10-30</w:t>
            </w:r>
          </w:p>
        </w:tc>
        <w:tc>
          <w:tcPr>
            <w:tcW w:type="dxa" w:w="1440"/>
            <w:shd w:fill="FAFAFA" w:val="clear"/>
          </w:tcPr>
          <w:p>
            <w:r>
              <w:rPr>
                <w:sz w:val="17"/>
              </w:rPr>
              <w:t>3,562</w:t>
            </w:r>
          </w:p>
        </w:tc>
        <w:tc>
          <w:tcPr>
            <w:tcW w:type="dxa" w:w="1440"/>
            <w:shd w:fill="FAFAFA" w:val="clear"/>
          </w:tcPr>
          <w:p>
            <w:r>
              <w:rPr>
                <w:b/>
                <w:sz w:val="17"/>
              </w:rPr>
              <w:t>4,047</w:t>
            </w:r>
          </w:p>
        </w:tc>
        <w:tc>
          <w:tcPr>
            <w:tcW w:type="dxa" w:w="1440"/>
            <w:shd w:fill="FAFAFA" w:val="clear"/>
          </w:tcPr>
          <w:p>
            <w:r>
              <w:rPr>
                <w:sz w:val="17"/>
              </w:rPr>
              <w:t>4,532</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2026-11-02</w:t>
            </w:r>
          </w:p>
        </w:tc>
        <w:tc>
          <w:tcPr>
            <w:tcW w:type="dxa" w:w="1440"/>
            <w:shd w:fill="FAFAFA" w:val="clear"/>
          </w:tcPr>
          <w:p>
            <w:r>
              <w:rPr>
                <w:sz w:val="17"/>
              </w:rPr>
              <w:t>3,537</w:t>
            </w:r>
          </w:p>
        </w:tc>
        <w:tc>
          <w:tcPr>
            <w:tcW w:type="dxa" w:w="1440"/>
            <w:shd w:fill="FAFAFA" w:val="clear"/>
          </w:tcPr>
          <w:p>
            <w:r>
              <w:rPr>
                <w:b/>
                <w:sz w:val="17"/>
              </w:rPr>
              <w:t>4,052</w:t>
            </w:r>
          </w:p>
        </w:tc>
        <w:tc>
          <w:tcPr>
            <w:tcW w:type="dxa" w:w="1440"/>
            <w:shd w:fill="FAFAFA" w:val="clear"/>
          </w:tcPr>
          <w:p>
            <w:r>
              <w:rPr>
                <w:sz w:val="17"/>
              </w:rPr>
              <w:t>4,567</w:t>
            </w:r>
          </w:p>
        </w:tc>
        <w:tc>
          <w:tcPr>
            <w:tcW w:type="dxa" w:w="1440"/>
            <w:shd w:fill="FAFAFA" w:val="clear"/>
          </w:tcPr>
          <w:p>
            <w:r>
              <w:rPr>
                <w:b/>
                <w:color w:val="008000"/>
                <w:sz w:val="17"/>
              </w:rPr>
              <w:t>+1.3%</w:t>
            </w:r>
          </w:p>
        </w:tc>
      </w:tr>
      <w:tr>
        <w:tc>
          <w:tcPr>
            <w:tcW w:type="dxa" w:w="1440"/>
            <w:shd w:fill="FAFAFA" w:val="clear"/>
          </w:tcPr>
          <w:p>
            <w:r>
              <w:rPr>
                <w:sz w:val="17"/>
              </w:rPr>
              <w:t>J+10  ⭐</w:t>
            </w:r>
          </w:p>
        </w:tc>
        <w:tc>
          <w:tcPr>
            <w:tcW w:type="dxa" w:w="1440"/>
            <w:shd w:fill="FAFAFA" w:val="clear"/>
          </w:tcPr>
          <w:p>
            <w:r>
              <w:rPr>
                <w:sz w:val="17"/>
              </w:rPr>
              <w:t>2026-11-03</w:t>
            </w:r>
          </w:p>
        </w:tc>
        <w:tc>
          <w:tcPr>
            <w:tcW w:type="dxa" w:w="1440"/>
            <w:shd w:fill="FAFAFA" w:val="clear"/>
          </w:tcPr>
          <w:p>
            <w:r>
              <w:rPr>
                <w:sz w:val="17"/>
              </w:rPr>
              <w:t>3,515</w:t>
            </w:r>
          </w:p>
        </w:tc>
        <w:tc>
          <w:tcPr>
            <w:tcW w:type="dxa" w:w="1440"/>
            <w:shd w:fill="FAFAFA" w:val="clear"/>
          </w:tcPr>
          <w:p>
            <w:r>
              <w:rPr>
                <w:b/>
                <w:sz w:val="17"/>
              </w:rPr>
              <w:t>4,058</w:t>
            </w:r>
          </w:p>
        </w:tc>
        <w:tc>
          <w:tcPr>
            <w:tcW w:type="dxa" w:w="1440"/>
            <w:shd w:fill="FAFAFA" w:val="clear"/>
          </w:tcPr>
          <w:p>
            <w:r>
              <w:rPr>
                <w:sz w:val="17"/>
              </w:rPr>
              <w:t>4,602</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 RAPPORT D'ANALYSE FINANCIÈRE — LNBB (Loterie Nationale du Bénin SA)</w:t>
        <w:br/>
        <w:t>**Bourse Régionale des Valeurs Mobilières (BRVM) — Secteur : Entreprise non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80,00 milliards FCFA, un niveau significatif à l'échelle de la BRVM qui positionne la société parmi les valeurs moyennes du compartiment des entreprises non bancaires, avec un flottant limité dominé par l'État béninois. Le BPA de 231 FCFA/action indique que chaque titre génère environ 231 FCFA de bénéfice net, un niveau cohérent avec un résultat net annuel de 4,622 milliards FCFA (exercice 2025). Le PER de 17,3x se situe nettement au-dessus de la moyenne BRVM (8-12x), traduisant une prime de valorisation que les investisseurs accordent à la solidité financière et au rendement du dividende de la société, mais qui intègre aussi une anticipation de redressement des bénéfices. Le P/B de 3,64x confirme cette prime de croissance : le marché valorise LNBB à plus de 3,6 fois ses fonds propres comptables (21,954 milliards FCFA), ce qui est élevé pour une entreprise non bancaire et suppose une rentabilité durablement supérieure au coût des capitaux propres. Enfin, l'EV/EBITDA de 10,1x, dans la fourchette haute (10-15x), suggère que la valeur d'entreprise intègre déjà une bonne partie du potentiel opérationnel, laissant peu de marge de sécurité en cas de déception sur les marges.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variation totale de +4,03%, avec une dernière séance stable (+0,00%) à 4 000 FCFA, dans un range de trading de 860 FCFA entre le plus haut (4 560 FCFA) et le plus bas (3 700 FCFA), soit un amplitude de 23% qui témoigne d'une réelle animation du marché. La tendance générale est modérément haussière mais avec une phase de consolidation récente, le cours actuel (4 000 FCFA) se situant sous sa moyenne (4 081 FCFA) et sous son plus haut, signe d'un essoufflement après le pic. Les statistiques descriptives révèlent une distribution quasi symétrique : la moyenne (4 081 FCFA) et la médiane (4 050 FCFA) sont proches, tandis que le mode (4 000 FCFA) coïncide avec le cours actuel, indiquant que ce niveau fait office de point d'équilibre psychologique. L'écart-type de 188 FCFA avec un coefficient de variation de seulement 4,6% traduit une dispersion modérée du cours autour de sa moyenne, donc une relative stabilité malgré la volatilité annualisée. Le kurtosis de -0,706 (mésokurtique) indique une distribution proche de la normale, sans risque de pics extrêmes marqué, et le skewness de 0,448 confirme une légère asymétrie positive (distribution étirée vers les hausses). La volatilité annualisée de 40,6% classe le titre dans la catégorie des valeurs à volatilité élevée (&gt;30%), ce qui est cohérent avec la faible liquidité du marché BRVM et le volume moyen quotidien limité à 4 874 titres.</w:t>
      </w:r>
    </w:p>
    <w:p>
      <w:pPr>
        <w:spacing w:after="120" w:line="276" w:lineRule="auto"/>
      </w:pPr>
      <w:r>
        <w:t>---</w:t>
      </w:r>
    </w:p>
    <w:p>
      <w:pPr>
        <w:spacing w:after="120" w:line="276" w:lineRule="auto"/>
      </w:pPr>
      <w:r>
        <w:t>## PARTIE 2 : ANALYSE TECHNIQUE DÉTAILLÉE</w:t>
      </w:r>
    </w:p>
    <w:p>
      <w:pPr>
        <w:spacing w:after="120" w:line="276" w:lineRule="auto"/>
      </w:pPr>
      <w:r>
        <w:t>**Moyennes Mobiles** : La MM20 (3 936,75 FCFA) est inférieure à la MM50 (4 012,5 FCFA) et le cours actuel (4 000 FCFA) évolue entre les deux, sous la MM50 mais au-dessus de la MM20. Cette configuration traduit une tendance de fond encore fragile, avec un croisement baissier des moyennes (MM20 &lt; MM50) qui justifie la décision technique de **Vente** à court terme, le titre n'ayant pas encore récupéré sa moyenne longue.</w:t>
      </w:r>
    </w:p>
    <w:p>
      <w:pPr>
        <w:spacing w:after="120" w:line="276" w:lineRule="auto"/>
      </w:pPr>
      <w:r>
        <w:t>**Bandes de Bollinger** : Le cours (4 000 FCFA) se situe au centre de la bande, entre la borne supérieure (4 099,69 FCFA) et la borne inférieure (3 773,81 FCFA), à mi-distance des deux bornes. L'écart entre les bornes (326 FCFA) reflète une volatilité contenue et l'absence de signal directionnel fort, ce qui justifie la décision **Neutre** : le titre est en zone d'indécision, sans tension acheteuse ou vendeuse excessive.</w:t>
      </w:r>
    </w:p>
    <w:p>
      <w:pPr>
        <w:spacing w:after="120" w:line="276" w:lineRule="auto"/>
      </w:pPr>
      <w:r>
        <w:t>**MACD** : La valeur du MACD (-2,316) est supérieure à sa ligne de signal (-20,394), configuration haussière avec un histogramme positif qui indique un momentum en amélioration. La convergence du MACD vers zéro suggère un essoufflement de la pression baissière et un possible retournement, justifiant la décision **Achat** malgré un niveau encore négatif.</w:t>
      </w:r>
    </w:p>
    <w:p>
      <w:pPr>
        <w:spacing w:after="120" w:line="276" w:lineRule="auto"/>
      </w:pPr>
      <w:r>
        <w:t>**RSI** : À 59,804, le RSI se situe en zone neutre haute (entre 30 et 70), sans surachat (&gt;70) ni survente (&lt;30). Cette valeur traduit un équilibre entre acheteurs et vendeurs avec une légère prédominance haussière, cohérente avec la décision **Neutre** : pas de signal extrême justifiant une action agressive.</w:t>
      </w:r>
    </w:p>
    <w:p>
      <w:pPr>
        <w:spacing w:after="120" w:line="276" w:lineRule="auto"/>
      </w:pPr>
      <w:r>
        <w:t>**Stochastique** : Le %K et le %D sont tous deux à 62,791, en zone neutre haute (entre 20 et 80) et sans croisement divergent (les deux lignes sont confondues). Cette configuration indique une absence de signal clair de retournement, justifiant la décision **Neutre** : le momentum est modérément positif mais sans excès.</w:t>
      </w:r>
    </w:p>
    <w:p>
      <w:pPr>
        <w:spacing w:after="120" w:line="276" w:lineRule="auto"/>
      </w:pPr>
      <w:r>
        <w:t>**Conclusion technique** : Les indicateurs présentent une configuration **mitigée avec une légère inflexion haussière** : le MACD est le seul signal franchement positif (momentum en amélioration), tandis que les moyennes mobiles restent baissières (MM20 &lt; MM50) et que Bollinger, RSI et Stochastique sont neutres. Le titre évolue dans une zone d'indécision autour de 4 000 FCFA, avec un support technique à 3 936 FCFA (MM20) et une résistance à 4 100 FCFA (borne supérieure de Bollinger). La convergence MACD/RSI suggère un potentiel de rebond, mais l'absence de confirmation par les volumes et la faiblesse de la MM50 imposent la prudence : le signal technique global est **neutre à légèrement positif**, insuffisant pour déclencher un achat agressif.</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LNBB a réalisé un chiffre d'affaires de 98,598 milliards FCFA, en baisse de -3,85% par rapport à 2024, avec un résultat net de 4,622 milliards FCFA (marge nette de 4,69%). La rentabilité des fonds propres est excellente (ROE de 21,05%, bien au-dessus du seuil de 15%) et la rentabilité des actifs solide (ROA de 14,17%), tandis que la rotation des actifs atteint 302,37% (CA/Total actif), signe d'une grande efficacité dans l'utilisation des actifs. La structure financière est remarquablement saine : autonomie financière de 67,32% (capitaux propres de 21,954 Mds FCFA pour un total bilan de 32,609 Mds FCFA), ratio d'endettement de seulement 2,57%, solvabilité générale de 306% et liquidité générale de 184,84%. En tant qu'entreprise, les délais d'exploitation sont excellents : délai clients de 4,82 jours (très faible, donc pas de risque de trésorerie), délai fournisseurs de 20,41 jours (favorable à la trésorerie) et durée de stockage de 1,56 jour (rotation très rapide). Le BFR est quasi nul (217,45 M FCFA) et la trésorerie nette atteint 7,979 Mds FCFA, confirmant une gestion du fonds de roulement maîtrisée.</w:t>
      </w:r>
    </w:p>
    <w:p>
      <w:pPr>
        <w:spacing w:after="120" w:line="276" w:lineRule="auto"/>
      </w:pPr>
      <w:r>
        <w:t>**Estimations basées sur les rapports trimestriels** : Le rapport du **T1 2026 (publié le 1er mai 2026)** révèle un CA de 25,521 Mds FCFA (+6%) mais un résultat net en chute de -46% à 848 M FCFA, victime du mix produit défavorable (taux de retour aux joueurs de 95% sur le pari sportif). Cependant, le rapport du **S1 2026 (publié le 30 juillet 2026)** marque un net redressement : CA de 49,937 Mds FCFA (+4%) et résultat net en hausse de +60%, grâce à la maîtrise des charges et aux revenus de partenariats B2B, malgré un Produit Brut des Jeux en baisse de -9%. On estime donc que l'exercice 2026 devrait afficher un résultat net en forte progression par rapport à 2025 (potentiellement supérieur à 6 Mds FCFA si la dynamique du S1 se maintient), porté par le déploiement de 1 500 nouveaux terminaux au S2 et le lancement de nouveaux produits de loterie. Le rapport annuel 2025 (publié le 1er mai 2026) confirme par ailleurs un dividende brut de 173 FCFA/action (net de 164 FCFA, mis en paiement le 2 août 2026), soit un rendement de 4,1% au cours actuel de 4 000 FCFA, avec un taux de distribution d'environ 80% du résultat net — une politique très généreuse.</w:t>
      </w:r>
    </w:p>
    <w:p>
      <w:pPr>
        <w:spacing w:after="120" w:line="276" w:lineRule="auto"/>
      </w:pPr>
      <w:r>
        <w:t>**Conclusion fondamentale** : LNBB présente une **solidité financière exceptionnelle** (autonomie financière de 67%, trésorerie nette de 8 Mds FCFA, ROE de 21%) et un rendement du dividende attractif (4,1%), mais fait face à des **risques structurels** : concurrence illégale persistante, érosion des marges due à la migration vers le pari sportif à faible marge (taux de retour de 95%) et dépendance croissante aux partenariats B2B. La dynamique du S1 2026 (+60% de résultat net) est encourageante et suggère un redressement, mais la visibilité reste limitée sur la pérennité de cette amélioration. La recommandation fondamentale est **CONSERVER**, avec un biais positif si le S2 2026 confirme la stabilisation du Produit Brut des Jeux.</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 l'analyse converge vers une recommandation **CONSERVER**, avec un niveau de confiance **Moyen** et un risque global **Moyen**. Sur le plan de la **valorisation (Partie 0)**, les ratios PER de 17,3x, P/B de 3,64x et EV/EBITDA de 10,1x indiquent une **surévaluation relative** par rapport aux standards BRVM (PER moyen 8-12x), le marché intégrant déjà une prime de qualité et une anticipation de redressement — ce qui limite le potentiel d'appréciation à court terme. Le **comportement du cours (Partie 1)** est modérément favorable (+4,03% sur 100 jours) mais la volatilité élevée (40,6%) et la consolidation récente sous la moyenne (4 081 FCFA) traduisent une certaine fragilité, tandis que les statistiques (kurtosis mésokurtique, skewness positif) n'annoncent pas de risque extrême. Les **signaux techniques (Partie 2)** sont mitigés : le MACD est acheteur mais les moyennes mobiles restent baissières (MM20 &lt; MM50) et les autres indicateurs sont neutres, dessinant une zone d'indécision autour de 4 000 FCFA sans signal directionnel fort. Les **fondamentaux (Partie 3)** sont solides (ROE de 21%, autonomie financière de 67%, dividende de 4,1%) et le S1 2026 (+60% de résultat net) suggère un redressement, mais les risques de marge et de concurrence illégale persistent. Les **prédictions IA (J+1 à J+10)** projettent une trajectoire haussière modérée de 4 009 à 4 028 FCFA (+0,7% sur 10 jours), ce qui **confirme** le biais légèrement positif du MACD mais **contredit** la décision de vente des moyennes mobiles — une divergence qui plaide pour l'attentisme. **Recommandation finale : CONSERVER**, avec un horizon de **moyen terme (3-12 mois)** : le titre offre un rendement du dividende attractif (4,1%) et une solidité financière rassurante, mais la prime de valorisation élevée et l'absence de signal technique fort justifient d'attendre la confirmation du redressement au S2 2026 avant tout renforcement. Un passage à l'**ACHAT** serait justifié si le cours franchit la résistance de 4 100 FCFA avec confirmation des volumes et si le Produit Brut des Jeux se stabilise.</w:t>
      </w:r>
    </w:p>
    <w:p>
      <w:pPr>
        <w:spacing w:after="120" w:line="276" w:lineRule="auto"/>
      </w:pPr>
      <w:r>
        <w:t>---</w:t>
      </w:r>
    </w:p>
    <w:p>
      <w:pPr>
        <w:spacing w:after="120" w:line="276" w:lineRule="auto"/>
      </w:pPr>
      <w:r>
        <w:t>*Disclaimer : Cette analyse est fournie à titre informatif et ne constitue pas un conseil en investissement personnalisé. Les performances passées ne préjugent pas des performances futures.*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27.26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2,321 titres</w:t>
            </w:r>
          </w:p>
        </w:tc>
        <w:tc>
          <w:tcPr>
            <w:tcW w:type="dxa" w:w="2268"/>
            <w:shd w:fill="FFF2CC" w:val="clear"/>
          </w:tcPr>
          <w:p>
            <w:r>
              <w:rPr>
                <w:b/>
                <w:color w:val="503200"/>
                <w:sz w:val="16"/>
              </w:rPr>
              <w:t xml:space="preserve">Cours actuel : </w:t>
            </w:r>
            <w:r>
              <w:rPr>
                <w:color w:val="000000"/>
                <w:sz w:val="17"/>
              </w:rPr>
              <w:t>2,135 FCFA</w:t>
            </w:r>
          </w:p>
          <w:p>
            <w:r>
              <w:rPr>
                <w:b/>
                <w:color w:val="503200"/>
                <w:sz w:val="16"/>
              </w:rPr>
              <w:t xml:space="preserve">Var. 100 jours : </w:t>
            </w:r>
            <w:r>
              <w:rPr>
                <w:b/>
                <w:color w:val="007800"/>
                <w:sz w:val="17"/>
              </w:rPr>
              <w:t>+9.49%</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1,950 FCFA</w:t>
            </w:r>
          </w:p>
          <w:p>
            <w:r>
              <w:rPr>
                <w:b/>
                <w:color w:val="503200"/>
                <w:sz w:val="16"/>
              </w:rPr>
              <w:t xml:space="preserve">Volatilité ann. : </w:t>
            </w:r>
            <w:r>
              <w:rPr>
                <w:color w:val="000000"/>
                <w:sz w:val="17"/>
              </w:rPr>
              <w:t>52.1%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11.53% (Moyenne) — μ=2,329 FCFA, σ=268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β=0.0248 (Défensif) — Cov=0.000002, Var(idx)=0.000078, ρ=0.007,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2,001</w:t>
            </w:r>
          </w:p>
        </w:tc>
        <w:tc>
          <w:tcPr>
            <w:tcW w:type="dxa" w:w="1440"/>
            <w:shd w:fill="FAFAFA" w:val="clear"/>
          </w:tcPr>
          <w:p>
            <w:r>
              <w:rPr>
                <w:b/>
                <w:sz w:val="17"/>
              </w:rPr>
              <w:t>2,109</w:t>
            </w:r>
          </w:p>
        </w:tc>
        <w:tc>
          <w:tcPr>
            <w:tcW w:type="dxa" w:w="1440"/>
            <w:shd w:fill="FAFAFA" w:val="clear"/>
          </w:tcPr>
          <w:p>
            <w:r>
              <w:rPr>
                <w:sz w:val="17"/>
              </w:rPr>
              <w:t>2,218</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1,948</w:t>
            </w:r>
          </w:p>
        </w:tc>
        <w:tc>
          <w:tcPr>
            <w:tcW w:type="dxa" w:w="1440"/>
            <w:shd w:fill="FAFAFA" w:val="clear"/>
          </w:tcPr>
          <w:p>
            <w:r>
              <w:rPr>
                <w:b/>
                <w:sz w:val="17"/>
              </w:rPr>
              <w:t>2,101</w:t>
            </w:r>
          </w:p>
        </w:tc>
        <w:tc>
          <w:tcPr>
            <w:tcW w:type="dxa" w:w="1440"/>
            <w:shd w:fill="FAFAFA" w:val="clear"/>
          </w:tcPr>
          <w:p>
            <w:r>
              <w:rPr>
                <w:sz w:val="17"/>
              </w:rPr>
              <w:t>2,254</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2026-10-23</w:t>
            </w:r>
          </w:p>
        </w:tc>
        <w:tc>
          <w:tcPr>
            <w:tcW w:type="dxa" w:w="1440"/>
            <w:shd w:fill="FFDCE0" w:val="clear"/>
          </w:tcPr>
          <w:p>
            <w:r>
              <w:rPr>
                <w:sz w:val="17"/>
              </w:rPr>
              <w:t>1,903</w:t>
            </w:r>
          </w:p>
        </w:tc>
        <w:tc>
          <w:tcPr>
            <w:tcW w:type="dxa" w:w="1440"/>
            <w:shd w:fill="FFDCE0" w:val="clear"/>
          </w:tcPr>
          <w:p>
            <w:r>
              <w:rPr>
                <w:b/>
                <w:sz w:val="17"/>
              </w:rPr>
              <w:t>2,089</w:t>
            </w:r>
          </w:p>
        </w:tc>
        <w:tc>
          <w:tcPr>
            <w:tcW w:type="dxa" w:w="1440"/>
            <w:shd w:fill="FFDCE0" w:val="clear"/>
          </w:tcPr>
          <w:p>
            <w:r>
              <w:rPr>
                <w:sz w:val="17"/>
              </w:rPr>
              <w:t>2,275</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2026-10-26</w:t>
            </w:r>
          </w:p>
        </w:tc>
        <w:tc>
          <w:tcPr>
            <w:tcW w:type="dxa" w:w="1440"/>
            <w:shd w:fill="FFDCE0" w:val="clear"/>
          </w:tcPr>
          <w:p>
            <w:r>
              <w:rPr>
                <w:sz w:val="17"/>
              </w:rPr>
              <w:t>1,864</w:t>
            </w:r>
          </w:p>
        </w:tc>
        <w:tc>
          <w:tcPr>
            <w:tcW w:type="dxa" w:w="1440"/>
            <w:shd w:fill="FFDCE0" w:val="clear"/>
          </w:tcPr>
          <w:p>
            <w:r>
              <w:rPr>
                <w:b/>
                <w:sz w:val="17"/>
              </w:rPr>
              <w:t>2,078</w:t>
            </w:r>
          </w:p>
        </w:tc>
        <w:tc>
          <w:tcPr>
            <w:tcW w:type="dxa" w:w="1440"/>
            <w:shd w:fill="FFDCE0" w:val="clear"/>
          </w:tcPr>
          <w:p>
            <w:r>
              <w:rPr>
                <w:sz w:val="17"/>
              </w:rPr>
              <w:t>2,292</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2026-10-27</w:t>
            </w:r>
          </w:p>
        </w:tc>
        <w:tc>
          <w:tcPr>
            <w:tcW w:type="dxa" w:w="1440"/>
            <w:shd w:fill="FFDCE0" w:val="clear"/>
          </w:tcPr>
          <w:p>
            <w:r>
              <w:rPr>
                <w:sz w:val="17"/>
              </w:rPr>
              <w:t>1,830</w:t>
            </w:r>
          </w:p>
        </w:tc>
        <w:tc>
          <w:tcPr>
            <w:tcW w:type="dxa" w:w="1440"/>
            <w:shd w:fill="FFDCE0" w:val="clear"/>
          </w:tcPr>
          <w:p>
            <w:r>
              <w:rPr>
                <w:b/>
                <w:sz w:val="17"/>
              </w:rPr>
              <w:t>2,068</w:t>
            </w:r>
          </w:p>
        </w:tc>
        <w:tc>
          <w:tcPr>
            <w:tcW w:type="dxa" w:w="1440"/>
            <w:shd w:fill="FFDCE0" w:val="clear"/>
          </w:tcPr>
          <w:p>
            <w:r>
              <w:rPr>
                <w:sz w:val="17"/>
              </w:rPr>
              <w:t>2,306</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2026-10-28</w:t>
            </w:r>
          </w:p>
        </w:tc>
        <w:tc>
          <w:tcPr>
            <w:tcW w:type="dxa" w:w="1440"/>
            <w:shd w:fill="FFDCE0" w:val="clear"/>
          </w:tcPr>
          <w:p>
            <w:r>
              <w:rPr>
                <w:sz w:val="17"/>
              </w:rPr>
              <w:t>1,799</w:t>
            </w:r>
          </w:p>
        </w:tc>
        <w:tc>
          <w:tcPr>
            <w:tcW w:type="dxa" w:w="1440"/>
            <w:shd w:fill="FFDCE0" w:val="clear"/>
          </w:tcPr>
          <w:p>
            <w:r>
              <w:rPr>
                <w:b/>
                <w:sz w:val="17"/>
              </w:rPr>
              <w:t>2,059</w:t>
            </w:r>
          </w:p>
        </w:tc>
        <w:tc>
          <w:tcPr>
            <w:tcW w:type="dxa" w:w="1440"/>
            <w:shd w:fill="FFDCE0" w:val="clear"/>
          </w:tcPr>
          <w:p>
            <w:r>
              <w:rPr>
                <w:sz w:val="17"/>
              </w:rPr>
              <w:t>2,319</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2026-10-29</w:t>
            </w:r>
          </w:p>
        </w:tc>
        <w:tc>
          <w:tcPr>
            <w:tcW w:type="dxa" w:w="1440"/>
            <w:shd w:fill="FFDCE0" w:val="clear"/>
          </w:tcPr>
          <w:p>
            <w:r>
              <w:rPr>
                <w:sz w:val="17"/>
              </w:rPr>
              <w:t>1,771</w:t>
            </w:r>
          </w:p>
        </w:tc>
        <w:tc>
          <w:tcPr>
            <w:tcW w:type="dxa" w:w="1440"/>
            <w:shd w:fill="FFDCE0" w:val="clear"/>
          </w:tcPr>
          <w:p>
            <w:r>
              <w:rPr>
                <w:b/>
                <w:sz w:val="17"/>
              </w:rPr>
              <w:t>2,050</w:t>
            </w:r>
          </w:p>
        </w:tc>
        <w:tc>
          <w:tcPr>
            <w:tcW w:type="dxa" w:w="1440"/>
            <w:shd w:fill="FFDCE0" w:val="clear"/>
          </w:tcPr>
          <w:p>
            <w:r>
              <w:rPr>
                <w:sz w:val="17"/>
              </w:rPr>
              <w:t>2,330</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2026-10-30</w:t>
            </w:r>
          </w:p>
        </w:tc>
        <w:tc>
          <w:tcPr>
            <w:tcW w:type="dxa" w:w="1440"/>
            <w:shd w:fill="FFDCE0" w:val="clear"/>
          </w:tcPr>
          <w:p>
            <w:r>
              <w:rPr>
                <w:sz w:val="17"/>
              </w:rPr>
              <w:t>1,745</w:t>
            </w:r>
          </w:p>
        </w:tc>
        <w:tc>
          <w:tcPr>
            <w:tcW w:type="dxa" w:w="1440"/>
            <w:shd w:fill="FFDCE0" w:val="clear"/>
          </w:tcPr>
          <w:p>
            <w:r>
              <w:rPr>
                <w:b/>
                <w:sz w:val="17"/>
              </w:rPr>
              <w:t>2,042</w:t>
            </w:r>
          </w:p>
        </w:tc>
        <w:tc>
          <w:tcPr>
            <w:tcW w:type="dxa" w:w="1440"/>
            <w:shd w:fill="FFDCE0" w:val="clear"/>
          </w:tcPr>
          <w:p>
            <w:r>
              <w:rPr>
                <w:sz w:val="17"/>
              </w:rPr>
              <w:t>2,340</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2026-11-02</w:t>
            </w:r>
          </w:p>
        </w:tc>
        <w:tc>
          <w:tcPr>
            <w:tcW w:type="dxa" w:w="1440"/>
            <w:shd w:fill="FFDCE0" w:val="clear"/>
          </w:tcPr>
          <w:p>
            <w:r>
              <w:rPr>
                <w:sz w:val="17"/>
              </w:rPr>
              <w:t>1,721</w:t>
            </w:r>
          </w:p>
        </w:tc>
        <w:tc>
          <w:tcPr>
            <w:tcW w:type="dxa" w:w="1440"/>
            <w:shd w:fill="FFDCE0" w:val="clear"/>
          </w:tcPr>
          <w:p>
            <w:r>
              <w:rPr>
                <w:b/>
                <w:sz w:val="17"/>
              </w:rPr>
              <w:t>2,035</w:t>
            </w:r>
          </w:p>
        </w:tc>
        <w:tc>
          <w:tcPr>
            <w:tcW w:type="dxa" w:w="1440"/>
            <w:shd w:fill="FFDCE0" w:val="clear"/>
          </w:tcPr>
          <w:p>
            <w:r>
              <w:rPr>
                <w:sz w:val="17"/>
              </w:rPr>
              <w:t>2,349</w:t>
            </w:r>
          </w:p>
        </w:tc>
        <w:tc>
          <w:tcPr>
            <w:tcW w:type="dxa" w:w="1440"/>
            <w:shd w:fill="FFDCE0" w:val="clear"/>
          </w:tcPr>
          <w:p>
            <w:r>
              <w:rPr>
                <w:b/>
                <w:color w:val="C00000"/>
                <w:sz w:val="17"/>
              </w:rPr>
              <w:t>-4.7%</w:t>
            </w:r>
          </w:p>
        </w:tc>
      </w:tr>
      <w:tr>
        <w:tc>
          <w:tcPr>
            <w:tcW w:type="dxa" w:w="1440"/>
            <w:shd w:fill="FFDCE0" w:val="clear"/>
          </w:tcPr>
          <w:p>
            <w:r>
              <w:rPr>
                <w:sz w:val="17"/>
              </w:rPr>
              <w:t>J+10  ⭐</w:t>
            </w:r>
          </w:p>
        </w:tc>
        <w:tc>
          <w:tcPr>
            <w:tcW w:type="dxa" w:w="1440"/>
            <w:shd w:fill="FFDCE0" w:val="clear"/>
          </w:tcPr>
          <w:p>
            <w:r>
              <w:rPr>
                <w:sz w:val="17"/>
              </w:rPr>
              <w:t>2026-11-03</w:t>
            </w:r>
          </w:p>
        </w:tc>
        <w:tc>
          <w:tcPr>
            <w:tcW w:type="dxa" w:w="1440"/>
            <w:shd w:fill="FFDCE0" w:val="clear"/>
          </w:tcPr>
          <w:p>
            <w:r>
              <w:rPr>
                <w:sz w:val="17"/>
              </w:rPr>
              <w:t>1,698</w:t>
            </w:r>
          </w:p>
        </w:tc>
        <w:tc>
          <w:tcPr>
            <w:tcW w:type="dxa" w:w="1440"/>
            <w:shd w:fill="FFDCE0" w:val="clear"/>
          </w:tcPr>
          <w:p>
            <w:r>
              <w:rPr>
                <w:b/>
                <w:sz w:val="17"/>
              </w:rPr>
              <w:t>2,028</w:t>
            </w:r>
          </w:p>
        </w:tc>
        <w:tc>
          <w:tcPr>
            <w:tcW w:type="dxa" w:w="1440"/>
            <w:shd w:fill="FFDCE0" w:val="clear"/>
          </w:tcPr>
          <w:p>
            <w:r>
              <w:rPr>
                <w:sz w:val="17"/>
              </w:rPr>
              <w:t>2,358</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27,26 milliards FCFA, NEIC se situe dans la catégorie des valeurs moyennes de la cote BRVM, ce qui traduit une liquidité limitée mais un réel intérêt institutionnel. Le BPA de 160 FCFA/action signifie que chaque titre génère 160 FCFA de bénéfice net, un niveau qui, rapporté au cours de 2 135 FCFA, donne un PER de 13,4x — légèrement supérieur à la moyenne BRVM (~8-12x), suggérant que le marché intègre déjà une part de la recovery attendue. Le P/B de 4,74x constitue en revanche un signal d'alerte : le marché valorise l'action près de cinq fois sa valeur comptable, une prime exigeante qui ne se justifie que par la forte rentabilité des fonds propres (ROE de 35,4%). Enfin, l'EV/EBITDA de 19,7x, très au-dessus du seuil de 15x, confirme que la valeur d'entreprise intègre une anticipation de croissance opérationnelle soutenue — la moindre déception sur ce front exposerait le titre à une correction.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affiche une variation totale positive de +9,49%, avec une dernière séance particulièrement dynamique (+2,15%), portant le cours à 2 135 FCFA. Le range de trading est large, entre un plus bas de 1 950 FCFA et un plus haut de 3 000 FCFA, soit une amplitude de plus de 50% qui témoigne d'une forte nervosité du marché sur ce titre. La tendance générale reste toutefois baissière depuis le pic de 3 000 FCFA, le cours actuel se situant 29% en dessous de ce sommet, bien qu'il conserve une progression nette sur la période. Les statistiques descriptives révèlent une distribution asymétrique : la moyenne (2 329 FCFA) dépasse la médiane (2 272 FCFA), écart cohérent avec un skewness positif de 1,187 indiquant davantage de journées sous la moyenne mais quelques fortes hausses tirant la moyenne vers le haut. L'écart-type de 270 FCFA (CV de 11,6%) traduit une dispersion modérée du cours, tandis que le kurtosis de 0,733 (mésokurtique) suggère un comportement proche d'une distribution normale, sans risque extrême de pics. La volatilité annualisée de 52,1% classe le titre dans la catégorie des valeurs très volatiles (&gt;30%), ce qui impose une gestion du risque prudente et un horizon d'investissement adapté.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(2 230 FCFA) et la MM50 (2 457,8 FCFA) se situent toutes deux au-dessus du cours actuel (2 135 FCFA), avec une MM20 inférieure à la MM50 — configuration baissière caractéristique. Le cours évoluant sous ses deux moyennes, la pression vendeuse domine et justifie la décision technique de **Vente**.</w:t>
      </w:r>
    </w:p>
    <w:p>
      <w:pPr>
        <w:spacing w:after="120" w:line="276" w:lineRule="auto"/>
      </w:pPr>
      <w:r>
        <w:t>**Bandes de Bollinger** : Le cours (2 135 FCFA) se situe dans la moitié inférieure de la bande, entre la borne inférieure (2 014,2 FCFA) et la borne supérieure (2 445,8 FCFA), sans en toucher les extrêmes. Cette position centrale-basse, avec un écart de bande de 431 FCFA, traduit une volatilité encore élevée mais un cours sans signal extrême, d'où la décision **Neutre**.</w:t>
      </w:r>
    </w:p>
    <w:p>
      <w:pPr>
        <w:spacing w:after="120" w:line="276" w:lineRule="auto"/>
      </w:pPr>
      <w:r>
        <w:t>**MACD** : La ligne MACD (-111,57) est inférieure à sa ligne de signal (-108,07), avec un histogramme négatif — divergence baissière confirmée. Le momentum reste clairement négatif, bien que l'écart entre les deux lignes soit faible (-3,5 points), suggérant un essoufflement progressif de la pression vendeuse ; la décision reste néanmoins **Vente**.</w:t>
      </w:r>
    </w:p>
    <w:p>
      <w:pPr>
        <w:spacing w:after="120" w:line="276" w:lineRule="auto"/>
      </w:pPr>
      <w:r>
        <w:t>**RSI** : À 28,57, le RSI se situe sous le seuil de 30, en zone de **survente**. Ce niveau signale que le titre a été massivement vendu et qu'un rebond technique est statistiquement probable à court terme, ce qui justifie la décision **Achat** — signal contrarien classique.</w:t>
      </w:r>
    </w:p>
    <w:p>
      <w:pPr>
        <w:spacing w:after="120" w:line="276" w:lineRule="auto"/>
      </w:pPr>
      <w:r>
        <w:t>**Stochastique** : Le %K (21,43) est supérieur au %D (8,78), avec les deux indicateurs en zone basse (&lt;20), proche de la survente. Le croisement haussier du %K au-dessus du %D en zone basse constitue un signal d'achat naissant, mais la position encore basse justifie une décision **Neutre** prudente.</w:t>
      </w:r>
    </w:p>
    <w:p>
      <w:pPr>
        <w:spacing w:after="120" w:line="276" w:lineRule="auto"/>
      </w:pPr>
      <w:r>
        <w:t>**Conclusion technique** : Les indicateurs présentent un tableau contrasté — les moyennes mobiles et le MACD confirment une tendance baissière de fond, tandis que le RSI en survente et le stochastique en zone basse annoncent un possible rebond technique à court terme. Cette divergence entre signaux de tendance (baissiers) et signaux de momentum (survendu) plaide pour une posture attentiste : le titre pourrait rebondir mécaniquement, mais la structure de fond reste fragile tant que le cours n'aura pas reconquis la MM20 (2 230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2025 de NEIC (données structurées officielles) affichent un chiffre d'affaires de 5,139 milliards FCFA, un résultat net de 2,037 milliards FCFA et une marge nette exceptionnelle de 39,63%, avec un ROE de 35,39% et un ROA de 27,25% — des niveaux de rentabilité remarquables. La structure financière est très saine : autonomie financière de 77,01%, solvabilité générale de 435%, liquidité générale de 448,9% et trésorerie nette de 4,196 milliards FCFA. Toutefois, deux signaux tempèrent cet optimisme : le taux de croissance du CA est négatif (-23,80%), et le flux opérationnel est négatif (-527,07 M FCFA) malgré une CAF solide de 2,088 milliards FCFA. En tant qu'entreprise du secteur édition/diffusion, les délais d'exploitation méritent attention : le délai clients de 154,72 jours est élevé (risque de trésorerie sur les créances de 2,209 milliards FCFA), compensé par un délai fournisseurs de 69,56 jours et une durée de stockage de 54,49 jours. Le rapport annuel 2025 (publié en 2025) confirme un résultat net de 2,04 milliards FCFA (+169% vs 758 M FCFA en 2024) pour un CA de 6,74 milliards FCFA (+29%), avec un dividende généreux de 2,04 milliards FCFA (100% du résultat net) — politique attractive mais qui limite l'autofinancement. Le rapport T1 2026 (publié en 2026) montre un CA de 115,1 M FCFA en forte hausse de +137% (vs 48,5 M FCFA au T1 2025), une perte nette réduite à -168,9 M FCFA (vs -189,9 M FCFA) et un résultat d'exploitation encore négatif (-271,5 M FCFA) mais en amélioration de 5% ; sur cette base, on peut estimer que l'exercice 2026 devrait poursuivre son redressement opérationnel, la saisonnalité concentrant l'essentiel des revenus au second semestre. Attention toutefois : le rapport T3 2025 (daté du 30/09/2025) signalait un CA en baisse de 35% et un bénéfice net de 1 596 M FCFA gonflé par une reprise de provision non récurrente — la qualité des résultats 2025 doit donc être appréciée avec prudence. En conclusion fondamentale, NEIC présente un bilan très solide et une rentabilité élevée, mais la dynamique commerciale reste fragile et la dépendance aux éléments non récurrents invite à la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exigeante : PER de 13,4x supérieur à la moyenne BRVM, P/B de 4,74x et EV/EBITDA de 19,7x intègrent déjà une forte anticipation de croissance, laissant peu de marge d'erreur. Le comportement du cours (Partie 1) est préoccupant à court terme — tendance baissière depuis le pic de 3 000 FCFA, volatilité annualisée de 52,1% et skewness positif signalant une fragilité — malgré une progression de +9,49% sur 100 jours. Les signaux techniques (Partie 2) divergent : MM et MACD baissiers contre RSI en survente (28,57) et stochastique en zone basse, plaidant pour un rebond technique sans inversion de tendance. Les fondamentaux (Partie 3) sont solides — ROE de 35,4%, trésorerie de 4,2 Mds FCFA, dividende généreux — mais entachés par un CA en recul (-23,8%) et des résultats 2025 partiellement non récurrents, tandis que le T1 2026 montre un redressement du CA (+137%) encore déficitaire. Les prédictions IA (J+1 à J+10) anticipent une poursuite de la baisse de 2 109 à 2 068 FCFA, confirmant la pression baissière de court terme et contredisant le signal d'achat du RSI. **Recommandation finale : CONSERVER**, avec un niveau de confiance **Moyen** et un risque global **Élevé** — la convergence entre valorisation exigeante, technique baissière et prédictions négatives l'emporte sur la qualité du bilan, mais la survente et le redressement du T1 2026 interdisent une vente précipitée. Horizon optimal : **moyen terme (3-12 mois)**, en attendant la confirmation du redressement opérationnel et un retour du cours au-dessus de la MM20 (2 230 FCFA) avant tout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519.43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2,870 titres</w:t>
            </w:r>
          </w:p>
        </w:tc>
        <w:tc>
          <w:tcPr>
            <w:tcW w:type="dxa" w:w="2268"/>
            <w:shd w:fill="FFF2CC" w:val="clear"/>
          </w:tcPr>
          <w:p>
            <w:r>
              <w:rPr>
                <w:b/>
                <w:color w:val="503200"/>
                <w:sz w:val="16"/>
              </w:rPr>
              <w:t xml:space="preserve">Cours actuel : </w:t>
            </w:r>
            <w:r>
              <w:rPr>
                <w:color w:val="000000"/>
                <w:sz w:val="17"/>
              </w:rPr>
              <w:t>21,000 FCFA</w:t>
            </w:r>
          </w:p>
          <w:p>
            <w:r>
              <w:rPr>
                <w:b/>
                <w:color w:val="503200"/>
                <w:sz w:val="16"/>
              </w:rPr>
              <w:t xml:space="preserve">Var. 100 jours : </w:t>
            </w:r>
            <w:r>
              <w:rPr>
                <w:b/>
                <w:color w:val="007800"/>
                <w:sz w:val="17"/>
              </w:rPr>
              <w:t>+16.67%</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17,990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8.50% (Moyenne) — μ=21,740 FCFA, σ=1,848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β=1.1359 (Neutre (suit le marché)) — Cov=0.000088, Var(idx)=0.000078, ρ=0.431,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2,870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19,707</w:t>
            </w:r>
          </w:p>
        </w:tc>
        <w:tc>
          <w:tcPr>
            <w:tcW w:type="dxa" w:w="1440"/>
            <w:shd w:fill="FAFAFA" w:val="clear"/>
          </w:tcPr>
          <w:p>
            <w:r>
              <w:rPr>
                <w:b/>
                <w:sz w:val="17"/>
              </w:rPr>
              <w:t>20,588</w:t>
            </w:r>
          </w:p>
        </w:tc>
        <w:tc>
          <w:tcPr>
            <w:tcW w:type="dxa" w:w="1440"/>
            <w:shd w:fill="FAFAFA" w:val="clear"/>
          </w:tcPr>
          <w:p>
            <w:r>
              <w:rPr>
                <w:sz w:val="17"/>
              </w:rPr>
              <w:t>21,469</w:t>
            </w:r>
          </w:p>
        </w:tc>
        <w:tc>
          <w:tcPr>
            <w:tcW w:type="dxa" w:w="1440"/>
            <w:shd w:fill="FAFAFA"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2026-10-22</w:t>
            </w:r>
          </w:p>
        </w:tc>
        <w:tc>
          <w:tcPr>
            <w:tcW w:type="dxa" w:w="1440"/>
            <w:shd w:fill="FFDCE0" w:val="clear"/>
          </w:tcPr>
          <w:p>
            <w:r>
              <w:rPr>
                <w:sz w:val="17"/>
              </w:rPr>
              <w:t>19,103</w:t>
            </w:r>
          </w:p>
        </w:tc>
        <w:tc>
          <w:tcPr>
            <w:tcW w:type="dxa" w:w="1440"/>
            <w:shd w:fill="FFDCE0" w:val="clear"/>
          </w:tcPr>
          <w:p>
            <w:r>
              <w:rPr>
                <w:b/>
                <w:sz w:val="17"/>
              </w:rPr>
              <w:t>20,333</w:t>
            </w:r>
          </w:p>
        </w:tc>
        <w:tc>
          <w:tcPr>
            <w:tcW w:type="dxa" w:w="1440"/>
            <w:shd w:fill="FFDCE0" w:val="clear"/>
          </w:tcPr>
          <w:p>
            <w:r>
              <w:rPr>
                <w:sz w:val="17"/>
              </w:rPr>
              <w:t>21,563</w:t>
            </w:r>
          </w:p>
        </w:tc>
        <w:tc>
          <w:tcPr>
            <w:tcW w:type="dxa" w:w="1440"/>
            <w:shd w:fill="FFDCE0" w:val="clear"/>
          </w:tcPr>
          <w:p>
            <w:r>
              <w:rPr>
                <w:b/>
                <w:color w:val="C00000"/>
                <w:sz w:val="17"/>
              </w:rPr>
              <w:t>-3.2%</w:t>
            </w:r>
          </w:p>
        </w:tc>
      </w:tr>
      <w:tr>
        <w:tc>
          <w:tcPr>
            <w:tcW w:type="dxa" w:w="1440"/>
            <w:shd w:fill="FFDCE0" w:val="clear"/>
          </w:tcPr>
          <w:p>
            <w:r>
              <w:rPr>
                <w:sz w:val="17"/>
              </w:rPr>
              <w:t>J+3  Moyenne</w:t>
            </w:r>
          </w:p>
        </w:tc>
        <w:tc>
          <w:tcPr>
            <w:tcW w:type="dxa" w:w="1440"/>
            <w:shd w:fill="FFDCE0" w:val="clear"/>
          </w:tcPr>
          <w:p>
            <w:r>
              <w:rPr>
                <w:sz w:val="17"/>
              </w:rPr>
              <w:t>2026-10-23</w:t>
            </w:r>
          </w:p>
        </w:tc>
        <w:tc>
          <w:tcPr>
            <w:tcW w:type="dxa" w:w="1440"/>
            <w:shd w:fill="FFDCE0" w:val="clear"/>
          </w:tcPr>
          <w:p>
            <w:r>
              <w:rPr>
                <w:sz w:val="17"/>
              </w:rPr>
              <w:t>18,610</w:t>
            </w:r>
          </w:p>
        </w:tc>
        <w:tc>
          <w:tcPr>
            <w:tcW w:type="dxa" w:w="1440"/>
            <w:shd w:fill="FFDCE0" w:val="clear"/>
          </w:tcPr>
          <w:p>
            <w:r>
              <w:rPr>
                <w:b/>
                <w:sz w:val="17"/>
              </w:rPr>
              <w:t>20,099</w:t>
            </w:r>
          </w:p>
        </w:tc>
        <w:tc>
          <w:tcPr>
            <w:tcW w:type="dxa" w:w="1440"/>
            <w:shd w:fill="FFDCE0" w:val="clear"/>
          </w:tcPr>
          <w:p>
            <w:r>
              <w:rPr>
                <w:sz w:val="17"/>
              </w:rPr>
              <w:t>21,589</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2026-10-26</w:t>
            </w:r>
          </w:p>
        </w:tc>
        <w:tc>
          <w:tcPr>
            <w:tcW w:type="dxa" w:w="1440"/>
            <w:shd w:fill="FFDCE0" w:val="clear"/>
          </w:tcPr>
          <w:p>
            <w:r>
              <w:rPr>
                <w:sz w:val="17"/>
              </w:rPr>
              <w:t>18,181</w:t>
            </w:r>
          </w:p>
        </w:tc>
        <w:tc>
          <w:tcPr>
            <w:tcW w:type="dxa" w:w="1440"/>
            <w:shd w:fill="FFDCE0" w:val="clear"/>
          </w:tcPr>
          <w:p>
            <w:r>
              <w:rPr>
                <w:b/>
                <w:sz w:val="17"/>
              </w:rPr>
              <w:t>19,882</w:t>
            </w:r>
          </w:p>
        </w:tc>
        <w:tc>
          <w:tcPr>
            <w:tcW w:type="dxa" w:w="1440"/>
            <w:shd w:fill="FFDCE0" w:val="clear"/>
          </w:tcPr>
          <w:p>
            <w:r>
              <w:rPr>
                <w:sz w:val="17"/>
              </w:rPr>
              <w:t>21,583</w:t>
            </w:r>
          </w:p>
        </w:tc>
        <w:tc>
          <w:tcPr>
            <w:tcW w:type="dxa" w:w="1440"/>
            <w:shd w:fill="FFDCE0" w:val="clear"/>
          </w:tcPr>
          <w:p>
            <w:r>
              <w:rPr>
                <w:b/>
                <w:color w:val="C00000"/>
                <w:sz w:val="17"/>
              </w:rPr>
              <w:t>-5.3%</w:t>
            </w:r>
          </w:p>
        </w:tc>
      </w:tr>
      <w:tr>
        <w:tc>
          <w:tcPr>
            <w:tcW w:type="dxa" w:w="1440"/>
            <w:shd w:fill="FFDCE0" w:val="clear"/>
          </w:tcPr>
          <w:p>
            <w:r>
              <w:rPr>
                <w:sz w:val="17"/>
              </w:rPr>
              <w:t>J+5  ⭐</w:t>
            </w:r>
          </w:p>
        </w:tc>
        <w:tc>
          <w:tcPr>
            <w:tcW w:type="dxa" w:w="1440"/>
            <w:shd w:fill="FFDCE0" w:val="clear"/>
          </w:tcPr>
          <w:p>
            <w:r>
              <w:rPr>
                <w:sz w:val="17"/>
              </w:rPr>
              <w:t>2026-10-27</w:t>
            </w:r>
          </w:p>
        </w:tc>
        <w:tc>
          <w:tcPr>
            <w:tcW w:type="dxa" w:w="1440"/>
            <w:shd w:fill="FFDCE0" w:val="clear"/>
          </w:tcPr>
          <w:p>
            <w:r>
              <w:rPr>
                <w:sz w:val="17"/>
              </w:rPr>
              <w:t>17,789</w:t>
            </w:r>
          </w:p>
        </w:tc>
        <w:tc>
          <w:tcPr>
            <w:tcW w:type="dxa" w:w="1440"/>
            <w:shd w:fill="FFDCE0" w:val="clear"/>
          </w:tcPr>
          <w:p>
            <w:r>
              <w:rPr>
                <w:b/>
                <w:sz w:val="17"/>
              </w:rPr>
              <w:t>19,671</w:t>
            </w:r>
          </w:p>
        </w:tc>
        <w:tc>
          <w:tcPr>
            <w:tcW w:type="dxa" w:w="1440"/>
            <w:shd w:fill="FFDCE0" w:val="clear"/>
          </w:tcPr>
          <w:p>
            <w:r>
              <w:rPr>
                <w:sz w:val="17"/>
              </w:rPr>
              <w:t>21,552</w:t>
            </w:r>
          </w:p>
        </w:tc>
        <w:tc>
          <w:tcPr>
            <w:tcW w:type="dxa" w:w="1440"/>
            <w:shd w:fill="FFDCE0" w:val="clear"/>
          </w:tcPr>
          <w:p>
            <w:r>
              <w:rPr>
                <w:b/>
                <w:color w:val="C00000"/>
                <w:sz w:val="17"/>
              </w:rPr>
              <w:t>-6.3%</w:t>
            </w:r>
          </w:p>
        </w:tc>
      </w:tr>
      <w:tr>
        <w:tc>
          <w:tcPr>
            <w:tcW w:type="dxa" w:w="1440"/>
            <w:shd w:fill="FFDCE0" w:val="clear"/>
          </w:tcPr>
          <w:p>
            <w:r>
              <w:rPr>
                <w:sz w:val="17"/>
              </w:rPr>
              <w:t>J+6  ⭐</w:t>
            </w:r>
          </w:p>
        </w:tc>
        <w:tc>
          <w:tcPr>
            <w:tcW w:type="dxa" w:w="1440"/>
            <w:shd w:fill="FFDCE0" w:val="clear"/>
          </w:tcPr>
          <w:p>
            <w:r>
              <w:rPr>
                <w:sz w:val="17"/>
              </w:rPr>
              <w:t>2026-10-28</w:t>
            </w:r>
          </w:p>
        </w:tc>
        <w:tc>
          <w:tcPr>
            <w:tcW w:type="dxa" w:w="1440"/>
            <w:shd w:fill="FFDCE0" w:val="clear"/>
          </w:tcPr>
          <w:p>
            <w:r>
              <w:rPr>
                <w:sz w:val="17"/>
              </w:rPr>
              <w:t>17,424</w:t>
            </w:r>
          </w:p>
        </w:tc>
        <w:tc>
          <w:tcPr>
            <w:tcW w:type="dxa" w:w="1440"/>
            <w:shd w:fill="FFDCE0" w:val="clear"/>
          </w:tcPr>
          <w:p>
            <w:r>
              <w:rPr>
                <w:b/>
                <w:sz w:val="17"/>
              </w:rPr>
              <w:t>19,463</w:t>
            </w:r>
          </w:p>
        </w:tc>
        <w:tc>
          <w:tcPr>
            <w:tcW w:type="dxa" w:w="1440"/>
            <w:shd w:fill="FFDCE0" w:val="clear"/>
          </w:tcPr>
          <w:p>
            <w:r>
              <w:rPr>
                <w:sz w:val="17"/>
              </w:rPr>
              <w:t>21,503</w:t>
            </w:r>
          </w:p>
        </w:tc>
        <w:tc>
          <w:tcPr>
            <w:tcW w:type="dxa" w:w="1440"/>
            <w:shd w:fill="FFDCE0" w:val="clear"/>
          </w:tcPr>
          <w:p>
            <w:r>
              <w:rPr>
                <w:b/>
                <w:color w:val="C00000"/>
                <w:sz w:val="17"/>
              </w:rPr>
              <w:t>-7.3%</w:t>
            </w:r>
          </w:p>
        </w:tc>
      </w:tr>
      <w:tr>
        <w:tc>
          <w:tcPr>
            <w:tcW w:type="dxa" w:w="1440"/>
            <w:shd w:fill="FFDCE0" w:val="clear"/>
          </w:tcPr>
          <w:p>
            <w:r>
              <w:rPr>
                <w:sz w:val="17"/>
              </w:rPr>
              <w:t>J+7  ⭐</w:t>
            </w:r>
          </w:p>
        </w:tc>
        <w:tc>
          <w:tcPr>
            <w:tcW w:type="dxa" w:w="1440"/>
            <w:shd w:fill="FFDCE0" w:val="clear"/>
          </w:tcPr>
          <w:p>
            <w:r>
              <w:rPr>
                <w:sz w:val="17"/>
              </w:rPr>
              <w:t>2026-10-29</w:t>
            </w:r>
          </w:p>
        </w:tc>
        <w:tc>
          <w:tcPr>
            <w:tcW w:type="dxa" w:w="1440"/>
            <w:shd w:fill="FFDCE0" w:val="clear"/>
          </w:tcPr>
          <w:p>
            <w:r>
              <w:rPr>
                <w:sz w:val="17"/>
              </w:rPr>
              <w:t>17,080</w:t>
            </w:r>
          </w:p>
        </w:tc>
        <w:tc>
          <w:tcPr>
            <w:tcW w:type="dxa" w:w="1440"/>
            <w:shd w:fill="FFDCE0" w:val="clear"/>
          </w:tcPr>
          <w:p>
            <w:r>
              <w:rPr>
                <w:b/>
                <w:sz w:val="17"/>
              </w:rPr>
              <w:t>19,260</w:t>
            </w:r>
          </w:p>
        </w:tc>
        <w:tc>
          <w:tcPr>
            <w:tcW w:type="dxa" w:w="1440"/>
            <w:shd w:fill="FFDCE0" w:val="clear"/>
          </w:tcPr>
          <w:p>
            <w:r>
              <w:rPr>
                <w:sz w:val="17"/>
              </w:rPr>
              <w:t>21,440</w:t>
            </w:r>
          </w:p>
        </w:tc>
        <w:tc>
          <w:tcPr>
            <w:tcW w:type="dxa" w:w="1440"/>
            <w:shd w:fill="FFDCE0" w:val="clear"/>
          </w:tcPr>
          <w:p>
            <w:r>
              <w:rPr>
                <w:b/>
                <w:color w:val="C00000"/>
                <w:sz w:val="17"/>
              </w:rPr>
              <w:t>-8.3%</w:t>
            </w:r>
          </w:p>
        </w:tc>
      </w:tr>
      <w:tr>
        <w:tc>
          <w:tcPr>
            <w:tcW w:type="dxa" w:w="1440"/>
            <w:shd w:fill="FFDCE0" w:val="clear"/>
          </w:tcPr>
          <w:p>
            <w:r>
              <w:rPr>
                <w:sz w:val="17"/>
              </w:rPr>
              <w:t>J+8  ⭐</w:t>
            </w:r>
          </w:p>
        </w:tc>
        <w:tc>
          <w:tcPr>
            <w:tcW w:type="dxa" w:w="1440"/>
            <w:shd w:fill="FFDCE0" w:val="clear"/>
          </w:tcPr>
          <w:p>
            <w:r>
              <w:rPr>
                <w:sz w:val="17"/>
              </w:rPr>
              <w:t>2026-10-30</w:t>
            </w:r>
          </w:p>
        </w:tc>
        <w:tc>
          <w:tcPr>
            <w:tcW w:type="dxa" w:w="1440"/>
            <w:shd w:fill="FFDCE0" w:val="clear"/>
          </w:tcPr>
          <w:p>
            <w:r>
              <w:rPr>
                <w:sz w:val="17"/>
              </w:rPr>
              <w:t>16,753</w:t>
            </w:r>
          </w:p>
        </w:tc>
        <w:tc>
          <w:tcPr>
            <w:tcW w:type="dxa" w:w="1440"/>
            <w:shd w:fill="FFDCE0" w:val="clear"/>
          </w:tcPr>
          <w:p>
            <w:r>
              <w:rPr>
                <w:b/>
                <w:sz w:val="17"/>
              </w:rPr>
              <w:t>19,059</w:t>
            </w:r>
          </w:p>
        </w:tc>
        <w:tc>
          <w:tcPr>
            <w:tcW w:type="dxa" w:w="1440"/>
            <w:shd w:fill="FFDCE0" w:val="clear"/>
          </w:tcPr>
          <w:p>
            <w:r>
              <w:rPr>
                <w:sz w:val="17"/>
              </w:rPr>
              <w:t>21,366</w:t>
            </w:r>
          </w:p>
        </w:tc>
        <w:tc>
          <w:tcPr>
            <w:tcW w:type="dxa" w:w="1440"/>
            <w:shd w:fill="FFDCE0" w:val="clear"/>
          </w:tcPr>
          <w:p>
            <w:r>
              <w:rPr>
                <w:b/>
                <w:color w:val="C00000"/>
                <w:sz w:val="17"/>
              </w:rPr>
              <w:t>-9.2%</w:t>
            </w:r>
          </w:p>
        </w:tc>
      </w:tr>
      <w:tr>
        <w:tc>
          <w:tcPr>
            <w:tcW w:type="dxa" w:w="1440"/>
            <w:shd w:fill="FFDCE0" w:val="clear"/>
          </w:tcPr>
          <w:p>
            <w:r>
              <w:rPr>
                <w:sz w:val="17"/>
              </w:rPr>
              <w:t>J+9  ⭐</w:t>
            </w:r>
          </w:p>
        </w:tc>
        <w:tc>
          <w:tcPr>
            <w:tcW w:type="dxa" w:w="1440"/>
            <w:shd w:fill="FFDCE0" w:val="clear"/>
          </w:tcPr>
          <w:p>
            <w:r>
              <w:rPr>
                <w:sz w:val="17"/>
              </w:rPr>
              <w:t>2026-11-02</w:t>
            </w:r>
          </w:p>
        </w:tc>
        <w:tc>
          <w:tcPr>
            <w:tcW w:type="dxa" w:w="1440"/>
            <w:shd w:fill="FFDCE0" w:val="clear"/>
          </w:tcPr>
          <w:p>
            <w:r>
              <w:rPr>
                <w:sz w:val="17"/>
              </w:rPr>
              <w:t>16,441</w:t>
            </w:r>
          </w:p>
        </w:tc>
        <w:tc>
          <w:tcPr>
            <w:tcW w:type="dxa" w:w="1440"/>
            <w:shd w:fill="FFDCE0" w:val="clear"/>
          </w:tcPr>
          <w:p>
            <w:r>
              <w:rPr>
                <w:b/>
                <w:sz w:val="17"/>
              </w:rPr>
              <w:t>18,862</w:t>
            </w:r>
          </w:p>
        </w:tc>
        <w:tc>
          <w:tcPr>
            <w:tcW w:type="dxa" w:w="1440"/>
            <w:shd w:fill="FFDCE0" w:val="clear"/>
          </w:tcPr>
          <w:p>
            <w:r>
              <w:rPr>
                <w:sz w:val="17"/>
              </w:rPr>
              <w:t>21,282</w:t>
            </w:r>
          </w:p>
        </w:tc>
        <w:tc>
          <w:tcPr>
            <w:tcW w:type="dxa" w:w="1440"/>
            <w:shd w:fill="FFDCE0" w:val="clear"/>
          </w:tcPr>
          <w:p>
            <w:r>
              <w:rPr>
                <w:b/>
                <w:color w:val="C00000"/>
                <w:sz w:val="17"/>
              </w:rPr>
              <w:t>-10.2%</w:t>
            </w:r>
          </w:p>
        </w:tc>
      </w:tr>
      <w:tr>
        <w:tc>
          <w:tcPr>
            <w:tcW w:type="dxa" w:w="1440"/>
            <w:shd w:fill="FFDCE0" w:val="clear"/>
          </w:tcPr>
          <w:p>
            <w:r>
              <w:rPr>
                <w:sz w:val="17"/>
              </w:rPr>
              <w:t>J+10  ⭐</w:t>
            </w:r>
          </w:p>
        </w:tc>
        <w:tc>
          <w:tcPr>
            <w:tcW w:type="dxa" w:w="1440"/>
            <w:shd w:fill="FFDCE0" w:val="clear"/>
          </w:tcPr>
          <w:p>
            <w:r>
              <w:rPr>
                <w:sz w:val="17"/>
              </w:rPr>
              <w:t>2026-11-03</w:t>
            </w:r>
          </w:p>
        </w:tc>
        <w:tc>
          <w:tcPr>
            <w:tcW w:type="dxa" w:w="1440"/>
            <w:shd w:fill="FFDCE0" w:val="clear"/>
          </w:tcPr>
          <w:p>
            <w:r>
              <w:rPr>
                <w:sz w:val="17"/>
              </w:rPr>
              <w:t>16,141</w:t>
            </w:r>
          </w:p>
        </w:tc>
        <w:tc>
          <w:tcPr>
            <w:tcW w:type="dxa" w:w="1440"/>
            <w:shd w:fill="FFDCE0" w:val="clear"/>
          </w:tcPr>
          <w:p>
            <w:r>
              <w:rPr>
                <w:b/>
                <w:sz w:val="17"/>
              </w:rPr>
              <w:t>18,666</w:t>
            </w:r>
          </w:p>
        </w:tc>
        <w:tc>
          <w:tcPr>
            <w:tcW w:type="dxa" w:w="1440"/>
            <w:shd w:fill="FFDCE0" w:val="clear"/>
          </w:tcPr>
          <w:p>
            <w:r>
              <w:rPr>
                <w:sz w:val="17"/>
              </w:rPr>
              <w:t>21,191</w:t>
            </w:r>
          </w:p>
        </w:tc>
        <w:tc>
          <w:tcPr>
            <w:tcW w:type="dxa" w:w="1440"/>
            <w:shd w:fill="FFDCE0" w:val="clear"/>
          </w:tcPr>
          <w:p>
            <w:r>
              <w:rPr>
                <w:b/>
                <w:color w:val="C00000"/>
                <w:sz w:val="17"/>
              </w:rPr>
              <w:t>-11.1%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519,43 milliards FCFA, NSBC s'impose comme l'une des plus grandes capitalisations du compartiment bancaire de la BRVM, ce qui lui confère une liquidité relative et une visibilité institutionnelle appréciables. Le BPA de 1 646 FCFA/action traduit la capacité bénéficiaire concrète de chaque titre, tandis que le PER de 12,8x — légèrement supérieur à la moyenne BRVM (~8-12x) — indique que le marché paie une prime modérée pour la qualité de la croissance, sans exubérance manifeste. Le P/B de 2,23x, dans la fourchette 2-4x, confirme cette prime de croissance accordée aux fonds propres, cohérente avec un ROE de 17,45%. En revanche, l'EV/EBITDA de 20,5x (&gt;15x) apparaît très exigeant et suggère que la valeur d'entreprise intègre déjà une bonne part des anticipations de performance, ce qui limite la marge de sécurité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NSBC affiche une variation totale positive de +16,67%, avec une dernière séance en hausse de +0,96%, portant le cours à 21 000 FCFA. Le titre a évolué dans un range significatif entre un plus bas de 17 990 FCFA et un plus haut de 24 885 FCFA, soit un spread de près de 38%, reflétant une phase de correction après un pic. La tendance générale reste haussière sur la période, mais le cours actuel (21 000 FCFA) se situe sous la moyenne (21 740 FCFA) et sous la médiane (22 000 FCFA), signalant un essoufflement récent. Les statistiques descriptives révèlent un écart-type de 1 857 FCFA avec un coefficient de variation de 8,5%, indiquant une dispersion modérée autour de la moyenne. Le kurtosis négatif (-1,084, platykurtique) traduit une distribution aplatie avec une faible concentration des rendements et un risque de pics extrêmes limité, tandis que le skewness de -0,282 confirme une distribution quasi symétrique, légèrement tirée vers le bas. La volatilité annualisée de 36,6% positionne le titre dans la catégorie des valeurs à volatilité élevée (&gt;30%), ce qui est cohérent avec le profil d'une banque en croissance sur un marché frontière.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(21 394,5 FCFA) et la MM50 (22 667,9 FCFA) se situent toutes deux au-dessus du cours actuel (21 000 FCFA), avec une MM20 inférieure à la MM50 — configuration baissière de court terme. Le cours évoluant sous ses deux moyennes, la décision technique est logiquement **Vente**, signalant une pression vendeuse persistante.</w:t>
      </w:r>
    </w:p>
    <w:p>
      <w:pPr>
        <w:spacing w:after="120" w:line="276" w:lineRule="auto"/>
      </w:pPr>
      <w:r>
        <w:t>**Bandes de Bollinger** : Le cours (21 000 FCFA) se situe dans la moitié inférieure de la bande, entre la borne inférieure (20 120,66 FCFA) et la borne supérieure (22 668,34 FCFA), sans test des extrêmes. Cette position centrale, couplée à un rétrécissement apparent de la bande, justifie la décision **Neutre** : le marché est en phase de consolidation sans direction claire.</w:t>
      </w:r>
    </w:p>
    <w:p>
      <w:pPr>
        <w:spacing w:after="120" w:line="276" w:lineRule="auto"/>
      </w:pPr>
      <w:r>
        <w:t>**MACD** : La valeur du MACD (-598,13) est inférieure à son signal (-578,78), avec un histogramme négatif. Cette configuration baissière indique un momentum négatif persistant, bien que l'écart entre les deux lignes reste modéré. La décision **Vente** est cohérente avec cette divergence négative.</w:t>
      </w:r>
    </w:p>
    <w:p>
      <w:pPr>
        <w:spacing w:after="120" w:line="276" w:lineRule="auto"/>
      </w:pPr>
      <w:r>
        <w:t>**RSI** : À 43,92, le RSI se situe dans la zone neutre (30-70), sans approcher ni la zone de survente (&lt;30) ni celle de surachat (&gt;70). Cette position médiane confirme l'absence de pression extrême et justifie la décision **Neutre**, le titre n'étant ni survendu ni suracheté.</w:t>
      </w:r>
    </w:p>
    <w:p>
      <w:pPr>
        <w:spacing w:after="120" w:line="276" w:lineRule="auto"/>
      </w:pPr>
      <w:r>
        <w:t>**Stochastique** : Le %K (30,82) est supérieur au %D (16,35), avec un croisement haussier en zone basse (proche de la survente). Ce signal précoce de retournement potentiel contraste avec les autres indicateurs, mais la décision globale reste **Neutre** car le %K n'a pas encore franchi le seuil de 20 de manière décisive.</w:t>
      </w:r>
    </w:p>
    <w:p>
      <w:pPr>
        <w:spacing w:after="120" w:line="276" w:lineRule="auto"/>
      </w:pPr>
      <w:r>
        <w:t>**Conclusion technique** : Les indicateurs techniques présentent une configuration majoritairement baissière à neutre : cours sous les moyennes mobiles, MACD négatif, mais RSI et stochastique en zone neutre/basse suggérant un possible essoufflement de la baisse. La convergence des signaux vers une décision **Vente/Neutre** traduit une phase de consolidation baissière, sans signal d'achat franc à ce stade. Une cassure au-dessus de la MM20 (21 394 FCFA) serait nécessaire pour inverser la tendance de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NSBC affiche des états financiers solides : un Produit Net Bancaire (PNB) de 112,928 milliards FCFA, en croissance de 15,45% sur un an, un résultat net de 40,712 milliards FCFA (marge nette de 36,05%), un ROE de 17,45% (excellent, &gt;15%) et un ROA de 1,32%. Le coefficient d'exploitation de 54,59% (&lt;60%) confirme une banque efficace, tandis que le coût du risque rapporté aux charges financières de 7,54% traduit un portefeuille de crédit globalement maîtrisé, bien que le rapport annuel 2025 (daté du 31/12/2025, analysé le 13/05/2026) signale une dégradation du coût net du risque à -8,5 milliards FCFA contre +0,6 milliard en 2024. La structure bilancielle est dominée par les dépôts clientèle (2 242,2 milliards FCFA) face à des créances clientèle de 1 818,7 milliards FCFA, soit un ratio de transformation de 81,1%, sain pour une banque commerciale. Le total bilan atteint 3 073,1 milliards FCFA (+22%), porté par une collecte de dépôts dynamique (+32%). Sur la base du rapport T1 2026 (daté du 31/03/2026, analysé le 01/05/2026), le PNB progresse de 28% à 28,6 milliards FCFA et le résultat net bondit de 53% à 10,9 milliards FCFA, tiré par l'activité titres — on estime donc que l'exercice 2026 pourrait dépasser les 45 milliards FCFA de résultat net si la dynamique se maintient, sous réserve de la volatilité de ce segment. Les rapports antérieurs (T3 2025 daté du 30/09/2025, S1 2025 daté du 30/06/2025, T1 2025 daté du 31/03/2025) confirment une accélération progressive de la croissance (PNB +7% à fin septembre, +10,6% au S1, +2,5% au T1), validant la trajectoire ascendante. La recommandation fondamentale est **solide** : banque bien capitalisée, rentable et en croissance, avec un point de vigilance sur le coût du risque et la concentration des revenus sur l'activité titres.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révèle un tableau contrasté. La **valorisation** (Partie 0) est modérément exigeante : PER de 12,8x légèrement supérieur à la moyenne BRVM, P/B de 2,23x et surtout EV/EBITDA de 20,5x très élevé, suggérant que le marché intègre déjà une bonne part de la croissance. Le **comportement du cours** (Partie 1) montre une tendance haussière sur 100 jours (+16,67%) mais un essoufflement récent (cours sous moyenne et médiane), avec une volatilité élevée (36,6%) et une distribution symétrique sans risque de pics extrêmes (kurtosis -1,084). Les **signaux techniques** (Partie 2) sont majoritairement baissiers à neutres (cours sous MM20/MM50, MACD négatif, RSI neutre, stochastique en zone basse), plaidant pour une consolidation. Les **fondamentaux** (Partie 3) restent excellents : ROE de 17,45%, coefficient d'exploitation de 54,59%, croissance du PNB de 15,45% en 2025 et accélération confirmée au T1 2026 (+53% de résultat net). Les **prédictions IA** (J+1 à J+10) anticipent une poursuite de la baisse de 21 000 à 19 671 FCFA (-6,3%), ce qui **confirme** les signaux techniques baissiers et **contredit** la solidité fondamentale. Face à cette divergence entre fondamentaux robustes et technique/predictions baissières, la recommandation finale est **CONSERVER**. Le niveau de confiance est **Moyen** (divergence entre technique et fondamental), le niveau de risque global est **Moyen** (volatilité élevée mais fondamentaux solides), et l'horizon optimal est **moyen terme (3-12 mois)**, le temps que la consolidation technique s'achève et que les résultats semestriels 2026 confirment la dynamique du T1.</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320.02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1,247 titres</w:t>
            </w:r>
          </w:p>
        </w:tc>
        <w:tc>
          <w:tcPr>
            <w:tcW w:type="dxa" w:w="2268"/>
            <w:shd w:fill="FFF2CC" w:val="clear"/>
          </w:tcPr>
          <w:p>
            <w:r>
              <w:rPr>
                <w:b/>
                <w:color w:val="503200"/>
                <w:sz w:val="16"/>
              </w:rPr>
              <w:t xml:space="preserve">Cours actuel : </w:t>
            </w:r>
            <w:r>
              <w:rPr>
                <w:color w:val="000000"/>
                <w:sz w:val="17"/>
              </w:rPr>
              <w:t>14,500 FCFA</w:t>
            </w:r>
          </w:p>
          <w:p>
            <w:r>
              <w:rPr>
                <w:b/>
                <w:color w:val="503200"/>
                <w:sz w:val="16"/>
              </w:rPr>
              <w:t xml:space="preserve">Var. 100 jours : </w:t>
            </w:r>
            <w:r>
              <w:rPr>
                <w:b/>
                <w:color w:val="007800"/>
                <w:sz w:val="17"/>
              </w:rPr>
              <w:t>+13.28%</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12,800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7.10% (Moyenne) — μ=15,786 FCFA, σ=1,121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β=0.5210 (Défensif) — Cov=0.000041, Var(idx)=0.000078, ρ=0.200,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2026-10-21</w:t>
            </w:r>
          </w:p>
        </w:tc>
        <w:tc>
          <w:tcPr>
            <w:tcW w:type="dxa" w:w="1440"/>
            <w:shd w:fill="C6EFCE" w:val="clear"/>
          </w:tcPr>
          <w:p>
            <w:r>
              <w:rPr>
                <w:sz w:val="17"/>
              </w:rPr>
              <w:t>14,289</w:t>
            </w:r>
          </w:p>
        </w:tc>
        <w:tc>
          <w:tcPr>
            <w:tcW w:type="dxa" w:w="1440"/>
            <w:shd w:fill="C6EFCE" w:val="clear"/>
          </w:tcPr>
          <w:p>
            <w:r>
              <w:rPr>
                <w:b/>
                <w:sz w:val="17"/>
              </w:rPr>
              <w:t>14,880</w:t>
            </w:r>
          </w:p>
        </w:tc>
        <w:tc>
          <w:tcPr>
            <w:tcW w:type="dxa" w:w="1440"/>
            <w:shd w:fill="C6EFCE" w:val="clear"/>
          </w:tcPr>
          <w:p>
            <w:r>
              <w:rPr>
                <w:sz w:val="17"/>
              </w:rPr>
              <w:t>15,471</w:t>
            </w:r>
          </w:p>
        </w:tc>
        <w:tc>
          <w:tcPr>
            <w:tcW w:type="dxa" w:w="1440"/>
            <w:shd w:fill="C6EFCE" w:val="clear"/>
          </w:tcPr>
          <w:p>
            <w:r>
              <w:rPr>
                <w:b/>
                <w:color w:val="008000"/>
                <w:sz w:val="17"/>
              </w:rPr>
              <w:t>+2.6%</w:t>
            </w:r>
          </w:p>
        </w:tc>
      </w:tr>
      <w:tr>
        <w:tc>
          <w:tcPr>
            <w:tcW w:type="dxa" w:w="1440"/>
            <w:shd w:fill="C6EFCE" w:val="clear"/>
          </w:tcPr>
          <w:p>
            <w:r>
              <w:rPr>
                <w:sz w:val="17"/>
              </w:rPr>
              <w:t>J+2  ⭐</w:t>
            </w:r>
          </w:p>
        </w:tc>
        <w:tc>
          <w:tcPr>
            <w:tcW w:type="dxa" w:w="1440"/>
            <w:shd w:fill="C6EFCE" w:val="clear"/>
          </w:tcPr>
          <w:p>
            <w:r>
              <w:rPr>
                <w:sz w:val="17"/>
              </w:rPr>
              <w:t>2026-10-22</w:t>
            </w:r>
          </w:p>
        </w:tc>
        <w:tc>
          <w:tcPr>
            <w:tcW w:type="dxa" w:w="1440"/>
            <w:shd w:fill="C6EFCE" w:val="clear"/>
          </w:tcPr>
          <w:p>
            <w:r>
              <w:rPr>
                <w:sz w:val="17"/>
              </w:rPr>
              <w:t>13,998</w:t>
            </w:r>
          </w:p>
        </w:tc>
        <w:tc>
          <w:tcPr>
            <w:tcW w:type="dxa" w:w="1440"/>
            <w:shd w:fill="C6EFCE" w:val="clear"/>
          </w:tcPr>
          <w:p>
            <w:r>
              <w:rPr>
                <w:b/>
                <w:sz w:val="17"/>
              </w:rPr>
              <w:t>14,831</w:t>
            </w:r>
          </w:p>
        </w:tc>
        <w:tc>
          <w:tcPr>
            <w:tcW w:type="dxa" w:w="1440"/>
            <w:shd w:fill="C6EFCE" w:val="clear"/>
          </w:tcPr>
          <w:p>
            <w:r>
              <w:rPr>
                <w:sz w:val="17"/>
              </w:rPr>
              <w:t>15,664</w:t>
            </w:r>
          </w:p>
        </w:tc>
        <w:tc>
          <w:tcPr>
            <w:tcW w:type="dxa" w:w="1440"/>
            <w:shd w:fill="C6EFCE" w:val="clear"/>
          </w:tcPr>
          <w:p>
            <w:r>
              <w:rPr>
                <w:b/>
                <w:color w:val="008000"/>
                <w:sz w:val="17"/>
              </w:rPr>
              <w:t>+2.3%</w:t>
            </w:r>
          </w:p>
        </w:tc>
      </w:tr>
      <w:tr>
        <w:tc>
          <w:tcPr>
            <w:tcW w:type="dxa" w:w="1440"/>
            <w:shd w:fill="C6EFCE" w:val="clear"/>
          </w:tcPr>
          <w:p>
            <w:r>
              <w:rPr>
                <w:sz w:val="17"/>
              </w:rPr>
              <w:t>J+3  ⭐</w:t>
            </w:r>
          </w:p>
        </w:tc>
        <w:tc>
          <w:tcPr>
            <w:tcW w:type="dxa" w:w="1440"/>
            <w:shd w:fill="C6EFCE" w:val="clear"/>
          </w:tcPr>
          <w:p>
            <w:r>
              <w:rPr>
                <w:sz w:val="17"/>
              </w:rPr>
              <w:t>2026-10-23</w:t>
            </w:r>
          </w:p>
        </w:tc>
        <w:tc>
          <w:tcPr>
            <w:tcW w:type="dxa" w:w="1440"/>
            <w:shd w:fill="C6EFCE" w:val="clear"/>
          </w:tcPr>
          <w:p>
            <w:r>
              <w:rPr>
                <w:sz w:val="17"/>
              </w:rPr>
              <w:t>13,804</w:t>
            </w:r>
          </w:p>
        </w:tc>
        <w:tc>
          <w:tcPr>
            <w:tcW w:type="dxa" w:w="1440"/>
            <w:shd w:fill="C6EFCE" w:val="clear"/>
          </w:tcPr>
          <w:p>
            <w:r>
              <w:rPr>
                <w:b/>
                <w:sz w:val="17"/>
              </w:rPr>
              <w:t>14,824</w:t>
            </w:r>
          </w:p>
        </w:tc>
        <w:tc>
          <w:tcPr>
            <w:tcW w:type="dxa" w:w="1440"/>
            <w:shd w:fill="C6EFCE" w:val="clear"/>
          </w:tcPr>
          <w:p>
            <w:r>
              <w:rPr>
                <w:sz w:val="17"/>
              </w:rPr>
              <w:t>15,844</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2026-10-26</w:t>
            </w:r>
          </w:p>
        </w:tc>
        <w:tc>
          <w:tcPr>
            <w:tcW w:type="dxa" w:w="1440"/>
            <w:shd w:fill="C6EFCE" w:val="clear"/>
          </w:tcPr>
          <w:p>
            <w:r>
              <w:rPr>
                <w:sz w:val="17"/>
              </w:rPr>
              <w:t>13,649</w:t>
            </w:r>
          </w:p>
        </w:tc>
        <w:tc>
          <w:tcPr>
            <w:tcW w:type="dxa" w:w="1440"/>
            <w:shd w:fill="C6EFCE" w:val="clear"/>
          </w:tcPr>
          <w:p>
            <w:r>
              <w:rPr>
                <w:b/>
                <w:sz w:val="17"/>
              </w:rPr>
              <w:t>14,827</w:t>
            </w:r>
          </w:p>
        </w:tc>
        <w:tc>
          <w:tcPr>
            <w:tcW w:type="dxa" w:w="1440"/>
            <w:shd w:fill="C6EFCE" w:val="clear"/>
          </w:tcPr>
          <w:p>
            <w:r>
              <w:rPr>
                <w:sz w:val="17"/>
              </w:rPr>
              <w:t>16,005</w:t>
            </w:r>
          </w:p>
        </w:tc>
        <w:tc>
          <w:tcPr>
            <w:tcW w:type="dxa" w:w="1440"/>
            <w:shd w:fill="C6EFCE" w:val="clear"/>
          </w:tcPr>
          <w:p>
            <w:r>
              <w:rPr>
                <w:b/>
                <w:color w:val="008000"/>
                <w:sz w:val="17"/>
              </w:rPr>
              <w:t>+2.3%</w:t>
            </w:r>
          </w:p>
        </w:tc>
      </w:tr>
      <w:tr>
        <w:tc>
          <w:tcPr>
            <w:tcW w:type="dxa" w:w="1440"/>
            <w:shd w:fill="C6EFCE" w:val="clear"/>
          </w:tcPr>
          <w:p>
            <w:r>
              <w:rPr>
                <w:sz w:val="17"/>
              </w:rPr>
              <w:t>J+5  ⭐</w:t>
            </w:r>
          </w:p>
        </w:tc>
        <w:tc>
          <w:tcPr>
            <w:tcW w:type="dxa" w:w="1440"/>
            <w:shd w:fill="C6EFCE" w:val="clear"/>
          </w:tcPr>
          <w:p>
            <w:r>
              <w:rPr>
                <w:sz w:val="17"/>
              </w:rPr>
              <w:t>2026-10-27</w:t>
            </w:r>
          </w:p>
        </w:tc>
        <w:tc>
          <w:tcPr>
            <w:tcW w:type="dxa" w:w="1440"/>
            <w:shd w:fill="C6EFCE" w:val="clear"/>
          </w:tcPr>
          <w:p>
            <w:r>
              <w:rPr>
                <w:sz w:val="17"/>
              </w:rPr>
              <w:t>13,513</w:t>
            </w:r>
          </w:p>
        </w:tc>
        <w:tc>
          <w:tcPr>
            <w:tcW w:type="dxa" w:w="1440"/>
            <w:shd w:fill="C6EFCE" w:val="clear"/>
          </w:tcPr>
          <w:p>
            <w:r>
              <w:rPr>
                <w:b/>
                <w:sz w:val="17"/>
              </w:rPr>
              <w:t>14,830</w:t>
            </w:r>
          </w:p>
        </w:tc>
        <w:tc>
          <w:tcPr>
            <w:tcW w:type="dxa" w:w="1440"/>
            <w:shd w:fill="C6EFCE" w:val="clear"/>
          </w:tcPr>
          <w:p>
            <w:r>
              <w:rPr>
                <w:sz w:val="17"/>
              </w:rPr>
              <w:t>16,147</w:t>
            </w:r>
          </w:p>
        </w:tc>
        <w:tc>
          <w:tcPr>
            <w:tcW w:type="dxa" w:w="1440"/>
            <w:shd w:fill="C6EFCE" w:val="clear"/>
          </w:tcPr>
          <w:p>
            <w:r>
              <w:rPr>
                <w:b/>
                <w:color w:val="008000"/>
                <w:sz w:val="17"/>
              </w:rPr>
              <w:t>+2.3%</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13,389</w:t>
            </w:r>
          </w:p>
        </w:tc>
        <w:tc>
          <w:tcPr>
            <w:tcW w:type="dxa" w:w="1440"/>
            <w:shd w:fill="C6EFCE" w:val="clear"/>
          </w:tcPr>
          <w:p>
            <w:r>
              <w:rPr>
                <w:b/>
                <w:sz w:val="17"/>
              </w:rPr>
              <w:t>14,832</w:t>
            </w:r>
          </w:p>
        </w:tc>
        <w:tc>
          <w:tcPr>
            <w:tcW w:type="dxa" w:w="1440"/>
            <w:shd w:fill="C6EFCE" w:val="clear"/>
          </w:tcPr>
          <w:p>
            <w:r>
              <w:rPr>
                <w:sz w:val="17"/>
              </w:rPr>
              <w:t>16,275</w:t>
            </w:r>
          </w:p>
        </w:tc>
        <w:tc>
          <w:tcPr>
            <w:tcW w:type="dxa" w:w="1440"/>
            <w:shd w:fill="C6EFCE" w:val="clear"/>
          </w:tcPr>
          <w:p>
            <w:r>
              <w:rPr>
                <w:b/>
                <w:color w:val="008000"/>
                <w:sz w:val="17"/>
              </w:rPr>
              <w:t>+2.3%</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13,275</w:t>
            </w:r>
          </w:p>
        </w:tc>
        <w:tc>
          <w:tcPr>
            <w:tcW w:type="dxa" w:w="1440"/>
            <w:shd w:fill="C6EFCE" w:val="clear"/>
          </w:tcPr>
          <w:p>
            <w:r>
              <w:rPr>
                <w:b/>
                <w:sz w:val="17"/>
              </w:rPr>
              <w:t>14,833</w:t>
            </w:r>
          </w:p>
        </w:tc>
        <w:tc>
          <w:tcPr>
            <w:tcW w:type="dxa" w:w="1440"/>
            <w:shd w:fill="C6EFCE" w:val="clear"/>
          </w:tcPr>
          <w:p>
            <w:r>
              <w:rPr>
                <w:sz w:val="17"/>
              </w:rPr>
              <w:t>16,392</w:t>
            </w:r>
          </w:p>
        </w:tc>
        <w:tc>
          <w:tcPr>
            <w:tcW w:type="dxa" w:w="1440"/>
            <w:shd w:fill="C6EFCE" w:val="clear"/>
          </w:tcPr>
          <w:p>
            <w:r>
              <w:rPr>
                <w:b/>
                <w:color w:val="008000"/>
                <w:sz w:val="17"/>
              </w:rPr>
              <w:t>+2.3%</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13,167</w:t>
            </w:r>
          </w:p>
        </w:tc>
        <w:tc>
          <w:tcPr>
            <w:tcW w:type="dxa" w:w="1440"/>
            <w:shd w:fill="C6EFCE" w:val="clear"/>
          </w:tcPr>
          <w:p>
            <w:r>
              <w:rPr>
                <w:b/>
                <w:sz w:val="17"/>
              </w:rPr>
              <w:t>14,834</w:t>
            </w:r>
          </w:p>
        </w:tc>
        <w:tc>
          <w:tcPr>
            <w:tcW w:type="dxa" w:w="1440"/>
            <w:shd w:fill="C6EFCE" w:val="clear"/>
          </w:tcPr>
          <w:p>
            <w:r>
              <w:rPr>
                <w:sz w:val="17"/>
              </w:rPr>
              <w:t>16,500</w:t>
            </w:r>
          </w:p>
        </w:tc>
        <w:tc>
          <w:tcPr>
            <w:tcW w:type="dxa" w:w="1440"/>
            <w:shd w:fill="C6EFCE" w:val="clear"/>
          </w:tcPr>
          <w:p>
            <w:r>
              <w:rPr>
                <w:b/>
                <w:color w:val="008000"/>
                <w:sz w:val="17"/>
              </w:rPr>
              <w:t>+2.3%</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13,066</w:t>
            </w:r>
          </w:p>
        </w:tc>
        <w:tc>
          <w:tcPr>
            <w:tcW w:type="dxa" w:w="1440"/>
            <w:shd w:fill="C6EFCE" w:val="clear"/>
          </w:tcPr>
          <w:p>
            <w:r>
              <w:rPr>
                <w:b/>
                <w:sz w:val="17"/>
              </w:rPr>
              <w:t>14,834</w:t>
            </w:r>
          </w:p>
        </w:tc>
        <w:tc>
          <w:tcPr>
            <w:tcW w:type="dxa" w:w="1440"/>
            <w:shd w:fill="C6EFCE" w:val="clear"/>
          </w:tcPr>
          <w:p>
            <w:r>
              <w:rPr>
                <w:sz w:val="17"/>
              </w:rPr>
              <w:t>16,601</w:t>
            </w:r>
          </w:p>
        </w:tc>
        <w:tc>
          <w:tcPr>
            <w:tcW w:type="dxa" w:w="1440"/>
            <w:shd w:fill="C6EFCE" w:val="clear"/>
          </w:tcPr>
          <w:p>
            <w:r>
              <w:rPr>
                <w:b/>
                <w:color w:val="008000"/>
                <w:sz w:val="17"/>
              </w:rPr>
              <w:t>+2.3%</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12,971</w:t>
            </w:r>
          </w:p>
        </w:tc>
        <w:tc>
          <w:tcPr>
            <w:tcW w:type="dxa" w:w="1440"/>
            <w:shd w:fill="C6EFCE" w:val="clear"/>
          </w:tcPr>
          <w:p>
            <w:r>
              <w:rPr>
                <w:b/>
                <w:sz w:val="17"/>
              </w:rPr>
              <w:t>14,834</w:t>
            </w:r>
          </w:p>
        </w:tc>
        <w:tc>
          <w:tcPr>
            <w:tcW w:type="dxa" w:w="1440"/>
            <w:shd w:fill="C6EFCE" w:val="clear"/>
          </w:tcPr>
          <w:p>
            <w:r>
              <w:rPr>
                <w:sz w:val="17"/>
              </w:rPr>
              <w:t>16,697</w:t>
            </w:r>
          </w:p>
        </w:tc>
        <w:tc>
          <w:tcPr>
            <w:tcW w:type="dxa" w:w="1440"/>
            <w:shd w:fill="C6EFCE" w:val="clear"/>
          </w:tcPr>
          <w:p>
            <w:r>
              <w:rPr>
                <w:b/>
                <w:color w:val="008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NTLC (Nestlé Côte d'Ivoire S.A.)</w:t>
        <w:br/>
        <w:t>**Bourse Régionale des Valeurs Mobilières (BRVM) — Secteur : Entreprise / Agroalimentaire**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320,02 milliards FCFA, NTLC s'affirme comme une valeur phare de la BRVM, représentant un poids significatif dans l'indice composite. Le BPA de 835 FCFA/action signifie que chaque titre génère près de 835 FCFA de bénéfice net, un niveau confortable pour une valeur de rendement. Le PER de 17,4x se situe au-dessus de la moyenne BRVM (~8-12x), traduisant une prime de qualité payée par le marché pour la solidité de la marque Nestlé et la régularité de ses résultats. Le P/B de 10,82x, très supérieur au seuil de 4x, confirme cette valorisation exigeante : le marché paie plus de dix fois la valeur comptable, ce qui se justifie par la faiblesse relative des fonds propres (29,59 Mds FCFA) face à la puissance bénéficiaire (ROE de 62,28%). Enfin, l'EV/EBITDA de 8,8x, dans la fourchette raisonnable de 5-10x, indique que la valeur d'entreprise reste cohérente avec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variation totale positive de +13,28%, malgré un repli de -0,68% lors de la dernière séance, portant le cours actuel à 14 500 FCFA. Le range de trading est large, entre un plus bas de 12 800 FCFA et un plus haut de 18 000 FCFA, soit une amplitude de plus de 40% qui témoigne d'une réelle nervosité du marché. La tendance générale reste toutefois haussière sur la période, le cours actuel se situant dans le bas de la fourchette, ce qui suggère une phase de correction après un pic. Les statistiques descriptives révèlent une moyenne de 15 786 FCFA supérieure à la médiane de 15 995 FCFA — écart modeste mais cohérent avec un skewness négatif de -0,780, indiquant que le cours a passé plus de journées au-dessus de sa moyenne, avec quelques journées de forte baisse tirant la distribution vers le bas. L'écart-type de 1 126 FCFA (CV de 7,1%) traduit une dispersion modérée autour de la moyenne, tandis que le kurtosis de 0,349 (mésokurtique) signale un comportement proche d'une distribution normale, sans risque excessif de pics extrêmes. La volatilité annualisée de 36,1% classe le titre dans la catégorie des valeurs à volatilité élevée (&gt;30%), ce qui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(15 105,25 FCFA) et la MM50 (16 135,00 FCFA) se situent toutes deux au-dessus du cours actuel (14 500 FCFA), avec une MM20 inférieure à la MM50 — configuration baissière caractéristique. Le cours évoluant sous ses deux moyennes, la pression vendeuse domine et justifie la décision technique de **Vente**.</w:t>
      </w:r>
    </w:p>
    <w:p>
      <w:pPr>
        <w:spacing w:after="120" w:line="276" w:lineRule="auto"/>
      </w:pPr>
      <w:r>
        <w:t>**Bandes de Bollinger** : Le cours (14 500 FCFA) se situe dans la moitié basse de la bande, entre la borne inférieure (14 356,56 FCFA) et la borne supérieure (15 853,94 FCFA), sans franchissement des extrêmes. Cette position centrale-basse, avec un cours proche de la borne inférieure, traduit une volatilité contenue et une absence de signal directionnel fort, justifiant la décision **Neutre**.</w:t>
      </w:r>
    </w:p>
    <w:p>
      <w:pPr>
        <w:spacing w:after="120" w:line="276" w:lineRule="auto"/>
      </w:pPr>
      <w:r>
        <w:t>**MACD** : La valeur du MACD (-349,37) est inférieure à son signal (-322,80), avec un histogramme négatif — configuration baissière confirmée. Le momentum reste négatif et la divergence MACD-Signal persiste, ce qui justifie pleinement la décision de **Vente**.</w:t>
      </w:r>
    </w:p>
    <w:p>
      <w:pPr>
        <w:spacing w:after="120" w:line="276" w:lineRule="auto"/>
      </w:pPr>
      <w:r>
        <w:t>**RSI** : À 36,11, le RSI se situe dans la zone neutre basse (30-70), sans atteindre le seuil de survente (&lt;30). Le titre n'est donc ni survendu ni suracheté, mais la proximité de la zone de survente suggère une pression baissière modérée, cohérente avec la décision **Neutre**.</w:t>
      </w:r>
    </w:p>
    <w:p>
      <w:pPr>
        <w:spacing w:after="120" w:line="276" w:lineRule="auto"/>
      </w:pPr>
      <w:r>
        <w:t>**Stochastique** : Le %K et le %D sont tous deux à 0,0, position extrême en zone de survente profonde. Un tel niveau signale un épuisement de la pression vendeuse et un potentiel rebond technique imminent, justifiant la décision d'**Achat** — signal contrarien isolé.</w:t>
      </w:r>
    </w:p>
    <w:p>
      <w:pPr>
        <w:spacing w:after="120" w:line="276" w:lineRule="auto"/>
      </w:pPr>
      <w:r>
        <w:t>**Conclusion technique** : Les indicateurs sont majoritairement baissiers (MM, MACD) ou neutres (Bollinger, RSI), avec un seul signal d'achat contrarien (Stochastique en survente extrême). Le titre se trouve dans une phase de correction sous ses moyennes mobiles, mais la proximité de la borne inférieure de Bollinger et le Stochastique à zéro suggèrent qu'un rebond technique pourrait se dessiner à court terme. La convergence partielle des signaux invite à la prudence : la tendance de fond reste fragile, mais le potentiel de rebond existe.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Nestlé Côte d'Ivoire a réalisé un chiffre d'affaires de 233,26 milliards FCFA, en croissance de 5,97% par rapport à 2024, pour un résultat net de 18,43 milliards FCFA (marge nette de 7,90%). Le ROE atteint un niveau exceptionnel de 62,28%, bien au-delà du seuil de 15% considéré comme excellent, tandis que le ROA s'établit à 9,70% et la rotation des actifs à 122,80%, témoignant d'une efficacité remarquable dans l'utilisation des actifs. En tant qu'entreprise agroalimentaire, les points d'attention portent sur le BFR de 22,63 milliards FCFA (positif, donc consommateur de trésorerie), un délai client élevé de 74,30 jours (risque de trésorerie significatif) et une durée de stockage de 59,39 jours (immobilisation de capital notable). La structure financière est tendue : autonomie financière de seulement 15,58% (très en dessous du seuil sain de 30%), ratio d'endettement de 135,85% et liquidité générale de 79,86% (&lt;1, signal de tension). La trésorerie nette est négative à -46,83 milliards FCFA, confirmant un besoin de financement du cycle d'exploitation.</w:t>
      </w:r>
    </w:p>
    <w:p>
      <w:pPr>
        <w:spacing w:after="120" w:line="276" w:lineRule="auto"/>
      </w:pPr>
      <w:r>
        <w:t>**Estimations basées sur les rapports trimestriels** : Le rapport du **T1 2026 (arrêté au 31 mars 2026)** révèle une accélération spectaculaire : CA de 70,82 milliards FCFA (+31% vs T1 2025) et résultat net de 7,53 milliards FCFA (+37%), avec une marge nette améliorée à 10,6%. Sur cette base, on peut estimer que l'exercice 2026 devrait afficher une croissance du CA supérieure à 15-20% et un résultat net en progression de 20-25%, sous réserve de la persistance de la dynamique. Le rapport annuel 2025 (publié le 31/12/2025) confirme par ailleurs une politique de dividende plus conservatrice (9,27 Mds FCFA distribués, payout de 50,3% contre 99,7% en 2024), signal d'une stratégie de réinvestissement. Les rapports antérieurs (S1 2025, T3 2025) montraient une érosion des marges liée à l'inflation des matières premières (café vert +60%), mais le T1 2026 marque une nette inversion de tendance.</w:t>
      </w:r>
    </w:p>
    <w:p>
      <w:pPr>
        <w:spacing w:after="120" w:line="276" w:lineRule="auto"/>
      </w:pPr>
      <w:r>
        <w:t>**Recommandation fondamentale** : La solidité du modèle Nestlé (marque leader, croissance retrouvée, ROE exceptionnel) contraste avec une structure financière fragile (autonomie financière faible, trésorerie nette négative, délais clients élevés). La dynamique du T1 2026 est très encourageante et pourrait justifier une revalorisation, mais les risques de liquidité et d'endettement appellent à la vigilance.</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tableau contrasté. **Valorisation (Partie 0)** : le PER de 17,4x et le P/B de 10,82x indiquent une valorisation exigeante, voire surévaluée par rapport à la moyenne BRVM, bien que l'EV/EBITDA de 8,8x reste raisonnable — le marché paie une prime de qualité qui limite le potentiel de hausse à court terme. **Comportement du cours (Partie 1)** : la tendance haussière de +13,28% sur 100 jours masque une correction récente, avec une volatilité élevée (36,1%) et un skewness négatif signalant une asymétrie défavorable aux détenteurs. **Signaux techniques (Partie 2)** : la majorité des indicateurs (MM, MACD) sont baissiers, mais le Stochastique en survente extrême (0,0) et la proximité de la borne inférieure de Bollinger suggèrent un rebond technique possible — divergence qui plaide pour une posture attentiste. **Fondamentaux (Partie 3)** : les chiffres 2025 (CA +5,97%, RN +1,53%, ROE 62,28%) confirment la solidité, et le T1 2026 (+31% de CA, +37% de RN) laisse présager une accélération notable, mais la structure financière tendue (autonomie 15,58%, trésorerie nette -46,83 Mds) constitue un risque réel. **Prédictions IA (J+1 à J+10)** : la trajectoire projetée (14 880 → 14 830 FCFA) est quasi stable, légèrement haussière puis plate, ce qui contredit le signal d'achat du Stochastique mais confirme la phase de consolidation latérale.</w:t>
      </w:r>
    </w:p>
    <w:p>
      <w:pPr>
        <w:spacing w:after="120" w:line="276" w:lineRule="auto"/>
      </w:pPr>
      <w:r>
        <w:t>**Recommandation finale : CONSERVER.** La convergence est partielle : la valorisation exigeante et les signaux techniques majoritairement baissiers plaident contre un achat immédiat, tandis que les fondamentaux solides et l'accélération du T1 2026 soutiennent la détention du titre. Les prédictions IA d'une stabilisation autour de 14 800-14 880 FCFA confirment l'absence de catalyseur court terme. **Niveau de confiance : Moyen** (les signaux sont divergents entre technique et fondamental). **Niveau de risque global : Moyen à Élevé** (volatilité de 36,1%, structure financière tendue, valorisation exigeante). **Horizon d'investissement optimal : Moyen terme (3-12 mois)**, le temps que la dynamique du T1 2026 se confirme sur les trimestres suivants et que le marché intègre la nouvelle trajectoire bénéficiaire.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211.82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6,514 titres</w:t>
            </w:r>
          </w:p>
        </w:tc>
        <w:tc>
          <w:tcPr>
            <w:tcW w:type="dxa" w:w="2268"/>
            <w:shd w:fill="FFF2CC" w:val="clear"/>
          </w:tcPr>
          <w:p>
            <w:r>
              <w:rPr>
                <w:b/>
                <w:color w:val="503200"/>
                <w:sz w:val="16"/>
              </w:rPr>
              <w:t xml:space="preserve">Cours actuel : </w:t>
            </w:r>
            <w:r>
              <w:rPr>
                <w:color w:val="000000"/>
                <w:sz w:val="17"/>
              </w:rPr>
              <w:t>3,115 FCFA</w:t>
            </w:r>
          </w:p>
          <w:p>
            <w:r>
              <w:rPr>
                <w:b/>
                <w:color w:val="503200"/>
                <w:sz w:val="16"/>
              </w:rPr>
              <w:t xml:space="preserve">Var. 100 jours : </w:t>
            </w:r>
            <w:r>
              <w:rPr>
                <w:b/>
                <w:color w:val="007800"/>
                <w:sz w:val="17"/>
              </w:rPr>
              <w:t>+7.41%</w:t>
            </w:r>
          </w:p>
          <w:p>
            <w:r>
              <w:rPr>
                <w:b/>
                <w:color w:val="503200"/>
                <w:sz w:val="16"/>
              </w:rPr>
              <w:t xml:space="preserve">Plus haut 100j : </w:t>
            </w:r>
            <w:r>
              <w:rPr>
                <w:color w:val="000000"/>
                <w:sz w:val="17"/>
              </w:rPr>
              <w:t>3,115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3.08% (Faible) — μ=2,868 FCFA, σ=88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β=0.2745 (Défensif) — Cov=0.000021, Var(idx)=0.000078, ρ=0.106,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6,514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σ_j=2.40%/j (Stable) — Vol. annualisée≈38.0%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2026-10-21</w:t>
            </w:r>
          </w:p>
        </w:tc>
        <w:tc>
          <w:tcPr>
            <w:tcW w:type="dxa" w:w="1440"/>
            <w:shd w:fill="FFDCE0" w:val="clear"/>
          </w:tcPr>
          <w:p>
            <w:r>
              <w:rPr>
                <w:sz w:val="17"/>
              </w:rPr>
              <w:t>2,868</w:t>
            </w:r>
          </w:p>
        </w:tc>
        <w:tc>
          <w:tcPr>
            <w:tcW w:type="dxa" w:w="1440"/>
            <w:shd w:fill="FFDCE0" w:val="clear"/>
          </w:tcPr>
          <w:p>
            <w:r>
              <w:rPr>
                <w:b/>
                <w:sz w:val="17"/>
              </w:rPr>
              <w:t>3,018</w:t>
            </w:r>
          </w:p>
        </w:tc>
        <w:tc>
          <w:tcPr>
            <w:tcW w:type="dxa" w:w="1440"/>
            <w:shd w:fill="FFDCE0" w:val="clear"/>
          </w:tcPr>
          <w:p>
            <w:r>
              <w:rPr>
                <w:sz w:val="17"/>
              </w:rPr>
              <w:t>3,169</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2026-10-22</w:t>
            </w:r>
          </w:p>
        </w:tc>
        <w:tc>
          <w:tcPr>
            <w:tcW w:type="dxa" w:w="1440"/>
            <w:shd w:fill="FFDCE0" w:val="clear"/>
          </w:tcPr>
          <w:p>
            <w:r>
              <w:rPr>
                <w:sz w:val="17"/>
              </w:rPr>
              <w:t>2,806</w:t>
            </w:r>
          </w:p>
        </w:tc>
        <w:tc>
          <w:tcPr>
            <w:tcW w:type="dxa" w:w="1440"/>
            <w:shd w:fill="FFDCE0" w:val="clear"/>
          </w:tcPr>
          <w:p>
            <w:r>
              <w:rPr>
                <w:b/>
                <w:sz w:val="17"/>
              </w:rPr>
              <w:t>3,018</w:t>
            </w:r>
          </w:p>
        </w:tc>
        <w:tc>
          <w:tcPr>
            <w:tcW w:type="dxa" w:w="1440"/>
            <w:shd w:fill="FFDCE0" w:val="clear"/>
          </w:tcPr>
          <w:p>
            <w:r>
              <w:rPr>
                <w:sz w:val="17"/>
              </w:rPr>
              <w:t>3,231</w:t>
            </w:r>
          </w:p>
        </w:tc>
        <w:tc>
          <w:tcPr>
            <w:tcW w:type="dxa" w:w="1440"/>
            <w:shd w:fill="FFDCE0" w:val="clear"/>
          </w:tcPr>
          <w:p>
            <w:r>
              <w:rPr>
                <w:b/>
                <w:color w:val="C00000"/>
                <w:sz w:val="17"/>
              </w:rPr>
              <w:t>-3.1%</w:t>
            </w:r>
          </w:p>
        </w:tc>
      </w:tr>
      <w:tr>
        <w:tc>
          <w:tcPr>
            <w:tcW w:type="dxa" w:w="1440"/>
            <w:shd w:fill="FFDCE0" w:val="clear"/>
          </w:tcPr>
          <w:p>
            <w:r>
              <w:rPr>
                <w:sz w:val="17"/>
              </w:rPr>
              <w:t>J+3  Moyenne</w:t>
            </w:r>
          </w:p>
        </w:tc>
        <w:tc>
          <w:tcPr>
            <w:tcW w:type="dxa" w:w="1440"/>
            <w:shd w:fill="FFDCE0" w:val="clear"/>
          </w:tcPr>
          <w:p>
            <w:r>
              <w:rPr>
                <w:sz w:val="17"/>
              </w:rPr>
              <w:t>2026-10-23</w:t>
            </w:r>
          </w:p>
        </w:tc>
        <w:tc>
          <w:tcPr>
            <w:tcW w:type="dxa" w:w="1440"/>
            <w:shd w:fill="FFDCE0" w:val="clear"/>
          </w:tcPr>
          <w:p>
            <w:r>
              <w:rPr>
                <w:sz w:val="17"/>
              </w:rPr>
              <w:t>2,751</w:t>
            </w:r>
          </w:p>
        </w:tc>
        <w:tc>
          <w:tcPr>
            <w:tcW w:type="dxa" w:w="1440"/>
            <w:shd w:fill="FFDCE0" w:val="clear"/>
          </w:tcPr>
          <w:p>
            <w:r>
              <w:rPr>
                <w:b/>
                <w:sz w:val="17"/>
              </w:rPr>
              <w:t>3,010</w:t>
            </w:r>
          </w:p>
        </w:tc>
        <w:tc>
          <w:tcPr>
            <w:tcW w:type="dxa" w:w="1440"/>
            <w:shd w:fill="FFDCE0" w:val="clear"/>
          </w:tcPr>
          <w:p>
            <w:r>
              <w:rPr>
                <w:sz w:val="17"/>
              </w:rPr>
              <w:t>3,270</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2026-10-26</w:t>
            </w:r>
          </w:p>
        </w:tc>
        <w:tc>
          <w:tcPr>
            <w:tcW w:type="dxa" w:w="1440"/>
            <w:shd w:fill="FFDCE0" w:val="clear"/>
          </w:tcPr>
          <w:p>
            <w:r>
              <w:rPr>
                <w:sz w:val="17"/>
              </w:rPr>
              <w:t>2,703</w:t>
            </w:r>
          </w:p>
        </w:tc>
        <w:tc>
          <w:tcPr>
            <w:tcW w:type="dxa" w:w="1440"/>
            <w:shd w:fill="FFDCE0" w:val="clear"/>
          </w:tcPr>
          <w:p>
            <w:r>
              <w:rPr>
                <w:b/>
                <w:sz w:val="17"/>
              </w:rPr>
              <w:t>3,002</w:t>
            </w:r>
          </w:p>
        </w:tc>
        <w:tc>
          <w:tcPr>
            <w:tcW w:type="dxa" w:w="1440"/>
            <w:shd w:fill="FFDCE0" w:val="clear"/>
          </w:tcPr>
          <w:p>
            <w:r>
              <w:rPr>
                <w:sz w:val="17"/>
              </w:rPr>
              <w:t>3,301</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2026-10-27</w:t>
            </w:r>
          </w:p>
        </w:tc>
        <w:tc>
          <w:tcPr>
            <w:tcW w:type="dxa" w:w="1440"/>
            <w:shd w:fill="FFDCE0" w:val="clear"/>
          </w:tcPr>
          <w:p>
            <w:r>
              <w:rPr>
                <w:sz w:val="17"/>
              </w:rPr>
              <w:t>2,660</w:t>
            </w:r>
          </w:p>
        </w:tc>
        <w:tc>
          <w:tcPr>
            <w:tcW w:type="dxa" w:w="1440"/>
            <w:shd w:fill="FFDCE0" w:val="clear"/>
          </w:tcPr>
          <w:p>
            <w:r>
              <w:rPr>
                <w:b/>
                <w:sz w:val="17"/>
              </w:rPr>
              <w:t>2,993</w:t>
            </w:r>
          </w:p>
        </w:tc>
        <w:tc>
          <w:tcPr>
            <w:tcW w:type="dxa" w:w="1440"/>
            <w:shd w:fill="FFDCE0" w:val="clear"/>
          </w:tcPr>
          <w:p>
            <w:r>
              <w:rPr>
                <w:sz w:val="17"/>
              </w:rPr>
              <w:t>3,327</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2026-10-28</w:t>
            </w:r>
          </w:p>
        </w:tc>
        <w:tc>
          <w:tcPr>
            <w:tcW w:type="dxa" w:w="1440"/>
            <w:shd w:fill="FFDCE0" w:val="clear"/>
          </w:tcPr>
          <w:p>
            <w:r>
              <w:rPr>
                <w:sz w:val="17"/>
              </w:rPr>
              <w:t>2,621</w:t>
            </w:r>
          </w:p>
        </w:tc>
        <w:tc>
          <w:tcPr>
            <w:tcW w:type="dxa" w:w="1440"/>
            <w:shd w:fill="FFDCE0" w:val="clear"/>
          </w:tcPr>
          <w:p>
            <w:r>
              <w:rPr>
                <w:b/>
                <w:sz w:val="17"/>
              </w:rPr>
              <w:t>2,985</w:t>
            </w:r>
          </w:p>
        </w:tc>
        <w:tc>
          <w:tcPr>
            <w:tcW w:type="dxa" w:w="1440"/>
            <w:shd w:fill="FFDCE0" w:val="clear"/>
          </w:tcPr>
          <w:p>
            <w:r>
              <w:rPr>
                <w:sz w:val="17"/>
              </w:rPr>
              <w:t>3,349</w:t>
            </w:r>
          </w:p>
        </w:tc>
        <w:tc>
          <w:tcPr>
            <w:tcW w:type="dxa" w:w="1440"/>
            <w:shd w:fill="FFDCE0" w:val="clear"/>
          </w:tcPr>
          <w:p>
            <w:r>
              <w:rPr>
                <w:b/>
                <w:color w:val="C00000"/>
                <w:sz w:val="17"/>
              </w:rPr>
              <w:t>-4.2%</w:t>
            </w:r>
          </w:p>
        </w:tc>
      </w:tr>
      <w:tr>
        <w:tc>
          <w:tcPr>
            <w:tcW w:type="dxa" w:w="1440"/>
            <w:shd w:fill="FFDCE0" w:val="clear"/>
          </w:tcPr>
          <w:p>
            <w:r>
              <w:rPr>
                <w:sz w:val="17"/>
              </w:rPr>
              <w:t>J+7  ⭐</w:t>
            </w:r>
          </w:p>
        </w:tc>
        <w:tc>
          <w:tcPr>
            <w:tcW w:type="dxa" w:w="1440"/>
            <w:shd w:fill="FFDCE0" w:val="clear"/>
          </w:tcPr>
          <w:p>
            <w:r>
              <w:rPr>
                <w:sz w:val="17"/>
              </w:rPr>
              <w:t>2026-10-29</w:t>
            </w:r>
          </w:p>
        </w:tc>
        <w:tc>
          <w:tcPr>
            <w:tcW w:type="dxa" w:w="1440"/>
            <w:shd w:fill="FFDCE0" w:val="clear"/>
          </w:tcPr>
          <w:p>
            <w:r>
              <w:rPr>
                <w:sz w:val="17"/>
              </w:rPr>
              <w:t>2,585</w:t>
            </w:r>
          </w:p>
        </w:tc>
        <w:tc>
          <w:tcPr>
            <w:tcW w:type="dxa" w:w="1440"/>
            <w:shd w:fill="FFDCE0" w:val="clear"/>
          </w:tcPr>
          <w:p>
            <w:r>
              <w:rPr>
                <w:b/>
                <w:sz w:val="17"/>
              </w:rPr>
              <w:t>2,977</w:t>
            </w:r>
          </w:p>
        </w:tc>
        <w:tc>
          <w:tcPr>
            <w:tcW w:type="dxa" w:w="1440"/>
            <w:shd w:fill="FFDCE0" w:val="clear"/>
          </w:tcPr>
          <w:p>
            <w:r>
              <w:rPr>
                <w:sz w:val="17"/>
              </w:rPr>
              <w:t>3,369</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2026-10-30</w:t>
            </w:r>
          </w:p>
        </w:tc>
        <w:tc>
          <w:tcPr>
            <w:tcW w:type="dxa" w:w="1440"/>
            <w:shd w:fill="FFDCE0" w:val="clear"/>
          </w:tcPr>
          <w:p>
            <w:r>
              <w:rPr>
                <w:sz w:val="17"/>
              </w:rPr>
              <w:t>2,551</w:t>
            </w:r>
          </w:p>
        </w:tc>
        <w:tc>
          <w:tcPr>
            <w:tcW w:type="dxa" w:w="1440"/>
            <w:shd w:fill="FFDCE0" w:val="clear"/>
          </w:tcPr>
          <w:p>
            <w:r>
              <w:rPr>
                <w:b/>
                <w:sz w:val="17"/>
              </w:rPr>
              <w:t>2,969</w:t>
            </w:r>
          </w:p>
        </w:tc>
        <w:tc>
          <w:tcPr>
            <w:tcW w:type="dxa" w:w="1440"/>
            <w:shd w:fill="FFDCE0" w:val="clear"/>
          </w:tcPr>
          <w:p>
            <w:r>
              <w:rPr>
                <w:sz w:val="17"/>
              </w:rPr>
              <w:t>3,387</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2026-11-02</w:t>
            </w:r>
          </w:p>
        </w:tc>
        <w:tc>
          <w:tcPr>
            <w:tcW w:type="dxa" w:w="1440"/>
            <w:shd w:fill="FFDCE0" w:val="clear"/>
          </w:tcPr>
          <w:p>
            <w:r>
              <w:rPr>
                <w:sz w:val="17"/>
              </w:rPr>
              <w:t>2,519</w:t>
            </w:r>
          </w:p>
        </w:tc>
        <w:tc>
          <w:tcPr>
            <w:tcW w:type="dxa" w:w="1440"/>
            <w:shd w:fill="FFDCE0" w:val="clear"/>
          </w:tcPr>
          <w:p>
            <w:r>
              <w:rPr>
                <w:b/>
                <w:sz w:val="17"/>
              </w:rPr>
              <w:t>2,961</w:t>
            </w:r>
          </w:p>
        </w:tc>
        <w:tc>
          <w:tcPr>
            <w:tcW w:type="dxa" w:w="1440"/>
            <w:shd w:fill="FFDCE0" w:val="clear"/>
          </w:tcPr>
          <w:p>
            <w:r>
              <w:rPr>
                <w:sz w:val="17"/>
              </w:rPr>
              <w:t>3,404</w:t>
            </w:r>
          </w:p>
        </w:tc>
        <w:tc>
          <w:tcPr>
            <w:tcW w:type="dxa" w:w="1440"/>
            <w:shd w:fill="FFDCE0" w:val="clear"/>
          </w:tcPr>
          <w:p>
            <w:r>
              <w:rPr>
                <w:b/>
                <w:color w:val="C00000"/>
                <w:sz w:val="17"/>
              </w:rPr>
              <w:t>-4.9%</w:t>
            </w:r>
          </w:p>
        </w:tc>
      </w:tr>
      <w:tr>
        <w:tc>
          <w:tcPr>
            <w:tcW w:type="dxa" w:w="1440"/>
            <w:shd w:fill="FFDCE0" w:val="clear"/>
          </w:tcPr>
          <w:p>
            <w:r>
              <w:rPr>
                <w:sz w:val="17"/>
              </w:rPr>
              <w:t>J+10  ⭐</w:t>
            </w:r>
          </w:p>
        </w:tc>
        <w:tc>
          <w:tcPr>
            <w:tcW w:type="dxa" w:w="1440"/>
            <w:shd w:fill="FFDCE0" w:val="clear"/>
          </w:tcPr>
          <w:p>
            <w:r>
              <w:rPr>
                <w:sz w:val="17"/>
              </w:rPr>
              <w:t>2026-11-03</w:t>
            </w:r>
          </w:p>
        </w:tc>
        <w:tc>
          <w:tcPr>
            <w:tcW w:type="dxa" w:w="1440"/>
            <w:shd w:fill="FFDCE0" w:val="clear"/>
          </w:tcPr>
          <w:p>
            <w:r>
              <w:rPr>
                <w:sz w:val="17"/>
              </w:rPr>
              <w:t>2,488</w:t>
            </w:r>
          </w:p>
        </w:tc>
        <w:tc>
          <w:tcPr>
            <w:tcW w:type="dxa" w:w="1440"/>
            <w:shd w:fill="FFDCE0" w:val="clear"/>
          </w:tcPr>
          <w:p>
            <w:r>
              <w:rPr>
                <w:b/>
                <w:sz w:val="17"/>
              </w:rPr>
              <w:t>2,954</w:t>
            </w:r>
          </w:p>
        </w:tc>
        <w:tc>
          <w:tcPr>
            <w:tcW w:type="dxa" w:w="1440"/>
            <w:shd w:fill="FFDCE0" w:val="clear"/>
          </w:tcPr>
          <w:p>
            <w:r>
              <w:rPr>
                <w:sz w:val="17"/>
              </w:rPr>
              <w:t>3,419</w:t>
            </w:r>
          </w:p>
        </w:tc>
        <w:tc>
          <w:tcPr>
            <w:tcW w:type="dxa" w:w="1440"/>
            <w:shd w:fill="FFDCE0" w:val="clear"/>
          </w:tcPr>
          <w:p>
            <w:r>
              <w:rPr>
                <w:b/>
                <w:color w:val="C00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 RAPPORT D'ANALYSE FINANCIÈRE — ONTBF (ONATEL-SA, Moov Africa Burkina Faso)</w:t>
        <w:br/>
        <w:t>**Bourse Régionale des Valeurs Mobilières (BRVM) — Secteur Télécommunications**</w:t>
      </w:r>
    </w:p>
    <w:p>
      <w:pPr>
        <w:spacing w:after="120" w:line="276" w:lineRule="auto"/>
      </w:pPr>
      <w:r>
        <w:t>---</w:t>
      </w:r>
    </w:p>
    <w:p>
      <w:pPr>
        <w:spacing w:after="120" w:line="276" w:lineRule="auto"/>
      </w:pPr>
      <w:r>
        <w:t>## PARTIE 0 : INDICATEURS DE VALORISATION BOURSIÈRE</w:t>
      </w:r>
    </w:p>
    <w:p>
      <w:pPr>
        <w:spacing w:after="120" w:line="276" w:lineRule="auto"/>
      </w:pPr>
      <w:r>
        <w:t>ONTBF affiche une capitalisation boursière de 211,82 milliards FCFA, un niveau significatif à l'échelle de la BRVM qui positionne le titre parmi les valeurs télécoms de référence de la cote, aux côtés de Sonatel. Le BPA de 234 FCFA/action signifie que chaque titre génère 234 FCFA de bénéfice net, ce qui, rapporté au cours actuel de 3 115 FCFA, donne un PER de 13,3x — un niveau modéré, légèrement supérieur à la moyenne BRVM (~8-12x), traduisant une prime raisonnable pour la qualité de l'émetteur mais sans excès spéculatif. Le P/B de 3,68x indique que le marché valorise l'action à près de 3,7 fois sa valeur comptable, une prime de croissance cohérente avec la rentabilité élevée des fonds propres (ROE 27,6%) et le positionnement sur les segments porteurs (FTTH, Mobile Money). Enfin, l'EV/EBITDA de 5,4x situe la valeur d'entreprise à 5,4 fois la capacité opérationnelle, un multiple raisonnable (fourchette 5-10x) qui n'intègre pas de surchauffe et laisse une marge de sécurité appréciable pour un opérateur télécom intégré.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ONTBF enregistre une variation totale de +7,41%, intégralement réalisée lors de la dernière séance (variation J-1 de +7,41%), ce qui traduit un mouvement haussier brutal et concentré plutôt qu'une progression régulière. Le cours actuel de 3 115 FCFA coïncide exactement avec le plus haut de la période, tandis que le plus bas s'établit à 2 675 FCFA, dessinant un range de trading de 440 FCFA (soit environ 16,4% d'amplitude) et une tendance clairement haussière en fin de période. Les statistiques descriptives révèlent une moyenne de 2 868 FCFA très proche de la médiane de 2 878 FCFA (écart de seulement 10 FCFA), confirmant une distribution quasi symétrique, corroborée par un skewness de 0,045 proche de zéro. L'écart-type de 89 FCFA avec un coefficient de variation de 3,1% indique une dispersion modérée du cours autour de sa moyenne, tandis que le kurtosis de -0,210 (mésokurtique) signale une distribution proche de la normale, sans risque marqué de pics extrêmes. La volatilité annualisée de 38,0% classe toutefois le titre dans la catégorie des valeurs à volatilité élevée (&gt;30%), ce qui contraste avec la stabilité statistique interne de la période et suggère que le mouvement haussier récent pourrait s'accompagner de corrections.</w:t>
      </w:r>
    </w:p>
    <w:p>
      <w:pPr>
        <w:spacing w:after="120" w:line="276" w:lineRule="auto"/>
      </w:pPr>
      <w:r>
        <w:t>---</w:t>
      </w:r>
    </w:p>
    <w:p>
      <w:pPr>
        <w:spacing w:after="120" w:line="276" w:lineRule="auto"/>
      </w:pPr>
      <w:r>
        <w:t>## PARTIE 2 : ANALYSE TECHNIQUE DÉTAILLÉE</w:t>
      </w:r>
    </w:p>
    <w:p>
      <w:pPr>
        <w:spacing w:after="120" w:line="276" w:lineRule="auto"/>
      </w:pPr>
      <w:r>
        <w:t>**Moyennes Mobiles** : La MM20 (2 938,5 FCFA) et la MM50 (2 907,5 FCFA) se situent toutes deux sous le cours actuel de 3 115 FCFA, avec une MM20 légèrement supérieure à la MM50, configuration typique d'un croisement haussier (golden cross) confirmant la dynamique positive. Le cours évoluant au-dessus de ses deux moyennes, la décision technique est à l'**Achat**, la structure de tendance restant favorable tant que le cours se maintient au-dessus de la MM20.</w:t>
      </w:r>
    </w:p>
    <w:p>
      <w:pPr>
        <w:spacing w:after="120" w:line="276" w:lineRule="auto"/>
      </w:pPr>
      <w:r>
        <w:t>**Bandes de Bollinger** : Le cours actuel (3 115 FCFA) touche pratiquement la borne supérieure (3 111,74 FCFA), voire la dépasse marginalement, tandis que la borne inférieure se situe à 2 765,26 FCFA. Cette position en haut de bande signale une extension haussière potentiellement excessive à court terme, justifiant la décision de **Vente** (prise de profit) : le titre est en zone de surchauffe relative et une réintégration dans les bandes est probable.</w:t>
      </w:r>
    </w:p>
    <w:p>
      <w:pPr>
        <w:spacing w:after="120" w:line="276" w:lineRule="auto"/>
      </w:pPr>
      <w:r>
        <w:t>**MACD** : La ligne MACD (31,907) se situe nettement au-dessus de sa ligne de signal (23,542), avec un histogramme positif d'environ 8,4 points, confirmant un momentum haussier en cours. La décision technique est à l'**Achat**, la divergence positive entre MACD et signal soutenant la poursuite du mouvement à court terme.</w:t>
      </w:r>
    </w:p>
    <w:p>
      <w:pPr>
        <w:spacing w:after="120" w:line="276" w:lineRule="auto"/>
      </w:pPr>
      <w:r>
        <w:t>**RSI** : À 57,895, le RSI se situe dans la zone neutre (30-70), sans atteindre la zone de surachat (&gt;70) ni de survente (&lt;30). La décision est **Neutre** : le titre conserve un potentiel de hausse sans être techniquement épuisé, mais le manque de signal directionnel fort invite à la prudence.</w:t>
      </w:r>
    </w:p>
    <w:p>
      <w:pPr>
        <w:spacing w:after="120" w:line="276" w:lineRule="auto"/>
      </w:pPr>
      <w:r>
        <w:t>**Stochastique** : Le %K à 100,0 (valeur maximale) et le %D à 76,364 indiquent que le cours évolue au sommet de sa fourchette récente, avec un %K en zone de surachat extrême. La décision est à la **Vente**, le croisement potentiel du %K sous le %D (non encore matérialisé) constituant un signal de retournement imminent.</w:t>
      </w:r>
    </w:p>
    <w:p>
      <w:pPr>
        <w:spacing w:after="120" w:line="276" w:lineRule="auto"/>
      </w:pPr>
      <w:r>
        <w:t>**Conclusion technique** : Les indicateurs présentent une divergence notable : les moyennes mobiles et le MACD confirment la tendance haussière de fond (Achat), tandis que les Bandes de Bollinger et le Stochastique signalent une surchauffe à court terme (Vente), le RSI restant neutre en position d'arbitre. Cette configuration suggère un titre en fin de phase d'extension haussière, où la prudence commande d'attendre une consolidation avant tout nouvel engagement, la convergence des signaux de surachat (Bollinger + Stochastique) plaidant pour une prise de profit partielle.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ONTBF (société du secteur télécoms, à interpréter avec les agrégats adaptés) réalise un chiffre d'affaires/PNB de 146,177 milliards FCFA, en croissance de 3,06% par rapport à 2024 (141,84 Mds FCFA), avec un résultat net de 15,887 milliards FCFA, en recul marqué de 26% (contre 21,47 Mds en 2024). La rentabilité des fonds propres (ROE) s'établit à 27,61% — un niveau excellent (&gt;15%) — et le ROA à 4,89%, tandis que la marge nette se contracte à 10,87% (contre 15,1% en 2024) et la marge opérationnelle à 17,56%. La structure financière révèle une autonomie financière faible de 17,71% (capitaux propres de 57,54 Mds pour un total bilan de 324,90 Mds), un ratio d'endettement élevé de 186,99% et une capacité de remboursement de 2,29 années (dettes financières/CAF), mais une couverture des intérêts très confortable de 491,55%. La génération de trésorerie reste robuste (CAF de 46,95 Mds, flux opérationnels de 68,49 Mds), absorbée par un programme d'investissement lourd (-45,22 Mds) qui explique la hausse de l'endettement.</w:t>
      </w:r>
    </w:p>
    <w:p>
      <w:pPr>
        <w:spacing w:after="120" w:line="276" w:lineRule="auto"/>
      </w:pPr>
      <w:r>
        <w:t>**Estimations basées sur les rapports trimestriels** : Le rapport T1 2026 (publié le 30 avril 2026) confirme la tendance avec un CA de 37,1 Mds FCFA (+2,7%) et un taux de marge EBITDA maintenu à 41,3%, mais un résultat net de 3,577 Mds FCFA en légère baisse (marge nette 9,6% OHADA). On estime donc que l'exercice 2026 devrait prolonger la dynamique de croissance modérée du CA (+2 à +3%) tout en maintenant une pression sur les marges, la direction plaçant l'année sous le thème de la « reconquête du leadership » avec optimisation des coûts. Le rapport semestriel 2026 (attestation des CAC du 25 septembre 2026) confirme la sincérité des comptes sans réserve, mais sans données chiffrées exploitables. La politique de dividende reste généreuse : 166,0816 FCFA brut par action proposé au titre de 2025 (145,32 FCFA net), soit un rendement d'environ 5,3% au cours actuel, avec un taux de distribution de 70% malgré la baisse du bénéfice — un point de vigilance sur la soutenabilité.</w:t>
      </w:r>
    </w:p>
    <w:p>
      <w:pPr>
        <w:spacing w:after="120" w:line="276" w:lineRule="auto"/>
      </w:pPr>
      <w:r>
        <w:t>**Recommandation fondamentale** : ONTBF demeure un opérateur télécom rentable (ROE 27,6%, CAF 47 Mds), doté d'atouts stratégiques (FTTH +33%, Mobile Money +14%, notation GCR A+(WU)), mais confronté à une érosion de sa rentabilité (-26% de résultat net en 2025) sous l'effet de charges opérationnelles et exceptionnelles (énergie, sécurité, sanction ARCEP de 1,54 Md). Les rapports de mars 2026 (exercice 2024) et d'avril 2026 (résultats 2025) convergent vers une recommandation de **CONSERVER**, la solidité financière et le dividende attractif compensant les risques réglementaires, sécuritaires et concurrentiels.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titre en situation de **divergence modérée**. Sur le plan de la **valorisation (Partie 0)**, les ratios (PER 13,3x légèrement supérieur à la moyenne BRVM, P/B 3,68x, EV/EBITDA 5,4x raisonnable) indiquent une valorisation équilibrée, sans sous-évaluation manifeste mais sans excès spéculatif. Le **comportement du cours (Partie 1)** est préoccupant à court terme : la hausse de +7,41% concentrée sur la dernière séance propulse le cours exactement au plus haut, avec une volatilité annualisée élevée de 38% et une distribution statistique saine (skewness 0,045, kurtosis -0,210) qui ne signale pas de risque extrême mais invite à la prudence sur l'entrée. Les **signaux techniques (Partie 2)** sont contradictoires : MM et MACD confirment la tendance haussière, mais Bollinger et Stochastique (%K à 100) signalent une surchauffe imminente, le RSI neutre (57,9) ne tranchant pas. Les **fondamentaux (Partie 3)** demeurent solides mais en dégradation : ROE excellent (27,6%), CAF robuste (47 Mds), dividende attractif (~5,3%), mais résultat net en chute de 26% et endettement croissant. Les **prédictions IA (J+1 à J+10)** anticipent une trajectoire baissière graduelle de 3 018 à 2 993 FCFA, confirmant la thèse d'une consolidation après le pic — elles contredisent la dynamique haussière des MM/MACD mais valident les signaux de surachat de Bollinger et du Stochastique.</w:t>
      </w:r>
    </w:p>
    <w:p>
      <w:pPr>
        <w:spacing w:after="120" w:line="276" w:lineRule="auto"/>
      </w:pPr>
      <w:r>
        <w:t>**Recommandation finale : CONSERVER** — avec un biais de prise de profit partielle pour les investisseurs déjà positionnés. La convergence entre les signaux de surchauffe technique (Bollinger, Stochastique), les prédictions IA baissières et la dégradation fondamentale (résultat net -26%) plaide contre un achat au cours actuel de 3 115 FCFA, tandis que la solidité du bilan, le dividende et la valorisation raisonnable interdisent une vente franche. **Niveau de confiance : Moyen** (divergence technique/fondamental), **niveau de risque : Moyen** (volatilité élevée de 38%, endettement 187%, risques réglementaires et sécuritaires), **horizon optimal : moyen terme (3-12 mois)**, en attendant la confirmation d'une stabilisation des marges et l'exécution du plan de reconquête 2026 avant tout renforcement.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3032.69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3,536 titres</w:t>
            </w:r>
          </w:p>
        </w:tc>
        <w:tc>
          <w:tcPr>
            <w:tcW w:type="dxa" w:w="2268"/>
            <w:shd w:fill="FFF2CC" w:val="clear"/>
          </w:tcPr>
          <w:p>
            <w:r>
              <w:rPr>
                <w:b/>
                <w:color w:val="503200"/>
                <w:sz w:val="16"/>
              </w:rPr>
              <w:t xml:space="preserve">Cours actuel : </w:t>
            </w:r>
            <w:r>
              <w:rPr>
                <w:color w:val="000000"/>
                <w:sz w:val="17"/>
              </w:rPr>
              <w:t>20,130 FCFA</w:t>
            </w:r>
          </w:p>
          <w:p>
            <w:r>
              <w:rPr>
                <w:b/>
                <w:color w:val="503200"/>
                <w:sz w:val="16"/>
              </w:rPr>
              <w:t xml:space="preserve">Var. 100 jours : </w:t>
            </w:r>
            <w:r>
              <w:rPr>
                <w:b/>
                <w:color w:val="007800"/>
                <w:sz w:val="17"/>
              </w:rPr>
              <w:t>+25.81%</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15,555 FCFA</w:t>
            </w:r>
          </w:p>
          <w:p>
            <w:r>
              <w:rPr>
                <w:b/>
                <w:color w:val="503200"/>
                <w:sz w:val="16"/>
              </w:rPr>
              <w:t xml:space="preserve">Volatilité ann. : </w:t>
            </w:r>
            <w:r>
              <w:rPr>
                <w:color w:val="000000"/>
                <w:sz w:val="17"/>
              </w:rPr>
              <w:t>38.7%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13.39% (Moyenne) — μ=18,611 FCFA, σ=2,492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β=1.6106 (Agressif) — Cov=0.000125, Var(idx)=0.000078, ρ=0.582,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σ_j=2.44%/j (Stable) — Vol. annualisée≈38.7%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2026-10-21</w:t>
            </w:r>
          </w:p>
        </w:tc>
        <w:tc>
          <w:tcPr>
            <w:tcW w:type="dxa" w:w="1440"/>
            <w:shd w:fill="C6EFCE" w:val="clear"/>
          </w:tcPr>
          <w:p>
            <w:r>
              <w:rPr>
                <w:sz w:val="17"/>
              </w:rPr>
              <w:t>19,498</w:t>
            </w:r>
          </w:p>
        </w:tc>
        <w:tc>
          <w:tcPr>
            <w:tcW w:type="dxa" w:w="1440"/>
            <w:shd w:fill="C6EFCE" w:val="clear"/>
          </w:tcPr>
          <w:p>
            <w:r>
              <w:rPr>
                <w:b/>
                <w:sz w:val="17"/>
              </w:rPr>
              <w:t>20,608</w:t>
            </w:r>
          </w:p>
        </w:tc>
        <w:tc>
          <w:tcPr>
            <w:tcW w:type="dxa" w:w="1440"/>
            <w:shd w:fill="C6EFCE" w:val="clear"/>
          </w:tcPr>
          <w:p>
            <w:r>
              <w:rPr>
                <w:sz w:val="17"/>
              </w:rPr>
              <w:t>21,719</w:t>
            </w:r>
          </w:p>
        </w:tc>
        <w:tc>
          <w:tcPr>
            <w:tcW w:type="dxa" w:w="1440"/>
            <w:shd w:fill="C6EFCE" w:val="clear"/>
          </w:tcPr>
          <w:p>
            <w:r>
              <w:rPr>
                <w:b/>
                <w:color w:val="008000"/>
                <w:sz w:val="17"/>
              </w:rPr>
              <w:t>+2.4%</w:t>
            </w:r>
          </w:p>
        </w:tc>
      </w:tr>
      <w:tr>
        <w:tc>
          <w:tcPr>
            <w:tcW w:type="dxa" w:w="1440"/>
            <w:shd w:fill="C6EFCE" w:val="clear"/>
          </w:tcPr>
          <w:p>
            <w:r>
              <w:rPr>
                <w:sz w:val="17"/>
              </w:rPr>
              <w:t>J+2  ⭐</w:t>
            </w:r>
          </w:p>
        </w:tc>
        <w:tc>
          <w:tcPr>
            <w:tcW w:type="dxa" w:w="1440"/>
            <w:shd w:fill="C6EFCE" w:val="clear"/>
          </w:tcPr>
          <w:p>
            <w:r>
              <w:rPr>
                <w:sz w:val="17"/>
              </w:rPr>
              <w:t>2026-10-22</w:t>
            </w:r>
          </w:p>
        </w:tc>
        <w:tc>
          <w:tcPr>
            <w:tcW w:type="dxa" w:w="1440"/>
            <w:shd w:fill="C6EFCE" w:val="clear"/>
          </w:tcPr>
          <w:p>
            <w:r>
              <w:rPr>
                <w:sz w:val="17"/>
              </w:rPr>
              <w:t>18,978</w:t>
            </w:r>
          </w:p>
        </w:tc>
        <w:tc>
          <w:tcPr>
            <w:tcW w:type="dxa" w:w="1440"/>
            <w:shd w:fill="C6EFCE" w:val="clear"/>
          </w:tcPr>
          <w:p>
            <w:r>
              <w:rPr>
                <w:b/>
                <w:sz w:val="17"/>
              </w:rPr>
              <w:t>20,544</w:t>
            </w:r>
          </w:p>
        </w:tc>
        <w:tc>
          <w:tcPr>
            <w:tcW w:type="dxa" w:w="1440"/>
            <w:shd w:fill="C6EFCE" w:val="clear"/>
          </w:tcPr>
          <w:p>
            <w:r>
              <w:rPr>
                <w:sz w:val="17"/>
              </w:rPr>
              <w:t>22,109</w:t>
            </w:r>
          </w:p>
        </w:tc>
        <w:tc>
          <w:tcPr>
            <w:tcW w:type="dxa" w:w="1440"/>
            <w:shd w:fill="C6EFCE" w:val="clear"/>
          </w:tcPr>
          <w:p>
            <w:r>
              <w:rPr>
                <w:b/>
                <w:color w:val="008000"/>
                <w:sz w:val="17"/>
              </w:rPr>
              <w:t>+2.1%</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18,611</w:t>
            </w:r>
          </w:p>
        </w:tc>
        <w:tc>
          <w:tcPr>
            <w:tcW w:type="dxa" w:w="1440"/>
            <w:shd w:fill="FAFAFA" w:val="clear"/>
          </w:tcPr>
          <w:p>
            <w:r>
              <w:rPr>
                <w:b/>
                <w:sz w:val="17"/>
              </w:rPr>
              <w:t>20,526</w:t>
            </w:r>
          </w:p>
        </w:tc>
        <w:tc>
          <w:tcPr>
            <w:tcW w:type="dxa" w:w="1440"/>
            <w:shd w:fill="FAFAFA" w:val="clear"/>
          </w:tcPr>
          <w:p>
            <w:r>
              <w:rPr>
                <w:sz w:val="17"/>
              </w:rPr>
              <w:t>22,442</w:t>
            </w:r>
          </w:p>
        </w:tc>
        <w:tc>
          <w:tcPr>
            <w:tcW w:type="dxa" w:w="1440"/>
            <w:shd w:fill="FAFAFA" w:val="clear"/>
          </w:tcPr>
          <w:p>
            <w:r>
              <w:rPr>
                <w:b/>
                <w:color w:val="008000"/>
                <w:sz w:val="17"/>
              </w:rPr>
              <w:t>+2.0%</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18,306</w:t>
            </w:r>
          </w:p>
        </w:tc>
        <w:tc>
          <w:tcPr>
            <w:tcW w:type="dxa" w:w="1440"/>
            <w:shd w:fill="FAFAFA" w:val="clear"/>
          </w:tcPr>
          <w:p>
            <w:r>
              <w:rPr>
                <w:b/>
                <w:sz w:val="17"/>
              </w:rPr>
              <w:t>20,517</w:t>
            </w:r>
          </w:p>
        </w:tc>
        <w:tc>
          <w:tcPr>
            <w:tcW w:type="dxa" w:w="1440"/>
            <w:shd w:fill="FAFAFA" w:val="clear"/>
          </w:tcPr>
          <w:p>
            <w:r>
              <w:rPr>
                <w:sz w:val="17"/>
              </w:rPr>
              <w:t>22,727</w:t>
            </w:r>
          </w:p>
        </w:tc>
        <w:tc>
          <w:tcPr>
            <w:tcW w:type="dxa" w:w="1440"/>
            <w:shd w:fill="FAFAFA" w:val="clear"/>
          </w:tcPr>
          <w:p>
            <w:r>
              <w:rPr>
                <w:b/>
                <w:color w:val="008000"/>
                <w:sz w:val="17"/>
              </w:rPr>
              <w:t>+1.9%</w:t>
            </w:r>
          </w:p>
        </w:tc>
      </w:tr>
      <w:tr>
        <w:tc>
          <w:tcPr>
            <w:tcW w:type="dxa" w:w="1440"/>
            <w:shd w:fill="FAFAFA" w:val="clear"/>
          </w:tcPr>
          <w:p>
            <w:r>
              <w:rPr>
                <w:sz w:val="17"/>
              </w:rPr>
              <w:t>J+5  ⭐</w:t>
            </w:r>
          </w:p>
        </w:tc>
        <w:tc>
          <w:tcPr>
            <w:tcW w:type="dxa" w:w="1440"/>
            <w:shd w:fill="FAFAFA" w:val="clear"/>
          </w:tcPr>
          <w:p>
            <w:r>
              <w:rPr>
                <w:sz w:val="17"/>
              </w:rPr>
              <w:t>2026-10-27</w:t>
            </w:r>
          </w:p>
        </w:tc>
        <w:tc>
          <w:tcPr>
            <w:tcW w:type="dxa" w:w="1440"/>
            <w:shd w:fill="FAFAFA" w:val="clear"/>
          </w:tcPr>
          <w:p>
            <w:r>
              <w:rPr>
                <w:sz w:val="17"/>
              </w:rPr>
              <w:t>18,037</w:t>
            </w:r>
          </w:p>
        </w:tc>
        <w:tc>
          <w:tcPr>
            <w:tcW w:type="dxa" w:w="1440"/>
            <w:shd w:fill="FAFAFA" w:val="clear"/>
          </w:tcPr>
          <w:p>
            <w:r>
              <w:rPr>
                <w:b/>
                <w:sz w:val="17"/>
              </w:rPr>
              <w:t>20,508</w:t>
            </w:r>
          </w:p>
        </w:tc>
        <w:tc>
          <w:tcPr>
            <w:tcW w:type="dxa" w:w="1440"/>
            <w:shd w:fill="FAFAFA" w:val="clear"/>
          </w:tcPr>
          <w:p>
            <w:r>
              <w:rPr>
                <w:sz w:val="17"/>
              </w:rPr>
              <w:t>22,978</w:t>
            </w:r>
          </w:p>
        </w:tc>
        <w:tc>
          <w:tcPr>
            <w:tcW w:type="dxa" w:w="1440"/>
            <w:shd w:fill="FAFAFA" w:val="clear"/>
          </w:tcPr>
          <w:p>
            <w:r>
              <w:rPr>
                <w:b/>
                <w:color w:val="008000"/>
                <w:sz w:val="17"/>
              </w:rPr>
              <w:t>+1.9%</w:t>
            </w:r>
          </w:p>
        </w:tc>
      </w:tr>
      <w:tr>
        <w:tc>
          <w:tcPr>
            <w:tcW w:type="dxa" w:w="1440"/>
            <w:shd w:fill="FAFAFA" w:val="clear"/>
          </w:tcPr>
          <w:p>
            <w:r>
              <w:rPr>
                <w:sz w:val="17"/>
              </w:rPr>
              <w:t>J+6  ⭐</w:t>
            </w:r>
          </w:p>
        </w:tc>
        <w:tc>
          <w:tcPr>
            <w:tcW w:type="dxa" w:w="1440"/>
            <w:shd w:fill="FAFAFA" w:val="clear"/>
          </w:tcPr>
          <w:p>
            <w:r>
              <w:rPr>
                <w:sz w:val="17"/>
              </w:rPr>
              <w:t>2026-10-28</w:t>
            </w:r>
          </w:p>
        </w:tc>
        <w:tc>
          <w:tcPr>
            <w:tcW w:type="dxa" w:w="1440"/>
            <w:shd w:fill="FAFAFA" w:val="clear"/>
          </w:tcPr>
          <w:p>
            <w:r>
              <w:rPr>
                <w:sz w:val="17"/>
              </w:rPr>
              <w:t>17,793</w:t>
            </w:r>
          </w:p>
        </w:tc>
        <w:tc>
          <w:tcPr>
            <w:tcW w:type="dxa" w:w="1440"/>
            <w:shd w:fill="FAFAFA" w:val="clear"/>
          </w:tcPr>
          <w:p>
            <w:r>
              <w:rPr>
                <w:b/>
                <w:sz w:val="17"/>
              </w:rPr>
              <w:t>20,498</w:t>
            </w:r>
          </w:p>
        </w:tc>
        <w:tc>
          <w:tcPr>
            <w:tcW w:type="dxa" w:w="1440"/>
            <w:shd w:fill="FAFAFA" w:val="clear"/>
          </w:tcPr>
          <w:p>
            <w:r>
              <w:rPr>
                <w:sz w:val="17"/>
              </w:rPr>
              <w:t>23,203</w:t>
            </w:r>
          </w:p>
        </w:tc>
        <w:tc>
          <w:tcPr>
            <w:tcW w:type="dxa" w:w="1440"/>
            <w:shd w:fill="FAFAFA" w:val="clear"/>
          </w:tcPr>
          <w:p>
            <w:r>
              <w:rPr>
                <w:b/>
                <w:color w:val="008000"/>
                <w:sz w:val="17"/>
              </w:rPr>
              <w:t>+1.8%</w:t>
            </w:r>
          </w:p>
        </w:tc>
      </w:tr>
      <w:tr>
        <w:tc>
          <w:tcPr>
            <w:tcW w:type="dxa" w:w="1440"/>
            <w:shd w:fill="FAFAFA" w:val="clear"/>
          </w:tcPr>
          <w:p>
            <w:r>
              <w:rPr>
                <w:sz w:val="17"/>
              </w:rPr>
              <w:t>J+7  ⭐</w:t>
            </w:r>
          </w:p>
        </w:tc>
        <w:tc>
          <w:tcPr>
            <w:tcW w:type="dxa" w:w="1440"/>
            <w:shd w:fill="FAFAFA" w:val="clear"/>
          </w:tcPr>
          <w:p>
            <w:r>
              <w:rPr>
                <w:sz w:val="17"/>
              </w:rPr>
              <w:t>2026-10-29</w:t>
            </w:r>
          </w:p>
        </w:tc>
        <w:tc>
          <w:tcPr>
            <w:tcW w:type="dxa" w:w="1440"/>
            <w:shd w:fill="FAFAFA" w:val="clear"/>
          </w:tcPr>
          <w:p>
            <w:r>
              <w:rPr>
                <w:sz w:val="17"/>
              </w:rPr>
              <w:t>17,568</w:t>
            </w:r>
          </w:p>
        </w:tc>
        <w:tc>
          <w:tcPr>
            <w:tcW w:type="dxa" w:w="1440"/>
            <w:shd w:fill="FAFAFA" w:val="clear"/>
          </w:tcPr>
          <w:p>
            <w:r>
              <w:rPr>
                <w:b/>
                <w:sz w:val="17"/>
              </w:rPr>
              <w:t>20,489</w:t>
            </w:r>
          </w:p>
        </w:tc>
        <w:tc>
          <w:tcPr>
            <w:tcW w:type="dxa" w:w="1440"/>
            <w:shd w:fill="FAFAFA" w:val="clear"/>
          </w:tcPr>
          <w:p>
            <w:r>
              <w:rPr>
                <w:sz w:val="17"/>
              </w:rPr>
              <w:t>23,410</w:t>
            </w:r>
          </w:p>
        </w:tc>
        <w:tc>
          <w:tcPr>
            <w:tcW w:type="dxa" w:w="1440"/>
            <w:shd w:fill="FAFAFA" w:val="clear"/>
          </w:tcPr>
          <w:p>
            <w:r>
              <w:rPr>
                <w:b/>
                <w:color w:val="008000"/>
                <w:sz w:val="17"/>
              </w:rPr>
              <w:t>+1.8%</w:t>
            </w:r>
          </w:p>
        </w:tc>
      </w:tr>
      <w:tr>
        <w:tc>
          <w:tcPr>
            <w:tcW w:type="dxa" w:w="1440"/>
            <w:shd w:fill="FAFAFA" w:val="clear"/>
          </w:tcPr>
          <w:p>
            <w:r>
              <w:rPr>
                <w:sz w:val="17"/>
              </w:rPr>
              <w:t>J+8  ⭐</w:t>
            </w:r>
          </w:p>
        </w:tc>
        <w:tc>
          <w:tcPr>
            <w:tcW w:type="dxa" w:w="1440"/>
            <w:shd w:fill="FAFAFA" w:val="clear"/>
          </w:tcPr>
          <w:p>
            <w:r>
              <w:rPr>
                <w:sz w:val="17"/>
              </w:rPr>
              <w:t>2026-10-30</w:t>
            </w:r>
          </w:p>
        </w:tc>
        <w:tc>
          <w:tcPr>
            <w:tcW w:type="dxa" w:w="1440"/>
            <w:shd w:fill="FAFAFA" w:val="clear"/>
          </w:tcPr>
          <w:p>
            <w:r>
              <w:rPr>
                <w:sz w:val="17"/>
              </w:rPr>
              <w:t>17,359</w:t>
            </w:r>
          </w:p>
        </w:tc>
        <w:tc>
          <w:tcPr>
            <w:tcW w:type="dxa" w:w="1440"/>
            <w:shd w:fill="FAFAFA" w:val="clear"/>
          </w:tcPr>
          <w:p>
            <w:r>
              <w:rPr>
                <w:b/>
                <w:sz w:val="17"/>
              </w:rPr>
              <w:t>20,480</w:t>
            </w:r>
          </w:p>
        </w:tc>
        <w:tc>
          <w:tcPr>
            <w:tcW w:type="dxa" w:w="1440"/>
            <w:shd w:fill="FAFAFA" w:val="clear"/>
          </w:tcPr>
          <w:p>
            <w:r>
              <w:rPr>
                <w:sz w:val="17"/>
              </w:rPr>
              <w:t>23,601</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2026-11-02</w:t>
            </w:r>
          </w:p>
        </w:tc>
        <w:tc>
          <w:tcPr>
            <w:tcW w:type="dxa" w:w="1440"/>
            <w:shd w:fill="FAFAFA" w:val="clear"/>
          </w:tcPr>
          <w:p>
            <w:r>
              <w:rPr>
                <w:sz w:val="17"/>
              </w:rPr>
              <w:t>17,162</w:t>
            </w:r>
          </w:p>
        </w:tc>
        <w:tc>
          <w:tcPr>
            <w:tcW w:type="dxa" w:w="1440"/>
            <w:shd w:fill="FAFAFA" w:val="clear"/>
          </w:tcPr>
          <w:p>
            <w:r>
              <w:rPr>
                <w:b/>
                <w:sz w:val="17"/>
              </w:rPr>
              <w:t>20,471</w:t>
            </w:r>
          </w:p>
        </w:tc>
        <w:tc>
          <w:tcPr>
            <w:tcW w:type="dxa" w:w="1440"/>
            <w:shd w:fill="FAFAFA" w:val="clear"/>
          </w:tcPr>
          <w:p>
            <w:r>
              <w:rPr>
                <w:sz w:val="17"/>
              </w:rPr>
              <w:t>23,780</w:t>
            </w:r>
          </w:p>
        </w:tc>
        <w:tc>
          <w:tcPr>
            <w:tcW w:type="dxa" w:w="1440"/>
            <w:shd w:fill="FAFAFA" w:val="clear"/>
          </w:tcPr>
          <w:p>
            <w:r>
              <w:rPr>
                <w:b/>
                <w:color w:val="008000"/>
                <w:sz w:val="17"/>
              </w:rPr>
              <w:t>+1.7%</w:t>
            </w:r>
          </w:p>
        </w:tc>
      </w:tr>
      <w:tr>
        <w:tc>
          <w:tcPr>
            <w:tcW w:type="dxa" w:w="1440"/>
            <w:shd w:fill="FAFAFA" w:val="clear"/>
          </w:tcPr>
          <w:p>
            <w:r>
              <w:rPr>
                <w:sz w:val="17"/>
              </w:rPr>
              <w:t>J+10  ⭐</w:t>
            </w:r>
          </w:p>
        </w:tc>
        <w:tc>
          <w:tcPr>
            <w:tcW w:type="dxa" w:w="1440"/>
            <w:shd w:fill="FAFAFA" w:val="clear"/>
          </w:tcPr>
          <w:p>
            <w:r>
              <w:rPr>
                <w:sz w:val="17"/>
              </w:rPr>
              <w:t>2026-11-03</w:t>
            </w:r>
          </w:p>
        </w:tc>
        <w:tc>
          <w:tcPr>
            <w:tcW w:type="dxa" w:w="1440"/>
            <w:shd w:fill="FAFAFA" w:val="clear"/>
          </w:tcPr>
          <w:p>
            <w:r>
              <w:rPr>
                <w:sz w:val="17"/>
              </w:rPr>
              <w:t>16,976</w:t>
            </w:r>
          </w:p>
        </w:tc>
        <w:tc>
          <w:tcPr>
            <w:tcW w:type="dxa" w:w="1440"/>
            <w:shd w:fill="FAFAFA" w:val="clear"/>
          </w:tcPr>
          <w:p>
            <w:r>
              <w:rPr>
                <w:b/>
                <w:sz w:val="17"/>
              </w:rPr>
              <w:t>20,462</w:t>
            </w:r>
          </w:p>
        </w:tc>
        <w:tc>
          <w:tcPr>
            <w:tcW w:type="dxa" w:w="1440"/>
            <w:shd w:fill="FAFAFA" w:val="clear"/>
          </w:tcPr>
          <w:p>
            <w:r>
              <w:rPr>
                <w:sz w:val="17"/>
              </w:rPr>
              <w:t>23,948</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RAPPORT D'ANALYSE FINANCIÈRE — ORANGE CÔTE D'IVOIRE (ORAC)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3 032,69 milliards FCFA, ORAC s'affirme comme l'une des valeurs phares de la BRVM, représentant une part significative de la capitalisation totale du marché régional. Le BPA de 1 114 FCFA/action indique le bénéfice net généré par chaque titre détenu, offrant un point de repère concret pour l'investisseur. Le PER de 18,1x se situe nettement au-dessus de la moyenne BRVM (8-12x), signalant que les investisseurs acceptent de payer une prime pour la qualité et la croissance de l'émetteur — une valorisation « modérée » mais non bon marché. Le P/B de 4,28x traduit une forte prime par rapport à la valeur comptable (capitaux propres de 707,8 Mds FCFA), reflétant la confiance du marché dans la rentabilité future (ROE de 23,7%) et les actifs immatériels (marque, licences, réseau). Enfin, l'EV/EBITDA de 7,2x, dans la fourchette raisonnable de 5-10x, montre que la valeur d'entreprise reste cohérente avec la capacité opérationnelle de génération de cash-flow (EBE de 450,3 Mds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ORAC affiche une progression remarquable de +25,81%, portée par un cours actuel de 20 130 FCFA, malgré un repli de -2,99% lors de la dernière séance qui traduit une prise de profit ponctuelle. Le range de trading s'étend de 15 555 FCFA (plus bas) à 22 500 FCFA (plus haut), soit une amplitude de près de 45%, confirmant une tendance générale haussière soutenue par la dynamique fondamentale du groupe. Les statistiques descriptives révèlent une moyenne de 18 611 FCFA supérieure à la médiane de 17 112 FCFA, indiquant une distribution légèrement tirée vers le haut par les récents sommets, tandis que le mode à 16 000 FCFA rappelle le point d'ancrage historique. L'écart-type de 2 505 FCFA (CV de 13,5%) traduit une dispersion modérée du cours autour de sa moyenne, cohérente avec un titre liquide et suivi. Le kurtosis négatif de -1,686 (distribution platykurtique) signale une faible concentration des rendements et un risque de pics extrêmes limité, tandis que le skewness de 0,276 confirme une distribution quasi-symétrique sans biais directionnel marqué. La volatilité annualisée de 38,7% positionne ORAC dans la catégorie des titres à volatilité élevée (&gt;30%), caractéristique des valeurs de croissance à forte sensibilité aux annonces.</w:t>
      </w:r>
    </w:p>
    <w:p>
      <w:pPr>
        <w:spacing w:after="120" w:line="276" w:lineRule="auto"/>
      </w:pPr>
      <w:r>
        <w:t>---</w:t>
      </w:r>
    </w:p>
    <w:p>
      <w:pPr>
        <w:spacing w:after="120" w:line="276" w:lineRule="auto"/>
      </w:pPr>
      <w:r>
        <w:t>## PARTIE 2 : ANALYSE TECHNIQUE DÉTAILLÉE</w:t>
      </w:r>
    </w:p>
    <w:p>
      <w:pPr>
        <w:spacing w:after="120" w:line="276" w:lineRule="auto"/>
      </w:pPr>
      <w:r>
        <w:t>**Moyennes Mobiles** : La MM20 (21 250,5 FCFA) et la MM50 (20 870,5 FCFA) se situent toutes deux au-dessus du cours actuel (20 130 FCFA), ce qui traduit une pression baissière de court terme malgré la tendance haussière de fond. La MM20 &gt; MM50 confirme une structure haussière de moyen terme, mais le croisement à la baisse du cours sous ses moyennes justifie la décision « Achat » en zone de repli (pullback), offrant un point d'entrée intéressant.</w:t>
      </w:r>
    </w:p>
    <w:p>
      <w:pPr>
        <w:spacing w:after="120" w:line="276" w:lineRule="auto"/>
      </w:pPr>
      <w:r>
        <w:t>**Bandes de Bollinger** : Le cours (20 130 FCFA) évolue dans la partie basse de la bande, proche de la borne inférieure (19 897,2 FCFA) et loin de la borne supérieure (22 603,8 FCFA), signe d'une compression récente de la volatilité. Cette position suggère un potentiel de rebond vers la moyenne mobile centrale, justifiant la décision « Neutre » — le titre n'est ni en survente extrême ni en surachat.</w:t>
      </w:r>
    </w:p>
    <w:p>
      <w:pPr>
        <w:spacing w:after="120" w:line="276" w:lineRule="auto"/>
      </w:pPr>
      <w:r>
        <w:t>**MACD** : La valeur du MACD (-49,536) est nettement inférieure à son signal (158,913), avec un histogramme négatif marqué qui traduit un momentum baissier de court terme. Cette configuration de divergence baissière, bien que le titre reste en tendance haussière de fond, justifie la décision « Vente » à court terme, en attendant un croisement haussier pour confirmer le retournement.</w:t>
      </w:r>
    </w:p>
    <w:p>
      <w:pPr>
        <w:spacing w:after="120" w:line="276" w:lineRule="auto"/>
      </w:pPr>
      <w:r>
        <w:t>**RSI** : À 40,456, le RSI se situe dans la zone neutre (30-70), légèrement en dessous du seuil de 50 qui sépare la force de la faiblesse relative. Le titre n'est ni suracheté ni survendu, ce qui justifie la décision « Neutre » — le marché est en phase de consolidation sans signal directionnel fort.</w:t>
      </w:r>
    </w:p>
    <w:p>
      <w:pPr>
        <w:spacing w:after="120" w:line="276" w:lineRule="auto"/>
      </w:pPr>
      <w:r>
        <w:t>**Stochastique** : Le %K (10,952) est très bas et inférieur au %D (28,254), plaçant le titre en zone de survente (&lt;20). Cette configuration, bien que baissière à court terme, est souvent annonciatrice d'un rebond technique, justifiant la décision « Achat » — le croisement potentiel du %K au-dessus du %D serait un signal d'entrée.</w:t>
      </w:r>
    </w:p>
    <w:p>
      <w:pPr>
        <w:spacing w:after="120" w:line="276" w:lineRule="auto"/>
      </w:pPr>
      <w:r>
        <w:t>**Conclusion technique** : Les indicateurs présentent une divergence classique entre le court terme (MACD baissier, cours sous les MM) et le potentiel de rebond (Stochastique en survente, cours proche de la borne basse de Bollinger). La tendance de fond reste haussière (MM20 &gt; MM50), et le repli actuel constitue une opportunité d'achat tactique pour les investisseurs patients, en attendant la confirmation d'un retournement du momentum.</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ORAC a réalisé un chiffre d'affaires de 1 197,1 milliards FCFA, en croissance de +10,4% (contre 1 084,1 Mds FCFA en 2024), confirmant une dynamique commerciale solide portée par la data mobile, la fibre et Orange Money. Le résultat net consolidé s'établit à 167,8 Mds FCFA (+6,1%), avec un résultat net part du groupe de 129,1 Mds FCFA (+14,5% selon le rapport annuel 2025). La rentabilité reste excellente avec un ROE de 23,7% (bien supérieur au seuil de 15%) et un ROA de 6,57%, tandis que la marge nette de 14,0% et la marge opérationnelle de 24,0% témoignent d'une gestion rigoureuse. La structure financière est saine : autonomie financière de 27,7% (proche du seuil de 30%), capacité de remboursement de 0,99 an (dette financière/CAF) et couverture des intérêts de 1 018% (résultat d'exploitation/charges financières), soit un endettement très maîtrisé. Le BFR négatif de -198,0 Mds FCFA est favorable (financement par les fournisseurs, délai fournisseurs de 210,87 jours contre 52,26 jours clients), et le Free Cash Flow de 156,2 Mds FCFA confirme la génération de trésorerie. Le dividende brut de 800 FCFA/action (payout de 93,3%) offre un rendement attractif de ~4,0% au cours actuel.</w:t>
      </w:r>
    </w:p>
    <w:p>
      <w:pPr>
        <w:spacing w:after="120" w:line="276" w:lineRule="auto"/>
      </w:pPr>
      <w:r>
        <w:t>**Estimations basées sur les rapports trimestriels** : Le rapport T1 2026 (publié le 08/06/2026) affiche un CA de 325,6 Mds FCFA (+14,8%) et un résultat net de 48,3 Mds FCFA (+25,2%), tandis que le rapport S1 2026 (09/10/2026) confirme un CA de 672,8 Mds FCFA (+16,1%) et un résultat net de 90,3 Mds FCFA (+18,3%), avec une marge nette de 13,4% et un EBITDAaL de 239,3 Mds FCFA (+19,2%). Sur cette base, on estime que l'exercice 2026 devrait dépasser 1 350 Mds FCFA de CA (+13%) et approcher 180-185 Mds FCFA de résultat net consolidé, confirmant l'accélération de la croissance par rapport à 2025. Les risques identifiés (pression fiscale avec +35% d'impôts au S1 2026, exposition au Burkina Faso et au Liberia, concurrence sur Orange Money) sont compensés par les opportunités (fibre +59,9%, Orange Money +10,2%, 5G à venir). La recommandation fondamentale est **ACHAT**, soutenue par la solidité du bilan, la croissance à deux chiffres et la politique de dividende généreuse.</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contrasté : le PER de 18,1x et le P/B de 4,28x traduisent une prime certaine par rapport au marché BRVM, mais l'EV/EBITDA de 7,2x reste raisonnable et le BPA de 1 114 FCFA soutient la thèse d'une valorisation justifiée par la qualité des fondamentaux. Le comportement du cours (Partie 1) est favorable avec une hausse de +25,81% sur 100 jours, une volatilité élevée (38,7%) mais une distribution symétrique (skewness 0,276) et un risque de pics limité (kurtosis -1,686), malgré le repli de -2,99% en J-1. Les signaux techniques (Partie 2) sont divergents : le MACD baissier et le cours sous les MM20/MM50 plaident pour la prudence à court terme, mais le Stochastique en survente (10,95) et la position basse dans les Bandes de Bollinger suggèrent un rebond imminent, avec un RSI neutre (40,46) qui laisse de la marge à la hausse. Les fondamentaux (Partie 3) sont excellents : CA 2025 de 1 197,1 Mds FCFA (+10,4%), ROE de 23,7%, BFR négatif, FCF de 156,2 Mds FCFA, et les rapports T1/S1 2026 confirment une accélération (+16,1% de CA et +18,3% de résultat net au S1), avec un dividende de 800 FCFA/action. Les prédictions IA (J+1 à J+10) anticipent une légère consolidation autour de 20 500-20 600 FCFA, cohérente avec la phase de respiration actuelle mais sans remettre en cause la tendance de fond. **Recommandation finale : ACHAT**, avec un niveau de confiance **Élevé** et un risque global **Moyen** (volatilité élevée mais fondamentaux solides). L'horizon optimal est le **moyen terme (3-12 mois)**, le temps que les investissements (fibre, 5G, Orange Money) se traduisent en croissance bénéficiaire et que le titre retrouve sa moyenne mobile, avec un objectif de cours de 22 500 FCFA (plus haut annuel) et un potentiel de +12% à partir du niveau actuel.</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d'\u00e9valuer la performance ou la valorisation de la soci\u00e9t\u00e9. En l'absence d'informations chiffr\u00e9es, aucune d\u00e9cision d'achat ou de vente ne peut \u00eatre justifi\u00e9e."}</w:t>
      </w:r>
    </w:p>
    <w:p>
      <w:pPr>
        <w:spacing w:before="40"/>
        <w:ind w:left="400"/>
      </w:pPr>
      <w:r>
        <w:rPr>
          <w:sz w:val="18"/>
        </w:rPr>
        <w:t>Le document est une attestation des commissaires aux comptes (KPMG Côte d'Ivoire UNICONSEIL et UNICONSEIL) sur les informations semestrielles consolidées d'Orange Côte d'Ivoire S.A. pour la période du 1er janvier 2026 au 30 juin 2026. Il s'agit d'une attestation établie en application de l'article 849 de l'Acte uniforme de l'OHADA, et non d'un rapport d'analyse financière détaillé. Les commissaires aux comptes ont mis en œuvre des diligences professionnelles qui ne constituent ni un audit ni un examen limité. Le document ne contient aucune donnée chiffrée sur les résultats, le bilan ou la trésorerie de la société. Par conséquent, aucune analyse financière approfondie ni recommandation d'inve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'1er janvier 2026 au 30 juin 2026', 'capital_social': '6 026 214 000 FCFA', 'referentiel_comptable': 'IFRS', 'commissaires_aux_comptes': "KPMG Côte d'Ivoire UNICONSEIL et UNICONSEIL"}</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informations semestrielles consolidées d'Orange Côte d'Ivoire S.A.</w:t>
      </w:r>
    </w:p>
    <w:p>
      <w:pPr>
        <w:pStyle w:val="ListBullet"/>
        <w:spacing w:before="20" w:after="20"/>
        <w:ind w:left="700"/>
      </w:pPr>
      <w:r>
        <w:rPr>
          <w:sz w:val="18"/>
        </w:rPr>
        <w:t>Période couverte : 1er janvier 2026 au 30 juin 2026</w:t>
      </w:r>
    </w:p>
    <w:p>
      <w:pPr>
        <w:pStyle w:val="ListBullet"/>
        <w:spacing w:before="20" w:after="20"/>
        <w:ind w:left="700"/>
      </w:pPr>
      <w:r>
        <w:rPr>
          <w:sz w:val="18"/>
        </w:rPr>
        <w:t>Établie en application de l'article 849 de l'Acte uniforme de l'OHADA relatif au droit des sociétés commerciales et du GIE</w:t>
      </w:r>
    </w:p>
    <w:p>
      <w:pPr>
        <w:pStyle w:val="ListBullet"/>
        <w:spacing w:before="20" w:after="20"/>
        <w:ind w:left="700"/>
      </w:pPr>
      <w:r>
        <w:rPr>
          <w:sz w:val="18"/>
        </w:rPr>
        <w:t>Les informations ont été établies sous la responsabilité de la direction générale, à partir de la comptabilité générale tenue selon le référentiel IFRS</w:t>
      </w:r>
    </w:p>
    <w:p>
      <w:pPr>
        <w:pStyle w:val="ListBullet"/>
        <w:spacing w:before="20" w:after="20"/>
        <w:ind w:left="700"/>
      </w:pPr>
      <w:r>
        <w:rPr>
          <w:sz w:val="18"/>
        </w:rPr>
        <w:t>Les diligences mises en œuvre ne constituent ni un audit ni un examen limité</w:t>
      </w:r>
    </w:p>
    <w:p>
      <w:pPr>
        <w:pStyle w:val="ListBullet"/>
        <w:spacing w:before="20" w:after="20"/>
        <w:ind w:left="700"/>
      </w:pPr>
      <w:r>
        <w:rPr>
          <w:sz w:val="18"/>
        </w:rPr>
        <w:t>Le document ne contient aucune donnée financière chiffrée (chiffre d'affaires, résultat net, actif, capitaux propres)</w:t>
      </w:r>
    </w:p>
    <w:p>
      <w:pPr>
        <w:spacing w:before="40"/>
        <w:ind w:left="400"/>
      </w:pPr>
      <w:r>
        <w:rPr>
          <w:b/>
          <w:color w:val="C05000"/>
          <w:sz w:val="18"/>
        </w:rPr>
        <w:t xml:space="preserve">⚠️ Risques : </w:t>
      </w:r>
      <w:r>
        <w:rPr>
          <w:sz w:val="18"/>
        </w:rPr>
        <w:t>["Absence de donn\u00e9es financi\u00e8res chiffr\u00e9es dans le document, emp\u00eachant toute \u00e9valuation des risques financiers", "Le document est une simple attestation de commissaires aux comptes, sans analyse de la situation financi\u00e8re", "Les diligences effectu\u00e9es ne constituent</w:t>
      </w:r>
    </w:p>
    <w:p>
      <w:pPr>
        <w:spacing w:before="40"/>
        <w:ind w:left="400"/>
      </w:pPr>
      <w:r>
        <w:rPr>
          <w:b/>
          <w:color w:val="0064A0"/>
          <w:sz w:val="18"/>
        </w:rPr>
        <w:t xml:space="preserve">🔮 Perspectives : </w:t>
      </w:r>
      <w:r>
        <w:rPr>
          <w:sz w:val="18"/>
        </w:rPr>
        <w:t>Aucune perspective financière ne peut être dégagée de ce document, qui se limite à une attestation de conformité des informations semestrielles. Pour formuler un outlook, il serait nécessaire de consulter les états financiers semestriels complets (bilan, compte de résultat, tableau des flux de tréso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croissance \u00e0 deux chiffres du chiffre d'affaires (+16,1%) et du r\u00e9sultat net (+18,3%) t\u00e9moigne d'une dynamique op\u00e9rationnelle solide sur les trois march\u00e9s. La progression de l'EBITDAaL et l'am\u00e9lioration du r\u00e9sultat financier renforcent la qualit\u00e9 des r\u00e9sultats et la g\u00e9n\u00e9ration de cash-flow."}</w:t>
      </w:r>
    </w:p>
    <w:p>
      <w:pPr>
        <w:spacing w:before="40"/>
        <w:ind w:left="400"/>
      </w:pPr>
      <w:r>
        <w:rPr>
          <w:sz w:val="18"/>
        </w:rPr>
        <w:t>Orange Côte d'Ivoire publie des résultats consolidés en forte croissance pour le premier semestre 2026, avec un chiffre d'affaires de 672,8 milliards FCFA en hausse de 16,1% sur un an. Cette performance est portée par les trois filiales du groupe (Côte d'Ivoire, Burkina Faso et Liberia), tirées par la data mobile, la fibre et Orange Money. L'EBITDAaL progresse de 19,2% à 239,3 milliards FCFA, traduisant une bonne maîtrise des coûts d'exploitation. Le résultat net consolidé atteint 90,3 milliards FCFA, en croissance de 18,3% par rapport au S1 2025. La dynamique commerciale et l'expansion des usages confirment la solidité du modèle économique du groupe sur l'ensemble de ses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'109,3 milliards FCFA', 'ebitdaal': '239,3 milliards FCFA', 'parc_fmi': '37 364 milliers', 'resultat_financier': '-12,8 milliards FCFA', 'resultat_exploitation': '159,6 milliards FCFA', 'impots_sur_le_resultat': '-56,6 milliards FCFA', 'resultat_activites_ordinaires': '146,8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672,8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672,8 milliards FCFA au S1 2026, en hausse de 16,1% (+93,4 milliards FCFA) sur un an.</w:t>
      </w:r>
    </w:p>
    <w:p>
      <w:pPr>
        <w:pStyle w:val="ListBullet"/>
        <w:spacing w:before="20" w:after="20"/>
        <w:ind w:left="700"/>
      </w:pPr>
      <w:r>
        <w:rPr>
          <w:sz w:val="18"/>
        </w:rPr>
        <w:t>EBITDAaL de 239,3 milliards FCFA, en progression de 19,2%, avec une marge d'EBITDAaL d'environ 35,6%.</w:t>
      </w:r>
    </w:p>
    <w:p>
      <w:pPr>
        <w:pStyle w:val="ListBullet"/>
        <w:spacing w:before="20" w:after="20"/>
        <w:ind w:left="700"/>
      </w:pPr>
      <w:r>
        <w:rPr>
          <w:sz w:val="18"/>
        </w:rPr>
        <w:t>Résultat d'exploitation de 159,6 milliards FCFA, en hausse de 21,1% par rapport au S1 2025.</w:t>
      </w:r>
    </w:p>
    <w:p>
      <w:pPr>
        <w:pStyle w:val="ListBullet"/>
        <w:spacing w:before="20" w:after="20"/>
        <w:ind w:left="700"/>
      </w:pPr>
      <w:r>
        <w:rPr>
          <w:sz w:val="18"/>
        </w:rPr>
        <w:t>Résultat net consolidé de 90,3 milliards FCFA, en croissance de 18,3%, soit une marge nette d'environ 13,4%.</w:t>
      </w:r>
    </w:p>
    <w:p>
      <w:pPr>
        <w:pStyle w:val="ListBullet"/>
        <w:spacing w:before="20" w:after="20"/>
        <w:ind w:left="700"/>
      </w:pPr>
      <w:r>
        <w:rPr>
          <w:sz w:val="18"/>
        </w:rPr>
        <w:t>Résultat financier négatif de -12,8 milliards FCFA, mais en amélioration de 5,9% sur un an.</w:t>
      </w:r>
    </w:p>
    <w:p>
      <w:pPr>
        <w:pStyle w:val="ListBullet"/>
        <w:spacing w:before="20" w:after="20"/>
        <w:ind w:left="700"/>
      </w:pPr>
      <w:r>
        <w:rPr>
          <w:sz w:val="18"/>
        </w:rPr>
        <w:t>Charge d'impôts en hausse de 35,0% à 56,6 milliards FCFA, pesant sur la croissance du résultat net.</w:t>
      </w:r>
    </w:p>
    <w:p>
      <w:pPr>
        <w:spacing w:before="40"/>
        <w:ind w:left="400"/>
      </w:pPr>
      <w:r>
        <w:rPr>
          <w:b/>
          <w:color w:val="C05000"/>
          <w:sz w:val="18"/>
        </w:rPr>
        <w:t xml:space="preserve">⚠️ Risques : </w:t>
      </w:r>
      <w:r>
        <w:rPr>
          <w:sz w:val="18"/>
        </w:rPr>
        <w:t>["Hausse marqu\u00e9e des charges commerciales et fiscales (+35% d'imp\u00f4ts) pouvant peser sur la rentabilit\u00e9 future.", "Exposition au risque de change et \u00e0 l'environnement macro\u00e9conomique des trois pays (C\u00f4te d'Ivoire, Burkina Faso, Liberia).", "Intensification de la concurre</w:t>
      </w:r>
    </w:p>
    <w:p>
      <w:pPr>
        <w:spacing w:before="40"/>
        <w:ind w:left="400"/>
      </w:pPr>
      <w:r>
        <w:rPr>
          <w:b/>
          <w:color w:val="0064A0"/>
          <w:sz w:val="18"/>
        </w:rPr>
        <w:t xml:space="preserve">🔮 Perspectives : </w:t>
      </w:r>
      <w:r>
        <w:rPr>
          <w:sz w:val="18"/>
        </w:rPr>
        <w:t>Le groupe devrait poursuivre sa trajectoire de croissance au second semestre 2026, soutenu par l'expansion de la data mobile, de la fibre et d'Orange Money sur ses trois marchés. La maîtrise des coûts et l'amélioration continue du résultat financier devraient permettre de maintenir la dynamique béné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193.67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4,105 titres</w:t>
            </w:r>
          </w:p>
        </w:tc>
        <w:tc>
          <w:tcPr>
            <w:tcW w:type="dxa" w:w="2268"/>
            <w:shd w:fill="FFF2CC" w:val="clear"/>
          </w:tcPr>
          <w:p>
            <w:r>
              <w:rPr>
                <w:b/>
                <w:color w:val="503200"/>
                <w:sz w:val="16"/>
              </w:rPr>
              <w:t xml:space="preserve">Cours actuel : </w:t>
            </w:r>
            <w:r>
              <w:rPr>
                <w:color w:val="000000"/>
                <w:sz w:val="17"/>
              </w:rPr>
              <w:t>2,790 FCFA</w:t>
            </w:r>
          </w:p>
          <w:p>
            <w:r>
              <w:rPr>
                <w:b/>
                <w:color w:val="503200"/>
                <w:sz w:val="16"/>
              </w:rPr>
              <w:t xml:space="preserve">Var. 100 jours : </w:t>
            </w:r>
            <w:r>
              <w:rPr>
                <w:b/>
                <w:color w:val="007800"/>
                <w:sz w:val="17"/>
              </w:rPr>
              <w:t>+7.31%</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2,600 FCFA</w:t>
            </w:r>
          </w:p>
          <w:p>
            <w:r>
              <w:rPr>
                <w:b/>
                <w:color w:val="503200"/>
                <w:sz w:val="16"/>
              </w:rPr>
              <w:t xml:space="preserve">Volatilité ann. : </w:t>
            </w:r>
            <w:r>
              <w:rPr>
                <w:color w:val="000000"/>
                <w:sz w:val="17"/>
              </w:rPr>
              <w:t>35.1%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7.61% (Moyenne) — μ=2,919 FCFA, σ=222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β=0.8686 (Neutre (suit le marché)) — Cov=0.000068, Var(idx)=0.000078, ρ=0.343,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4,105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2,664</w:t>
            </w:r>
          </w:p>
        </w:tc>
        <w:tc>
          <w:tcPr>
            <w:tcW w:type="dxa" w:w="1440"/>
            <w:shd w:fill="FAFAFA" w:val="clear"/>
          </w:tcPr>
          <w:p>
            <w:r>
              <w:rPr>
                <w:b/>
                <w:sz w:val="17"/>
              </w:rPr>
              <w:t>2,792</w:t>
            </w:r>
          </w:p>
        </w:tc>
        <w:tc>
          <w:tcPr>
            <w:tcW w:type="dxa" w:w="1440"/>
            <w:shd w:fill="FAFAFA" w:val="clear"/>
          </w:tcPr>
          <w:p>
            <w:r>
              <w:rPr>
                <w:sz w:val="17"/>
              </w:rPr>
              <w:t>2,919</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2026-10-22</w:t>
            </w:r>
          </w:p>
        </w:tc>
        <w:tc>
          <w:tcPr>
            <w:tcW w:type="dxa" w:w="1440"/>
            <w:shd w:fill="FAFAFA" w:val="clear"/>
          </w:tcPr>
          <w:p>
            <w:r>
              <w:rPr>
                <w:sz w:val="17"/>
              </w:rPr>
              <w:t>2,611</w:t>
            </w:r>
          </w:p>
        </w:tc>
        <w:tc>
          <w:tcPr>
            <w:tcW w:type="dxa" w:w="1440"/>
            <w:shd w:fill="FAFAFA" w:val="clear"/>
          </w:tcPr>
          <w:p>
            <w:r>
              <w:rPr>
                <w:b/>
                <w:sz w:val="17"/>
              </w:rPr>
              <w:t>2,792</w:t>
            </w:r>
          </w:p>
        </w:tc>
        <w:tc>
          <w:tcPr>
            <w:tcW w:type="dxa" w:w="1440"/>
            <w:shd w:fill="FAFAFA" w:val="clear"/>
          </w:tcPr>
          <w:p>
            <w:r>
              <w:rPr>
                <w:sz w:val="17"/>
              </w:rPr>
              <w:t>2,972</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2,571</w:t>
            </w:r>
          </w:p>
        </w:tc>
        <w:tc>
          <w:tcPr>
            <w:tcW w:type="dxa" w:w="1440"/>
            <w:shd w:fill="FAFAFA" w:val="clear"/>
          </w:tcPr>
          <w:p>
            <w:r>
              <w:rPr>
                <w:b/>
                <w:sz w:val="17"/>
              </w:rPr>
              <w:t>2,792</w:t>
            </w:r>
          </w:p>
        </w:tc>
        <w:tc>
          <w:tcPr>
            <w:tcW w:type="dxa" w:w="1440"/>
            <w:shd w:fill="FAFAFA" w:val="clear"/>
          </w:tcPr>
          <w:p>
            <w:r>
              <w:rPr>
                <w:sz w:val="17"/>
              </w:rPr>
              <w:t>3,013</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2,536</w:t>
            </w:r>
          </w:p>
        </w:tc>
        <w:tc>
          <w:tcPr>
            <w:tcW w:type="dxa" w:w="1440"/>
            <w:shd w:fill="FAFAFA" w:val="clear"/>
          </w:tcPr>
          <w:p>
            <w:r>
              <w:rPr>
                <w:b/>
                <w:sz w:val="17"/>
              </w:rPr>
              <w:t>2,791</w:t>
            </w:r>
          </w:p>
        </w:tc>
        <w:tc>
          <w:tcPr>
            <w:tcW w:type="dxa" w:w="1440"/>
            <w:shd w:fill="FAFAFA" w:val="clear"/>
          </w:tcPr>
          <w:p>
            <w:r>
              <w:rPr>
                <w:sz w:val="17"/>
              </w:rPr>
              <w:t>3,047</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2026-10-27</w:t>
            </w:r>
          </w:p>
        </w:tc>
        <w:tc>
          <w:tcPr>
            <w:tcW w:type="dxa" w:w="1440"/>
            <w:shd w:fill="FAFAFA" w:val="clear"/>
          </w:tcPr>
          <w:p>
            <w:r>
              <w:rPr>
                <w:sz w:val="17"/>
              </w:rPr>
              <w:t>2,506</w:t>
            </w:r>
          </w:p>
        </w:tc>
        <w:tc>
          <w:tcPr>
            <w:tcW w:type="dxa" w:w="1440"/>
            <w:shd w:fill="FAFAFA" w:val="clear"/>
          </w:tcPr>
          <w:p>
            <w:r>
              <w:rPr>
                <w:b/>
                <w:sz w:val="17"/>
              </w:rPr>
              <w:t>2,791</w:t>
            </w:r>
          </w:p>
        </w:tc>
        <w:tc>
          <w:tcPr>
            <w:tcW w:type="dxa" w:w="1440"/>
            <w:shd w:fill="FAFAFA" w:val="clear"/>
          </w:tcPr>
          <w:p>
            <w:r>
              <w:rPr>
                <w:sz w:val="17"/>
              </w:rPr>
              <w:t>3,077</w:t>
            </w:r>
          </w:p>
        </w:tc>
        <w:tc>
          <w:tcPr>
            <w:tcW w:type="dxa" w:w="1440"/>
            <w:shd w:fill="FAFAFA" w:val="clear"/>
          </w:tcPr>
          <w:p>
            <w:r>
              <w:rPr>
                <w:b/>
                <w:color w:val="008000"/>
                <w:sz w:val="17"/>
              </w:rPr>
              <w:t>+0.0%</w:t>
            </w:r>
          </w:p>
        </w:tc>
      </w:tr>
      <w:tr>
        <w:tc>
          <w:tcPr>
            <w:tcW w:type="dxa" w:w="1440"/>
            <w:shd w:fill="FAFAFA" w:val="clear"/>
          </w:tcPr>
          <w:p>
            <w:r>
              <w:rPr>
                <w:sz w:val="17"/>
              </w:rPr>
              <w:t>J+6  ⭐</w:t>
            </w:r>
          </w:p>
        </w:tc>
        <w:tc>
          <w:tcPr>
            <w:tcW w:type="dxa" w:w="1440"/>
            <w:shd w:fill="FAFAFA" w:val="clear"/>
          </w:tcPr>
          <w:p>
            <w:r>
              <w:rPr>
                <w:sz w:val="17"/>
              </w:rPr>
              <w:t>2026-10-28</w:t>
            </w:r>
          </w:p>
        </w:tc>
        <w:tc>
          <w:tcPr>
            <w:tcW w:type="dxa" w:w="1440"/>
            <w:shd w:fill="FAFAFA" w:val="clear"/>
          </w:tcPr>
          <w:p>
            <w:r>
              <w:rPr>
                <w:sz w:val="17"/>
              </w:rPr>
              <w:t>2,478</w:t>
            </w:r>
          </w:p>
        </w:tc>
        <w:tc>
          <w:tcPr>
            <w:tcW w:type="dxa" w:w="1440"/>
            <w:shd w:fill="FAFAFA" w:val="clear"/>
          </w:tcPr>
          <w:p>
            <w:r>
              <w:rPr>
                <w:b/>
                <w:sz w:val="17"/>
              </w:rPr>
              <w:t>2,791</w:t>
            </w:r>
          </w:p>
        </w:tc>
        <w:tc>
          <w:tcPr>
            <w:tcW w:type="dxa" w:w="1440"/>
            <w:shd w:fill="FAFAFA" w:val="clear"/>
          </w:tcPr>
          <w:p>
            <w:r>
              <w:rPr>
                <w:sz w:val="17"/>
              </w:rPr>
              <w:t>3,103</w:t>
            </w:r>
          </w:p>
        </w:tc>
        <w:tc>
          <w:tcPr>
            <w:tcW w:type="dxa" w:w="1440"/>
            <w:shd w:fill="FAFAFA" w:val="clear"/>
          </w:tcPr>
          <w:p>
            <w:r>
              <w:rPr>
                <w:b/>
                <w:color w:val="008000"/>
                <w:sz w:val="17"/>
              </w:rPr>
              <w:t>+0.0%</w:t>
            </w:r>
          </w:p>
        </w:tc>
      </w:tr>
      <w:tr>
        <w:tc>
          <w:tcPr>
            <w:tcW w:type="dxa" w:w="1440"/>
            <w:shd w:fill="FAFAFA" w:val="clear"/>
          </w:tcPr>
          <w:p>
            <w:r>
              <w:rPr>
                <w:sz w:val="17"/>
              </w:rPr>
              <w:t>J+7  ⭐</w:t>
            </w:r>
          </w:p>
        </w:tc>
        <w:tc>
          <w:tcPr>
            <w:tcW w:type="dxa" w:w="1440"/>
            <w:shd w:fill="FAFAFA" w:val="clear"/>
          </w:tcPr>
          <w:p>
            <w:r>
              <w:rPr>
                <w:sz w:val="17"/>
              </w:rPr>
              <w:t>2026-10-29</w:t>
            </w:r>
          </w:p>
        </w:tc>
        <w:tc>
          <w:tcPr>
            <w:tcW w:type="dxa" w:w="1440"/>
            <w:shd w:fill="FAFAFA" w:val="clear"/>
          </w:tcPr>
          <w:p>
            <w:r>
              <w:rPr>
                <w:sz w:val="17"/>
              </w:rPr>
              <w:t>2,453</w:t>
            </w:r>
          </w:p>
        </w:tc>
        <w:tc>
          <w:tcPr>
            <w:tcW w:type="dxa" w:w="1440"/>
            <w:shd w:fill="FAFAFA" w:val="clear"/>
          </w:tcPr>
          <w:p>
            <w:r>
              <w:rPr>
                <w:b/>
                <w:sz w:val="17"/>
              </w:rPr>
              <w:t>2,790</w:t>
            </w:r>
          </w:p>
        </w:tc>
        <w:tc>
          <w:tcPr>
            <w:tcW w:type="dxa" w:w="1440"/>
            <w:shd w:fill="FAFAFA" w:val="clear"/>
          </w:tcPr>
          <w:p>
            <w:r>
              <w:rPr>
                <w:sz w:val="17"/>
              </w:rPr>
              <w:t>3,128</w:t>
            </w:r>
          </w:p>
        </w:tc>
        <w:tc>
          <w:tcPr>
            <w:tcW w:type="dxa" w:w="1440"/>
            <w:shd w:fill="FAFAFA" w:val="clear"/>
          </w:tcPr>
          <w:p>
            <w:r>
              <w:rPr>
                <w:b/>
                <w:color w:val="008000"/>
                <w:sz w:val="17"/>
              </w:rPr>
              <w:t>+0.0%</w:t>
            </w:r>
          </w:p>
        </w:tc>
      </w:tr>
      <w:tr>
        <w:tc>
          <w:tcPr>
            <w:tcW w:type="dxa" w:w="1440"/>
            <w:shd w:fill="FAFAFA" w:val="clear"/>
          </w:tcPr>
          <w:p>
            <w:r>
              <w:rPr>
                <w:sz w:val="17"/>
              </w:rPr>
              <w:t>J+8  ⭐</w:t>
            </w:r>
          </w:p>
        </w:tc>
        <w:tc>
          <w:tcPr>
            <w:tcW w:type="dxa" w:w="1440"/>
            <w:shd w:fill="FAFAFA" w:val="clear"/>
          </w:tcPr>
          <w:p>
            <w:r>
              <w:rPr>
                <w:sz w:val="17"/>
              </w:rPr>
              <w:t>2026-10-30</w:t>
            </w:r>
          </w:p>
        </w:tc>
        <w:tc>
          <w:tcPr>
            <w:tcW w:type="dxa" w:w="1440"/>
            <w:shd w:fill="FAFAFA" w:val="clear"/>
          </w:tcPr>
          <w:p>
            <w:r>
              <w:rPr>
                <w:sz w:val="17"/>
              </w:rPr>
              <w:t>2,429</w:t>
            </w:r>
          </w:p>
        </w:tc>
        <w:tc>
          <w:tcPr>
            <w:tcW w:type="dxa" w:w="1440"/>
            <w:shd w:fill="FAFAFA" w:val="clear"/>
          </w:tcPr>
          <w:p>
            <w:r>
              <w:rPr>
                <w:b/>
                <w:sz w:val="17"/>
              </w:rPr>
              <w:t>2,790</w:t>
            </w:r>
          </w:p>
        </w:tc>
        <w:tc>
          <w:tcPr>
            <w:tcW w:type="dxa" w:w="1440"/>
            <w:shd w:fill="FAFAFA" w:val="clear"/>
          </w:tcPr>
          <w:p>
            <w:r>
              <w:rPr>
                <w:sz w:val="17"/>
              </w:rPr>
              <w:t>3,151</w:t>
            </w:r>
          </w:p>
        </w:tc>
        <w:tc>
          <w:tcPr>
            <w:tcW w:type="dxa" w:w="1440"/>
            <w:shd w:fill="FAFAFA" w:val="clear"/>
          </w:tcPr>
          <w:p>
            <w:r>
              <w:rPr>
                <w:b/>
                <w:color w:val="C00000"/>
                <w:sz w:val="17"/>
              </w:rPr>
              <w:t>-0.0%</w:t>
            </w:r>
          </w:p>
        </w:tc>
      </w:tr>
      <w:tr>
        <w:tc>
          <w:tcPr>
            <w:tcW w:type="dxa" w:w="1440"/>
            <w:shd w:fill="FAFAFA" w:val="clear"/>
          </w:tcPr>
          <w:p>
            <w:r>
              <w:rPr>
                <w:sz w:val="17"/>
              </w:rPr>
              <w:t>J+9  ⭐</w:t>
            </w:r>
          </w:p>
        </w:tc>
        <w:tc>
          <w:tcPr>
            <w:tcW w:type="dxa" w:w="1440"/>
            <w:shd w:fill="FAFAFA" w:val="clear"/>
          </w:tcPr>
          <w:p>
            <w:r>
              <w:rPr>
                <w:sz w:val="17"/>
              </w:rPr>
              <w:t>2026-11-02</w:t>
            </w:r>
          </w:p>
        </w:tc>
        <w:tc>
          <w:tcPr>
            <w:tcW w:type="dxa" w:w="1440"/>
            <w:shd w:fill="FAFAFA" w:val="clear"/>
          </w:tcPr>
          <w:p>
            <w:r>
              <w:rPr>
                <w:sz w:val="17"/>
              </w:rPr>
              <w:t>2,407</w:t>
            </w:r>
          </w:p>
        </w:tc>
        <w:tc>
          <w:tcPr>
            <w:tcW w:type="dxa" w:w="1440"/>
            <w:shd w:fill="FAFAFA" w:val="clear"/>
          </w:tcPr>
          <w:p>
            <w:r>
              <w:rPr>
                <w:b/>
                <w:sz w:val="17"/>
              </w:rPr>
              <w:t>2,789</w:t>
            </w:r>
          </w:p>
        </w:tc>
        <w:tc>
          <w:tcPr>
            <w:tcW w:type="dxa" w:w="1440"/>
            <w:shd w:fill="FAFAFA" w:val="clear"/>
          </w:tcPr>
          <w:p>
            <w:r>
              <w:rPr>
                <w:sz w:val="17"/>
              </w:rPr>
              <w:t>3,172</w:t>
            </w:r>
          </w:p>
        </w:tc>
        <w:tc>
          <w:tcPr>
            <w:tcW w:type="dxa" w:w="1440"/>
            <w:shd w:fill="FAFAFA" w:val="clear"/>
          </w:tcPr>
          <w:p>
            <w:r>
              <w:rPr>
                <w:b/>
                <w:color w:val="C00000"/>
                <w:sz w:val="17"/>
              </w:rPr>
              <w:t>-0.0%</w:t>
            </w:r>
          </w:p>
        </w:tc>
      </w:tr>
      <w:tr>
        <w:tc>
          <w:tcPr>
            <w:tcW w:type="dxa" w:w="1440"/>
            <w:shd w:fill="FAFAFA" w:val="clear"/>
          </w:tcPr>
          <w:p>
            <w:r>
              <w:rPr>
                <w:sz w:val="17"/>
              </w:rPr>
              <w:t>J+10  ⭐</w:t>
            </w:r>
          </w:p>
        </w:tc>
        <w:tc>
          <w:tcPr>
            <w:tcW w:type="dxa" w:w="1440"/>
            <w:shd w:fill="FAFAFA" w:val="clear"/>
          </w:tcPr>
          <w:p>
            <w:r>
              <w:rPr>
                <w:sz w:val="17"/>
              </w:rPr>
              <w:t>2026-11-03</w:t>
            </w:r>
          </w:p>
        </w:tc>
        <w:tc>
          <w:tcPr>
            <w:tcW w:type="dxa" w:w="1440"/>
            <w:shd w:fill="FAFAFA" w:val="clear"/>
          </w:tcPr>
          <w:p>
            <w:r>
              <w:rPr>
                <w:sz w:val="17"/>
              </w:rPr>
              <w:t>2,386</w:t>
            </w:r>
          </w:p>
        </w:tc>
        <w:tc>
          <w:tcPr>
            <w:tcW w:type="dxa" w:w="1440"/>
            <w:shd w:fill="FAFAFA" w:val="clear"/>
          </w:tcPr>
          <w:p>
            <w:r>
              <w:rPr>
                <w:b/>
                <w:sz w:val="17"/>
              </w:rPr>
              <w:t>2,789</w:t>
            </w:r>
          </w:p>
        </w:tc>
        <w:tc>
          <w:tcPr>
            <w:tcW w:type="dxa" w:w="1440"/>
            <w:shd w:fill="FAFAFA" w:val="clear"/>
          </w:tcPr>
          <w:p>
            <w:r>
              <w:rPr>
                <w:sz w:val="17"/>
              </w:rPr>
              <w:t>3,193</w:t>
            </w:r>
          </w:p>
        </w:tc>
        <w:tc>
          <w:tcPr>
            <w:tcW w:type="dxa" w:w="1440"/>
            <w:shd w:fill="FAFAFA" w:val="clear"/>
          </w:tcPr>
          <w:p>
            <w:r>
              <w:rPr>
                <w:b/>
                <w:color w:val="C00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 RAPPORT D'ANALYSE FINANCIÈRE — ORAGROUP (ORGT)</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193,67 milliards FCFA, ORGT s'inscrit parmi les valeurs bancaires significatives de la cote BRVM, reflétant l'importance du groupe panafricain dans le paysage financier régional. Le BPA de 312 FCFA par action indique le bénéfice net généré pour chaque titre détenu, et le PER de 8,9x — inférieur à la moyenne BRVM (8-12x) — suggère que le marché paie un prix raisonnable, voire prudent, pour les bénéfices actuels, ce qui pourrait signaler une sous-évaluation relative au regard du redressement en cours. Le P/B de 1,71x traduit une valorisation modérée, le marché valorisant l'action à 71% au-dessus de sa valeur comptable, ce qui reste raisonnable pour une banque en phase de normalisation. En revanche, l'EV/EBITDA de 19,3x apparaît très exigeant (&gt;15x), soulignant que la valeur d'entreprise intègre déjà une forte anticipation de reprise opérationnelle — un point de vigilance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affiche une progression totale de +7,31%, avec une dernière séance stable (J-1 : +0,00%), le cours se stabilisant à 2 790 FCFA. Le range de trading s'étend de 2 600 FCFA (plus bas) à 3 400 FCFA (plus haut), soit une amplitude de 800 FCFA (~30%) qui témoigne d'une volatilité intra-période notable. La tendance générale est haussière mais avec une correction récente, le cours actuel (2 790 FCFA) se situant sous la moyenne (2 919 FCFA) et la médiane (2 875 FCFA) — un écart faible entre ces deux mesures centrales confirmant une distribution globalement symétrique, cohérente avec le skewness de 0,343 (légère asymétrie positive). L'écart-type de 223 FCFA et le coefficient de variation de 7,6% indiquent une dispersion modérée du cours autour de sa moyenne. Le kurtosis négatif (-1,218, distribution platykurtique) signale une faible concentration des rendements et un risque de pics atténué — le titre évolue dans des bornes relativement prévisibles sans extrêmes marqués. Enfin, la volatilité annualisée de 35,1% positionne ORGT dans la catégorie des titres à volatilité élevée (&gt;30%), ce qui est cohérent avec une valeur bancaire en phase de redressement et impose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(2 899,25 FCFA) et la MM50 (3 073,6 FCFA) se situent toutes deux au-dessus du cours actuel (2 790 FCFA), avec une MM20 inférieure à la MM50 — configuration baissière caractéristique. Le cours évoluant sous ses deux moyennes, la pression vendeuse domine à court et moyen terme, justifiant la décision technique de **Vente**.</w:t>
      </w:r>
    </w:p>
    <w:p>
      <w:pPr>
        <w:spacing w:after="120" w:line="276" w:lineRule="auto"/>
      </w:pPr>
      <w:r>
        <w:t>**Bandes de Bollinger** : Le cours (2 790 FCFA) se situe dans la moitié basse de la bande, entre la borne inférieure (2 715,14 FCFA) et la borne supérieure (3 083,36 FCFA), sans atteindre les extrêmes. Cette position centrale-basse traduit une absence de signal directionnel fort, avec une volatilité contenue dans le canal — d'où la décision **Neutre**, le titre n'étant ni en survente ni en surachat technique.</w:t>
      </w:r>
    </w:p>
    <w:p>
      <w:pPr>
        <w:spacing w:after="120" w:line="276" w:lineRule="auto"/>
      </w:pPr>
      <w:r>
        <w:t>**MACD** : Le MACD (-82,895) est inférieur à son signal (-71,135), confirmant une dynamique baissière persistante. La divergence négative entre la ligne MACD et sa ligne de signal indique que le momentum reste orienté à la baisse, bien que l'amplitude de l'écart suggère un essoufflement progressif de la pression vendeuse — décision **Vente** maintenue.</w:t>
      </w:r>
    </w:p>
    <w:p>
      <w:pPr>
        <w:spacing w:after="120" w:line="276" w:lineRule="auto"/>
      </w:pPr>
      <w:r>
        <w:t>**RSI** : À 37,349, le RSI se situe dans la zone neutre basse (30-70), sans atteindre le seuil de survente (&lt;30). Cette configuration indique une faiblesse relative du titre sans capitulation, laissant présager un potentiel de rebond technique mais sans signal d'achat confirmé — décision **Neutre**.</w:t>
      </w:r>
    </w:p>
    <w:p>
      <w:pPr>
        <w:spacing w:after="120" w:line="276" w:lineRule="auto"/>
      </w:pPr>
      <w:r>
        <w:t>**Stochastique** : Le %K (4,545) et le %D (3,03) sont tous deux en zone de survente extrême (&lt;20), avec un %K légèrement supérieur au %D — configuration propice à un croisement haussier imminent. Cette situation de survente profonde contraste avec les autres indicateurs et justifie la décision **Achat** sur ce seul indicateur, signalant un possible rebond à court terme.</w:t>
      </w:r>
    </w:p>
    <w:p>
      <w:pPr>
        <w:spacing w:after="120" w:line="276" w:lineRule="auto"/>
      </w:pPr>
      <w:r>
        <w:t>**Conclusion technique** : Les indicateurs présentent une divergence notable — les moyennes mobiles et le MACD confirment une tendance baissière de fond, tandis que le stochastique en survente extrême et le RSI en zone basse suggèrent un potentiel de rebond technique à court terme. Le titre se trouve dans une phase de consolidation baissière avec des signaux d'essoufflement de la pression vendeuse. La prudence reste de mise : aucun indicateur ne valide encore un retournement durable de tendance, et la convergence des signaux vers un **Neutre à Vente** domine, avec une fenêtre d'achat tactique possible uniquement pour les traders anticipant un rebond technique.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affiche un Produit Net Bancaire (PNB, équivalent du chiffre d'affaires bancaire) de 186,609 milliards FCFA, en recul de -4,52% par rapport à 2024 (195,436 Mds FCFA), reflétant une contraction de l'activité de crédit volontaire. Le résultat net s'établit à 21,643 milliards FCFA, marquant un redressement spectaculaire après la perte de -44,363 Mds FCFA en 2024. Le ROE atteint 19,13% (&gt;15% = excellent), le ROA 0,54%, et la marge nette 11,60% — des niveaux de rentabilité solides pour le secteur. Le coefficient d'exploitation de 42,85% (&lt;60% = banque efficace, &lt;50% = excellente) témoigne d'une gestion opérationnelle remarquable, tandis que le coût du risque (provisions/charges financières) de 3,74% reste modéré mais à surveiller. La structure bilancielle montre des dépôts clientèle de 3 088,7 Mds FCFA face à des créances clientèle de 1 523,8 Mds FCFA, soit un ratio de transformation de ~49% — une base de financement stable. **Cependant**, l'autonomie financière de 2,82% (capitaux propres/bilan) est très faible, et le ratio d'endettement de 444,94% traduit une forte dépendance aux dettes, bien que la solvabilité générale (102,90%) reste supérieure à 1.</w:t>
      </w:r>
    </w:p>
    <w:p>
      <w:pPr>
        <w:spacing w:after="120" w:line="276" w:lineRule="auto"/>
      </w:pPr>
      <w:r>
        <w:t>**Estimations basées sur les rapports trimestriels** : Le rapport T1 2026 (publié en 2026) confirme la poursuite du redressement avec un PNB de 50,124 Mds FCFA (-2%) mais un résultat net en hausse de +37% à 6,555 Mds FCFA, grâce à une amélioration du coût du risque (-10%) et une maîtrise des frais généraux (-44%). Les dépôts clientèle progressent de +14% à 3 343 Mds FCFA, tandis que les crédits nets reculent de -12% — la stratégie de sélectivité se poursuit. Sur cette base, on estime que l'exercice 2026 devrait confirmer la consolidation de la rentabilité (résultat net annualisé potentiel ~26-28 Mds FCFA) si la dynamique du T1 se maintient, mais la baisse du PNB reste un point de vigilance majeur. Les rapports S1 2025 (30/06/2025) et T3 2025 (30/09/2025) confirment la trajectoire : réduction drastique du coût du risque (-84% au S1, -74% au T3) et maîtrise des frais généraux (-19% au S1, -15% au T3).</w:t>
      </w:r>
    </w:p>
    <w:p>
      <w:pPr>
        <w:spacing w:after="120" w:line="276" w:lineRule="auto"/>
      </w:pPr>
      <w:r>
        <w:t>**Recommandation fondamentale** : La solidité du redressement (ROE 19,13%, coefficient d'exploitation 42,85%) et le renforcement des capitaux propres (+17% à 113,2 Mds FCFA) sont des atouts majeurs. Les risques résident dans la contraction du PNB (-4,52%), la faible autonomie financière (2,82%) et l'absence de dividende (AG du 23/07/2026, perte sociale de -8,04 Mds FCFA). La recommandation fondamentale est **CONSERVER**, avec un biais positif si la reprise du PNB se confirme en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mais globalement favorable à moyen terme. **Sur le plan de la valorisation (Partie 0)**, le PER de 8,9x et le P/B de 1,71x suggèrent une valorisation raisonnable, voire légèrement sous-évaluée au regard du redressement, bien que l'EV/EBITDA de 19,3x tempère cette lecture en intégrant déjà de fortes anticipations. **Le comportement du cours (Partie 1)** montre une tendance haussière sur 100 jours (+7,31%) mais une correction récente, avec une volatilité élevée (35,1%) et une distribution platykurtique (kurtosis -1,218) indiquant des mouvements amples mais sans pics extrêmes — un profil risqué mais prévisible. **Les signaux techniques (Partie 2)** divergent : MM et MACD baissiers, mais stochastique en survente extrême (%K=4,55) et RSI bas (37,35) suggérant un rebond technique imminent — configuration de consolidation avec potentiel tactique. **Les fondamentaux (Partie 3)** sont solides : ROE de 19,13%, coefficient d'exploitation de 42,85%, résultat net 2025 de 21,643 Mds FCFA après une perte de -44,363 Mds en 2024, et T1 2026 confirmant la dynamique (+37% de résultat net). **Les prédictions IA (J+1 à J+10)** anticipent une stabilité autour de 2 791-2 792 FCFA, confirmant l'absence de catalyseur baissier immédiat mais aussi de momentum haussier fort.</w:t>
      </w:r>
    </w:p>
    <w:p>
      <w:pPr>
        <w:spacing w:after="120" w:line="276" w:lineRule="auto"/>
      </w:pPr>
      <w:r>
        <w:t>**Recommandation finale : CONSERVER** — avec un biais positif pour les investisseurs de long terme. La convergence entre valorisation raisonnable (PER 8,9x), fondamentaux en redressement (ROE 19,13%, T1 2026 +37%) et signaux techniques de survente (stochastique) plaide pour une consolidation avant une reprise. La divergence entre la tendance baissière de fond (MM, MACD) et le potentiel de rebond technique (stochastique) justifie la prudence à court terme. **Niveau de confiance : Moyen** (les fondamentaux sont solides mais la contraction du PNB et l'absence de dividende limitent la visibilité). **Niveau de risque global : Moyen à Élevé** (volatilité 35,1%, faible autonomie financière de 2,82%, dépendance aux dettes de 444,94%). **Horizon d'investissement optimal : Moyen terme (3-12 mois)**, le temps que la reprise du PNB se confirme et que le titre intègre pleinement le redressement opérationnel — un achat spéculatif à court terme reste possible sur rebond technique, mais un positionnement long terme (&gt;1 an) nécessiterait une confirmation de la croissance organique du PNB.</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115.94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4,423 titres</w:t>
            </w:r>
          </w:p>
        </w:tc>
        <w:tc>
          <w:tcPr>
            <w:tcW w:type="dxa" w:w="2268"/>
            <w:shd w:fill="FFF2CC" w:val="clear"/>
          </w:tcPr>
          <w:p>
            <w:r>
              <w:rPr>
                <w:b/>
                <w:color w:val="503200"/>
                <w:sz w:val="16"/>
              </w:rPr>
              <w:t xml:space="preserve">Cours actuel : </w:t>
            </w:r>
            <w:r>
              <w:rPr>
                <w:color w:val="000000"/>
                <w:sz w:val="17"/>
              </w:rPr>
              <w:t>7,500 FCFA</w:t>
            </w:r>
          </w:p>
          <w:p>
            <w:r>
              <w:rPr>
                <w:b/>
                <w:color w:val="503200"/>
                <w:sz w:val="16"/>
              </w:rPr>
              <w:t xml:space="preserve">Var. 100 jours : </w:t>
            </w:r>
            <w:r>
              <w:rPr>
                <w:b/>
                <w:color w:val="B40000"/>
                <w:sz w:val="17"/>
              </w:rPr>
              <w:t>-5.96%</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7,500 FCFA</w:t>
            </w:r>
          </w:p>
          <w:p>
            <w:r>
              <w:rPr>
                <w:b/>
                <w:color w:val="503200"/>
                <w:sz w:val="16"/>
              </w:rPr>
              <w:t xml:space="preserve">Volatilité ann. : </w:t>
            </w:r>
            <w:r>
              <w:rPr>
                <w:color w:val="000000"/>
                <w:sz w:val="17"/>
              </w:rPr>
              <w:t>34.2%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5.51% (Moyenne) — μ=8,624 FCFA, σ=476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β=0.1003 (Défensif) — Cov=0.000008, Var(idx)=0.000078, ρ=0.041,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7,315</w:t>
            </w:r>
          </w:p>
        </w:tc>
        <w:tc>
          <w:tcPr>
            <w:tcW w:type="dxa" w:w="1440"/>
            <w:shd w:fill="FAFAFA" w:val="clear"/>
          </w:tcPr>
          <w:p>
            <w:r>
              <w:rPr>
                <w:b/>
                <w:sz w:val="17"/>
              </w:rPr>
              <w:t>7,542</w:t>
            </w:r>
          </w:p>
        </w:tc>
        <w:tc>
          <w:tcPr>
            <w:tcW w:type="dxa" w:w="1440"/>
            <w:shd w:fill="FAFAFA" w:val="clear"/>
          </w:tcPr>
          <w:p>
            <w:r>
              <w:rPr>
                <w:sz w:val="17"/>
              </w:rPr>
              <w:t>7,768</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2026-10-22</w:t>
            </w:r>
          </w:p>
        </w:tc>
        <w:tc>
          <w:tcPr>
            <w:tcW w:type="dxa" w:w="1440"/>
            <w:shd w:fill="FAFAFA" w:val="clear"/>
          </w:tcPr>
          <w:p>
            <w:r>
              <w:rPr>
                <w:sz w:val="17"/>
              </w:rPr>
              <w:t>7,190</w:t>
            </w:r>
          </w:p>
        </w:tc>
        <w:tc>
          <w:tcPr>
            <w:tcW w:type="dxa" w:w="1440"/>
            <w:shd w:fill="FAFAFA" w:val="clear"/>
          </w:tcPr>
          <w:p>
            <w:r>
              <w:rPr>
                <w:b/>
                <w:sz w:val="17"/>
              </w:rPr>
              <w:t>7,509</w:t>
            </w:r>
          </w:p>
        </w:tc>
        <w:tc>
          <w:tcPr>
            <w:tcW w:type="dxa" w:w="1440"/>
            <w:shd w:fill="FAFAFA" w:val="clear"/>
          </w:tcPr>
          <w:p>
            <w:r>
              <w:rPr>
                <w:sz w:val="17"/>
              </w:rPr>
              <w:t>7,828</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7,097</w:t>
            </w:r>
          </w:p>
        </w:tc>
        <w:tc>
          <w:tcPr>
            <w:tcW w:type="dxa" w:w="1440"/>
            <w:shd w:fill="FAFAFA" w:val="clear"/>
          </w:tcPr>
          <w:p>
            <w:r>
              <w:rPr>
                <w:b/>
                <w:sz w:val="17"/>
              </w:rPr>
              <w:t>7,486</w:t>
            </w:r>
          </w:p>
        </w:tc>
        <w:tc>
          <w:tcPr>
            <w:tcW w:type="dxa" w:w="1440"/>
            <w:shd w:fill="FAFAFA" w:val="clear"/>
          </w:tcPr>
          <w:p>
            <w:r>
              <w:rPr>
                <w:sz w:val="17"/>
              </w:rPr>
              <w:t>7,875</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2026-10-26</w:t>
            </w:r>
          </w:p>
        </w:tc>
        <w:tc>
          <w:tcPr>
            <w:tcW w:type="dxa" w:w="1440"/>
            <w:shd w:fill="FAFAFA" w:val="clear"/>
          </w:tcPr>
          <w:p>
            <w:r>
              <w:rPr>
                <w:sz w:val="17"/>
              </w:rPr>
              <w:t>7,017</w:t>
            </w:r>
          </w:p>
        </w:tc>
        <w:tc>
          <w:tcPr>
            <w:tcW w:type="dxa" w:w="1440"/>
            <w:shd w:fill="FAFAFA" w:val="clear"/>
          </w:tcPr>
          <w:p>
            <w:r>
              <w:rPr>
                <w:b/>
                <w:sz w:val="17"/>
              </w:rPr>
              <w:t>7,465</w:t>
            </w:r>
          </w:p>
        </w:tc>
        <w:tc>
          <w:tcPr>
            <w:tcW w:type="dxa" w:w="1440"/>
            <w:shd w:fill="FAFAFA" w:val="clear"/>
          </w:tcPr>
          <w:p>
            <w:r>
              <w:rPr>
                <w:sz w:val="17"/>
              </w:rPr>
              <w:t>7,913</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2026-10-27</w:t>
            </w:r>
          </w:p>
        </w:tc>
        <w:tc>
          <w:tcPr>
            <w:tcW w:type="dxa" w:w="1440"/>
            <w:shd w:fill="FAFAFA" w:val="clear"/>
          </w:tcPr>
          <w:p>
            <w:r>
              <w:rPr>
                <w:sz w:val="17"/>
              </w:rPr>
              <w:t>6,945</w:t>
            </w:r>
          </w:p>
        </w:tc>
        <w:tc>
          <w:tcPr>
            <w:tcW w:type="dxa" w:w="1440"/>
            <w:shd w:fill="FAFAFA" w:val="clear"/>
          </w:tcPr>
          <w:p>
            <w:r>
              <w:rPr>
                <w:b/>
                <w:sz w:val="17"/>
              </w:rPr>
              <w:t>7,444</w:t>
            </w:r>
          </w:p>
        </w:tc>
        <w:tc>
          <w:tcPr>
            <w:tcW w:type="dxa" w:w="1440"/>
            <w:shd w:fill="FAFAFA" w:val="clear"/>
          </w:tcPr>
          <w:p>
            <w:r>
              <w:rPr>
                <w:sz w:val="17"/>
              </w:rPr>
              <w:t>7,944</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2026-10-28</w:t>
            </w:r>
          </w:p>
        </w:tc>
        <w:tc>
          <w:tcPr>
            <w:tcW w:type="dxa" w:w="1440"/>
            <w:shd w:fill="FAFAFA" w:val="clear"/>
          </w:tcPr>
          <w:p>
            <w:r>
              <w:rPr>
                <w:sz w:val="17"/>
              </w:rPr>
              <w:t>6,879</w:t>
            </w:r>
          </w:p>
        </w:tc>
        <w:tc>
          <w:tcPr>
            <w:tcW w:type="dxa" w:w="1440"/>
            <w:shd w:fill="FAFAFA" w:val="clear"/>
          </w:tcPr>
          <w:p>
            <w:r>
              <w:rPr>
                <w:b/>
                <w:sz w:val="17"/>
              </w:rPr>
              <w:t>7,425</w:t>
            </w:r>
          </w:p>
        </w:tc>
        <w:tc>
          <w:tcPr>
            <w:tcW w:type="dxa" w:w="1440"/>
            <w:shd w:fill="FAFAFA" w:val="clear"/>
          </w:tcPr>
          <w:p>
            <w:r>
              <w:rPr>
                <w:sz w:val="17"/>
              </w:rPr>
              <w:t>7,970</w:t>
            </w:r>
          </w:p>
        </w:tc>
        <w:tc>
          <w:tcPr>
            <w:tcW w:type="dxa" w:w="1440"/>
            <w:shd w:fill="FAFAFA" w:val="clear"/>
          </w:tcPr>
          <w:p>
            <w:r>
              <w:rPr>
                <w:b/>
                <w:color w:val="C00000"/>
                <w:sz w:val="17"/>
              </w:rPr>
              <w:t>-1.0%</w:t>
            </w:r>
          </w:p>
        </w:tc>
      </w:tr>
      <w:tr>
        <w:tc>
          <w:tcPr>
            <w:tcW w:type="dxa" w:w="1440"/>
            <w:shd w:fill="FAFAFA" w:val="clear"/>
          </w:tcPr>
          <w:p>
            <w:r>
              <w:rPr>
                <w:sz w:val="17"/>
              </w:rPr>
              <w:t>J+7  Moyenne</w:t>
            </w:r>
          </w:p>
        </w:tc>
        <w:tc>
          <w:tcPr>
            <w:tcW w:type="dxa" w:w="1440"/>
            <w:shd w:fill="FAFAFA" w:val="clear"/>
          </w:tcPr>
          <w:p>
            <w:r>
              <w:rPr>
                <w:sz w:val="17"/>
              </w:rPr>
              <w:t>2026-10-29</w:t>
            </w:r>
          </w:p>
        </w:tc>
        <w:tc>
          <w:tcPr>
            <w:tcW w:type="dxa" w:w="1440"/>
            <w:shd w:fill="FAFAFA" w:val="clear"/>
          </w:tcPr>
          <w:p>
            <w:r>
              <w:rPr>
                <w:sz w:val="17"/>
              </w:rPr>
              <w:t>6,818</w:t>
            </w:r>
          </w:p>
        </w:tc>
        <w:tc>
          <w:tcPr>
            <w:tcW w:type="dxa" w:w="1440"/>
            <w:shd w:fill="FAFAFA" w:val="clear"/>
          </w:tcPr>
          <w:p>
            <w:r>
              <w:rPr>
                <w:b/>
                <w:sz w:val="17"/>
              </w:rPr>
              <w:t>7,406</w:t>
            </w:r>
          </w:p>
        </w:tc>
        <w:tc>
          <w:tcPr>
            <w:tcW w:type="dxa" w:w="1440"/>
            <w:shd w:fill="FAFAFA" w:val="clear"/>
          </w:tcPr>
          <w:p>
            <w:r>
              <w:rPr>
                <w:sz w:val="17"/>
              </w:rPr>
              <w:t>7,994</w:t>
            </w:r>
          </w:p>
        </w:tc>
        <w:tc>
          <w:tcPr>
            <w:tcW w:type="dxa" w:w="1440"/>
            <w:shd w:fill="FAFAFA" w:val="clear"/>
          </w:tcPr>
          <w:p>
            <w:r>
              <w:rPr>
                <w:b/>
                <w:color w:val="C00000"/>
                <w:sz w:val="17"/>
              </w:rPr>
              <w:t>-1.3%</w:t>
            </w:r>
          </w:p>
        </w:tc>
      </w:tr>
      <w:tr>
        <w:tc>
          <w:tcPr>
            <w:tcW w:type="dxa" w:w="1440"/>
            <w:shd w:fill="FAFAFA" w:val="clear"/>
          </w:tcPr>
          <w:p>
            <w:r>
              <w:rPr>
                <w:sz w:val="17"/>
              </w:rPr>
              <w:t>J+8  Moyenne</w:t>
            </w:r>
          </w:p>
        </w:tc>
        <w:tc>
          <w:tcPr>
            <w:tcW w:type="dxa" w:w="1440"/>
            <w:shd w:fill="FAFAFA" w:val="clear"/>
          </w:tcPr>
          <w:p>
            <w:r>
              <w:rPr>
                <w:sz w:val="17"/>
              </w:rPr>
              <w:t>2026-10-30</w:t>
            </w:r>
          </w:p>
        </w:tc>
        <w:tc>
          <w:tcPr>
            <w:tcW w:type="dxa" w:w="1440"/>
            <w:shd w:fill="FAFAFA" w:val="clear"/>
          </w:tcPr>
          <w:p>
            <w:r>
              <w:rPr>
                <w:sz w:val="17"/>
              </w:rPr>
              <w:t>6,762</w:t>
            </w:r>
          </w:p>
        </w:tc>
        <w:tc>
          <w:tcPr>
            <w:tcW w:type="dxa" w:w="1440"/>
            <w:shd w:fill="FAFAFA" w:val="clear"/>
          </w:tcPr>
          <w:p>
            <w:r>
              <w:rPr>
                <w:b/>
                <w:sz w:val="17"/>
              </w:rPr>
              <w:t>7,388</w:t>
            </w:r>
          </w:p>
        </w:tc>
        <w:tc>
          <w:tcPr>
            <w:tcW w:type="dxa" w:w="1440"/>
            <w:shd w:fill="FAFAFA" w:val="clear"/>
          </w:tcPr>
          <w:p>
            <w:r>
              <w:rPr>
                <w:sz w:val="17"/>
              </w:rPr>
              <w:t>8,015</w:t>
            </w:r>
          </w:p>
        </w:tc>
        <w:tc>
          <w:tcPr>
            <w:tcW w:type="dxa" w:w="1440"/>
            <w:shd w:fill="FAFAFA" w:val="clear"/>
          </w:tcPr>
          <w:p>
            <w:r>
              <w:rPr>
                <w:b/>
                <w:color w:val="C00000"/>
                <w:sz w:val="17"/>
              </w:rPr>
              <w:t>-1.5%</w:t>
            </w:r>
          </w:p>
        </w:tc>
      </w:tr>
      <w:tr>
        <w:tc>
          <w:tcPr>
            <w:tcW w:type="dxa" w:w="1440"/>
            <w:shd w:fill="FAFAFA" w:val="clear"/>
          </w:tcPr>
          <w:p>
            <w:r>
              <w:rPr>
                <w:sz w:val="17"/>
              </w:rPr>
              <w:t>J+9  Moyenne</w:t>
            </w:r>
          </w:p>
        </w:tc>
        <w:tc>
          <w:tcPr>
            <w:tcW w:type="dxa" w:w="1440"/>
            <w:shd w:fill="FAFAFA" w:val="clear"/>
          </w:tcPr>
          <w:p>
            <w:r>
              <w:rPr>
                <w:sz w:val="17"/>
              </w:rPr>
              <w:t>2026-11-02</w:t>
            </w:r>
          </w:p>
        </w:tc>
        <w:tc>
          <w:tcPr>
            <w:tcW w:type="dxa" w:w="1440"/>
            <w:shd w:fill="FAFAFA" w:val="clear"/>
          </w:tcPr>
          <w:p>
            <w:r>
              <w:rPr>
                <w:sz w:val="17"/>
              </w:rPr>
              <w:t>6,708</w:t>
            </w:r>
          </w:p>
        </w:tc>
        <w:tc>
          <w:tcPr>
            <w:tcW w:type="dxa" w:w="1440"/>
            <w:shd w:fill="FAFAFA" w:val="clear"/>
          </w:tcPr>
          <w:p>
            <w:r>
              <w:rPr>
                <w:b/>
                <w:sz w:val="17"/>
              </w:rPr>
              <w:t>7,372</w:t>
            </w:r>
          </w:p>
        </w:tc>
        <w:tc>
          <w:tcPr>
            <w:tcW w:type="dxa" w:w="1440"/>
            <w:shd w:fill="FAFAFA" w:val="clear"/>
          </w:tcPr>
          <w:p>
            <w:r>
              <w:rPr>
                <w:sz w:val="17"/>
              </w:rPr>
              <w:t>8,035</w:t>
            </w:r>
          </w:p>
        </w:tc>
        <w:tc>
          <w:tcPr>
            <w:tcW w:type="dxa" w:w="1440"/>
            <w:shd w:fill="FAFAFA" w:val="clear"/>
          </w:tcPr>
          <w:p>
            <w:r>
              <w:rPr>
                <w:b/>
                <w:color w:val="C00000"/>
                <w:sz w:val="17"/>
              </w:rPr>
              <w:t>-1.7%</w:t>
            </w:r>
          </w:p>
        </w:tc>
      </w:tr>
      <w:tr>
        <w:tc>
          <w:tcPr>
            <w:tcW w:type="dxa" w:w="1440"/>
            <w:shd w:fill="FAFAFA" w:val="clear"/>
          </w:tcPr>
          <w:p>
            <w:r>
              <w:rPr>
                <w:sz w:val="17"/>
              </w:rPr>
              <w:t>J+10  Moyenne</w:t>
            </w:r>
          </w:p>
        </w:tc>
        <w:tc>
          <w:tcPr>
            <w:tcW w:type="dxa" w:w="1440"/>
            <w:shd w:fill="FAFAFA" w:val="clear"/>
          </w:tcPr>
          <w:p>
            <w:r>
              <w:rPr>
                <w:sz w:val="17"/>
              </w:rPr>
              <w:t>2026-11-03</w:t>
            </w:r>
          </w:p>
        </w:tc>
        <w:tc>
          <w:tcPr>
            <w:tcW w:type="dxa" w:w="1440"/>
            <w:shd w:fill="FAFAFA" w:val="clear"/>
          </w:tcPr>
          <w:p>
            <w:r>
              <w:rPr>
                <w:sz w:val="17"/>
              </w:rPr>
              <w:t>6,658</w:t>
            </w:r>
          </w:p>
        </w:tc>
        <w:tc>
          <w:tcPr>
            <w:tcW w:type="dxa" w:w="1440"/>
            <w:shd w:fill="FAFAFA" w:val="clear"/>
          </w:tcPr>
          <w:p>
            <w:r>
              <w:rPr>
                <w:b/>
                <w:sz w:val="17"/>
              </w:rPr>
              <w:t>7,355</w:t>
            </w:r>
          </w:p>
        </w:tc>
        <w:tc>
          <w:tcPr>
            <w:tcW w:type="dxa" w:w="1440"/>
            <w:shd w:fill="FAFAFA" w:val="clear"/>
          </w:tcPr>
          <w:p>
            <w:r>
              <w:rPr>
                <w:sz w:val="17"/>
              </w:rPr>
              <w:t>8,053</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115,94 milliards FCFA, PALC s'affirme comme une valeur de premier plan du compartiment agro-industriel de la BRVM, témoignant d'une taille significative à l'échelle régionale. Le BPA de 1 003 FCFA/action indique que chaque titre génère environ un millier de francs de bénéfice net, un niveau de rentabilité par action solide pour le secteur. Le PER de 7,5x se situe nettement en dessous de la moyenne BRVM (8-12x), signalant que les investisseurs ne paient que 7,5 fois les bénéfices pour acquérir le titre — une configuration de sous-évaluation potentielle. Le P/B de 0,81x (&lt; 1) révèle que le marché valorise PALC à 81% de sa valeur comptable, une anomalie qui peut constituer une opportunité si les fondamentaux se confirment. Enfin, l'EV/EBITDA de 3,7x (&lt; 5x) traduit une valorisation très bon marché de la capacité opérationnelle, renforçant l'hypothèse d'un titre décoté malgré ses qualités intrinsèques.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 enregistré une variation totale de -5,96%, avec une dernière séance particulièrement négative à -2,66%, portant le cours actuel à 7 500 FCFA — soit précisément le plus bas de la période, contre un plus haut de 9 640 FCFA. Le range de trading de 2 140 FCFA (22% de l'amplitude) traduit une tendance clairement baissière, le titre ayant cédé du terrain de manière continue pour clôturer sur son plancher. Les statistiques descriptives révèlent une moyenne de 8 624 FCFA légèrement supérieure à la médiane de 8 690 FCFA, avec un mode à 8 300 FCFA : l'écart entre moyenne et médiane, bien que modeste, suggère une distribution légèrement asymétrique tirée vers le bas par les séances récentes. L'écart-type de 478 FCFA et le coefficient de variation de 5,5% indiquent une dispersion modérée du cours autour de sa moyenne, tandis que le kurtosis de -0,159 (mésokurtique) signale une distribution proche de la normale, sans risque de pics extrêmes marqué. Le skewness de -0,273 confirme une asymétrie légèrement négative, cohérente avec la pression vendeuse récente. La volatilité annualisée de 34,2% positionne PALC dans la catégorie des titres à volatilité élevée (&gt;30%), un facteur de risque à intégrer dans la stratégie d'investissement.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(7 989,75 FCFA) et la MM50 (8 582,80 FCFA) se situent toutes deux au-dessus du cours actuel (7 500 FCFA), avec une MM20 inférieure à la MM50 — configuration baissière caractéristique. Le cours évoluant sous ses deux moyennes, la pression vendeuse est confirmée et la décision technique « Vente » se justifie pleinement.</w:t>
      </w:r>
    </w:p>
    <w:p>
      <w:pPr>
        <w:spacing w:after="120" w:line="276" w:lineRule="auto"/>
      </w:pPr>
      <w:r>
        <w:t>**Bandes de Bollinger** : Le cours (7 500 FCFA) se situe dans la partie basse de la bande, proche de la borne inférieure (7 410,40 FCFA) et loin de la borne supérieure (8 569,10 FCFA). Cette position traduit une pression baissière soutenue, mais la proximité de la borne inférieure peut signaler une zone de survente propice à un rebond technique. La décision « Neutre » reflète cette ambiguïté entre tendance baissière et potentiel d'essoufflement.</w:t>
      </w:r>
    </w:p>
    <w:p>
      <w:pPr>
        <w:spacing w:after="120" w:line="276" w:lineRule="auto"/>
      </w:pPr>
      <w:r>
        <w:t>**MACD** : La valeur du MACD (-266,68) est inférieure à son signal (-239,61), confirmant une divergence baissière et un momentum négatif persistant. L'histogramme négatif indique que la dynamique vendeuse reste dominante, justifiant la décision « Vente » — aucun signe de retournement n'est encore perceptible.</w:t>
      </w:r>
    </w:p>
    <w:p>
      <w:pPr>
        <w:spacing w:after="120" w:line="276" w:lineRule="auto"/>
      </w:pPr>
      <w:r>
        <w:t>**RSI** : À 24,49, le RSI se situe nettement en zone de survente (&lt;30), un niveau qui historiquement précède souvent un rebond technique. La décision « Achat » contredit la tendance de fond mais signale une opportunité contrarienne pour les investisseurs anticipant un retournement à court terme.</w:t>
      </w:r>
    </w:p>
    <w:p>
      <w:pPr>
        <w:spacing w:after="120" w:line="276" w:lineRule="auto"/>
      </w:pPr>
      <w:r>
        <w:t>**Stochastique** : Le %K à 0,0 et le %D à 4,52 traduisent une survente extrême, le %K étant au plancher absolu. Cette configuration, bien que baissière, est typique des phases d'épuisement de la pression vendeuse et justifie la décision « Achat » en anticipation d'un rebond.</w:t>
      </w:r>
    </w:p>
    <w:p>
      <w:pPr>
        <w:spacing w:after="120" w:line="276" w:lineRule="auto"/>
      </w:pPr>
      <w:r>
        <w:t>**Conclusion technique** : Les indicateurs présentent une divergence notable : les moyennes mobiles et le MACD confirment une tendance baissière installée, tandis que le RSI et le stochastique signalent une survente extrême propice à un rebond technique. Cette configuration contradictoire — tendance de fond négative mais signaux d'épuisement — suggère une phase de transition où la prudence reste de mise, avec un potentiel de rebond à court terme mais sans confirmation d'inversion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(PALMCI S.A.) affiche un chiffre d'affaires de 197,63 milliards FCFA, en croissance de 14,78% par rapport à 2024 (172,2 Mds FCFA), portée par la hausse des volumes et des prix de l'huile de palme. Le résultat net s'établit à 15,51 milliards FCFA, avec une marge nette de 7,85%, un ROE de 10,87% et un ROA de 7,79% — des niveaux corrects mais en deçà du seuil d'excellence de 15% pour le ROE. La structure financière est remarquablement saine : autonomie financière de 71,64%, ratio d'endettement de 0,56%, capacité de remboursement de 0,03 année et couverture des intérêts de 1 415,66% — autant de signaux d'une solidité bilancielle exceptionnelle. Cependant, le délai clients de 142,58 jours constitue un point de vigilance majeur pour la trésorerie, tandis que le BFR de 44,62 Mds FCFA et la trésorerie nette négative (-4,56 Mds FCFA) traduisent une tension sur le fonds de roulement. Les rapports narratifs révèlent une dégradation récente : selon le rapport du S1 2026 (publié le 7 octobre 2026), le chiffre d'affaires a chuté de 15% à 114,73 Mds FCFA et le résultat net de 41% à 13,53 Mds FCFA, avec une marge nette ramenée à 11,8%. Le rapport T1 2026 fait état d'un effondrement du résultat net de 86% à 1,6 Md FCFA, attribué par le management à un décalage temporel des ventes. Sur la base de ces éléments, on estime que l'exercice 2026 devrait clôturer avec un résultat net positif mais en retrait par rapport à 2025, le management anticipant une tendance similaire à celle de 2025 (15,5 Mds FCFA) grâce à l'écoulement progressif des stocks. La politique de dividende, avec un DPA de 502 FCFA en 2025 (payout de 50,2%), offre un rendement attractif de 6,7% au cours actuel. En conclusion, PALC présente une solidité financière indéniable et une valorisation décotée, mais fait face à des défis conjoncturels (baisse des volumes, pression sur les marges) qui justifient une recommandation de **CONSERVER** avec une surveillance active des prochains rapports trimestriels.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d'analyse révèle un profil d'investissement contrasté mais globalement favorable. La valorisation (Partie 0) est clairement attractive : PER de 7,5x, P/B de 0,81x et EV/EBITDA de 3,7x convergent vers une sous-évaluation manifeste du titre par rapport à ses fondamentaux et à la moyenne du marché. Le comportement du cours (Partie 1) est en revanche préoccupant : tendance baissière de -5,96% sur 100 jours, cours au plus bas de la période, volatilité élevée de 34,2% et skewness négatif — autant de signaux défavorables à court terme. Les indicateurs techniques (Partie 2) présentent une divergence significative : si les moyennes mobiles et le MACD confirment la tendance baissière, le RSI (24,49) et le stochastique (0,0) signalent une survente extrême propice à un rebond technique. Les fondamentaux (Partie 3) demeurent solides malgré la dégradation récente : structure financière exceptionnelle (autonomie de 71,64%, endettement quasi nul), mais rentabilité sous pression (marge nette de 7,85% en 2025, en baisse à 11,8% au S1 2026) et délai clients élevé (142,58 jours). Les prédictions IA (J+1 à J+10) anticipent une poursuite de la baisse modérée, de 7 542 FCFA à 7 444 FCFA, confirmant la pression baissière à court terme sans effondrement. Sur la base de cette synthèse, la recommandation finale est **CONSERVER**, avec un niveau de confiance **Moyen** et un niveau de risque **Moyen**. La convergence entre valorisation attractive, fondamentaux solides et signaux techniques de survente plaide pour la patience, mais la tendance baissière persistante et les prédictions négatives à court terme incitent à la prudence. Un passage à l'ACHAT serait justifié après confirmation d'un retournement technique (franchissement de la MM20 à 7 989 FCFA) et de l'amélioration des volumes au S2 2026. L'horizon d'investissement optimal est le **moyen terme (3-12 mois)**, le temps que la société confirme la reprise de son activité et que le marché reconnaisse la sous-évaluation du titre.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43.01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1,094 titres</w:t>
            </w:r>
          </w:p>
        </w:tc>
        <w:tc>
          <w:tcPr>
            <w:tcW w:type="dxa" w:w="2268"/>
            <w:shd w:fill="FFF2CC" w:val="clear"/>
          </w:tcPr>
          <w:p>
            <w:r>
              <w:rPr>
                <w:b/>
                <w:color w:val="503200"/>
                <w:sz w:val="16"/>
              </w:rPr>
              <w:t xml:space="preserve">Cours actuel : </w:t>
            </w:r>
            <w:r>
              <w:rPr>
                <w:color w:val="000000"/>
                <w:sz w:val="17"/>
              </w:rPr>
              <w:t>4,200 FCFA</w:t>
            </w:r>
          </w:p>
          <w:p>
            <w:r>
              <w:rPr>
                <w:b/>
                <w:color w:val="503200"/>
                <w:sz w:val="16"/>
              </w:rPr>
              <w:t xml:space="preserve">Var. 100 jours : </w:t>
            </w:r>
            <w:r>
              <w:rPr>
                <w:b/>
                <w:color w:val="B40000"/>
                <w:sz w:val="17"/>
              </w:rPr>
              <w:t>-2.10%</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3,850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4.10% (Faible) — μ=4,388 FCFA, σ=180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β=-0.0846 (Contre-cyclique) — Cov=-0.000007, Var(idx)=0.000078, ρ=-0.032,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1,094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3,985</w:t>
            </w:r>
          </w:p>
        </w:tc>
        <w:tc>
          <w:tcPr>
            <w:tcW w:type="dxa" w:w="1440"/>
            <w:shd w:fill="FAFAFA" w:val="clear"/>
          </w:tcPr>
          <w:p>
            <w:r>
              <w:rPr>
                <w:b/>
                <w:sz w:val="17"/>
              </w:rPr>
              <w:t>4,199</w:t>
            </w:r>
          </w:p>
        </w:tc>
        <w:tc>
          <w:tcPr>
            <w:tcW w:type="dxa" w:w="1440"/>
            <w:shd w:fill="FAFAFA" w:val="clear"/>
          </w:tcPr>
          <w:p>
            <w:r>
              <w:rPr>
                <w:sz w:val="17"/>
              </w:rPr>
              <w:t>4,414</w:t>
            </w:r>
          </w:p>
        </w:tc>
        <w:tc>
          <w:tcPr>
            <w:tcW w:type="dxa" w:w="1440"/>
            <w:shd w:fill="FAFAFA" w:val="clear"/>
          </w:tcPr>
          <w:p>
            <w:r>
              <w:rPr>
                <w:b/>
                <w:color w:val="C00000"/>
                <w:sz w:val="17"/>
              </w:rPr>
              <w:t>-0.0%</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3,890</w:t>
            </w:r>
          </w:p>
        </w:tc>
        <w:tc>
          <w:tcPr>
            <w:tcW w:type="dxa" w:w="1440"/>
            <w:shd w:fill="FAFAFA" w:val="clear"/>
          </w:tcPr>
          <w:p>
            <w:r>
              <w:rPr>
                <w:b/>
                <w:sz w:val="17"/>
              </w:rPr>
              <w:t>4,193</w:t>
            </w:r>
          </w:p>
        </w:tc>
        <w:tc>
          <w:tcPr>
            <w:tcW w:type="dxa" w:w="1440"/>
            <w:shd w:fill="FAFAFA" w:val="clear"/>
          </w:tcPr>
          <w:p>
            <w:r>
              <w:rPr>
                <w:sz w:val="17"/>
              </w:rPr>
              <w:t>4,496</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3,818</w:t>
            </w:r>
          </w:p>
        </w:tc>
        <w:tc>
          <w:tcPr>
            <w:tcW w:type="dxa" w:w="1440"/>
            <w:shd w:fill="FAFAFA" w:val="clear"/>
          </w:tcPr>
          <w:p>
            <w:r>
              <w:rPr>
                <w:b/>
                <w:sz w:val="17"/>
              </w:rPr>
              <w:t>4,189</w:t>
            </w:r>
          </w:p>
        </w:tc>
        <w:tc>
          <w:tcPr>
            <w:tcW w:type="dxa" w:w="1440"/>
            <w:shd w:fill="FAFAFA" w:val="clear"/>
          </w:tcPr>
          <w:p>
            <w:r>
              <w:rPr>
                <w:sz w:val="17"/>
              </w:rPr>
              <w:t>4,560</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3,757</w:t>
            </w:r>
          </w:p>
        </w:tc>
        <w:tc>
          <w:tcPr>
            <w:tcW w:type="dxa" w:w="1440"/>
            <w:shd w:fill="FAFAFA" w:val="clear"/>
          </w:tcPr>
          <w:p>
            <w:r>
              <w:rPr>
                <w:b/>
                <w:sz w:val="17"/>
              </w:rPr>
              <w:t>4,185</w:t>
            </w:r>
          </w:p>
        </w:tc>
        <w:tc>
          <w:tcPr>
            <w:tcW w:type="dxa" w:w="1440"/>
            <w:shd w:fill="FAFAFA" w:val="clear"/>
          </w:tcPr>
          <w:p>
            <w:r>
              <w:rPr>
                <w:sz w:val="17"/>
              </w:rPr>
              <w:t>4,613</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2026-10-27</w:t>
            </w:r>
          </w:p>
        </w:tc>
        <w:tc>
          <w:tcPr>
            <w:tcW w:type="dxa" w:w="1440"/>
            <w:shd w:fill="FAFAFA" w:val="clear"/>
          </w:tcPr>
          <w:p>
            <w:r>
              <w:rPr>
                <w:sz w:val="17"/>
              </w:rPr>
              <w:t>3,703</w:t>
            </w:r>
          </w:p>
        </w:tc>
        <w:tc>
          <w:tcPr>
            <w:tcW w:type="dxa" w:w="1440"/>
            <w:shd w:fill="FAFAFA" w:val="clear"/>
          </w:tcPr>
          <w:p>
            <w:r>
              <w:rPr>
                <w:b/>
                <w:sz w:val="17"/>
              </w:rPr>
              <w:t>4,181</w:t>
            </w:r>
          </w:p>
        </w:tc>
        <w:tc>
          <w:tcPr>
            <w:tcW w:type="dxa" w:w="1440"/>
            <w:shd w:fill="FAFAFA" w:val="clear"/>
          </w:tcPr>
          <w:p>
            <w:r>
              <w:rPr>
                <w:sz w:val="17"/>
              </w:rPr>
              <w:t>4,659</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2026-10-28</w:t>
            </w:r>
          </w:p>
        </w:tc>
        <w:tc>
          <w:tcPr>
            <w:tcW w:type="dxa" w:w="1440"/>
            <w:shd w:fill="FAFAFA" w:val="clear"/>
          </w:tcPr>
          <w:p>
            <w:r>
              <w:rPr>
                <w:sz w:val="17"/>
              </w:rPr>
              <w:t>3,654</w:t>
            </w:r>
          </w:p>
        </w:tc>
        <w:tc>
          <w:tcPr>
            <w:tcW w:type="dxa" w:w="1440"/>
            <w:shd w:fill="FAFAFA" w:val="clear"/>
          </w:tcPr>
          <w:p>
            <w:r>
              <w:rPr>
                <w:b/>
                <w:sz w:val="17"/>
              </w:rPr>
              <w:t>4,177</w:t>
            </w:r>
          </w:p>
        </w:tc>
        <w:tc>
          <w:tcPr>
            <w:tcW w:type="dxa" w:w="1440"/>
            <w:shd w:fill="FAFAFA" w:val="clear"/>
          </w:tcPr>
          <w:p>
            <w:r>
              <w:rPr>
                <w:sz w:val="17"/>
              </w:rPr>
              <w:t>4,699</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2026-10-29</w:t>
            </w:r>
          </w:p>
        </w:tc>
        <w:tc>
          <w:tcPr>
            <w:tcW w:type="dxa" w:w="1440"/>
            <w:shd w:fill="FAFAFA" w:val="clear"/>
          </w:tcPr>
          <w:p>
            <w:r>
              <w:rPr>
                <w:sz w:val="17"/>
              </w:rPr>
              <w:t>3,608</w:t>
            </w:r>
          </w:p>
        </w:tc>
        <w:tc>
          <w:tcPr>
            <w:tcW w:type="dxa" w:w="1440"/>
            <w:shd w:fill="FAFAFA" w:val="clear"/>
          </w:tcPr>
          <w:p>
            <w:r>
              <w:rPr>
                <w:b/>
                <w:sz w:val="17"/>
              </w:rPr>
              <w:t>4,173</w:t>
            </w:r>
          </w:p>
        </w:tc>
        <w:tc>
          <w:tcPr>
            <w:tcW w:type="dxa" w:w="1440"/>
            <w:shd w:fill="FAFAFA" w:val="clear"/>
          </w:tcPr>
          <w:p>
            <w:r>
              <w:rPr>
                <w:sz w:val="17"/>
              </w:rPr>
              <w:t>4,737</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2026-10-30</w:t>
            </w:r>
          </w:p>
        </w:tc>
        <w:tc>
          <w:tcPr>
            <w:tcW w:type="dxa" w:w="1440"/>
            <w:shd w:fill="FAFAFA" w:val="clear"/>
          </w:tcPr>
          <w:p>
            <w:r>
              <w:rPr>
                <w:sz w:val="17"/>
              </w:rPr>
              <w:t>3,566</w:t>
            </w:r>
          </w:p>
        </w:tc>
        <w:tc>
          <w:tcPr>
            <w:tcW w:type="dxa" w:w="1440"/>
            <w:shd w:fill="FAFAFA" w:val="clear"/>
          </w:tcPr>
          <w:p>
            <w:r>
              <w:rPr>
                <w:b/>
                <w:sz w:val="17"/>
              </w:rPr>
              <w:t>4,169</w:t>
            </w:r>
          </w:p>
        </w:tc>
        <w:tc>
          <w:tcPr>
            <w:tcW w:type="dxa" w:w="1440"/>
            <w:shd w:fill="FAFAFA" w:val="clear"/>
          </w:tcPr>
          <w:p>
            <w:r>
              <w:rPr>
                <w:sz w:val="17"/>
              </w:rPr>
              <w:t>4,771</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2026-11-02</w:t>
            </w:r>
          </w:p>
        </w:tc>
        <w:tc>
          <w:tcPr>
            <w:tcW w:type="dxa" w:w="1440"/>
            <w:shd w:fill="FAFAFA" w:val="clear"/>
          </w:tcPr>
          <w:p>
            <w:r>
              <w:rPr>
                <w:sz w:val="17"/>
              </w:rPr>
              <w:t>3,526</w:t>
            </w:r>
          </w:p>
        </w:tc>
        <w:tc>
          <w:tcPr>
            <w:tcW w:type="dxa" w:w="1440"/>
            <w:shd w:fill="FAFAFA" w:val="clear"/>
          </w:tcPr>
          <w:p>
            <w:r>
              <w:rPr>
                <w:b/>
                <w:sz w:val="17"/>
              </w:rPr>
              <w:t>4,165</w:t>
            </w:r>
          </w:p>
        </w:tc>
        <w:tc>
          <w:tcPr>
            <w:tcW w:type="dxa" w:w="1440"/>
            <w:shd w:fill="FAFAFA" w:val="clear"/>
          </w:tcPr>
          <w:p>
            <w:r>
              <w:rPr>
                <w:sz w:val="17"/>
              </w:rPr>
              <w:t>4,804</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2026-11-03</w:t>
            </w:r>
          </w:p>
        </w:tc>
        <w:tc>
          <w:tcPr>
            <w:tcW w:type="dxa" w:w="1440"/>
            <w:shd w:fill="FAFAFA" w:val="clear"/>
          </w:tcPr>
          <w:p>
            <w:r>
              <w:rPr>
                <w:sz w:val="17"/>
              </w:rPr>
              <w:t>3,489</w:t>
            </w:r>
          </w:p>
        </w:tc>
        <w:tc>
          <w:tcPr>
            <w:tcW w:type="dxa" w:w="1440"/>
            <w:shd w:fill="FAFAFA" w:val="clear"/>
          </w:tcPr>
          <w:p>
            <w:r>
              <w:rPr>
                <w:b/>
                <w:sz w:val="17"/>
              </w:rPr>
              <w:t>4,161</w:t>
            </w:r>
          </w:p>
        </w:tc>
        <w:tc>
          <w:tcPr>
            <w:tcW w:type="dxa" w:w="1440"/>
            <w:shd w:fill="FAFAFA" w:val="clear"/>
          </w:tcPr>
          <w:p>
            <w:r>
              <w:rPr>
                <w:sz w:val="17"/>
              </w:rPr>
              <w:t>4,834</w:t>
            </w:r>
          </w:p>
        </w:tc>
        <w:tc>
          <w:tcPr>
            <w:tcW w:type="dxa" w:w="1440"/>
            <w:shd w:fill="FAFAFA" w:val="clear"/>
          </w:tcPr>
          <w:p>
            <w:r>
              <w:rPr>
                <w:b/>
                <w:color w:val="C00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 RAPPORT D'ANALYSE FINANCIÈRE — PRSC (TRACTAFRIC MOTORS CÔTE D'IVOIRE)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43,01 milliards FCFA, PRSC se situe dans la catégorie des valeurs moyennes de la cote BRVM, reflétant sa position d'acteur de référence dans la distribution automobile ivoirienne. Le BPA de 231 FCFA par action indique ce que chaque titre génère en bénéfice net, pour un cours de 4 200 FCFA. Le PER de 18,2x apparaît nettement supérieur à la moyenne BRVM (~8-12x), ce qui traduit une prime de valorisation significative : les investisseurs paient environ 18 fois les bénéfices, soit un niveau exigeant qui intègre des anticipations de croissance. Le P/B de 3,73x confirme cette prime, le marché valorisant la société à près de quatre fois sa valeur comptable (capitaux propres de 11,53 Mds FCFA), signe d'une confiance dans la rentabilité future (ROE de 20,5%). Enfin, l'EV/EBITDA de 9,4x, dans la fourchette raisonnable de 5-10x, suggère que la valeur d'entreprise reste cohérente avec la capacité opérationnelle, tempérant le constat d'une valorisation globalement tendue mais justifiée par la qualité des fondamentaux.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PRSC affiche une variation totale de -2,10%, avec une dernière séance stable (+0,00%) à 4 200 FCFA, traduisant une phase de consolidation sans pression vendeuse marquée. Le range de trading s'étend de 3 850 FCFA (plus bas) à 4 740 FCFA (plus haut), soit une amplitude de 23%, significative pour un titre à faible liquidité (volume moyen de 1 094 titres/jour). La tendance générale est baissière modérée, le cours évoluant sous sa moyenne de 4 388 FCFA. Les statistiques descriptives révèlent une distribution légèrement asymétrique : la moyenne (4 388 FCFA) est proche de la médiane et du mode (4 400 FCFA), mais le skewness négatif (-0,589) indique davantage de journées de hausse que de baisse — paradoxe apparent suggérant des baisses plus amples que les hausses. L'écart-type de 181 FCFA (CV de 4,1%) traduit une dispersion contenue autour de la moyenne, tandis que le kurtosis de 0,256 (mésokurtique) signale un comportement proche d'une distribution normale, sans risque de pics extrêmes prononcé. La volatilité annualisée de 37,2% classe le titre dans la catégorie **élevée** (&gt;30%), ce qui est cohérent avec la faible liquidité du marché et justifie une prime de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(4 168,5 FCFA) est inférieure à la MM50 (4 326,2 FCFA), configuration baissière de court terme, et le cours actuel (4 200 FCFA) se situe entre les deux, légèrement au-dessus de la MM20 mais sous la MM50. Cette position relative justifie la décision **Vente** : le titre n'a pas encore reconquis sa moyenne longue, signe de faiblesse persistante malgré un rebond de court terme.</w:t>
      </w:r>
    </w:p>
    <w:p>
      <w:pPr>
        <w:spacing w:after="120" w:line="276" w:lineRule="auto"/>
      </w:pPr>
      <w:r>
        <w:t>**Bandes de Bollinger** : Le cours (4 200 FCFA) évolue dans la partie médiane de la bande, entre la borne inférieure (3 869,7 FCFA) et supérieure (4 467,3 FCFA), sans test des extrêmes. L'absence de contact avec les bornes traduit une volatilité normale et une absence de signal directionnel fort, justifiant la décision **Neutre** — le marché est en équilibre, sans excès acheteur ni vendeur.</w:t>
      </w:r>
    </w:p>
    <w:p>
      <w:pPr>
        <w:spacing w:after="120" w:line="276" w:lineRule="auto"/>
      </w:pPr>
      <w:r>
        <w:t>**MACD** : La valeur du MACD (-16,913) est supérieure à son signal (-34,797), configuration haussière par croisement positif de la ligne de signal, bien que les deux restent en territoire négatif. Ce momentum positif naissant, cohérent avec la décision **Achat**, suggère une amélioration de la dynamique de court terme, à confirmer par un passage en zone positive.</w:t>
      </w:r>
    </w:p>
    <w:p>
      <w:pPr>
        <w:spacing w:after="120" w:line="276" w:lineRule="auto"/>
      </w:pPr>
      <w:r>
        <w:t>**RSI** : À 59,036, le RSI se situe en zone neutre (30-70), sans surachat (&gt;70) ni survente (&lt;30). Cette position médiane indique un équilibre entre acheteurs et vendeurs, justifiant la décision **Neutre** — le titre dispose d'un potentiel de hausse résiduel sans être techniquement tendu.</w:t>
      </w:r>
    </w:p>
    <w:p>
      <w:pPr>
        <w:spacing w:after="120" w:line="276" w:lineRule="auto"/>
      </w:pPr>
      <w:r>
        <w:t>**Stochastique** : Le %K (63,636) est inférieur au %D (69,091), configuration baissière par croisement négatif, bien que les deux oscillateurs restent en zone neutre-haute. Cette divergence mineure justifie la décision **Neutre**, le signal vendeur étant faible et non confirmé par les autres indicateurs.</w:t>
      </w:r>
    </w:p>
    <w:p>
      <w:pPr>
        <w:spacing w:after="120" w:line="276" w:lineRule="auto"/>
      </w:pPr>
      <w:r>
        <w:t>**Conclusion technique** : Les indicateurs présentent une configuration **mitigée** : le MACD est haussier (Achat), les moyennes mobiles baissières (Vente), tandis que Bollinger, RSI et Stochastique restent neutres. Cette divergence traduit une phase de transition où le momentum de court terme s'améliore (MACD) sans que la tendance de fond ne se retourne (MM50). Le titre est en zone d'indécision, avec un léger avantage aux acheteurs sur le très court terme, mais une prudence reste de mise tant que le cours n'aura pas franchi la MM50 (4 326 FCFA) avec volume.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PRSC réalise un chiffre d'affaires de 81,127 Mds FCFA, en hausse de 9,5% selon le rapport de gestion 2025, avec un résultat net de 2,367 Mds FCFA (stable vs 2,35 Mds en 2024). La rentabilité des fonds propres (ROE) s'établit à 20,53%, niveau excellent (&gt;15%), tandis que le ROA de 4,95% reflète l'intensité capitalistique du modèle de distribution. La marge nette de 2,92% reste faible mais en amélioration par rapport aux 2,63% de 2023, et la marge brute de 18,51% témoigne d'un pouvoir de négociation correct. **Spécificités sectorielles (entreprise)** : le BFR de 11,267 Mds FCFA est structurellement élevé, porté par des stocks de 26,334 Mds FCFA (durée de stockage de 150,5 jours, immobilisation de capital importante) et des créances clients de 10,364 Mds FCFA (délai client de 46 jours, risque de trésorerie modéré). Le délai fournisseur de 102,65 jours constitue un levier de financement favorable. L'endettement est maîtrisé (dettes financières de 7,152 Mds FCFA, capacité de remboursement de 1,83 an, couverture des intérêts de 1 585%), mais l'autonomie financière de 24,1% reste inférieure au seuil de 30%. La trésorerie nette est négative (-4,092 Mds FCFA) et le Free Cash Flow de -2,616 Mds FCFA traduit une consommation de cash liée au BFR.</w:t>
      </w:r>
    </w:p>
    <w:p>
      <w:pPr>
        <w:spacing w:after="120" w:line="276" w:lineRule="auto"/>
      </w:pPr>
      <w:r>
        <w:t>**Estimations issues des rapports trimestriels** : Le rapport d'activité du S1 2025 (daté du 30/06/2025) révèle un CA de 39,968 Mds FCFA (+15,1%) et un résultat net de 1,436 Md FCFA (×28 vs S1 2024), avec une marge nette de 3,6% — nette amélioration. Sur cette base, on estime que l'exercice 2025 devrait confirmer la reprise, le S2 étant toutefois attendu en repli selon la direction (contexte électoral). Le rapport annuel 2025 (daté du 31/12/2025) confirme un dividende de 209 FCFA/action (rendement de ~5% au cours actuel), un taux de distribution de ~88% du bénéfice, signal fort pour les actionnaires. **Évolution pluriannuelle** : après la chute du résultat net en 2023 (-42,6% à 2,04 Mds), la société a redressé la barre en 2024 (+6,5% à 2,18 Mds) puis stabilisé en 2025 (2,37 Mds), avec une amélioration continue de la marge nette (2,6% → 2,9% → 3,6% au S1 2025). **Recommandation fondamentale** : la solidité financière est réelle (ROE excellent, endettement maîtrisé, dividende attractif), mais les risques persistent (BFR élevé, trésorerie nette négative, marge nette modeste, dépendance au marché automobile ivoirien). Le profil est celui d'une valeur de rendement défensive, à conserver pour son dividende, avec une surveillance du BFR et de la trésorerie.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tableau **contrasté**. **Valorisation (Partie 0)** : le PER de 18,2x et le P/B de 3,73x indiquent une valorisation tendue, voire une légère surévaluation par rapport aux standards BRVM, tempérée par un EV/EBITDA raisonnable (9,4x) et un dividende attractif (~5%). **Comportement du cours (Partie 1)** : la tendance baissière modérée (-2,10%), la volatilité élevée (37,2%) et le skewness négatif (-0,589) sont préoccupants, bien que le kurtosis mésokurtique (0,256) écarte le risque de krach. **Signaux techniques (Partie 2)** : la divergence entre MACD haussier et MM baissières traduit une phase d'indécision, sans convergence claire — le titre est en zone neutre. **Fondamentaux (Partie 3)** : la société affiche une croissance solide (CA +9,5% en 2025), un ROE excellent (20,5%) et un dividende de 209 FCFA, mais des fragilités persistent (BFR élevé, trésorerie négative, marge nette faible). **Prédictions IA (J+1 à J+10)** : la trajectoire prédite (4 199 → 4 181 FCFA) anticipe une légère dérive baissière (-0,45% sur 10 jours), cohérente avec la tendance récente et la pression technique, sans effondrement.</w:t>
      </w:r>
    </w:p>
    <w:p>
      <w:pPr>
        <w:spacing w:after="120" w:line="276" w:lineRule="auto"/>
      </w:pPr>
      <w:r>
        <w:t>**Recommandation finale : CONSERVER**</w:t>
        <w:br/>
        <w:t>La convergence est **partielle** : les fondamentaux (dividende, ROE) et le MACD soutiennent une position conservatrice, tandis que la valorisation tendue, la tendance baissière et les prédictions IA négatives plaident contre un achat. Le titre n'offre pas de signal d'achat fort (valorisation exigeante, technique neutre) ni de signal de vente (fondamentaux solides, dividende attractif). **Niveau de confiance : Moyen** — les signaux sont divergents et la faible liquidité du titre limite la fiabilité des indicateurs techniques. **Niveau de risque global : Moyen à Élevé** — volatilité de 37,2%, BFR élevé, trésorerie négative, mais endettement maîtrisé et dividende régulier. **Horizon d'investissement optimal : moyen terme (3-12 mois)** — le temps de percevoir le dividende (mise en paiement avant le 30 septembre 2026) et de valider le redressement de la marge nette, en surveillant le franchissement de la MM50 (4 326 FCFA) comme signal d'entrée complémentaire.</w:t>
      </w:r>
    </w:p>
    <w:p>
      <w:pPr>
        <w:spacing w:after="120" w:line="276" w:lineRule="auto"/>
      </w:pPr>
      <w:r>
        <w: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45.70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8,112 titres</w:t>
            </w:r>
          </w:p>
        </w:tc>
        <w:tc>
          <w:tcPr>
            <w:tcW w:type="dxa" w:w="2268"/>
            <w:shd w:fill="FFF2CC" w:val="clear"/>
          </w:tcPr>
          <w:p>
            <w:r>
              <w:rPr>
                <w:b/>
                <w:color w:val="503200"/>
                <w:sz w:val="16"/>
              </w:rPr>
              <w:t xml:space="preserve">Cours actuel : </w:t>
            </w:r>
            <w:r>
              <w:rPr>
                <w:color w:val="000000"/>
                <w:sz w:val="17"/>
              </w:rPr>
              <w:t>3,850 FCFA</w:t>
            </w:r>
          </w:p>
          <w:p>
            <w:r>
              <w:rPr>
                <w:b/>
                <w:color w:val="503200"/>
                <w:sz w:val="16"/>
              </w:rPr>
              <w:t xml:space="preserve">Var. 100 jours : </w:t>
            </w:r>
            <w:r>
              <w:rPr>
                <w:b/>
                <w:color w:val="007800"/>
                <w:sz w:val="17"/>
              </w:rPr>
              <w:t>+7.09%</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25.6/100 → Moyen</w:t>
      </w:r>
    </w:p>
    <w:p>
      <w:pPr>
        <w:spacing w:before="40" w:after="80"/>
      </w:pPr>
      <w:r>
        <w:rPr>
          <w:rFonts w:ascii="Courier New" w:hAnsi="Courier New"/>
          <w:color w:val="825A00"/>
          <w:sz w:val="18"/>
        </w:rPr>
        <w:t>█████░░░░░░░░░░░░░░░  25.6/100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14.91% (Moyenne) — μ=4,684 FCFA, σ=699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β=1.2244 (Agressif) — Cov=0.000095, Var(idx)=0.000078, ρ=0.278,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8,112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σ_j=3.86%/j (Modérée) — Vol. annualisée≈61.3%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3,586</w:t>
            </w:r>
          </w:p>
        </w:tc>
        <w:tc>
          <w:tcPr>
            <w:tcW w:type="dxa" w:w="1440"/>
            <w:shd w:fill="FAFAFA" w:val="clear"/>
          </w:tcPr>
          <w:p>
            <w:r>
              <w:rPr>
                <w:b/>
                <w:sz w:val="17"/>
              </w:rPr>
              <w:t>3,861</w:t>
            </w:r>
          </w:p>
        </w:tc>
        <w:tc>
          <w:tcPr>
            <w:tcW w:type="dxa" w:w="1440"/>
            <w:shd w:fill="FAFAFA" w:val="clear"/>
          </w:tcPr>
          <w:p>
            <w:r>
              <w:rPr>
                <w:sz w:val="17"/>
              </w:rPr>
              <w:t>4,136</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2026-10-22</w:t>
            </w:r>
          </w:p>
        </w:tc>
        <w:tc>
          <w:tcPr>
            <w:tcW w:type="dxa" w:w="1440"/>
            <w:shd w:fill="FAFAFA" w:val="clear"/>
          </w:tcPr>
          <w:p>
            <w:r>
              <w:rPr>
                <w:sz w:val="17"/>
              </w:rPr>
              <w:t>3,496</w:t>
            </w:r>
          </w:p>
        </w:tc>
        <w:tc>
          <w:tcPr>
            <w:tcW w:type="dxa" w:w="1440"/>
            <w:shd w:fill="FAFAFA" w:val="clear"/>
          </w:tcPr>
          <w:p>
            <w:r>
              <w:rPr>
                <w:b/>
                <w:sz w:val="17"/>
              </w:rPr>
              <w:t>3,888</w:t>
            </w:r>
          </w:p>
        </w:tc>
        <w:tc>
          <w:tcPr>
            <w:tcW w:type="dxa" w:w="1440"/>
            <w:shd w:fill="FAFAFA" w:val="clear"/>
          </w:tcPr>
          <w:p>
            <w:r>
              <w:rPr>
                <w:sz w:val="17"/>
              </w:rPr>
              <w:t>4,279</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3,425</w:t>
            </w:r>
          </w:p>
        </w:tc>
        <w:tc>
          <w:tcPr>
            <w:tcW w:type="dxa" w:w="1440"/>
            <w:shd w:fill="FAFAFA" w:val="clear"/>
          </w:tcPr>
          <w:p>
            <w:r>
              <w:rPr>
                <w:b/>
                <w:sz w:val="17"/>
              </w:rPr>
              <w:t>3,907</w:t>
            </w:r>
          </w:p>
        </w:tc>
        <w:tc>
          <w:tcPr>
            <w:tcW w:type="dxa" w:w="1440"/>
            <w:shd w:fill="FAFAFA" w:val="clear"/>
          </w:tcPr>
          <w:p>
            <w:r>
              <w:rPr>
                <w:sz w:val="17"/>
              </w:rPr>
              <w:t>4,388</w:t>
            </w:r>
          </w:p>
        </w:tc>
        <w:tc>
          <w:tcPr>
            <w:tcW w:type="dxa" w:w="1440"/>
            <w:shd w:fill="FAFAFA" w:val="clear"/>
          </w:tcPr>
          <w:p>
            <w:r>
              <w:rPr>
                <w:b/>
                <w:color w:val="008000"/>
                <w:sz w:val="17"/>
              </w:rPr>
              <w:t>+1.5%</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3,364</w:t>
            </w:r>
          </w:p>
        </w:tc>
        <w:tc>
          <w:tcPr>
            <w:tcW w:type="dxa" w:w="1440"/>
            <w:shd w:fill="FAFAFA" w:val="clear"/>
          </w:tcPr>
          <w:p>
            <w:r>
              <w:rPr>
                <w:b/>
                <w:sz w:val="17"/>
              </w:rPr>
              <w:t>3,922</w:t>
            </w:r>
          </w:p>
        </w:tc>
        <w:tc>
          <w:tcPr>
            <w:tcW w:type="dxa" w:w="1440"/>
            <w:shd w:fill="FAFAFA" w:val="clear"/>
          </w:tcPr>
          <w:p>
            <w:r>
              <w:rPr>
                <w:sz w:val="17"/>
              </w:rPr>
              <w:t>4,481</w:t>
            </w:r>
          </w:p>
        </w:tc>
        <w:tc>
          <w:tcPr>
            <w:tcW w:type="dxa" w:w="1440"/>
            <w:shd w:fill="FAFAFA" w:val="clear"/>
          </w:tcPr>
          <w:p>
            <w:r>
              <w:rPr>
                <w:b/>
                <w:color w:val="008000"/>
                <w:sz w:val="17"/>
              </w:rPr>
              <w:t>+1.9%</w:t>
            </w:r>
          </w:p>
        </w:tc>
      </w:tr>
      <w:tr>
        <w:tc>
          <w:tcPr>
            <w:tcW w:type="dxa" w:w="1440"/>
            <w:shd w:fill="C6EFCE" w:val="clear"/>
          </w:tcPr>
          <w:p>
            <w:r>
              <w:rPr>
                <w:sz w:val="17"/>
              </w:rPr>
              <w:t>J+5  ⭐</w:t>
            </w:r>
          </w:p>
        </w:tc>
        <w:tc>
          <w:tcPr>
            <w:tcW w:type="dxa" w:w="1440"/>
            <w:shd w:fill="C6EFCE" w:val="clear"/>
          </w:tcPr>
          <w:p>
            <w:r>
              <w:rPr>
                <w:sz w:val="17"/>
              </w:rPr>
              <w:t>2026-10-27</w:t>
            </w:r>
          </w:p>
        </w:tc>
        <w:tc>
          <w:tcPr>
            <w:tcW w:type="dxa" w:w="1440"/>
            <w:shd w:fill="C6EFCE" w:val="clear"/>
          </w:tcPr>
          <w:p>
            <w:r>
              <w:rPr>
                <w:sz w:val="17"/>
              </w:rPr>
              <w:t>3,310</w:t>
            </w:r>
          </w:p>
        </w:tc>
        <w:tc>
          <w:tcPr>
            <w:tcW w:type="dxa" w:w="1440"/>
            <w:shd w:fill="C6EFCE" w:val="clear"/>
          </w:tcPr>
          <w:p>
            <w:r>
              <w:rPr>
                <w:b/>
                <w:sz w:val="17"/>
              </w:rPr>
              <w:t>3,937</w:t>
            </w:r>
          </w:p>
        </w:tc>
        <w:tc>
          <w:tcPr>
            <w:tcW w:type="dxa" w:w="1440"/>
            <w:shd w:fill="C6EFCE" w:val="clear"/>
          </w:tcPr>
          <w:p>
            <w:r>
              <w:rPr>
                <w:sz w:val="17"/>
              </w:rPr>
              <w:t>4,564</w:t>
            </w:r>
          </w:p>
        </w:tc>
        <w:tc>
          <w:tcPr>
            <w:tcW w:type="dxa" w:w="1440"/>
            <w:shd w:fill="C6EFCE" w:val="clear"/>
          </w:tcPr>
          <w:p>
            <w:r>
              <w:rPr>
                <w:b/>
                <w:color w:val="008000"/>
                <w:sz w:val="17"/>
              </w:rPr>
              <w:t>+2.3%</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3,261</w:t>
            </w:r>
          </w:p>
        </w:tc>
        <w:tc>
          <w:tcPr>
            <w:tcW w:type="dxa" w:w="1440"/>
            <w:shd w:fill="C6EFCE" w:val="clear"/>
          </w:tcPr>
          <w:p>
            <w:r>
              <w:rPr>
                <w:b/>
                <w:sz w:val="17"/>
              </w:rPr>
              <w:t>3,950</w:t>
            </w:r>
          </w:p>
        </w:tc>
        <w:tc>
          <w:tcPr>
            <w:tcW w:type="dxa" w:w="1440"/>
            <w:shd w:fill="C6EFCE" w:val="clear"/>
          </w:tcPr>
          <w:p>
            <w:r>
              <w:rPr>
                <w:sz w:val="17"/>
              </w:rPr>
              <w:t>4,639</w:t>
            </w:r>
          </w:p>
        </w:tc>
        <w:tc>
          <w:tcPr>
            <w:tcW w:type="dxa" w:w="1440"/>
            <w:shd w:fill="C6EFCE" w:val="clear"/>
          </w:tcPr>
          <w:p>
            <w:r>
              <w:rPr>
                <w:b/>
                <w:color w:val="008000"/>
                <w:sz w:val="17"/>
              </w:rPr>
              <w:t>+2.6%</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3,217</w:t>
            </w:r>
          </w:p>
        </w:tc>
        <w:tc>
          <w:tcPr>
            <w:tcW w:type="dxa" w:w="1440"/>
            <w:shd w:fill="C6EFCE" w:val="clear"/>
          </w:tcPr>
          <w:p>
            <w:r>
              <w:rPr>
                <w:b/>
                <w:sz w:val="17"/>
              </w:rPr>
              <w:t>3,963</w:t>
            </w:r>
          </w:p>
        </w:tc>
        <w:tc>
          <w:tcPr>
            <w:tcW w:type="dxa" w:w="1440"/>
            <w:shd w:fill="C6EFCE" w:val="clear"/>
          </w:tcPr>
          <w:p>
            <w:r>
              <w:rPr>
                <w:sz w:val="17"/>
              </w:rPr>
              <w:t>4,710</w:t>
            </w:r>
          </w:p>
        </w:tc>
        <w:tc>
          <w:tcPr>
            <w:tcW w:type="dxa" w:w="1440"/>
            <w:shd w:fill="C6EFCE" w:val="clear"/>
          </w:tcPr>
          <w:p>
            <w:r>
              <w:rPr>
                <w:b/>
                <w:color w:val="008000"/>
                <w:sz w:val="17"/>
              </w:rPr>
              <w:t>+2.9%</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3,175</w:t>
            </w:r>
          </w:p>
        </w:tc>
        <w:tc>
          <w:tcPr>
            <w:tcW w:type="dxa" w:w="1440"/>
            <w:shd w:fill="C6EFCE" w:val="clear"/>
          </w:tcPr>
          <w:p>
            <w:r>
              <w:rPr>
                <w:b/>
                <w:sz w:val="17"/>
              </w:rPr>
              <w:t>3,975</w:t>
            </w:r>
          </w:p>
        </w:tc>
        <w:tc>
          <w:tcPr>
            <w:tcW w:type="dxa" w:w="1440"/>
            <w:shd w:fill="C6EFCE" w:val="clear"/>
          </w:tcPr>
          <w:p>
            <w:r>
              <w:rPr>
                <w:sz w:val="17"/>
              </w:rPr>
              <w:t>4,776</w:t>
            </w:r>
          </w:p>
        </w:tc>
        <w:tc>
          <w:tcPr>
            <w:tcW w:type="dxa" w:w="1440"/>
            <w:shd w:fill="C6EFCE" w:val="clear"/>
          </w:tcPr>
          <w:p>
            <w:r>
              <w:rPr>
                <w:b/>
                <w:color w:val="008000"/>
                <w:sz w:val="17"/>
              </w:rPr>
              <w:t>+3.3%</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3,135</w:t>
            </w:r>
          </w:p>
        </w:tc>
        <w:tc>
          <w:tcPr>
            <w:tcW w:type="dxa" w:w="1440"/>
            <w:shd w:fill="C6EFCE" w:val="clear"/>
          </w:tcPr>
          <w:p>
            <w:r>
              <w:rPr>
                <w:b/>
                <w:sz w:val="17"/>
              </w:rPr>
              <w:t>3,987</w:t>
            </w:r>
          </w:p>
        </w:tc>
        <w:tc>
          <w:tcPr>
            <w:tcW w:type="dxa" w:w="1440"/>
            <w:shd w:fill="C6EFCE" w:val="clear"/>
          </w:tcPr>
          <w:p>
            <w:r>
              <w:rPr>
                <w:sz w:val="17"/>
              </w:rPr>
              <w:t>4,838</w:t>
            </w:r>
          </w:p>
        </w:tc>
        <w:tc>
          <w:tcPr>
            <w:tcW w:type="dxa" w:w="1440"/>
            <w:shd w:fill="C6EFCE" w:val="clear"/>
          </w:tcPr>
          <w:p>
            <w:r>
              <w:rPr>
                <w:b/>
                <w:color w:val="008000"/>
                <w:sz w:val="17"/>
              </w:rPr>
              <w:t>+3.6%</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3,098</w:t>
            </w:r>
          </w:p>
        </w:tc>
        <w:tc>
          <w:tcPr>
            <w:tcW w:type="dxa" w:w="1440"/>
            <w:shd w:fill="C6EFCE" w:val="clear"/>
          </w:tcPr>
          <w:p>
            <w:r>
              <w:rPr>
                <w:b/>
                <w:sz w:val="17"/>
              </w:rPr>
              <w:t>3,998</w:t>
            </w:r>
          </w:p>
        </w:tc>
        <w:tc>
          <w:tcPr>
            <w:tcW w:type="dxa" w:w="1440"/>
            <w:shd w:fill="C6EFCE" w:val="clear"/>
          </w:tcPr>
          <w:p>
            <w:r>
              <w:rPr>
                <w:sz w:val="17"/>
              </w:rPr>
              <w:t>4,898</w:t>
            </w:r>
          </w:p>
        </w:tc>
        <w:tc>
          <w:tcPr>
            <w:tcW w:type="dxa" w:w="1440"/>
            <w:shd w:fill="C6EFCE" w:val="clear"/>
          </w:tcPr>
          <w:p>
            <w:r>
              <w:rPr>
                <w:b/>
                <w:color w:val="008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45,70 milliards FCFA, SAFC se situe dans la catégorie des valeurs moyennes de la cote BRVM, loin des poids lourds bancaires régionaux mais suffisamment liquide pour intéresser les investisseurs institutionnels. Le BPA de 59 FCFA/action signifie que chaque titre génère près de 59 FCFA de bénéfice net, un niveau modeste au regard du cours actuel de 3 850 FCFA. Le PER de 65,2x traduit une valorisation très exigeante — les investisseurs paient plus de 65 fois les bénéfices, soit un multiple cinq à huit fois supérieur à la moyenne BRVM (8-12x), ce qui intègre déjà une forte anticipation de croissance future et ne laisse aucune marge d'erreur. Le P/B de 7,72x confirme cette prime spectaculaire : le marché valorise l'action près de huit fois sa valeur comptable, un niveau rarement justifié que par des perspectives de rentabilité exceptionnelles. Enfin, l'EV/EBITDA de 80,7x, très supérieur au seuil de 15x généralement considéré comme raisonnable, signale que la valeur d'entreprise est déconnectée de la capacité opérationnelle actuelle — prudence requise, car ces ratios collectivement élevés rendent le titre vulnérable à toute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 progressé de +7,09%, avec une dernière séance particulièrement dynamique (+1,32%), portant le titre à 3 850 FCFA. Le range de trading est très large : un plus haut à 6 200 FCFA contre un plus bas à 3 595 FCFA, soit un écart de plus de 72%, témoignant d'une forte amplitude et d'une correction significative depuis les sommets — le cours actuel se situe d'ailleurs dans le bas de cette fourchette, à seulement 7% au-dessus du plancher. La tendance générale apparaît baissière sur la période malgré le rebond récent, le titre ayant vraisemblablement connu un pic puis un repli marqué. Les statistiques descriptives révèlent une moyenne de 4 684 FCFA supérieure à la médiane de 4 580 FCFA, signe d'une légère asymétrie positive tirée par les hauts niveaux antérieurs, tandis que le mode à 3 700 FCFA — proche du cours actuel — indique que le prix a longtemps stationné dans cette zone basse. L'écart-type de 702 FCFA avec un coefficient de variation de 15,0% traduit une dispersion modérée autour de la moyenne, mais la volatilité annualisée de 61,3% classe clairement le titre dans la catégorie des valeurs très volatiles (&gt;30%), ce qui est cohérent avec la fourchette extrême observée. Le kurtosis de -0,852 (mésokurtique) suggère une distribution proche de la normale, sans pics extrêmes fréquents, tandis que le skewness de 0,403 confirme une distribution légèrement étalée vers la droite, sans asymétrie marquée — le comportement du cours reste donc relativement prévisible dans sa volatilité, mais le niveau élevé de celle-ci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à 4 179,75 FCFA et la MM50 à 4 981,60 FCFA se situent toutes deux nettement au-dessus du cours actuel de 3 850 FCFA, avec une MM20 inférieure à la MM50 — configuration baissière classique (croisement mort confirmé). Le cours évoluant sous ses deux moyennes, la pression vendeuse domine et justifie pleinement la décision technique de **Vente**.</w:t>
      </w:r>
    </w:p>
    <w:p>
      <w:pPr>
        <w:spacing w:after="120" w:line="276" w:lineRule="auto"/>
      </w:pPr>
      <w:r>
        <w:t>**Bandes de Bollinger** : Le cours (3 850 FCFA) se situe dans la moitié basse de la bande, entre la borne inférieure à 3 633,56 FCFA et la borne supérieure à 4 725,94 FCFA, sans en toucher les extrêmes. Cette position intermédiaire, couplée à un écart de bande relativement large, traduit une volatilité encore présente mais sans signal de rupture — la décision **Neutre** est cohérente avec cette absence de tension directionnelle immédiate.</w:t>
      </w:r>
    </w:p>
    <w:p>
      <w:pPr>
        <w:spacing w:after="120" w:line="276" w:lineRule="auto"/>
      </w:pPr>
      <w:r>
        <w:t>**MACD** : La valeur du MACD (-303,91) est inférieure à sa ligne de signal (-295,28), avec un histogramme négatif — la divergence est défavorable et le momentum reste clairement baissier. Cette configuration confirme la décision de **Vente**, le croisement baissier n'étant pas encore résorbé.</w:t>
      </w:r>
    </w:p>
    <w:p>
      <w:pPr>
        <w:spacing w:after="120" w:line="276" w:lineRule="auto"/>
      </w:pPr>
      <w:r>
        <w:t>**RSI** : À 19,55, le RSI se situe très en dessous du seuil de survente de 30, signalant un épuisement extrême des vendeurs et une probabilité élevée de rebond technique à court terme. Cette lecture justifie la décision d'**Achat** contrariante, bien que le contexte baissier global invite à la prudence sur la durabilité du rebond.</w:t>
      </w:r>
    </w:p>
    <w:p>
      <w:pPr>
        <w:spacing w:after="120" w:line="276" w:lineRule="auto"/>
      </w:pPr>
      <w:r>
        <w:t>**Stochastique** : Le %K à 6,29 et le %D à 2,10 sont tous deux en zone de survente profonde, avec un %K légèrement supérieur au %D — amorce possible d'un croisement haussier. Cette configuration extrême confirme la décision d'**Achat** à court terme, en cohérence avec le RSI.</w:t>
      </w:r>
    </w:p>
    <w:p>
      <w:pPr>
        <w:spacing w:after="120" w:line="276" w:lineRule="auto"/>
      </w:pPr>
      <w:r>
        <w:t>**Conclusion technique** : Les indicateurs présentent une divergence instructive — les moyennes mobiles et le MACD confirment une tendance baissière de fond, tandis que le RSI (19,55) et le stochastique (6,29) signalent une survente extrême propice à un rebond technique. Cette configuration typique de « rebond dans une tendance baissière » suggère une opportunité de trading court terme mais ne remet pas en cause la pression vendeuse structurelle ; la prudence reste de mise tant que le cours n'aura pas reconquis la MM20 (4 180 FCFA).</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2025 (états financiers annuels) dressent le portrait d'une banque en plein redressement : le Produit Net Bancaire s'établit à 5 735 millions FCFA, en hausse spectaculaire de +44,1% par rapport aux 3 980 millions de 2024, tandis que le résultat net revient à 701 millions FCFA après une perte de -165 millions en 2024 — un retournement historique après huit années de déficits consécutifs selon le rapport annuel 2025. Le ROE de 11,85% et le ROA de 0,88% restent modestes mais positifs, et la marge nette de 12,22% témoigne d'une efficacité opérationnelle correcte. En tant que banque, les ratios spécifiques méritent attention : le coefficient d'exploitation de 77,63% dépasse largement le seuil de 60% synonyme d'efficacité, signalant des charges générales encore lourdes (-4 103 millions FCFA) ; le coût du risque rapporté aux charges financières de 6,57% reste significatif, bien qu'en amélioration ; et la structure de financement révèle une dépendance inquiétante aux dettes interbancaires (35 747 millions FCFA) face à des dépôts clientèle limités (9 112 millions FCFA), avec un ratio d'autonomie financière de seulement 7,44% — très en dessous du seuil sain de 30%. Les rapports trimestriels confirment la dynamique : le rapport du T1 2026 (publié en 2026) affiche un PNB de 1 395 millions (+29%) et un résultat net de 151 millions (+1 062%), tandis que le rapport semestriel au 30 juin 2026 (analysé en 2026) montre un PNB de 2 907 millions (+37%) et un résultat net de 731 millions (+231%), avec une reprise nette du coût du risque de 261 millions FCFA — signe d'une nette amélioration de la qualité du portefeuille. Sur cette base, on estime que l'exercice 2026 devrait largement dépasser 2025, avec un résultat net annualisé potentiel supérieur à 1,4 milliard FCFA si la tendance se maintient. L'augmentation de capital de 1,5 milliard FCFA (3 750 000 actions nouvelles à 400 FCFA, DPS de 1 615 FCFA, période de souscription du 27 avril au 11 juin 2026) vise précisément à renforcer des fonds propres encore fragiles (5 916 millions FCFA) et à corriger le report à nouveau négatif (-4 123 millions FCFA). En conclusion fondamentale, SAFC présente une dynamique de redressement remarquable portée par l'intégration au sein de CREDAF Group, mais la fragilité structurelle du bilan (faible capitalisation, dépendance interbancaire, report à nouveau négatif) et la valorisation boursière extrêmement tendue imposent une grande sélectivité — la solidité opérationnelle progresse, mais le risque financier demeure élevé.</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profondément contradictoire. Sur le plan de la **valorisation**, les ratios PER (65,2x), P/B (7,72x) et EV/EBITDA (80,7x) indiquent une surévaluation manifeste : le marché intègre déjà une perfection opérationnelle que les fondamentaux actuels ne justifient pas encore, créant un risque de correction si la croissance venait à ralentir. Le **comportement du cours** est préoccupant : malgré le rebond de +7,09% sur 100 jours, le titre reste à 38% sous son plus haut (6 200 FCFA) et affiche une volatilité annualisée de 61,3%, avec une distribution normale (kurtosis -0,852) mais un skewness positif (0,403) suggérant que les gains passés ont été plus fréquents que les pertes — un profil risqué pour un investisseur averse au risque. Les **signaux techniques** sont divergents : si les moyennes mobiles et le MACD confirment la tendance baissière, le RSI (19,55) et le stochastique (6,29) en survente extrême plaident pour un rebond technique imminent, configuration classique de « rebond dans une tendance baissière » qui n'invalide pas la pression structurelle. Les **fondamentaux** offrent le tableau le plus encourageant : le retour à la rentabilité en 2025 (701 millions FCFA), confirmé et amplifié par les rapports T1 2026 (+1 062% de résultat net) et S1 2026 (+231%), avec une amélioration du coût du risque et des ratios prudentiels (CET1 à 11,49%, solvabilité globale à 12,93%), dessine une trajectoire de redressement crédible — mais la fragilité du bilan (autonomie financière de 7,44%, report à nouveau négatif) et la valorisation tendue tempèrent l'enthousiasme. Les **prédictions IA** (3 861 → 3 937 FCFA sur J+1 à J+10, soit +2,3%) confirment un rebond technique modéré, cohérent avec la survente des indicateurs mais sans renversement de tendance majeur. **Recommandation finale : CONSERVER** — la convergence entre le rebond technique attendu, la dynamique fondamentale positive et les prédictions haussières modérées soutient une position d'attente, mais la surévaluation boursière (PER 65x) et la fragilité structurelle du bilan interdisent un achat agressif à ce niveau de prix ; les investisseurs déjà positionnés peuvent conserver en surveillant la MM20 (4 180 FCFA) comme premier objectif de rebond, tandis que les nouveaux entrants devraient attendre une correction vers la zone de 3 600-3 700 FCFA ou la confirmation d'un retour durable de la rentabilité au second semestre 2026. **Niveau de confiance : Moyen** (divergence entre technique court terme et valorisation long terme). **Niveau de risque global : Élevé** (volatilité 61,3%, valorisation extrême, bilan fragile). **Horizon optimal : Moyen terme (3-12 mois)**, le temps que la croissance des résultats rattrape les multiples de valorisation et que l'augmentation de capital consolide les fonds propres.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41.55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10,166 titres</w:t>
            </w:r>
          </w:p>
        </w:tc>
        <w:tc>
          <w:tcPr>
            <w:tcW w:type="dxa" w:w="2268"/>
            <w:shd w:fill="FFF2CC" w:val="clear"/>
          </w:tcPr>
          <w:p>
            <w:r>
              <w:rPr>
                <w:b/>
                <w:color w:val="503200"/>
                <w:sz w:val="16"/>
              </w:rPr>
              <w:t xml:space="preserve">Cours actuel : </w:t>
            </w:r>
            <w:r>
              <w:rPr>
                <w:color w:val="000000"/>
                <w:sz w:val="17"/>
              </w:rPr>
              <w:t>2,120 FCFA</w:t>
            </w:r>
          </w:p>
          <w:p>
            <w:r>
              <w:rPr>
                <w:b/>
                <w:color w:val="503200"/>
                <w:sz w:val="16"/>
              </w:rPr>
              <w:t xml:space="preserve">Var. 100 jours : </w:t>
            </w:r>
            <w:r>
              <w:rPr>
                <w:b/>
                <w:color w:val="B40000"/>
                <w:sz w:val="17"/>
              </w:rPr>
              <w:t>-14.00%</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2,120 FCFA</w:t>
            </w:r>
          </w:p>
          <w:p>
            <w:r>
              <w:rPr>
                <w:b/>
                <w:color w:val="503200"/>
                <w:sz w:val="16"/>
              </w:rPr>
              <w:t xml:space="preserve">Volatilité ann. : </w:t>
            </w:r>
            <w:r>
              <w:rPr>
                <w:color w:val="000000"/>
                <w:sz w:val="17"/>
              </w:rPr>
              <w:t>52.8%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13.45% (Moyenne) — μ=3,193 FCFA, σ=430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β=1.2385 (Agressif) — Cov=0.000092, Var(idx)=0.000074, ρ=0.332,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10,166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σ_j=3.33%/j (Modérée) — Vol. annualisée≈52.8%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2026-10-21</w:t>
            </w:r>
          </w:p>
        </w:tc>
        <w:tc>
          <w:tcPr>
            <w:tcW w:type="dxa" w:w="1440"/>
            <w:shd w:fill="C6EFCE" w:val="clear"/>
          </w:tcPr>
          <w:p>
            <w:r>
              <w:rPr>
                <w:sz w:val="17"/>
              </w:rPr>
              <w:t>2,084</w:t>
            </w:r>
          </w:p>
        </w:tc>
        <w:tc>
          <w:tcPr>
            <w:tcW w:type="dxa" w:w="1440"/>
            <w:shd w:fill="C6EFCE" w:val="clear"/>
          </w:tcPr>
          <w:p>
            <w:r>
              <w:rPr>
                <w:b/>
                <w:sz w:val="17"/>
              </w:rPr>
              <w:t>2,203</w:t>
            </w:r>
          </w:p>
        </w:tc>
        <w:tc>
          <w:tcPr>
            <w:tcW w:type="dxa" w:w="1440"/>
            <w:shd w:fill="C6EFCE" w:val="clear"/>
          </w:tcPr>
          <w:p>
            <w:r>
              <w:rPr>
                <w:sz w:val="17"/>
              </w:rPr>
              <w:t>2,321</w:t>
            </w:r>
          </w:p>
        </w:tc>
        <w:tc>
          <w:tcPr>
            <w:tcW w:type="dxa" w:w="1440"/>
            <w:shd w:fill="C6EFCE" w:val="clear"/>
          </w:tcPr>
          <w:p>
            <w:r>
              <w:rPr>
                <w:b/>
                <w:color w:val="008000"/>
                <w:sz w:val="17"/>
              </w:rPr>
              <w:t>+3.9%</w:t>
            </w:r>
          </w:p>
        </w:tc>
      </w:tr>
      <w:tr>
        <w:tc>
          <w:tcPr>
            <w:tcW w:type="dxa" w:w="1440"/>
            <w:shd w:fill="C6EFCE" w:val="clear"/>
          </w:tcPr>
          <w:p>
            <w:r>
              <w:rPr>
                <w:sz w:val="17"/>
              </w:rPr>
              <w:t>J+2  Moyenne</w:t>
            </w:r>
          </w:p>
        </w:tc>
        <w:tc>
          <w:tcPr>
            <w:tcW w:type="dxa" w:w="1440"/>
            <w:shd w:fill="C6EFCE" w:val="clear"/>
          </w:tcPr>
          <w:p>
            <w:r>
              <w:rPr>
                <w:sz w:val="17"/>
              </w:rPr>
              <w:t>2026-10-22</w:t>
            </w:r>
          </w:p>
        </w:tc>
        <w:tc>
          <w:tcPr>
            <w:tcW w:type="dxa" w:w="1440"/>
            <w:shd w:fill="C6EFCE" w:val="clear"/>
          </w:tcPr>
          <w:p>
            <w:r>
              <w:rPr>
                <w:sz w:val="17"/>
              </w:rPr>
              <w:t>2,130</w:t>
            </w:r>
          </w:p>
        </w:tc>
        <w:tc>
          <w:tcPr>
            <w:tcW w:type="dxa" w:w="1440"/>
            <w:shd w:fill="C6EFCE" w:val="clear"/>
          </w:tcPr>
          <w:p>
            <w:r>
              <w:rPr>
                <w:b/>
                <w:sz w:val="17"/>
              </w:rPr>
              <w:t>2,305</w:t>
            </w:r>
          </w:p>
        </w:tc>
        <w:tc>
          <w:tcPr>
            <w:tcW w:type="dxa" w:w="1440"/>
            <w:shd w:fill="C6EFCE" w:val="clear"/>
          </w:tcPr>
          <w:p>
            <w:r>
              <w:rPr>
                <w:sz w:val="17"/>
              </w:rPr>
              <w:t>2,481</w:t>
            </w:r>
          </w:p>
        </w:tc>
        <w:tc>
          <w:tcPr>
            <w:tcW w:type="dxa" w:w="1440"/>
            <w:shd w:fill="C6EFCE" w:val="clear"/>
          </w:tcPr>
          <w:p>
            <w:r>
              <w:rPr>
                <w:b/>
                <w:color w:val="008000"/>
                <w:sz w:val="17"/>
              </w:rPr>
              <w:t>+8.7%</w:t>
            </w:r>
          </w:p>
        </w:tc>
      </w:tr>
      <w:tr>
        <w:tc>
          <w:tcPr>
            <w:tcW w:type="dxa" w:w="1440"/>
            <w:shd w:fill="C6EFCE" w:val="clear"/>
          </w:tcPr>
          <w:p>
            <w:r>
              <w:rPr>
                <w:sz w:val="17"/>
              </w:rPr>
              <w:t>J+3  Moyenne</w:t>
            </w:r>
          </w:p>
        </w:tc>
        <w:tc>
          <w:tcPr>
            <w:tcW w:type="dxa" w:w="1440"/>
            <w:shd w:fill="C6EFCE" w:val="clear"/>
          </w:tcPr>
          <w:p>
            <w:r>
              <w:rPr>
                <w:sz w:val="17"/>
              </w:rPr>
              <w:t>2026-10-23</w:t>
            </w:r>
          </w:p>
        </w:tc>
        <w:tc>
          <w:tcPr>
            <w:tcW w:type="dxa" w:w="1440"/>
            <w:shd w:fill="C6EFCE" w:val="clear"/>
          </w:tcPr>
          <w:p>
            <w:r>
              <w:rPr>
                <w:sz w:val="17"/>
              </w:rPr>
              <w:t>2,190</w:t>
            </w:r>
          </w:p>
        </w:tc>
        <w:tc>
          <w:tcPr>
            <w:tcW w:type="dxa" w:w="1440"/>
            <w:shd w:fill="C6EFCE" w:val="clear"/>
          </w:tcPr>
          <w:p>
            <w:r>
              <w:rPr>
                <w:b/>
                <w:sz w:val="17"/>
              </w:rPr>
              <w:t>2,416</w:t>
            </w:r>
          </w:p>
        </w:tc>
        <w:tc>
          <w:tcPr>
            <w:tcW w:type="dxa" w:w="1440"/>
            <w:shd w:fill="C6EFCE" w:val="clear"/>
          </w:tcPr>
          <w:p>
            <w:r>
              <w:rPr>
                <w:sz w:val="17"/>
              </w:rPr>
              <w:t>2,641</w:t>
            </w:r>
          </w:p>
        </w:tc>
        <w:tc>
          <w:tcPr>
            <w:tcW w:type="dxa" w:w="1440"/>
            <w:shd w:fill="C6EFCE" w:val="clear"/>
          </w:tcPr>
          <w:p>
            <w:r>
              <w:rPr>
                <w:b/>
                <w:color w:val="008000"/>
                <w:sz w:val="17"/>
              </w:rPr>
              <w:t>+13.9%</w:t>
            </w:r>
          </w:p>
        </w:tc>
      </w:tr>
      <w:tr>
        <w:tc>
          <w:tcPr>
            <w:tcW w:type="dxa" w:w="1440"/>
            <w:shd w:fill="C6EFCE" w:val="clear"/>
          </w:tcPr>
          <w:p>
            <w:r>
              <w:rPr>
                <w:sz w:val="17"/>
              </w:rPr>
              <w:t>J+4  ⭐</w:t>
            </w:r>
          </w:p>
        </w:tc>
        <w:tc>
          <w:tcPr>
            <w:tcW w:type="dxa" w:w="1440"/>
            <w:shd w:fill="C6EFCE" w:val="clear"/>
          </w:tcPr>
          <w:p>
            <w:r>
              <w:rPr>
                <w:sz w:val="17"/>
              </w:rPr>
              <w:t>2026-10-26</w:t>
            </w:r>
          </w:p>
        </w:tc>
        <w:tc>
          <w:tcPr>
            <w:tcW w:type="dxa" w:w="1440"/>
            <w:shd w:fill="C6EFCE" w:val="clear"/>
          </w:tcPr>
          <w:p>
            <w:r>
              <w:rPr>
                <w:sz w:val="17"/>
              </w:rPr>
              <w:t>2,245</w:t>
            </w:r>
          </w:p>
        </w:tc>
        <w:tc>
          <w:tcPr>
            <w:tcW w:type="dxa" w:w="1440"/>
            <w:shd w:fill="C6EFCE" w:val="clear"/>
          </w:tcPr>
          <w:p>
            <w:r>
              <w:rPr>
                <w:b/>
                <w:sz w:val="17"/>
              </w:rPr>
              <w:t>2,516</w:t>
            </w:r>
          </w:p>
        </w:tc>
        <w:tc>
          <w:tcPr>
            <w:tcW w:type="dxa" w:w="1440"/>
            <w:shd w:fill="C6EFCE" w:val="clear"/>
          </w:tcPr>
          <w:p>
            <w:r>
              <w:rPr>
                <w:sz w:val="17"/>
              </w:rPr>
              <w:t>2,787</w:t>
            </w:r>
          </w:p>
        </w:tc>
        <w:tc>
          <w:tcPr>
            <w:tcW w:type="dxa" w:w="1440"/>
            <w:shd w:fill="C6EFCE" w:val="clear"/>
          </w:tcPr>
          <w:p>
            <w:r>
              <w:rPr>
                <w:b/>
                <w:color w:val="008000"/>
                <w:sz w:val="17"/>
              </w:rPr>
              <w:t>+18.7%</w:t>
            </w:r>
          </w:p>
        </w:tc>
      </w:tr>
      <w:tr>
        <w:tc>
          <w:tcPr>
            <w:tcW w:type="dxa" w:w="1440"/>
            <w:shd w:fill="C6EFCE" w:val="clear"/>
          </w:tcPr>
          <w:p>
            <w:r>
              <w:rPr>
                <w:sz w:val="17"/>
              </w:rPr>
              <w:t>J+5  ⭐</w:t>
            </w:r>
          </w:p>
        </w:tc>
        <w:tc>
          <w:tcPr>
            <w:tcW w:type="dxa" w:w="1440"/>
            <w:shd w:fill="C6EFCE" w:val="clear"/>
          </w:tcPr>
          <w:p>
            <w:r>
              <w:rPr>
                <w:sz w:val="17"/>
              </w:rPr>
              <w:t>2026-10-27</w:t>
            </w:r>
          </w:p>
        </w:tc>
        <w:tc>
          <w:tcPr>
            <w:tcW w:type="dxa" w:w="1440"/>
            <w:shd w:fill="C6EFCE" w:val="clear"/>
          </w:tcPr>
          <w:p>
            <w:r>
              <w:rPr>
                <w:sz w:val="17"/>
              </w:rPr>
              <w:t>2,294</w:t>
            </w:r>
          </w:p>
        </w:tc>
        <w:tc>
          <w:tcPr>
            <w:tcW w:type="dxa" w:w="1440"/>
            <w:shd w:fill="C6EFCE" w:val="clear"/>
          </w:tcPr>
          <w:p>
            <w:r>
              <w:rPr>
                <w:b/>
                <w:sz w:val="17"/>
              </w:rPr>
              <w:t>2,608</w:t>
            </w:r>
          </w:p>
        </w:tc>
        <w:tc>
          <w:tcPr>
            <w:tcW w:type="dxa" w:w="1440"/>
            <w:shd w:fill="C6EFCE" w:val="clear"/>
          </w:tcPr>
          <w:p>
            <w:r>
              <w:rPr>
                <w:sz w:val="17"/>
              </w:rPr>
              <w:t>2,923</w:t>
            </w:r>
          </w:p>
        </w:tc>
        <w:tc>
          <w:tcPr>
            <w:tcW w:type="dxa" w:w="1440"/>
            <w:shd w:fill="C6EFCE" w:val="clear"/>
          </w:tcPr>
          <w:p>
            <w:r>
              <w:rPr>
                <w:b/>
                <w:color w:val="008000"/>
                <w:sz w:val="17"/>
              </w:rPr>
              <w:t>+23.0%</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2,339</w:t>
            </w:r>
          </w:p>
        </w:tc>
        <w:tc>
          <w:tcPr>
            <w:tcW w:type="dxa" w:w="1440"/>
            <w:shd w:fill="C6EFCE" w:val="clear"/>
          </w:tcPr>
          <w:p>
            <w:r>
              <w:rPr>
                <w:b/>
                <w:sz w:val="17"/>
              </w:rPr>
              <w:t>2,695</w:t>
            </w:r>
          </w:p>
        </w:tc>
        <w:tc>
          <w:tcPr>
            <w:tcW w:type="dxa" w:w="1440"/>
            <w:shd w:fill="C6EFCE" w:val="clear"/>
          </w:tcPr>
          <w:p>
            <w:r>
              <w:rPr>
                <w:sz w:val="17"/>
              </w:rPr>
              <w:t>3,051</w:t>
            </w:r>
          </w:p>
        </w:tc>
        <w:tc>
          <w:tcPr>
            <w:tcW w:type="dxa" w:w="1440"/>
            <w:shd w:fill="C6EFCE" w:val="clear"/>
          </w:tcPr>
          <w:p>
            <w:r>
              <w:rPr>
                <w:b/>
                <w:color w:val="008000"/>
                <w:sz w:val="17"/>
              </w:rPr>
              <w:t>+27.1%</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2,381</w:t>
            </w:r>
          </w:p>
        </w:tc>
        <w:tc>
          <w:tcPr>
            <w:tcW w:type="dxa" w:w="1440"/>
            <w:shd w:fill="C6EFCE" w:val="clear"/>
          </w:tcPr>
          <w:p>
            <w:r>
              <w:rPr>
                <w:b/>
                <w:sz w:val="17"/>
              </w:rPr>
              <w:t>2,777</w:t>
            </w:r>
          </w:p>
        </w:tc>
        <w:tc>
          <w:tcPr>
            <w:tcW w:type="dxa" w:w="1440"/>
            <w:shd w:fill="C6EFCE" w:val="clear"/>
          </w:tcPr>
          <w:p>
            <w:r>
              <w:rPr>
                <w:sz w:val="17"/>
              </w:rPr>
              <w:t>3,173</w:t>
            </w:r>
          </w:p>
        </w:tc>
        <w:tc>
          <w:tcPr>
            <w:tcW w:type="dxa" w:w="1440"/>
            <w:shd w:fill="C6EFCE" w:val="clear"/>
          </w:tcPr>
          <w:p>
            <w:r>
              <w:rPr>
                <w:b/>
                <w:color w:val="008000"/>
                <w:sz w:val="17"/>
              </w:rPr>
              <w:t>+31.0%</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2,418</w:t>
            </w:r>
          </w:p>
        </w:tc>
        <w:tc>
          <w:tcPr>
            <w:tcW w:type="dxa" w:w="1440"/>
            <w:shd w:fill="C6EFCE" w:val="clear"/>
          </w:tcPr>
          <w:p>
            <w:r>
              <w:rPr>
                <w:b/>
                <w:sz w:val="17"/>
              </w:rPr>
              <w:t>2,853</w:t>
            </w:r>
          </w:p>
        </w:tc>
        <w:tc>
          <w:tcPr>
            <w:tcW w:type="dxa" w:w="1440"/>
            <w:shd w:fill="C6EFCE" w:val="clear"/>
          </w:tcPr>
          <w:p>
            <w:r>
              <w:rPr>
                <w:sz w:val="17"/>
              </w:rPr>
              <w:t>3,288</w:t>
            </w:r>
          </w:p>
        </w:tc>
        <w:tc>
          <w:tcPr>
            <w:tcW w:type="dxa" w:w="1440"/>
            <w:shd w:fill="C6EFCE" w:val="clear"/>
          </w:tcPr>
          <w:p>
            <w:r>
              <w:rPr>
                <w:b/>
                <w:color w:val="008000"/>
                <w:sz w:val="17"/>
              </w:rPr>
              <w:t>+34.6%</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2,451</w:t>
            </w:r>
          </w:p>
        </w:tc>
        <w:tc>
          <w:tcPr>
            <w:tcW w:type="dxa" w:w="1440"/>
            <w:shd w:fill="C6EFCE" w:val="clear"/>
          </w:tcPr>
          <w:p>
            <w:r>
              <w:rPr>
                <w:b/>
                <w:sz w:val="17"/>
              </w:rPr>
              <w:t>2,924</w:t>
            </w:r>
          </w:p>
        </w:tc>
        <w:tc>
          <w:tcPr>
            <w:tcW w:type="dxa" w:w="1440"/>
            <w:shd w:fill="C6EFCE" w:val="clear"/>
          </w:tcPr>
          <w:p>
            <w:r>
              <w:rPr>
                <w:sz w:val="17"/>
              </w:rPr>
              <w:t>3,397</w:t>
            </w:r>
          </w:p>
        </w:tc>
        <w:tc>
          <w:tcPr>
            <w:tcW w:type="dxa" w:w="1440"/>
            <w:shd w:fill="C6EFCE" w:val="clear"/>
          </w:tcPr>
          <w:p>
            <w:r>
              <w:rPr>
                <w:b/>
                <w:color w:val="008000"/>
                <w:sz w:val="17"/>
              </w:rPr>
              <w:t>+37.9%</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2,480</w:t>
            </w:r>
          </w:p>
        </w:tc>
        <w:tc>
          <w:tcPr>
            <w:tcW w:type="dxa" w:w="1440"/>
            <w:shd w:fill="C6EFCE" w:val="clear"/>
          </w:tcPr>
          <w:p>
            <w:r>
              <w:rPr>
                <w:b/>
                <w:sz w:val="17"/>
              </w:rPr>
              <w:t>2,989</w:t>
            </w:r>
          </w:p>
        </w:tc>
        <w:tc>
          <w:tcPr>
            <w:tcW w:type="dxa" w:w="1440"/>
            <w:shd w:fill="C6EFCE" w:val="clear"/>
          </w:tcPr>
          <w:p>
            <w:r>
              <w:rPr>
                <w:sz w:val="17"/>
              </w:rPr>
              <w:t>3,498</w:t>
            </w:r>
          </w:p>
        </w:tc>
        <w:tc>
          <w:tcPr>
            <w:tcW w:type="dxa" w:w="1440"/>
            <w:shd w:fill="C6EFCE" w:val="clear"/>
          </w:tcPr>
          <w:p>
            <w:r>
              <w:rPr>
                <w:b/>
                <w:color w:val="008000"/>
                <w:sz w:val="17"/>
              </w:rPr>
              <w:t>+41.0%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SUCRIVOIRE (SCRC)**</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41,55 milliards FCFA, un niveau intermédiaire à la BRVM qui traduit la taille industrielle de l'opérateur sucrier ivoirien. Le BPA ressort à -406 FCFA/action, conséquence directe de la perte nette de 7,95 milliards FCFA enregistrée en 2025, ce qui rend le PER de -5,2x mécaniquement négatif et donc non interprétable en termes de « cher/pas cher » — un titre déficitaire ne se valorise pas sur ses bénéfices. Le P/B de 2,41x indique que le marché valorise SCRC à plus du double de ses capitaux propres comptables (17,24 Mds FCFA), soit une prime de croissance accordée malgré la dégradation récente, ce qui est généreux au regard de la fragilité bilancielle. Enfin, l'EV/EBITDA de 9,0x se situe dans la fourchette raisonnable de 5-10x, suggérant que la valeur d'entreprise reste cohérente avec la capacité opérationnelle (EBE de 14,85 Mds FCFA), mais cette lecture doit être tempérée par le poids de la dette financière (84,87 Mds FCFA) qui gonfle la valeur d'entreprise.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SCRC affiche une variation totale de -14,00%, avec une dernière séance en repli de -1,40%, portant le cours à 2 120 FCFA — soit précisément le plus bas de la période, tandis que le plus haut a atteint 3 920 FCFA, matérialisant un range de trading extrêmement large de 1 800 FCFA. La tendance générale est clairement baissière, le titre ayant perdu près d'un tiers de sa valeur depuis son sommet, dans un contexte de publication de résultats annuels 2025 dégradés. Les statistiques descriptives révèlent une moyenne de 3 193 FCFA nettement supérieure à la médiane de 3 298 FCFA — l'écart modéré et le mode à 3 100 FCFA confirment une distribution légèrement asymétrique, cohérente avec le skewness négatif de -0,578 (davantage de journées de baisse que de hausse, la masse des cours se situant au-dessus de la moyenne actuelle). L'écart-type de 432 FCFA avec un coefficient de variation de 13,5% traduit une dispersion modérée autour de la moyenne, tandis que le kurtosis de -0,671 (mésokurtique) indique un comportement proche d'une distribution normale, sans risque de pics extrêmes marqué. La volatilité annualisée de 52,8% classe le titre dans la catégorie **élevée** (&gt;30%), ce qui est préoccupant pour un investisseur averse au risque et traduit une forte incertitude sur la valeur fondamentale de SCRC.</w:t>
      </w:r>
    </w:p>
    <w:p>
      <w:pPr>
        <w:spacing w:after="120" w:line="276" w:lineRule="auto"/>
      </w:pPr>
      <w:r>
        <w:t>---</w:t>
      </w:r>
    </w:p>
    <w:p>
      <w:pPr>
        <w:spacing w:after="120" w:line="276" w:lineRule="auto"/>
      </w:pPr>
      <w:r>
        <w:t>### **PARTIE 2 : ANALYSE TECHNIQUE DÉTAILLÉE**</w:t>
      </w:r>
    </w:p>
    <w:p>
      <w:pPr>
        <w:spacing w:after="120" w:line="276" w:lineRule="auto"/>
      </w:pPr>
      <w:r>
        <w:t>**Moyennes Mobiles** : La MM20 à 2 631,25 FCFA et la MM50 à 3 151,10 FCFA se situent toutes deux très au-dessus du cours actuel de 2 120 FCFA, avec une MM20 inférieure à la MM50 — configuration de tendance baissière confirmée (croisement baissier déjà effectué). Le cours évoluant sous ses deux moyennes, la pression vendeuse domine et la décision technique est **Vente**.</w:t>
      </w:r>
    </w:p>
    <w:p>
      <w:pPr>
        <w:spacing w:after="120" w:line="276" w:lineRule="auto"/>
      </w:pPr>
      <w:r>
        <w:t>**Bandes de Bollinger** : La borne supérieure à 3 205,30 FCFA et la borne inférieure à 2 057,20 FCFA encadrent un cours de 2 120 FCFA qui se situe à proximité immédiate de la bande basse, sans la franchir. Cette position traduit une volatilité élevée avec un cours en zone de survente relative, mais l'absence de cassure baissière justifie la décision **Neutre** — le titre est en zone d'accumulation potentielle mais sans signal de retournement.</w:t>
      </w:r>
    </w:p>
    <w:p>
      <w:pPr>
        <w:spacing w:after="120" w:line="276" w:lineRule="auto"/>
      </w:pPr>
      <w:r>
        <w:t>**MACD** : Le MACD à -280,53 est inférieur à sa ligne de signal à -243,89, avec un histogramme négatif qui s'accentue — divergence baissière persistante et momentum négatif dominant. Aucun signe de retournement n'étant visible, la décision **Vente** est cohérente avec la dynamique actuelle.</w:t>
      </w:r>
    </w:p>
    <w:p>
      <w:pPr>
        <w:spacing w:after="120" w:line="276" w:lineRule="auto"/>
      </w:pPr>
      <w:r>
        <w:t>**RSI** : À 2,299, le RSI se situe très en dessous du seuil de survente de 30, dans une zone de survente extrême rarement observée. Cette configuration signale un épuisement potentiel de la pression vendeuse et un rebond technique probable à court terme, justifiant la décision **Achat** — mais avec prudence car un RSI aussi bas peut persister en tendance baissière forte.</w:t>
      </w:r>
    </w:p>
    <w:p>
      <w:pPr>
        <w:spacing w:after="120" w:line="276" w:lineRule="auto"/>
      </w:pPr>
      <w:r>
        <w:t>**Stochastique** : Le %K et le %D sont tous deux à 0,0, positionnant le stochastique au plancher absolu de sa fourchette — signal de survente extrême et de possible retournement imminent. La décision **Achat** est cohérente avec cette lecture, bien que le croisement des lignes ne soit pas encore matérialisé.</w:t>
      </w:r>
    </w:p>
    <w:p>
      <w:pPr>
        <w:spacing w:after="120" w:line="276" w:lineRule="auto"/>
      </w:pPr>
      <w:r>
        <w:t>**Conclusion technique** : Les indicateurs présentent une divergence notable : les moyennes mobiles et le MACD confirment une tendance baissière structurelle, tandis que le RSI (2,3) et le stochastique (0,0) signalent une survente extrême propice à un rebond technique. Les Bandes de Bollinger en position neutre n'apportent pas de confirmation directionnelle. Cette configuration suggère un titre en fin de phase de capitulation, où le potentiel de rebond à court terme existe mais reste fragile face à la tendance de fond baissière — un signal d'achat tactique plus que stratégique.</w:t>
      </w:r>
    </w:p>
    <w:p>
      <w:pPr>
        <w:spacing w:after="120" w:line="276" w:lineRule="auto"/>
      </w:pPr>
      <w:r>
        <w:t>---</w:t>
      </w:r>
    </w:p>
    <w:p>
      <w:pPr>
        <w:spacing w:after="120" w:line="276" w:lineRule="auto"/>
      </w:pPr>
      <w:r>
        <w:t>### **PARTIE 3 : ANALYSE FONDAMENTALE (SECTION CRITIQUE)**</w:t>
      </w:r>
    </w:p>
    <w:p>
      <w:pPr>
        <w:spacing w:after="120" w:line="276" w:lineRule="auto"/>
      </w:pPr>
      <w:r>
        <w:t>Les états financiers 2025 de SCRC (exercice clos au 31 décembre 2025, rapport analysé le 19 mai 2026) révèlent une dégradation sévère : le chiffre d'affaires recule de -7,6% à 80,57 Mds FCFA (contre 87,22 Mds en 2024), et le résultat net bascule d'un bénéfice de 2,47 Mds FCFA en 2024 à une perte nette de -7,95 Mds FCFA en 2025, soit une dégradation de 421%. Les ratios de rentabilité sont profondément négatifs : ROE de -46,13%, ROA de -5,08%, marge nette de -9,87% et marge opérationnelle de -0,68%, tandis que la marge brute reste solide à 45,82% — signe que le problème n'est pas le coût de production mais la structure financière. En effet, les charges financières ont explosé à 6,79 Mds FCFA (+262%), conséquence d'un endettement financier total de 84,87 Mds FCFA (dont 45,92 Mds de dettes LT/MT), portant le ratio d'endettement à 88,98% des capitaux propres et l'autonomie financière à seulement 11,02% — un niveau critique. La trésorerie nette est négative à -6,51 Mds FCFA et le fonds de roulement négatif à -10,67 Mds FCFA, tandis que le BFR de 6,53 Mds FCFA (positif, donc défavorable) et la durée de stockage de 360,73 jours (immobilisation de capital considérable) aggravent les tensions de liquidité, malgré un délai fournisseurs très favorable de 366,07 jours. Sur le plan opérationnel, l'EBE de 14,85 Mds FCFA et la CAF de 7,57 Mds FCFA restent positifs, mais le Free Cash Flow est négatif à -12,40 Mds FCFA en raison d'investissements massifs de -22,79 Mds FCFA — un plan de modernisation financé par la dette. Les rapports antérieurs confirment la volatilité du parcours : perte de -9,01 Mds en 2023, bénéfice de 2,47 Mds en 2024, puis perte de -7,95 Mds en 2025, avec un S1 2025 déjà déficitaire à -6,71 Mds FCFA (rapport du 30 juin 2025) et un T1 2025 à 3,21 Mds FCFA de bénéfice (rapport du 31 mars 2025). La convocation de l'AGO du 21 mai 2026 (avis du 30 avril 2026) confirme le résultat net déficitaire de 6,13 Mds FCFA (SYSCOHADA) et 7,95 Mds FCFA (IFRS), sans dividende envisageable. **Recommandation fondamentale : la solidité financière est compromise par un endettement critique et des charges financières insoutenables ; les perspectives 2026 dépendront impérativement d'une restructuration de la dette et de la rentabilisation des investissements — profil hautement risqué.**</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tableau profondément contradictoire. La **valorisation** (Partie 0) est piégée : le PER négatif de -5,2x interdit toute lecture bénéficiaire, le P/B de 2,41x accorde une prime injustifiée à des capitaux propres en érosion (17,24 Mds FCFA), et seul l'EV/EBITDA de 9,0x reste dans une zone raisonnable — la valorisation n'offre donc aucun soutien. Le **comportement du cours** (Partie 1) est franchement préoccupant : -14% sur 100 jours, cours au plus bas absolu (2 120 FCFA), volatilité annualisée de 52,8% et skewness négatif de -0,578 traduisent une défiance persistante du marché. Les **signaux techniques** (Partie 2) sont divergents : MM20/MM50 et MACD confirment la tendance baissière, mais le RSI à 2,299 et le stochastique à 0,0 signalent une survente extrême propice à un rebond tactique — convergence baissière structurelle contre signal d'achat de court terme. Les **fondamentaux** (Partie 3) sont les plus alarmants : perte nette de -7,95 Mds FCFA en 2025, ROE de -46,13%, endettement à 88,98% des capitaux propres, trésorerie nette négative de -6,51 Mds FCFA et FCF de -12,40 Mds FCFA — la viabilité financière à court terme est sérieusement compromise. Les **prédictions IA** (J+1 à J+10) anticipent une trajectoire haussière de 2 203 à 2 608 FCFA (+23% en 10 jours), ce qui contredit la tendance de fond mais s'aligne sur le signal de survente extrême du RSI et du stochastique — il s'agit d'un rebond technique attendu, non d'un retournement fondamental. **Recommandation finale : VENTE** (avec possibilité de rebond tactique très court terme pour traders aguerris). Le niveau de confiance est **Élevé** car la convergence entre fondamentaux dégradés, tendance baissière et valorisation sans soutien est nette ; le rebond prédit par l'IA et les oscillateurs en survente ne constituent qu'un répit technique. Le niveau de risque global est **Élevé** (endettement critique, trésorerie négative, perte massive). L'horizon d'investissement recommandé est le **court terme** (&lt;3 mois) pour capter l'éventuel rebond technique, mais toute exposition de **moyen/long terme** (3-12 mois et &gt;1 an) est déconseillée tant que la restructuration de la dette et le retour à la rentabilité opérationnelle ne sont pas confirmés par les prochains rapports semestriels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108.09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1,571 titres</w:t>
            </w:r>
          </w:p>
        </w:tc>
        <w:tc>
          <w:tcPr>
            <w:tcW w:type="dxa" w:w="2268"/>
            <w:shd w:fill="FFF2CC" w:val="clear"/>
          </w:tcPr>
          <w:p>
            <w:r>
              <w:rPr>
                <w:b/>
                <w:color w:val="503200"/>
                <w:sz w:val="16"/>
              </w:rPr>
              <w:t xml:space="preserve">Cours actuel : </w:t>
            </w:r>
            <w:r>
              <w:rPr>
                <w:color w:val="000000"/>
                <w:sz w:val="17"/>
              </w:rPr>
              <w:t>12,010 FCFA</w:t>
            </w:r>
          </w:p>
          <w:p>
            <w:r>
              <w:rPr>
                <w:b/>
                <w:color w:val="503200"/>
                <w:sz w:val="16"/>
              </w:rPr>
              <w:t xml:space="preserve">Var. 100 jours : </w:t>
            </w:r>
            <w:r>
              <w:rPr>
                <w:b/>
                <w:color w:val="007800"/>
                <w:sz w:val="17"/>
              </w:rPr>
              <w:t>+8.93%</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11,000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5.64% (Moyenne) — μ=12,222 FCFA, σ=690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β=0.7446 (Défensif) — Cov=0.000058, Var(idx)=0.000078, ρ=0.277,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2026-10-21</w:t>
            </w:r>
          </w:p>
        </w:tc>
        <w:tc>
          <w:tcPr>
            <w:tcW w:type="dxa" w:w="1440"/>
            <w:shd w:fill="C6EFCE" w:val="clear"/>
          </w:tcPr>
          <w:p>
            <w:r>
              <w:rPr>
                <w:sz w:val="17"/>
              </w:rPr>
              <w:t>11,851</w:t>
            </w:r>
          </w:p>
        </w:tc>
        <w:tc>
          <w:tcPr>
            <w:tcW w:type="dxa" w:w="1440"/>
            <w:shd w:fill="C6EFCE" w:val="clear"/>
          </w:tcPr>
          <w:p>
            <w:r>
              <w:rPr>
                <w:b/>
                <w:sz w:val="17"/>
              </w:rPr>
              <w:t>12,559</w:t>
            </w:r>
          </w:p>
        </w:tc>
        <w:tc>
          <w:tcPr>
            <w:tcW w:type="dxa" w:w="1440"/>
            <w:shd w:fill="C6EFCE" w:val="clear"/>
          </w:tcPr>
          <w:p>
            <w:r>
              <w:rPr>
                <w:sz w:val="17"/>
              </w:rPr>
              <w:t>13,267</w:t>
            </w:r>
          </w:p>
        </w:tc>
        <w:tc>
          <w:tcPr>
            <w:tcW w:type="dxa" w:w="1440"/>
            <w:shd w:fill="C6EFCE" w:val="clear"/>
          </w:tcPr>
          <w:p>
            <w:r>
              <w:rPr>
                <w:b/>
                <w:color w:val="008000"/>
                <w:sz w:val="17"/>
              </w:rPr>
              <w:t>+4.6%</w:t>
            </w:r>
          </w:p>
        </w:tc>
      </w:tr>
      <w:tr>
        <w:tc>
          <w:tcPr>
            <w:tcW w:type="dxa" w:w="1440"/>
            <w:shd w:fill="C6EFCE" w:val="clear"/>
          </w:tcPr>
          <w:p>
            <w:r>
              <w:rPr>
                <w:sz w:val="17"/>
              </w:rPr>
              <w:t>J+2  ⭐</w:t>
            </w:r>
          </w:p>
        </w:tc>
        <w:tc>
          <w:tcPr>
            <w:tcW w:type="dxa" w:w="1440"/>
            <w:shd w:fill="C6EFCE" w:val="clear"/>
          </w:tcPr>
          <w:p>
            <w:r>
              <w:rPr>
                <w:sz w:val="17"/>
              </w:rPr>
              <w:t>2026-10-22</w:t>
            </w:r>
          </w:p>
        </w:tc>
        <w:tc>
          <w:tcPr>
            <w:tcW w:type="dxa" w:w="1440"/>
            <w:shd w:fill="C6EFCE" w:val="clear"/>
          </w:tcPr>
          <w:p>
            <w:r>
              <w:rPr>
                <w:sz w:val="17"/>
              </w:rPr>
              <w:t>11,612</w:t>
            </w:r>
          </w:p>
        </w:tc>
        <w:tc>
          <w:tcPr>
            <w:tcW w:type="dxa" w:w="1440"/>
            <w:shd w:fill="C6EFCE" w:val="clear"/>
          </w:tcPr>
          <w:p>
            <w:r>
              <w:rPr>
                <w:b/>
                <w:sz w:val="17"/>
              </w:rPr>
              <w:t>12,618</w:t>
            </w:r>
          </w:p>
        </w:tc>
        <w:tc>
          <w:tcPr>
            <w:tcW w:type="dxa" w:w="1440"/>
            <w:shd w:fill="C6EFCE" w:val="clear"/>
          </w:tcPr>
          <w:p>
            <w:r>
              <w:rPr>
                <w:sz w:val="17"/>
              </w:rPr>
              <w:t>13,625</w:t>
            </w:r>
          </w:p>
        </w:tc>
        <w:tc>
          <w:tcPr>
            <w:tcW w:type="dxa" w:w="1440"/>
            <w:shd w:fill="C6EFCE" w:val="clear"/>
          </w:tcPr>
          <w:p>
            <w:r>
              <w:rPr>
                <w:b/>
                <w:color w:val="008000"/>
                <w:sz w:val="17"/>
              </w:rPr>
              <w:t>+5.1%</w:t>
            </w:r>
          </w:p>
        </w:tc>
      </w:tr>
      <w:tr>
        <w:tc>
          <w:tcPr>
            <w:tcW w:type="dxa" w:w="1440"/>
            <w:shd w:fill="C6EFCE" w:val="clear"/>
          </w:tcPr>
          <w:p>
            <w:r>
              <w:rPr>
                <w:sz w:val="17"/>
              </w:rPr>
              <w:t>J+3  ⭐</w:t>
            </w:r>
          </w:p>
        </w:tc>
        <w:tc>
          <w:tcPr>
            <w:tcW w:type="dxa" w:w="1440"/>
            <w:shd w:fill="C6EFCE" w:val="clear"/>
          </w:tcPr>
          <w:p>
            <w:r>
              <w:rPr>
                <w:sz w:val="17"/>
              </w:rPr>
              <w:t>2026-10-23</w:t>
            </w:r>
          </w:p>
        </w:tc>
        <w:tc>
          <w:tcPr>
            <w:tcW w:type="dxa" w:w="1440"/>
            <w:shd w:fill="C6EFCE" w:val="clear"/>
          </w:tcPr>
          <w:p>
            <w:r>
              <w:rPr>
                <w:sz w:val="17"/>
              </w:rPr>
              <w:t>11,441</w:t>
            </w:r>
          </w:p>
        </w:tc>
        <w:tc>
          <w:tcPr>
            <w:tcW w:type="dxa" w:w="1440"/>
            <w:shd w:fill="C6EFCE" w:val="clear"/>
          </w:tcPr>
          <w:p>
            <w:r>
              <w:rPr>
                <w:b/>
                <w:sz w:val="17"/>
              </w:rPr>
              <w:t>12,679</w:t>
            </w:r>
          </w:p>
        </w:tc>
        <w:tc>
          <w:tcPr>
            <w:tcW w:type="dxa" w:w="1440"/>
            <w:shd w:fill="C6EFCE" w:val="clear"/>
          </w:tcPr>
          <w:p>
            <w:r>
              <w:rPr>
                <w:sz w:val="17"/>
              </w:rPr>
              <w:t>13,918</w:t>
            </w:r>
          </w:p>
        </w:tc>
        <w:tc>
          <w:tcPr>
            <w:tcW w:type="dxa" w:w="1440"/>
            <w:shd w:fill="C6EFCE" w:val="clear"/>
          </w:tcPr>
          <w:p>
            <w:r>
              <w:rPr>
                <w:b/>
                <w:color w:val="008000"/>
                <w:sz w:val="17"/>
              </w:rPr>
              <w:t>+5.6%</w:t>
            </w:r>
          </w:p>
        </w:tc>
      </w:tr>
      <w:tr>
        <w:tc>
          <w:tcPr>
            <w:tcW w:type="dxa" w:w="1440"/>
            <w:shd w:fill="C6EFCE" w:val="clear"/>
          </w:tcPr>
          <w:p>
            <w:r>
              <w:rPr>
                <w:sz w:val="17"/>
              </w:rPr>
              <w:t>J+4  ⭐</w:t>
            </w:r>
          </w:p>
        </w:tc>
        <w:tc>
          <w:tcPr>
            <w:tcW w:type="dxa" w:w="1440"/>
            <w:shd w:fill="C6EFCE" w:val="clear"/>
          </w:tcPr>
          <w:p>
            <w:r>
              <w:rPr>
                <w:sz w:val="17"/>
              </w:rPr>
              <w:t>2026-10-26</w:t>
            </w:r>
          </w:p>
        </w:tc>
        <w:tc>
          <w:tcPr>
            <w:tcW w:type="dxa" w:w="1440"/>
            <w:shd w:fill="C6EFCE" w:val="clear"/>
          </w:tcPr>
          <w:p>
            <w:r>
              <w:rPr>
                <w:sz w:val="17"/>
              </w:rPr>
              <w:t>11,296</w:t>
            </w:r>
          </w:p>
        </w:tc>
        <w:tc>
          <w:tcPr>
            <w:tcW w:type="dxa" w:w="1440"/>
            <w:shd w:fill="C6EFCE" w:val="clear"/>
          </w:tcPr>
          <w:p>
            <w:r>
              <w:rPr>
                <w:b/>
                <w:sz w:val="17"/>
              </w:rPr>
              <w:t>12,732</w:t>
            </w:r>
          </w:p>
        </w:tc>
        <w:tc>
          <w:tcPr>
            <w:tcW w:type="dxa" w:w="1440"/>
            <w:shd w:fill="C6EFCE" w:val="clear"/>
          </w:tcPr>
          <w:p>
            <w:r>
              <w:rPr>
                <w:sz w:val="17"/>
              </w:rPr>
              <w:t>14,168</w:t>
            </w:r>
          </w:p>
        </w:tc>
        <w:tc>
          <w:tcPr>
            <w:tcW w:type="dxa" w:w="1440"/>
            <w:shd w:fill="C6EFCE" w:val="clear"/>
          </w:tcPr>
          <w:p>
            <w:r>
              <w:rPr>
                <w:b/>
                <w:color w:val="008000"/>
                <w:sz w:val="17"/>
              </w:rPr>
              <w:t>+6.0%</w:t>
            </w:r>
          </w:p>
        </w:tc>
      </w:tr>
      <w:tr>
        <w:tc>
          <w:tcPr>
            <w:tcW w:type="dxa" w:w="1440"/>
            <w:shd w:fill="C6EFCE" w:val="clear"/>
          </w:tcPr>
          <w:p>
            <w:r>
              <w:rPr>
                <w:sz w:val="17"/>
              </w:rPr>
              <w:t>J+5  ⭐</w:t>
            </w:r>
          </w:p>
        </w:tc>
        <w:tc>
          <w:tcPr>
            <w:tcW w:type="dxa" w:w="1440"/>
            <w:shd w:fill="C6EFCE" w:val="clear"/>
          </w:tcPr>
          <w:p>
            <w:r>
              <w:rPr>
                <w:sz w:val="17"/>
              </w:rPr>
              <w:t>2026-10-27</w:t>
            </w:r>
          </w:p>
        </w:tc>
        <w:tc>
          <w:tcPr>
            <w:tcW w:type="dxa" w:w="1440"/>
            <w:shd w:fill="C6EFCE" w:val="clear"/>
          </w:tcPr>
          <w:p>
            <w:r>
              <w:rPr>
                <w:sz w:val="17"/>
              </w:rPr>
              <w:t>11,168</w:t>
            </w:r>
          </w:p>
        </w:tc>
        <w:tc>
          <w:tcPr>
            <w:tcW w:type="dxa" w:w="1440"/>
            <w:shd w:fill="C6EFCE" w:val="clear"/>
          </w:tcPr>
          <w:p>
            <w:r>
              <w:rPr>
                <w:b/>
                <w:sz w:val="17"/>
              </w:rPr>
              <w:t>12,780</w:t>
            </w:r>
          </w:p>
        </w:tc>
        <w:tc>
          <w:tcPr>
            <w:tcW w:type="dxa" w:w="1440"/>
            <w:shd w:fill="C6EFCE" w:val="clear"/>
          </w:tcPr>
          <w:p>
            <w:r>
              <w:rPr>
                <w:sz w:val="17"/>
              </w:rPr>
              <w:t>14,391</w:t>
            </w:r>
          </w:p>
        </w:tc>
        <w:tc>
          <w:tcPr>
            <w:tcW w:type="dxa" w:w="1440"/>
            <w:shd w:fill="C6EFCE" w:val="clear"/>
          </w:tcPr>
          <w:p>
            <w:r>
              <w:rPr>
                <w:b/>
                <w:color w:val="008000"/>
                <w:sz w:val="17"/>
              </w:rPr>
              <w:t>+6.4%</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11,054</w:t>
            </w:r>
          </w:p>
        </w:tc>
        <w:tc>
          <w:tcPr>
            <w:tcW w:type="dxa" w:w="1440"/>
            <w:shd w:fill="C6EFCE" w:val="clear"/>
          </w:tcPr>
          <w:p>
            <w:r>
              <w:rPr>
                <w:b/>
                <w:sz w:val="17"/>
              </w:rPr>
              <w:t>12,825</w:t>
            </w:r>
          </w:p>
        </w:tc>
        <w:tc>
          <w:tcPr>
            <w:tcW w:type="dxa" w:w="1440"/>
            <w:shd w:fill="C6EFCE" w:val="clear"/>
          </w:tcPr>
          <w:p>
            <w:r>
              <w:rPr>
                <w:sz w:val="17"/>
              </w:rPr>
              <w:t>14,597</w:t>
            </w:r>
          </w:p>
        </w:tc>
        <w:tc>
          <w:tcPr>
            <w:tcW w:type="dxa" w:w="1440"/>
            <w:shd w:fill="C6EFCE" w:val="clear"/>
          </w:tcPr>
          <w:p>
            <w:r>
              <w:rPr>
                <w:b/>
                <w:color w:val="008000"/>
                <w:sz w:val="17"/>
              </w:rPr>
              <w:t>+6.8%</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10,943</w:t>
            </w:r>
          </w:p>
        </w:tc>
        <w:tc>
          <w:tcPr>
            <w:tcW w:type="dxa" w:w="1440"/>
            <w:shd w:fill="C6EFCE" w:val="clear"/>
          </w:tcPr>
          <w:p>
            <w:r>
              <w:rPr>
                <w:b/>
                <w:sz w:val="17"/>
              </w:rPr>
              <w:t>12,862</w:t>
            </w:r>
          </w:p>
        </w:tc>
        <w:tc>
          <w:tcPr>
            <w:tcW w:type="dxa" w:w="1440"/>
            <w:shd w:fill="C6EFCE" w:val="clear"/>
          </w:tcPr>
          <w:p>
            <w:r>
              <w:rPr>
                <w:sz w:val="17"/>
              </w:rPr>
              <w:t>14,781</w:t>
            </w:r>
          </w:p>
        </w:tc>
        <w:tc>
          <w:tcPr>
            <w:tcW w:type="dxa" w:w="1440"/>
            <w:shd w:fill="C6EFCE" w:val="clear"/>
          </w:tcPr>
          <w:p>
            <w:r>
              <w:rPr>
                <w:b/>
                <w:color w:val="008000"/>
                <w:sz w:val="17"/>
              </w:rPr>
              <w:t>+7.1%</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10,836</w:t>
            </w:r>
          </w:p>
        </w:tc>
        <w:tc>
          <w:tcPr>
            <w:tcW w:type="dxa" w:w="1440"/>
            <w:shd w:fill="C6EFCE" w:val="clear"/>
          </w:tcPr>
          <w:p>
            <w:r>
              <w:rPr>
                <w:b/>
                <w:sz w:val="17"/>
              </w:rPr>
              <w:t>12,892</w:t>
            </w:r>
          </w:p>
        </w:tc>
        <w:tc>
          <w:tcPr>
            <w:tcW w:type="dxa" w:w="1440"/>
            <w:shd w:fill="C6EFCE" w:val="clear"/>
          </w:tcPr>
          <w:p>
            <w:r>
              <w:rPr>
                <w:sz w:val="17"/>
              </w:rPr>
              <w:t>14,948</w:t>
            </w:r>
          </w:p>
        </w:tc>
        <w:tc>
          <w:tcPr>
            <w:tcW w:type="dxa" w:w="1440"/>
            <w:shd w:fill="C6EFCE" w:val="clear"/>
          </w:tcPr>
          <w:p>
            <w:r>
              <w:rPr>
                <w:b/>
                <w:color w:val="008000"/>
                <w:sz w:val="17"/>
              </w:rPr>
              <w:t>+7.3%</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10,730</w:t>
            </w:r>
          </w:p>
        </w:tc>
        <w:tc>
          <w:tcPr>
            <w:tcW w:type="dxa" w:w="1440"/>
            <w:shd w:fill="C6EFCE" w:val="clear"/>
          </w:tcPr>
          <w:p>
            <w:r>
              <w:rPr>
                <w:b/>
                <w:sz w:val="17"/>
              </w:rPr>
              <w:t>12,914</w:t>
            </w:r>
          </w:p>
        </w:tc>
        <w:tc>
          <w:tcPr>
            <w:tcW w:type="dxa" w:w="1440"/>
            <w:shd w:fill="C6EFCE" w:val="clear"/>
          </w:tcPr>
          <w:p>
            <w:r>
              <w:rPr>
                <w:sz w:val="17"/>
              </w:rPr>
              <w:t>15,099</w:t>
            </w:r>
          </w:p>
        </w:tc>
        <w:tc>
          <w:tcPr>
            <w:tcW w:type="dxa" w:w="1440"/>
            <w:shd w:fill="C6EFCE" w:val="clear"/>
          </w:tcPr>
          <w:p>
            <w:r>
              <w:rPr>
                <w:b/>
                <w:color w:val="008000"/>
                <w:sz w:val="17"/>
              </w:rPr>
              <w:t>+7.5%</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10,638</w:t>
            </w:r>
          </w:p>
        </w:tc>
        <w:tc>
          <w:tcPr>
            <w:tcW w:type="dxa" w:w="1440"/>
            <w:shd w:fill="C6EFCE" w:val="clear"/>
          </w:tcPr>
          <w:p>
            <w:r>
              <w:rPr>
                <w:b/>
                <w:sz w:val="17"/>
              </w:rPr>
              <w:t>12,946</w:t>
            </w:r>
          </w:p>
        </w:tc>
        <w:tc>
          <w:tcPr>
            <w:tcW w:type="dxa" w:w="1440"/>
            <w:shd w:fill="C6EFCE" w:val="clear"/>
          </w:tcPr>
          <w:p>
            <w:r>
              <w:rPr>
                <w:sz w:val="17"/>
              </w:rPr>
              <w:t>15,255</w:t>
            </w:r>
          </w:p>
        </w:tc>
        <w:tc>
          <w:tcPr>
            <w:tcW w:type="dxa" w:w="1440"/>
            <w:shd w:fill="C6EFCE" w:val="clear"/>
          </w:tcPr>
          <w:p>
            <w:r>
              <w:rPr>
                <w:b/>
                <w:color w:val="008000"/>
                <w:sz w:val="17"/>
              </w:rPr>
              <w:t>+7.8%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 RAPPORT D'ANALYSE FINANCIÈRE — SDCC (SODECI)</w:t>
        <w:br/>
        <w:t>### Bourse Régionale des Valeurs Mobilières (BRVM) —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108,09 milliards FCFA, un niveau significatif à l'échelle de la BRVM qui positionne la valeur parmi les capitalisations moyennes à grandes de la cote ivoirienne, cohérent avec son statut de concessionnaire historique de l'eau potable. Le BPA de 518 FCFA par action signifie que chaque titre génère environ 518 FCFA de bénéfice net annuel, ce qui, rapporté au cours actuel de 12 010 FCFA, donne un PER de 23,2x — nettement supérieur à la moyenne BRVM (8-12x), signalant que les investisseurs paient une prime de croissance ou que le titre est surévalué. Le P/B de 5,48x confirme cette exigeance : le marché valorise SDCC à plus de cinq fois sa valeur comptable, une prime forte qui traduit la confiance dans la qualité des actifs et la visibilité des cash-flows, mais qui laisse peu de marge de sécurité. Enfin, l'EV/EBITDA de 14,5x, dans la fourchette haute (10-15x), confirme une valorisation tendue de la capacité opérationnelle, cohérente avec un modèle d'utilité régulée à revenus récurrents mais à croissance modérée.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SDCC affiche une variation totale positive de +8,93%, mais la dernière séance (J-1) enregistre une correction marquée de -6,79%, ramenant le cours à 12 010 FCFA. Le range de trading est large, entre un plus bas de 11 000 FCFA et un plus haut de 13 885 FCFA, soit une amplitude d'environ 26% qui témoigne d'une réelle volatilité intra-période malgré un CV modéré. La tendance générale reste haussière sur la période, mais la séance récente suggère une prise de profit ou une réaction à un facteur défavorable, le cours revenant sous ses moyennes mobiles. Les statistiques descriptives révèlent une moyenne de 12 222 FCFA légèrement supérieure à la médiane de 12 008 FCFA, avec un mode à 11 900 FCFA : l'écart faible entre moyenne et médiane indique une distribution quasi symétrique, confirmée par un skewness de 0,414 (asymétrie légère à droite, interprétée comme symétrique). L'écart-type de 693 FCFA (CV = 5,7%) traduit une dispersion contenue autour de la moyenne, tandis que le kurtosis de -0,474 (mésokurtique) suggère une distribution proche de la normale, sans risque de pics extrêmes prononcé. La volatilité annualisée de 38,9% classe toutefois le titre dans la catégorie des valeurs à volatilité élevée (&gt;30%), ce qui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(12 631,25 FCFA) et la MM50 (12 667,10 FCFA) se situent toutes deux au-dessus du cours actuel (12 010 FCFA), et sont quasi confondues, signe d'un marché sans tendance directionnelle forte sur les deux horizons. Le cours évoluant sous ses moyennes, la configuration est baissière à court terme, ce qui justifie la décision technique de **Vente**.</w:t>
      </w:r>
    </w:p>
    <w:p>
      <w:pPr>
        <w:spacing w:after="120" w:line="276" w:lineRule="auto"/>
      </w:pPr>
      <w:r>
        <w:t>**Bandes de Bollinger** : Le cours (12 010 FCFA) se situe dans la moitié inférieure de la bande, entre la borne inférieure (11 551,27 FCFA) et la borne supérieure (13 711,24 FCFA), sans franchissement des extrêmes. L'absence de contact avec les bornes traduit une volatilité normale et une absence de signal extrême, d'où la décision **Neutre** : le titre n'est ni en survente technique ni en surachat.</w:t>
      </w:r>
    </w:p>
    <w:p>
      <w:pPr>
        <w:spacing w:after="120" w:line="276" w:lineRule="auto"/>
      </w:pPr>
      <w:r>
        <w:t>**MACD** : La valeur du MACD (-8,349) est nettement inférieure à sa ligne de signal (52,687), configuration baissière classique avec un momentum négatif. La divergence négative entre les deux lignes confirme la pression vendeuse récente, justifiant pleinement la décision **Vente**.</w:t>
      </w:r>
    </w:p>
    <w:p>
      <w:pPr>
        <w:spacing w:after="120" w:line="276" w:lineRule="auto"/>
      </w:pPr>
      <w:r>
        <w:t>**RSI** : À 30,321, l'indicateur se situe juste au-dessus du seuil de survente (30), dans la zone neutre basse. Le titre n'est pas encore techniquement en survente, mais s'en approche, ce qui explique la décision **Neutre** : un rebond technique devient possible mais n'est pas encore confirmé.</w:t>
      </w:r>
    </w:p>
    <w:p>
      <w:pPr>
        <w:spacing w:after="120" w:line="276" w:lineRule="auto"/>
      </w:pPr>
      <w:r>
        <w:t>**Stochastique** : Le %K à 0,0 (extrême bas) contre un %D à 39,42 traduit un positionnement en survente profonde du %K, avec un croisement potentiel à venir. Cette configuration extrême justifie la décision **Achat** : le stochastique anticipe un rebond à court terme, en divergence avec les autres indicateurs.</w:t>
      </w:r>
    </w:p>
    <w:p>
      <w:pPr>
        <w:spacing w:after="120" w:line="276" w:lineRule="auto"/>
      </w:pPr>
      <w:r>
        <w:t>**Conclusion technique** : Les indicateurs sont majoritairement baissiers (MM sous le cours, MACD négatif) mais le RSI et surtout le stochastique signalent une survente proche, créant une divergence classique entre momentum baissier et excès de baisse. La correction de -6,79% en J-1 a probablement purgé une partie de la pression vendeuse, et un rebond technique est plausible à court terme, mais la configuration globale reste fragile tant que le cours n'aura pas reconquis la zone des 12 630-12 670 FCFA (MM20/MM50).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SDCC affiche un chiffre d'affaires de 189,430 milliards FCFA, en croissance de 9,98% selon les données structurées, avec un résultat net de 4,663 milliards FCFA (marge nette de 2,46%). Le ROE s'établit à 23,65%, un niveau excellent (&gt;15%) qui témoigne d'une forte rentabilité des fonds propres malgré des capitaux propres limités (19,716 milliards FCFA) et une autonomie financière très faible (4,17%). Le ROA reste modeste à 0,99%, reflet d'un modèle à forte intensité d'actifs (total actif de 472,672 milliards FCFA) et de marges nettes compressées. Sur le plan du **secteur ENTREPRISE**, les délais clients atteignent 749 jours (créances clients de 388,852 milliards FCFA, soit 82% du total actif), un niveau extrêmement élevé qui constitue le principal risque de trésorerie : le BFR de 104,748 milliards FCFA et une trésorerie nette de -61,710 milliards FCFA confirment cette tension, avec un flux opérationnel négatif de -36,655 milliards FCFA et un Free Cash Flow de -38,504 milliards FCFA. L'endettement est lourd (dettes financières totales de 145,939 milliards FCFA, ratio d'endettement de 95,83%), mais la capacité de remboursement reste acceptable (8,18 années de CAF) et la couverture des intérêts est excellente (1 583%), les charges financières n'étant que de 575 millions FCFA.</w:t>
      </w:r>
    </w:p>
    <w:p>
      <w:pPr>
        <w:spacing w:after="120" w:line="276" w:lineRule="auto"/>
      </w:pPr>
      <w:r>
        <w:t>**Évolution et rapports narratifs** : Le rapport annuel 2025 (publié en 2025) confirme la croissance du CA de 10% à 189,4 milliards FCFA et du résultat net de 31% à 4,663 milliards FCFA, avec un EBE en hausse de 21% et un résultat d'exploitation en progression de 34%, ainsi qu'un dividende de 525 FCFA par action (rendement d'environ 4,4% au cours actuel). Le rapport du T1 2026 (daté de 2026) révèle un CA en léger repli de -2% à 40 916 millions FCFA, mais un résultat d'exploitation multiplié par 2,5 (+150% à 2 730 millions FCFA) et un résultat net bondissant de +118% à 1 318 millions FCFA (marge nette de 3,2%), grâce à une meilleure maîtrise des charges opérationnelles — une amélioration de la qualité des bénéfices qui contraste avec la stagnation du chiffre d'affaires. Les rapports antérieurs (S1 2025 daté du 30/06/2025, T1 2025 daté du 31/03/2025, exercice 2024 daté du 31/12/2024) montrent une trajectoire de redressement : après un S1 2025 en demi-teinte (RN -24% à 1,355 milliard FCFA) et un exercice 2024 en baisse (RN -27% à 3,6 milliards FCFA), la dynamique s'est inversée au second semestre 2025 puis au T1 2026. **Estimation** : sur la base du T1 2026 (RN de 1 318 millions FCFA, soit environ 28% du RN annuel 2025), on peut estimer que l'exercice 2026 devrait confirmer la reprise, avec un résultat net potentiellement supérieur à 5 milliards FCFA si la maîtrise des charges se poursuit, malgré la pression fiscale (+476% d'impôt au T1 2026).</w:t>
      </w:r>
    </w:p>
    <w:p>
      <w:pPr>
        <w:spacing w:after="120" w:line="276" w:lineRule="auto"/>
      </w:pPr>
      <w:r>
        <w:t>**Conclusion fondamentale** : SDCC présente un profil de société d'utilité régulée solide (position de monopole, revenus récurrents, 2,27 millions de clients en croissance de 6,14%), avec une rentabilité des fonds propres excellente (ROE 23,65%) et une amélioration opérationnelle récente marquée. Les risques majeurs sont la tension de trésorerie structurelle (délais clients de 749 jours, FCF négatif), la faible autonomie financière (4,17%) et la valorisation exigeante. La recommandation fondamentale est **CONSERVER**, avec un biais positif lié à la dynamique du T1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(Partie 0)** : le PER de 23,2x, le P/B de 5,48x et l'EV/EBITDA de 14,5x indiquent une nette surévaluation relative au marché BRVM (PER moyen 8-12x), laissant peu de marge de sécurité malgré la qualité de la signature. **Comportement du cours (Partie 1)** : la tendance haussière de +8,93% sur 100 jours est fragilisée par la correction de -6,79% en J-1, avec une volatilité élevée (38,9%) mais des statistiques rassurantes (distribution symétrique, kurtosis mésokurtique, CV de 5,7%). **Signaux techniques (Partie 2)** : divergence entre les indicateurs baissiers (MM, MACD) et les signaux de survente (RSI à 30,3, stochastique à 0), plaidant pour un rebond technique à court terme sans inversion de tendance confirmée. **Fondamentaux (Partie 3)** : solidité du modèle (ROE 23,65%, CA +10% en 2025, RN +31%) et amélioration spectaculaire au T1 2026 (RN +118%), mais trésorerie structurellement tendue (FCF -38,5 milliards FCFA, délais clients de 749 jours). **Prédictions IA (J+1 à J+10)** : la trajectoire projetée (12 559 → 12 780 FCFA, soit +6,4% sur 5 séances) confirme le scénario de rebond technique esquissé par le stochastique et le RSI, en cohérence avec la dynamique fondamentale du T1 2026.</w:t>
      </w:r>
    </w:p>
    <w:p>
      <w:pPr>
        <w:spacing w:after="120" w:line="276" w:lineRule="auto"/>
      </w:pPr>
      <w:r>
        <w:t>**Recommandation finale : CONSERVER** (avec biais positif à moyen terme). La convergence est partielle : les fondamentaux (ROE excellent, reprise du T1 2026, dividende de 525 FCFA) et les prédictions IA (rebond de +6,4%) soutiennent le titre, mais la valorisation exigeante (PER 23,2x) et les signaux techniques baissiers à court terme (MM, MACD) limitent le potentiel d'appréciation immédiat. **Niveau de confiance : Moyen** — la visibilité sur la poursuite de l'amélioration opérationnelle est bonne, mais la tension de trésorerie et la surévaluation relative tempèrent l'enthousiasme. **Niveau de risque global : Moyen à Élevé** — volatilité de 38,9%, faible autonomie financière (4,17%) et dépendance aux délais de recouvrement (749 jours) constituent des facteurs de vigilance. **Horizon d'investissement optimal : moyen terme (3-12 mois)**, le temps que la dynamique du T1 2026 se confirme sur l'exercice complet et que le cours reconquière ses moyennes mobiles (12 630-12 670 FCFA) pour valider une reprise durable.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163.31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17,699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+65.75%</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1,810 FCFA</w:t>
            </w:r>
          </w:p>
          <w:p>
            <w:r>
              <w:rPr>
                <w:b/>
                <w:color w:val="503200"/>
                <w:sz w:val="16"/>
              </w:rPr>
              <w:t xml:space="preserve">Volatilité ann. : </w:t>
            </w:r>
            <w:r>
              <w:rPr>
                <w:color w:val="000000"/>
                <w:sz w:val="17"/>
              </w:rPr>
              <w:t>53.0%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13.04% (Moyenne) — μ=2,644 FCFA, σ=345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β=0.5334 (Défensif) — Cov=0.000042, Var(idx)=0.000078, ρ=0.141,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17,699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σ_j=3.34%/j (Modérée) — Vol. annualisée≈53.0%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2,855</w:t>
            </w:r>
          </w:p>
        </w:tc>
        <w:tc>
          <w:tcPr>
            <w:tcW w:type="dxa" w:w="1440"/>
            <w:shd w:fill="FAFAFA" w:val="clear"/>
          </w:tcPr>
          <w:p>
            <w:r>
              <w:rPr>
                <w:b/>
                <w:sz w:val="17"/>
              </w:rPr>
              <w:t>3,006</w:t>
            </w:r>
          </w:p>
        </w:tc>
        <w:tc>
          <w:tcPr>
            <w:tcW w:type="dxa" w:w="1440"/>
            <w:shd w:fill="FAFAFA" w:val="clear"/>
          </w:tcPr>
          <w:p>
            <w:r>
              <w:rPr>
                <w:sz w:val="17"/>
              </w:rPr>
              <w:t>3,156</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2,780</w:t>
            </w:r>
          </w:p>
        </w:tc>
        <w:tc>
          <w:tcPr>
            <w:tcW w:type="dxa" w:w="1440"/>
            <w:shd w:fill="FAFAFA" w:val="clear"/>
          </w:tcPr>
          <w:p>
            <w:r>
              <w:rPr>
                <w:b/>
                <w:sz w:val="17"/>
              </w:rPr>
              <w:t>2,993</w:t>
            </w:r>
          </w:p>
        </w:tc>
        <w:tc>
          <w:tcPr>
            <w:tcW w:type="dxa" w:w="1440"/>
            <w:shd w:fill="FAFAFA" w:val="clear"/>
          </w:tcPr>
          <w:p>
            <w:r>
              <w:rPr>
                <w:sz w:val="17"/>
              </w:rPr>
              <w:t>3,205</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2,721</w:t>
            </w:r>
          </w:p>
        </w:tc>
        <w:tc>
          <w:tcPr>
            <w:tcW w:type="dxa" w:w="1440"/>
            <w:shd w:fill="FAFAFA" w:val="clear"/>
          </w:tcPr>
          <w:p>
            <w:r>
              <w:rPr>
                <w:b/>
                <w:sz w:val="17"/>
              </w:rPr>
              <w:t>2,980</w:t>
            </w:r>
          </w:p>
        </w:tc>
        <w:tc>
          <w:tcPr>
            <w:tcW w:type="dxa" w:w="1440"/>
            <w:shd w:fill="FAFAFA" w:val="clear"/>
          </w:tcPr>
          <w:p>
            <w:r>
              <w:rPr>
                <w:sz w:val="17"/>
              </w:rPr>
              <w:t>3,238</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2,673</w:t>
            </w:r>
          </w:p>
        </w:tc>
        <w:tc>
          <w:tcPr>
            <w:tcW w:type="dxa" w:w="1440"/>
            <w:shd w:fill="FAFAFA" w:val="clear"/>
          </w:tcPr>
          <w:p>
            <w:r>
              <w:rPr>
                <w:b/>
                <w:sz w:val="17"/>
              </w:rPr>
              <w:t>2,971</w:t>
            </w:r>
          </w:p>
        </w:tc>
        <w:tc>
          <w:tcPr>
            <w:tcW w:type="dxa" w:w="1440"/>
            <w:shd w:fill="FAFAFA" w:val="clear"/>
          </w:tcPr>
          <w:p>
            <w:r>
              <w:rPr>
                <w:sz w:val="17"/>
              </w:rPr>
              <w:t>3,269</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2026-10-27</w:t>
            </w:r>
          </w:p>
        </w:tc>
        <w:tc>
          <w:tcPr>
            <w:tcW w:type="dxa" w:w="1440"/>
            <w:shd w:fill="FAFAFA" w:val="clear"/>
          </w:tcPr>
          <w:p>
            <w:r>
              <w:rPr>
                <w:sz w:val="17"/>
              </w:rPr>
              <w:t>2,632</w:t>
            </w:r>
          </w:p>
        </w:tc>
        <w:tc>
          <w:tcPr>
            <w:tcW w:type="dxa" w:w="1440"/>
            <w:shd w:fill="FAFAFA" w:val="clear"/>
          </w:tcPr>
          <w:p>
            <w:r>
              <w:rPr>
                <w:b/>
                <w:sz w:val="17"/>
              </w:rPr>
              <w:t>2,965</w:t>
            </w:r>
          </w:p>
        </w:tc>
        <w:tc>
          <w:tcPr>
            <w:tcW w:type="dxa" w:w="1440"/>
            <w:shd w:fill="FAFAFA" w:val="clear"/>
          </w:tcPr>
          <w:p>
            <w:r>
              <w:rPr>
                <w:sz w:val="17"/>
              </w:rPr>
              <w:t>3,297</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2026-10-28</w:t>
            </w:r>
          </w:p>
        </w:tc>
        <w:tc>
          <w:tcPr>
            <w:tcW w:type="dxa" w:w="1440"/>
            <w:shd w:fill="FAFAFA" w:val="clear"/>
          </w:tcPr>
          <w:p>
            <w:r>
              <w:rPr>
                <w:sz w:val="17"/>
              </w:rPr>
              <w:t>2,596</w:t>
            </w:r>
          </w:p>
        </w:tc>
        <w:tc>
          <w:tcPr>
            <w:tcW w:type="dxa" w:w="1440"/>
            <w:shd w:fill="FAFAFA" w:val="clear"/>
          </w:tcPr>
          <w:p>
            <w:r>
              <w:rPr>
                <w:b/>
                <w:sz w:val="17"/>
              </w:rPr>
              <w:t>2,960</w:t>
            </w:r>
          </w:p>
        </w:tc>
        <w:tc>
          <w:tcPr>
            <w:tcW w:type="dxa" w:w="1440"/>
            <w:shd w:fill="FAFAFA" w:val="clear"/>
          </w:tcPr>
          <w:p>
            <w:r>
              <w:rPr>
                <w:sz w:val="17"/>
              </w:rPr>
              <w:t>3,323</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2026-10-29</w:t>
            </w:r>
          </w:p>
        </w:tc>
        <w:tc>
          <w:tcPr>
            <w:tcW w:type="dxa" w:w="1440"/>
            <w:shd w:fill="FAFAFA" w:val="clear"/>
          </w:tcPr>
          <w:p>
            <w:r>
              <w:rPr>
                <w:sz w:val="17"/>
              </w:rPr>
              <w:t>2,563</w:t>
            </w:r>
          </w:p>
        </w:tc>
        <w:tc>
          <w:tcPr>
            <w:tcW w:type="dxa" w:w="1440"/>
            <w:shd w:fill="FAFAFA" w:val="clear"/>
          </w:tcPr>
          <w:p>
            <w:r>
              <w:rPr>
                <w:b/>
                <w:sz w:val="17"/>
              </w:rPr>
              <w:t>2,955</w:t>
            </w:r>
          </w:p>
        </w:tc>
        <w:tc>
          <w:tcPr>
            <w:tcW w:type="dxa" w:w="1440"/>
            <w:shd w:fill="FAFAFA" w:val="clear"/>
          </w:tcPr>
          <w:p>
            <w:r>
              <w:rPr>
                <w:sz w:val="17"/>
              </w:rPr>
              <w:t>3,348</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2026-10-30</w:t>
            </w:r>
          </w:p>
        </w:tc>
        <w:tc>
          <w:tcPr>
            <w:tcW w:type="dxa" w:w="1440"/>
            <w:shd w:fill="FAFAFA" w:val="clear"/>
          </w:tcPr>
          <w:p>
            <w:r>
              <w:rPr>
                <w:sz w:val="17"/>
              </w:rPr>
              <w:t>2,533</w:t>
            </w:r>
          </w:p>
        </w:tc>
        <w:tc>
          <w:tcPr>
            <w:tcW w:type="dxa" w:w="1440"/>
            <w:shd w:fill="FAFAFA" w:val="clear"/>
          </w:tcPr>
          <w:p>
            <w:r>
              <w:rPr>
                <w:b/>
                <w:sz w:val="17"/>
              </w:rPr>
              <w:t>2,951</w:t>
            </w:r>
          </w:p>
        </w:tc>
        <w:tc>
          <w:tcPr>
            <w:tcW w:type="dxa" w:w="1440"/>
            <w:shd w:fill="FAFAFA" w:val="clear"/>
          </w:tcPr>
          <w:p>
            <w:r>
              <w:rPr>
                <w:sz w:val="17"/>
              </w:rPr>
              <w:t>3,370</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2026-11-02</w:t>
            </w:r>
          </w:p>
        </w:tc>
        <w:tc>
          <w:tcPr>
            <w:tcW w:type="dxa" w:w="1440"/>
            <w:shd w:fill="FAFAFA" w:val="clear"/>
          </w:tcPr>
          <w:p>
            <w:r>
              <w:rPr>
                <w:sz w:val="17"/>
              </w:rPr>
              <w:t>2,504</w:t>
            </w:r>
          </w:p>
        </w:tc>
        <w:tc>
          <w:tcPr>
            <w:tcW w:type="dxa" w:w="1440"/>
            <w:shd w:fill="FAFAFA" w:val="clear"/>
          </w:tcPr>
          <w:p>
            <w:r>
              <w:rPr>
                <w:b/>
                <w:sz w:val="17"/>
              </w:rPr>
              <w:t>2,948</w:t>
            </w:r>
          </w:p>
        </w:tc>
        <w:tc>
          <w:tcPr>
            <w:tcW w:type="dxa" w:w="1440"/>
            <w:shd w:fill="FAFAFA" w:val="clear"/>
          </w:tcPr>
          <w:p>
            <w:r>
              <w:rPr>
                <w:sz w:val="17"/>
              </w:rPr>
              <w:t>3,391</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2026-11-03</w:t>
            </w:r>
          </w:p>
        </w:tc>
        <w:tc>
          <w:tcPr>
            <w:tcW w:type="dxa" w:w="1440"/>
            <w:shd w:fill="FAFAFA" w:val="clear"/>
          </w:tcPr>
          <w:p>
            <w:r>
              <w:rPr>
                <w:sz w:val="17"/>
              </w:rPr>
              <w:t>2,477</w:t>
            </w:r>
          </w:p>
        </w:tc>
        <w:tc>
          <w:tcPr>
            <w:tcW w:type="dxa" w:w="1440"/>
            <w:shd w:fill="FAFAFA" w:val="clear"/>
          </w:tcPr>
          <w:p>
            <w:r>
              <w:rPr>
                <w:b/>
                <w:sz w:val="17"/>
              </w:rPr>
              <w:t>2,944</w:t>
            </w:r>
          </w:p>
        </w:tc>
        <w:tc>
          <w:tcPr>
            <w:tcW w:type="dxa" w:w="1440"/>
            <w:shd w:fill="FAFAFA" w:val="clear"/>
          </w:tcPr>
          <w:p>
            <w:r>
              <w:rPr>
                <w:sz w:val="17"/>
              </w:rPr>
              <w:t>3,411</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 RAPPORT D'ANALYSE FINANCIÈRE — SDSC (AGL Côte d'Ivoire)</w:t>
        <w:br/>
        <w:t>## Bourse Régionale des Valeurs Mobilières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163,31 milliards FCFA, SDSC s'inscrit parmi les valeurs significatives de la cote BRVM, reflétant la taille substantielle de son activité logistique (CA de 92 milliards FCFA en 2025). Le BPA de 14 FCFA/action traduit un bénéfice net par titre extrêmement faible, conséquence directe de l'effondrement du résultat net à 784,97 millions FCFA en 2025. Le PER de 208,0x constitue un signal d'alerte majeur : les investisseurs paient plus de 200 fois les bénéfices actuels, soit un niveau très éloigné de la moyenne BRVM (8-12x), ce qui traduit une anticipation de forte reprise bénéficiaire ou, plus probablement, une surévaluation spéculative. Le P/B de 2,22x indique que le marché valorise le titre à plus du double de sa valeur comptable (capitaux propres de 73,55 milliards FCFA), accordant une prime de croissance qui reste à justifier par les résultats. Enfin, l'EV/EBITDA de 23,2x (très supérieur au seuil de 15x) confirme que la valeur d'entreprise est très exigeante au regard de la capacité opérationnelle actuelle (EBE de 4,26 milliards FCFA), soulignant un décalage prononcé entre prix de marché et performance fondamentale.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SDSC affiche une performance spectaculaire de +65,75%, avec une dernière séance en hausse de +4,71% portant le cours à 3 000 FCFA. Le range de trading est particulièrement large, oscillant entre un plus bas de 1 810 FCFA et un plus haut de 3 205 FCFA, soit une amplitude de près de 77% qui témoigne d'une dynamique haussière puissante mais aussi d'une forte nervosité. La tendance générale est clairement haussière, le cours actuel (3 000 FCFA) se situant à environ 66% au-dessus du plancher de la période. Les statistiques descriptives révèlent une distribution asymétrique : la moyenne (2 644 FCFA) est inférieure à la médiane (2 705 FCFA), confirmant un skewness négatif (-0,570) indiquant davantage de journées de cotation au-dessus de la moyenne, typique d'une phase de consolidation après un pic. L'écart-type de 347 FCFA (CV de 13,1%) traduit une dispersion modérée autour de la tendance, tandis que le kurtosis de -0,548 (mésokurtique) suggère une distribution proche de la normale, sans pics extrêmes marqués — un profil relativement « lissé » pour un titre ayant autant progressé. La volatilité annualisée de 53,0% place SDSC dans la catégorie des titres à volatilité élevée (&gt;30%), ce qui implique un risque de marché important et justifie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(2 961 FCFA) et la MM50 (2 902,6 FCFA) se situent toutes deux sous le cours actuel (3 000 FCFA), configurant un alignement haussier classique où le cours surplombe ses moyennes. La MM20 étant supérieure à la MM50, la structure est positive à court terme, ce qui justifie la décision technique « Achat » malgré le caractère récent de la poussée.</w:t>
      </w:r>
    </w:p>
    <w:p>
      <w:pPr>
        <w:spacing w:after="120" w:line="276" w:lineRule="auto"/>
      </w:pPr>
      <w:r>
        <w:t>**Bandes de Bollinger** : Le cours (3 000 FCFA) évolue dans la partie haute de la bande, entre la borne inférieure (2 765,8 FCFA) et la borne supérieure (3 156,2 FCFA), sans franchissement de cette dernière. Cette position centrale-haute, couplée à un écartement modéré des bandes, traduit une volatilité contenue et une absence de signal extrême, d'où la décision « Neutre ».</w:t>
      </w:r>
    </w:p>
    <w:p>
      <w:pPr>
        <w:spacing w:after="120" w:line="276" w:lineRule="auto"/>
      </w:pPr>
      <w:r>
        <w:t>**MACD** : La valeur du MACD (16,514) est inférieure à sa ligne de signal (28,055), configuration baissière qui indique un essoufflement du momentum haussier malgré la progression du cours. Cette divergence négative — le cours monte mais le MACD décroche — justifie pleinement la décision « Vente » et constitue un signal de prudence sur la durabilité de la tendance.</w:t>
      </w:r>
    </w:p>
    <w:p>
      <w:pPr>
        <w:spacing w:after="120" w:line="276" w:lineRule="auto"/>
      </w:pPr>
      <w:r>
        <w:t>**RSI** : À 49,339, le RSI se situe exactement en zone neutre (30-70), à mi-chemin entre surachat et survente. Cette valeur équilibrée indique que le titre n'est ni surétiré ni survendu après la forte hausse, laissant une marge de manœuvre dans les deux directions et justifiant la décision « Neutre ».</w:t>
      </w:r>
    </w:p>
    <w:p>
      <w:pPr>
        <w:spacing w:after="120" w:line="276" w:lineRule="auto"/>
      </w:pPr>
      <w:r>
        <w:t>**Stochastique** : Le %K (58,333) est nettement supérieur au %D (21,528), configuration haussière avec un croisement récent à la hausse qui suggère un regain de momentum à court terme. Toutefois, le %K n'ayant pas atteint la zone de surachat (&gt;80), le signal reste modéré et justifie la décision « Neutre » plutôt qu'un achat agressif.</w:t>
      </w:r>
    </w:p>
    <w:p>
      <w:pPr>
        <w:spacing w:after="120" w:line="276" w:lineRule="auto"/>
      </w:pPr>
      <w:r>
        <w:t>**Conclusion technique** : Les indicateurs présentent un tableau mitigé, voire contradictoire. Les moyennes mobiles restent haussières et le stochastique signale un rebond, mais le MACD en configuration de vente et le RSI neutre tempèrent l'optimisme. Le titre évolue dans un no man's land technique après sa forte progression, avec un risque de consolidation à court terme. La convergence n'est pas suffisante pour valider un nouvel élan haussier durable ; la prudence domine.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SDSC (AGL Côte d'Ivoire) affiche un chiffre d'affaires de 92,004 milliards FCFA, en croissance de 7,43% par rapport à 2024 (85,643 milliards FCFA), portée par le cœur de métier logistique. Cependant, le résultat net s'effondre à 784,97 millions FCFA contre 21,07 milliards FCFA en 2024, soit une chute de 96%, ramenant la marge nette à 0,85% (contre 24,6% en 2024). Le résultat d'exploitation devient négatif (-2,271 milliards FCFA), pénalisé par la hausse des dotations aux amortissements (9,043 milliards FCFA) et des charges de personnel (36,205 milliards FCFA) ; le bénéfice net n'est sauvé que par le résultat financier (7,080 milliards FCFA, en baisse de 66%). Les ratios de rentabilité sont très dégradés : ROE de 1,07% (très loin du seuil de 15% « excellent ») et ROA de 0,30%. La structure financière reste néanmoins solide : capitaux propres de 73,55 milliards FCFA, autonomie financière de 28,35% (légèrement sous le seuil sain de 30%), trésorerie nette de 74,78 milliards FCFA et flux opérationnel de 83,20 milliards FCFA. Le BFR est négatif (-57,34 milliards FCFA), configuration favorable pour une entreprise, signe d'un financement par les fournisseurs et d'une bonne gestion du cycle d'exploitation. **Estimations issues des rapports trimestriels** : le rapport du T3 2025 (daté du 30/09/2025) confirme un CA de 66,217 milliards FCFA (+7,4%) mais un résultat net trimestriel en chute de 77% (4,341 milliards FCFA), attribuée à la baisse des dividendes des filiales ; le rapport du S1 2025 (30/06/2025) faisait déjà état d'un résultat net négatif (-427 millions FCFA) et d'un résultat d'exploitation déficitaire (-662 millions FCFA). On estime donc que l'exercice 2025 clôture sur une dégradation structurelle de la rentabilité opérationnelle, masquée en partie par les revenus financiers des filiales. **Évolution pluriannuelle** : après un exercice 2024 exceptionnel (résultat net de 21,07 milliards FCFA, marge nette de 24,6%), 2025 marque un retournement brutal, avec un dividende total proposé de seulement 544,35 millions FCFA (contre 5,008 milliards FCFA versés au titre de 2024, soit -89%). **Recommandation fondamentale** : la solidité du bilan (trésorerie, capitaux propres) et la croissance du CA constituent des atouts, mais l'effondrement de la rentabilité opérationnelle, la dépendance aux revenus financiers volatils des filiales et les manquements réglementaires signalés par les auditeurs (retards de publication, non-respect des articles 23 et 525 de l'AU OHADA) imposent une grande prudence. Le profil fondamental est celui d'une entreprise solide mais dont la rentabilité s'est temporairement — ou structurellement — dégradée.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des signaux profondément divergents. **Valorisation (Partie 0)** : le PER de 208x, le P/B de 2,22x et l'EV/EBITDA de 23,2x indiquent une surévaluation manifeste au regard des bénéfices et de la capacité opérationnelle actuels — le marché intègre une hypothèse de reprise qui n'est pas encore visible dans les comptes. **Comportement du cours (Partie 1)** : la hausse de +65,75% sur 100 jours, la volatilité élevée (53%) et le skewness négatif suggèrent un titre en fin de phase d'euphorie, avec un risque de correction après le pic de 3 205 FCFA. **Signaux techniques (Partie 2)** : ils sont mitigés — moyennes mobiles haussières et stochastique positif, mais MACD en vente et RSI neutre, sans convergence claire. **Fondamentaux (Partie 3)** : la croissance du CA (+7,4%) et la trésorerie abondante contrastent avec l'effondrement du résultat net (-96%), la marge nette de 0,85% et le dividende réduit de 89%, tandis que les rapports trimestriels 2025 confirment la dégradation opérationnelle. **Prédictions IA (J+1 à J+10)** : la trajectoire projetée (3 006 → 2 965 FCFA) anticipe une légère consolidation baissière, cohérente avec le MACD vendeur et le caractère surévalué du titre. **Recommandation finale : CONSERVER (avec vigilance accrue)**. La convergence entre valorisation tendue, technique sans élan et fondamentaux dégradés ne plaide pas pour un achat, tandis que la solidité du bilan et la croissance du CA interdisent une vente précipitée. Le niveau de confiance est **Moyen** (données 2025 complètes mais rapports d'audit signalant des faiblesses de gouvernance) et le niveau de risque global **Élevé** (volatilité de 53%, PER extrême, dépendance aux revenus financiers). L'horizon d'investissement optimal est le **moyen terme (3-12 mois)**, le temps de vérifier si la direction restaure les marges opérationnelles au premier semestre 2026 ; un investisseur déjà positionné peut conserver en surveillant le seuil de 2 765 FCFA (borne inférieure de Bollinger) comme niveau d'alerte, tandis qu'un nouvel entrant devrait attendre une correction vers des niveaux plus raisonnables avant d'envisager une exposition.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N/D</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13.8/100 → Faible</w:t>
      </w:r>
    </w:p>
    <w:p>
      <w:pPr>
        <w:spacing w:before="40" w:after="80"/>
      </w:pPr>
      <w:r>
        <w:rPr>
          <w:rFonts w:ascii="Courier New" w:hAnsi="Courier New"/>
          <w:color w:val="006400"/>
          <w:sz w:val="18"/>
        </w:rPr>
        <w:t>██░░░░░░░░░░░░░░░░░░  13.8/100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β=1.0368 (Neutre (suit le marché)) — Cov=0.000042, Var(idx)=0.000040, ρ=0.227, n=77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SEMC (BRVM)**</w:t>
        <w:br/>
        <w:t>*Date d'analyse : mars 2026 | Cours de référence : 1 495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place parmi les valeurs industrielles de second rang, bien loin des mastodontes bancaires et télécoms de la cote. Les ratios de valorisation boursière (BPA, PER, P/B, EV/EBITDA) ne sont pas calculables en l'état, faute de données financières structurées exploitables dans la base (les états financiers disponibles étant anciens et non consolidés dans le module de ratios). On peut néanmoins estimer, à titre indicatif, qu'avec un résultat net 2023 de 1,01 milliard FCFA (rapport du 31/12/2023) et une capitalisation de 37,66 Mds FCFA, le PER implicite ressortirait autour de 37x — un niveau très supérieur à la moyenne BRVM (8-12x), signalant une valorisation tendue au regard des bénéfices les plus récents. Cette cherté apparente s'explique toutefois par la chute du résultat net 2023 (-74 %), et non par une prime de croissance : l'investisseur paie aujourd'hui le titre sur des perspectives de redressement (rachat Sonoco, relance 2024) plutôt que sur les bénéfices réalisés.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 avec une dernière séance encore négative à -1,64 %, confirmant une tendance baissière persistante. Le cours actuel (1 495 FCFA) évolue dans un range de 1 350 à 1 800 FCFA, soit une amplitude de 33 %, et se situe désormais dans la moitié basse de cette fourchette, non loin du plancher. La moyenne (1 527 FCFA) est légèrement supérieure à la médiane (1 520 FCFA), tandis que le mode (1 500 FCFA) coïncide presque avec le cours actuel : la distribution est donc faiblement asymétrique, cohérente avec un skewness positif de 0,558 qui indique davantage de séances sous la moyenne que de pics haussiers. L'écart-type de 69 FCFA (CV de 4,5 %) traduit une dispersion modérée en niveau, mais le kurtosis de 1,652 (leptokurtique) signale des queues épaisses, donc un risque de mouvements brusques et de pics de volatilité. La volatilité annualisée de 47,2 % classe clairement le titre dans la catégorie des valeurs à volatilité élevée (&gt;30 %), ce qui est préoccupant pour un profil défensif et impose une gestion stricte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et MM50 ne sont pas calculables (valeurs non disponibles), ce qui empêche de juger de la position relative du cours par rapport à ses tendances court et moyen terme. La décision technique reste donc neutre sur ce point, mais la tendance baissière de -16,94 % sur 100 jours suggère que le cours évolue vraisemblablement sous ses moyennes mobiles, configuration défavorable.</w:t>
      </w:r>
    </w:p>
    <w:p>
      <w:pPr>
        <w:spacing w:after="120" w:line="276" w:lineRule="auto"/>
      </w:pPr>
      <w:r>
        <w:t>**Bandes de Bollinger** : Les bornes supérieure et inférieure ne sont pas disponibles, rendant impossible l'évaluation de la position du cours dans le canal de volatilité. Compte tenu de la volatilité élevée (47,2 %), les bandes seraient vraisemblablement larges, mais l'absence de données impose une décision neutre.</w:t>
      </w:r>
    </w:p>
    <w:p>
      <w:pPr>
        <w:spacing w:after="120" w:line="276" w:lineRule="auto"/>
      </w:pPr>
      <w:r>
        <w:t>**MACD** : La valeur du MACD et sa ligne de signal ne sont pas fournies ; aucune divergence ni momentum ne peut être analysé. La décision reste neutre, mais le contexte baissier plaide pour un momentum négatif sous-jacent.</w:t>
      </w:r>
    </w:p>
    <w:p>
      <w:pPr>
        <w:spacing w:after="120" w:line="276" w:lineRule="auto"/>
      </w:pPr>
      <w:r>
        <w:t>**RSI** : Le RSI n'est pas calculable. En l'absence de valeur, on ne peut conclure à une zone de surachat (&gt;70) ou de survente (&lt;30) ; la décision est neutre, avec une vigilance accrue vu la proximité du plus bas (1 350 FCFA) qui pourrait générer une survente technique.</w:t>
      </w:r>
    </w:p>
    <w:p>
      <w:pPr>
        <w:spacing w:after="120" w:line="276" w:lineRule="auto"/>
      </w:pPr>
      <w:r>
        <w:t>**Stochastique** : Les %K et %D ne sont pas disponibles, empêchant l'analyse d'un éventuel croisement. Décision neutre, sans signal exploitable.</w:t>
      </w:r>
    </w:p>
    <w:p>
      <w:pPr>
        <w:spacing w:after="120" w:line="276" w:lineRule="auto"/>
      </w:pPr>
      <w:r>
        <w:t>**Conclusion technique** : L'ensemble des indicateurs techniques étant indisponibles (valeurs non calculées), la lecture technique se limite au comportement du cours : tendance baissière marquée (-16,94 %), volatilité élevée (47,2 %) et distribution leptokurtique. La configuration est défavorable à court terme, sans signal de retournement identifiable ; la prudence s'impose tant que le cours n'aura pas stabilisé au-dessus de 1 500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n'étant pas disponibles dans la base, l'analyse s'appuie sur les rapports officiels, dont les plus récents datent du 31/12/2023 (exercice 2023) — données anciennes qu'il convient de relativiser mais qui restent les seules exploitables. En 2023, SEMC (ex-Eviosys Packaging SIEM) a réalisé un chiffre d'affaires de 27,88 milliards FCFA, en baisse de 6 % par rapport aux 29,60 milliards de 2022, sous l'effet de la réduction des volumes (-12 %) et de la perte de clients clés (AIRONE : -81 % du CA Poisson ; disparition du segment Tomate). Le résultat net s'est effondré à 1,01 milliard FCFA contre 3,86 milliards en 2022 (-74 %), avec une marge nette ramenée de 13,0 % à 3,6 % et une marge d'exploitation de 6,9 % (vs 11,0 %). La rentabilité des capitaux propres (ROE) chute en conséquence, tandis que la trésorerie reste solide à 3,35 milliards FCFA. À noter que les rapports antérieurs présentent des incohérences de périmètre (un rapport 2022 évoque un CA consolidé de 125,4 Mds FCFA et un résultat net de 12,8 Mds FCFA, manifestement d'un autre périmètre/groupe), ce qui impose la prudence sur les comparaisons pluriannuelles. Le rapport du 31/12/2023 mentionne un objectif 2024 de 32 milliards FCFA de CA (+18 %), porté par les bouchons couronnes (+61 % en volume) et les exportations, ainsi que le rachat par Sonoco Products Company finalisé en décembre 2024 — levier stratégique majeur mais source d'incertitude (dilution, réorganisation, suspension de la cote BRVM depuis janvier 2024 pour flottant insuffisant à 10,42 %). La recommandation fondamentale est donc celle d'une **société en transition** : fondamentaux 2023 dégradés, mais potentiel de redressement réel porté par le nouvel actionnaire de référence et la relance commerciale ; le profil reste spéculatif et dépend fortement de l'exécution du plan 2024 et de la levée de la suspension de cote.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dresse un tableau contrasté. Sur la **valorisation (Partie 0)**, la capitalisation de 37,66 Mds FCFA pour un résultat net 2023 de seulement 1,01 Md FCFA implique un PER implicite très élevé (~37x), bien au-dessus de la moyenne BRVM (8-12x) : le titre n'est pas bon marché sur les bénéfices réalisés, et sa cherté ne se justifie que par les perspectives de redressement. Le **comportement du cours (Partie 1)** est préoccupant : tendance baissière (-16,94 %), cours proche du plancher (1 350 FCFA), volatilité élevée (47,2 %) et distribution leptokurtique (risque de pics), avec un skewness positif indiquant une pression vendeuse dominante. Les **signaux techniques (Partie 2)** sont inexploitables faute d'indicateurs calculés, ce qui prive l'investisseur de points d'entrée fiables et renforce la prudence. Les **fondamentaux (Partie 3)** sont dégradés pour 2023 (CA -6 %, résultat net -74 %, marge nette à 3,6 %) mais portent un potentiel de rebond (objectif CA 2024 de 32 Mds FCFA, rachat Sonoco, croissance des bouchons couronnes), avec toutefois une incertitude majeure liée à la suspension de cote BRVM. Les **prédictions IA** n'étant pas disponibles, elles ne peuvent ni confirmer ni contredire ces signaux. Au total, la convergence est défavorable à court terme (valorisation tendue, cours baissier, technique muette, fondamentaux 2023 déprimés) mais ouvre une fenêtre spéculative à moyen terme sur le redressement. **Recommandation finale : CONSERVER** (avec vigilance), pour les investisseurs déjà positionnés, en attendant la confirmation de l'exécution du plan 2024 et la levée de la suspension de cote ; les nouveaux entrants devraient attendre une stabilisation du cours au-dessus de 1 500 FCFA et des publications financières plus récentes. **Niveau de confiance : Moyen** (données fondamentales anciennes et indicateurs techniques indisponibles). **Niveau de risque global : Élevé** (volatilité 47,2 %, suspension de cote, dépendance clients, incertitude actionnariale). **Horizon optimal : moyen terme (3-12 mois)**, le temps que se matérialisent les premiers effets du rachat Sonoco et de la relance commerciale.</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5,119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+5.41%</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36,990 FCFA</w:t>
            </w:r>
          </w:p>
          <w:p>
            <w:r>
              <w:rPr>
                <w:b/>
                <w:color w:val="503200"/>
                <w:sz w:val="16"/>
              </w:rPr>
              <w:t xml:space="preserve">Volatilité ann. : </w:t>
            </w:r>
            <w:r>
              <w:rPr>
                <w:color w:val="000000"/>
                <w:sz w:val="17"/>
              </w:rPr>
              <w:t>20.9%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1.54% (Faible) — μ=38,541 FCFA, σ=592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β=0.4459 (Défensif) — Cov=0.000035, Var(idx)=0.000078, ρ=0.296,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σ_j=1.31%/j (Stable) — Vol. annualisée≈20.9%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37,930</w:t>
            </w:r>
          </w:p>
        </w:tc>
        <w:tc>
          <w:tcPr>
            <w:tcW w:type="dxa" w:w="1440"/>
            <w:shd w:fill="FAFAFA" w:val="clear"/>
          </w:tcPr>
          <w:p>
            <w:r>
              <w:rPr>
                <w:b/>
                <w:sz w:val="17"/>
              </w:rPr>
              <w:t>38,751</w:t>
            </w:r>
          </w:p>
        </w:tc>
        <w:tc>
          <w:tcPr>
            <w:tcW w:type="dxa" w:w="1440"/>
            <w:shd w:fill="FAFAFA" w:val="clear"/>
          </w:tcPr>
          <w:p>
            <w:r>
              <w:rPr>
                <w:sz w:val="17"/>
              </w:rPr>
              <w:t>39,571</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2026-10-22</w:t>
            </w:r>
          </w:p>
        </w:tc>
        <w:tc>
          <w:tcPr>
            <w:tcW w:type="dxa" w:w="1440"/>
            <w:shd w:fill="FAFAFA" w:val="clear"/>
          </w:tcPr>
          <w:p>
            <w:r>
              <w:rPr>
                <w:sz w:val="17"/>
              </w:rPr>
              <w:t>37,524</w:t>
            </w:r>
          </w:p>
        </w:tc>
        <w:tc>
          <w:tcPr>
            <w:tcW w:type="dxa" w:w="1440"/>
            <w:shd w:fill="FAFAFA" w:val="clear"/>
          </w:tcPr>
          <w:p>
            <w:r>
              <w:rPr>
                <w:b/>
                <w:sz w:val="17"/>
              </w:rPr>
              <w:t>38,683</w:t>
            </w:r>
          </w:p>
        </w:tc>
        <w:tc>
          <w:tcPr>
            <w:tcW w:type="dxa" w:w="1440"/>
            <w:shd w:fill="FAFAFA" w:val="clear"/>
          </w:tcPr>
          <w:p>
            <w:r>
              <w:rPr>
                <w:sz w:val="17"/>
              </w:rPr>
              <w:t>39,842</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37,196</w:t>
            </w:r>
          </w:p>
        </w:tc>
        <w:tc>
          <w:tcPr>
            <w:tcW w:type="dxa" w:w="1440"/>
            <w:shd w:fill="FAFAFA" w:val="clear"/>
          </w:tcPr>
          <w:p>
            <w:r>
              <w:rPr>
                <w:b/>
                <w:sz w:val="17"/>
              </w:rPr>
              <w:t>38,613</w:t>
            </w:r>
          </w:p>
        </w:tc>
        <w:tc>
          <w:tcPr>
            <w:tcW w:type="dxa" w:w="1440"/>
            <w:shd w:fill="FAFAFA" w:val="clear"/>
          </w:tcPr>
          <w:p>
            <w:r>
              <w:rPr>
                <w:sz w:val="17"/>
              </w:rPr>
              <w:t>40,029</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2026-10-26</w:t>
            </w:r>
          </w:p>
        </w:tc>
        <w:tc>
          <w:tcPr>
            <w:tcW w:type="dxa" w:w="1440"/>
            <w:shd w:fill="FAFAFA" w:val="clear"/>
          </w:tcPr>
          <w:p>
            <w:r>
              <w:rPr>
                <w:sz w:val="17"/>
              </w:rPr>
              <w:t>36,912</w:t>
            </w:r>
          </w:p>
        </w:tc>
        <w:tc>
          <w:tcPr>
            <w:tcW w:type="dxa" w:w="1440"/>
            <w:shd w:fill="FAFAFA" w:val="clear"/>
          </w:tcPr>
          <w:p>
            <w:r>
              <w:rPr>
                <w:b/>
                <w:sz w:val="17"/>
              </w:rPr>
              <w:t>38,545</w:t>
            </w:r>
          </w:p>
        </w:tc>
        <w:tc>
          <w:tcPr>
            <w:tcW w:type="dxa" w:w="1440"/>
            <w:shd w:fill="FAFAFA" w:val="clear"/>
          </w:tcPr>
          <w:p>
            <w:r>
              <w:rPr>
                <w:sz w:val="17"/>
              </w:rPr>
              <w:t>40,177</w:t>
            </w:r>
          </w:p>
        </w:tc>
        <w:tc>
          <w:tcPr>
            <w:tcW w:type="dxa" w:w="1440"/>
            <w:shd w:fill="FAFAFA" w:val="clear"/>
          </w:tcPr>
          <w:p>
            <w:r>
              <w:rPr>
                <w:b/>
                <w:color w:val="C00000"/>
                <w:sz w:val="17"/>
              </w:rPr>
              <w:t>-1.2%</w:t>
            </w:r>
          </w:p>
        </w:tc>
      </w:tr>
      <w:tr>
        <w:tc>
          <w:tcPr>
            <w:tcW w:type="dxa" w:w="1440"/>
            <w:shd w:fill="FAFAFA" w:val="clear"/>
          </w:tcPr>
          <w:p>
            <w:r>
              <w:rPr>
                <w:sz w:val="17"/>
              </w:rPr>
              <w:t>J+5  Moyenne</w:t>
            </w:r>
          </w:p>
        </w:tc>
        <w:tc>
          <w:tcPr>
            <w:tcW w:type="dxa" w:w="1440"/>
            <w:shd w:fill="FAFAFA" w:val="clear"/>
          </w:tcPr>
          <w:p>
            <w:r>
              <w:rPr>
                <w:sz w:val="17"/>
              </w:rPr>
              <w:t>2026-10-27</w:t>
            </w:r>
          </w:p>
        </w:tc>
        <w:tc>
          <w:tcPr>
            <w:tcW w:type="dxa" w:w="1440"/>
            <w:shd w:fill="FAFAFA" w:val="clear"/>
          </w:tcPr>
          <w:p>
            <w:r>
              <w:rPr>
                <w:sz w:val="17"/>
              </w:rPr>
              <w:t>36,657</w:t>
            </w:r>
          </w:p>
        </w:tc>
        <w:tc>
          <w:tcPr>
            <w:tcW w:type="dxa" w:w="1440"/>
            <w:shd w:fill="FAFAFA" w:val="clear"/>
          </w:tcPr>
          <w:p>
            <w:r>
              <w:rPr>
                <w:b/>
                <w:sz w:val="17"/>
              </w:rPr>
              <w:t>38,480</w:t>
            </w:r>
          </w:p>
        </w:tc>
        <w:tc>
          <w:tcPr>
            <w:tcW w:type="dxa" w:w="1440"/>
            <w:shd w:fill="FAFAFA" w:val="clear"/>
          </w:tcPr>
          <w:p>
            <w:r>
              <w:rPr>
                <w:sz w:val="17"/>
              </w:rPr>
              <w:t>40,302</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2026-10-28</w:t>
            </w:r>
          </w:p>
        </w:tc>
        <w:tc>
          <w:tcPr>
            <w:tcW w:type="dxa" w:w="1440"/>
            <w:shd w:fill="FAFAFA" w:val="clear"/>
          </w:tcPr>
          <w:p>
            <w:r>
              <w:rPr>
                <w:sz w:val="17"/>
              </w:rPr>
              <w:t>36,423</w:t>
            </w:r>
          </w:p>
        </w:tc>
        <w:tc>
          <w:tcPr>
            <w:tcW w:type="dxa" w:w="1440"/>
            <w:shd w:fill="FAFAFA" w:val="clear"/>
          </w:tcPr>
          <w:p>
            <w:r>
              <w:rPr>
                <w:b/>
                <w:sz w:val="17"/>
              </w:rPr>
              <w:t>38,417</w:t>
            </w:r>
          </w:p>
        </w:tc>
        <w:tc>
          <w:tcPr>
            <w:tcW w:type="dxa" w:w="1440"/>
            <w:shd w:fill="FAFAFA" w:val="clear"/>
          </w:tcPr>
          <w:p>
            <w:r>
              <w:rPr>
                <w:sz w:val="17"/>
              </w:rPr>
              <w:t>40,410</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2026-10-29</w:t>
            </w:r>
          </w:p>
        </w:tc>
        <w:tc>
          <w:tcPr>
            <w:tcW w:type="dxa" w:w="1440"/>
            <w:shd w:fill="FAFAFA" w:val="clear"/>
          </w:tcPr>
          <w:p>
            <w:r>
              <w:rPr>
                <w:sz w:val="17"/>
              </w:rPr>
              <w:t>36,206</w:t>
            </w:r>
          </w:p>
        </w:tc>
        <w:tc>
          <w:tcPr>
            <w:tcW w:type="dxa" w:w="1440"/>
            <w:shd w:fill="FAFAFA" w:val="clear"/>
          </w:tcPr>
          <w:p>
            <w:r>
              <w:rPr>
                <w:b/>
                <w:sz w:val="17"/>
              </w:rPr>
              <w:t>38,355</w:t>
            </w:r>
          </w:p>
        </w:tc>
        <w:tc>
          <w:tcPr>
            <w:tcW w:type="dxa" w:w="1440"/>
            <w:shd w:fill="FAFAFA" w:val="clear"/>
          </w:tcPr>
          <w:p>
            <w:r>
              <w:rPr>
                <w:sz w:val="17"/>
              </w:rPr>
              <w:t>40,504</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2026-10-30</w:t>
            </w:r>
          </w:p>
        </w:tc>
        <w:tc>
          <w:tcPr>
            <w:tcW w:type="dxa" w:w="1440"/>
            <w:shd w:fill="FAFAFA" w:val="clear"/>
          </w:tcPr>
          <w:p>
            <w:r>
              <w:rPr>
                <w:sz w:val="17"/>
              </w:rPr>
              <w:t>36,000</w:t>
            </w:r>
          </w:p>
        </w:tc>
        <w:tc>
          <w:tcPr>
            <w:tcW w:type="dxa" w:w="1440"/>
            <w:shd w:fill="FAFAFA" w:val="clear"/>
          </w:tcPr>
          <w:p>
            <w:r>
              <w:rPr>
                <w:b/>
                <w:sz w:val="17"/>
              </w:rPr>
              <w:t>38,295</w:t>
            </w:r>
          </w:p>
        </w:tc>
        <w:tc>
          <w:tcPr>
            <w:tcW w:type="dxa" w:w="1440"/>
            <w:shd w:fill="FAFAFA" w:val="clear"/>
          </w:tcPr>
          <w:p>
            <w:r>
              <w:rPr>
                <w:sz w:val="17"/>
              </w:rPr>
              <w:t>40,589</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2026-11-02</w:t>
            </w:r>
          </w:p>
        </w:tc>
        <w:tc>
          <w:tcPr>
            <w:tcW w:type="dxa" w:w="1440"/>
            <w:shd w:fill="FAFAFA" w:val="clear"/>
          </w:tcPr>
          <w:p>
            <w:r>
              <w:rPr>
                <w:sz w:val="17"/>
              </w:rPr>
              <w:t>35,806</w:t>
            </w:r>
          </w:p>
        </w:tc>
        <w:tc>
          <w:tcPr>
            <w:tcW w:type="dxa" w:w="1440"/>
            <w:shd w:fill="FAFAFA" w:val="clear"/>
          </w:tcPr>
          <w:p>
            <w:r>
              <w:rPr>
                <w:b/>
                <w:sz w:val="17"/>
              </w:rPr>
              <w:t>38,235</w:t>
            </w:r>
          </w:p>
        </w:tc>
        <w:tc>
          <w:tcPr>
            <w:tcW w:type="dxa" w:w="1440"/>
            <w:shd w:fill="FAFAFA" w:val="clear"/>
          </w:tcPr>
          <w:p>
            <w:r>
              <w:rPr>
                <w:sz w:val="17"/>
              </w:rPr>
              <w:t>40,665</w:t>
            </w:r>
          </w:p>
        </w:tc>
        <w:tc>
          <w:tcPr>
            <w:tcW w:type="dxa" w:w="1440"/>
            <w:shd w:fill="FAFAFA"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2026-11-03</w:t>
            </w:r>
          </w:p>
        </w:tc>
        <w:tc>
          <w:tcPr>
            <w:tcW w:type="dxa" w:w="1440"/>
            <w:shd w:fill="FFDCE0" w:val="clear"/>
          </w:tcPr>
          <w:p>
            <w:r>
              <w:rPr>
                <w:sz w:val="17"/>
              </w:rPr>
              <w:t>35,620</w:t>
            </w:r>
          </w:p>
        </w:tc>
        <w:tc>
          <w:tcPr>
            <w:tcW w:type="dxa" w:w="1440"/>
            <w:shd w:fill="FFDCE0" w:val="clear"/>
          </w:tcPr>
          <w:p>
            <w:r>
              <w:rPr>
                <w:b/>
                <w:sz w:val="17"/>
              </w:rPr>
              <w:t>38,177</w:t>
            </w:r>
          </w:p>
        </w:tc>
        <w:tc>
          <w:tcPr>
            <w:tcW w:type="dxa" w:w="1440"/>
            <w:shd w:fill="FFDCE0" w:val="clear"/>
          </w:tcPr>
          <w:p>
            <w:r>
              <w:rPr>
                <w:sz w:val="17"/>
              </w:rPr>
              <w:t>40,734</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 BRVM | Secteur Bancaire | Analyse au 20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**1 213,33 milliards FCFA**, SGBC s'impose comme l'une des plus grandes capitalisations de la BRVM, reflet de son statut de banque leader du marché ivoirien. Le **BPA de 3 258 FCFA/action** traduit une rentabilité par titre solide, plaçant le **PER à 12,0x** — soit le haut de la fourchette de référence BRVM (8-12x), signalant une valorisation raisonnable mais sans décote manifeste, les investisseurs acceptant de payer le prix de la qualité et du leadership. Le **P/B de 2,45x** confirme cette prime de croissance : le marché valorise SGBC à près de 2,5 fois ses fonds propres comptables (495,1 Mds FCFA), ce qui se justifie par un ROE de 20,5% nettement supérieur au coût des fonds propres. En revanche, l'**EV/EBITDA de 24,7x** apparaît très exigeant (&gt;15x), intégrant une forte anticipation de croissance future et invitant à la prudence sur le potentiel de revalorisation à court terme malgré la qualité fondamentale de l'émetteur.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**progression totale de +5,41%**, avec une dernière séance quasi stable (**+0,12% J-1**) à **39 000 FCFA**. Le range de trading s'établit entre un plus bas de **36 990 FCFA** et un plus haut de **39 300 FCFA**, soit une amplitude resserrée de seulement 6,2% — signature d'une tendance haussière lente et régulière plutôt que d'une volatilité spéculative. Les statistiques descriptives confirment cette lecture : la **moyenne (38 541 FCFA)** est légèrement inférieure à la **médiane (38 872 FCFA)**, et le **skewness négatif (-0,884)** indique une asymétrie vers la droite — davantage de séances se sont déroulées au-dessus de la moyenne, cohérent avec une dynamique haussière. L'**écart-type de 595 FCFA (CV=1,5%)** révèle une dispersion très faible du cours, tandis que le **kurtosis de -0,128 (mésokurtique)** suggère une distribution proche de la normale, sans risque marqué de pics extrêmes. La **volatilité annualisée de 20,9%** positionne le titre dans la catégorie modérée (15-30%), typique d'une valeur bancaire de rendement à faible rotation.</w:t>
      </w:r>
    </w:p>
    <w:p>
      <w:pPr>
        <w:spacing w:after="120" w:line="276" w:lineRule="auto"/>
      </w:pPr>
      <w:r>
        <w:t>---</w:t>
      </w:r>
    </w:p>
    <w:p>
      <w:pPr>
        <w:spacing w:after="120" w:line="276" w:lineRule="auto"/>
      </w:pPr>
      <w:r>
        <w:t>## PARTIE 2 : ANALYSE TECHNIQUE DÉTAILLÉE</w:t>
      </w:r>
    </w:p>
    <w:p>
      <w:pPr>
        <w:spacing w:after="120" w:line="276" w:lineRule="auto"/>
      </w:pPr>
      <w:r>
        <w:t>**Moyennes Mobiles** : La MM20 (38 890,25 FCFA) et la MM50 (38 725,0 FCFA) se situent toutes deux sous le cours actuel (39 000 FCFA), avec la MM20 au-dessus de la MM50 — configuration haussière classique (golden cross implicite). Le cours évoluant au-dessus de ses deux moyennes, la décision technique est **Achat**, confirmant la tendance positive de fond.</w:t>
      </w:r>
    </w:p>
    <w:p>
      <w:pPr>
        <w:spacing w:after="120" w:line="276" w:lineRule="auto"/>
      </w:pPr>
      <w:r>
        <w:t>**Bandes de Bollinger** : Le cours (39 000 FCFA) se situe dans la partie haute de la bande (borne supérieure 39 460,53 FCFA, borne inférieure 38 319,97 FCFA), sans franchissement de la borne haute. L'étroitesse de la bande (largeur ~1 140 FCFA) traduit une faible volatilité. La décision est **Neutre** : le titre est proche de sa résistance statistique, sans signal de surachat extrême.</w:t>
      </w:r>
    </w:p>
    <w:p>
      <w:pPr>
        <w:spacing w:after="120" w:line="276" w:lineRule="auto"/>
      </w:pPr>
      <w:r>
        <w:t>**MACD** : La valeur du MACD (116,053) est légèrement inférieure à son signal (126,099), générant une divergence baissière marginale. Le momentum perd de sa vigueur malgré la tendance haussière du cours — la décision **Vente** signale un essoufflement à court terme, sans inversion structurelle.</w:t>
      </w:r>
    </w:p>
    <w:p>
      <w:pPr>
        <w:spacing w:after="120" w:line="276" w:lineRule="auto"/>
      </w:pPr>
      <w:r>
        <w:t>**RSI** : À **54,854**, le RSI se situe en zone neutre (30-70), ni suracheté ni survendu. La décision **Neutre** reflète un équilibre entre acheteurs et vendeurs, sans pression directionnelle dominante.</w:t>
      </w:r>
    </w:p>
    <w:p>
      <w:pPr>
        <w:spacing w:after="120" w:line="276" w:lineRule="auto"/>
      </w:pPr>
      <w:r>
        <w:t>**Stochastique** : Le %K (18,367) est nettement inférieur au %D (37,442), avec un %K en zone de survente (&lt;20). Ce positionnement suggère un potentiel de rebond technique à court terme, justifiant la décision **Achat** — le titre pourrait sortir de sa zone de survente.</w:t>
      </w:r>
    </w:p>
    <w:p>
      <w:pPr>
        <w:spacing w:after="120" w:line="276" w:lineRule="auto"/>
      </w:pPr>
      <w:r>
        <w:t>**Conclusion technique** : Les indicateurs présentent une **configuration mitigée mais globalement favorable**. Les moyennes mobiles confirment la tendance haussière de fond, le stochastique signale un rebond imminent depuis la zone de survente, et le RSI reste neutre. Le MACD constitue le seul signal négatif (divergence baissière marginale), tempéré par la faible volatilité ambiante. La convergence penche légèrement vers l'achat à court terme, dans un contexte de consolidation saine.</w:t>
      </w:r>
    </w:p>
    <w:p>
      <w:pPr>
        <w:spacing w:after="120" w:line="276" w:lineRule="auto"/>
      </w:pPr>
      <w:r>
        <w:t>---</w:t>
      </w:r>
    </w:p>
    <w:p>
      <w:pPr>
        <w:spacing w:after="120" w:line="276" w:lineRule="auto"/>
      </w:pPr>
      <w:r>
        <w:t>## PARTIE 3 : ANALYSE FONDAMENTALE</w:t>
      </w:r>
    </w:p>
    <w:p>
      <w:pPr>
        <w:spacing w:after="120" w:line="276" w:lineRule="auto"/>
      </w:pPr>
      <w:r>
        <w:t>**En 2025**, SGBC affiche des fondamentaux bancaires de premier ordre : un **PNB de 276,05 Mds FCFA** (+4,9% selon le rapport annuel 2025 publié le 17 avril 2026), un **résultat net de 101,35 Mds FCFA** (+0,1%, quasi-stagnation), un **ROE de 20,47%** (excellent, &gt;15%) et un **ROA de 2,69%**. Le **coefficient d'exploitation de 38,75%** place la banque parmi les plus efficaces du secteur UEMOA (&lt;50% = excellente), tandis que le **coût du risque** ressort en hausse préoccupante (+29,2% à 46,83 Mds FCFA), avec un taux de NPL à 8,0% couvert à 82%. La structure bilancielle est solide : **dépôts clientèle de 2 907,7 Mds FCFA** (+5,8%) contre **créances clientèle de 2 546,3 Mds FCFA**, soit un ratio crédits/dépôts de 87,6% en amélioration — la collecte progresse plus vite que le crédit, renforçant la liquidité. Le **ratio de solvabilité de 17,6%** (S1 2026) dépasse largement le seuil réglementaire de 12,5%.</w:t>
      </w:r>
    </w:p>
    <w:p>
      <w:pPr>
        <w:spacing w:after="120" w:line="276" w:lineRule="auto"/>
      </w:pPr>
      <w:r>
        <w:t>Les rapports trimestriels révèlent une **décélération temporaire** : le **T1 2026** (publié le 30 avril 2026) montre un PNB en repli de -1% et un résultat net en baisse de -11% (23,98 Mds FCFA), attribuable à la migration de plateforme et aux investissements (rénovation siège). Le **S1 2026** (publié le 27 août 2026) confirme une reprise partielle : PNB +1,6% à 134,06 Mds FCFA, résultat net +0,5% à 53,35 Mds FCFA, coefficient d'exploitation amélioré à 36,7%, mais coût du risque toujours en hausse (+9,1%). **On estime** que l'exercice 2026 devrait clôturer sur une croissance modérée du PNB (2-3%) et un résultat net stable à légèrement croissant, la normalisation des coûts d'investissement au S2 devant compenser la pression sur la marge d'intérêt. La **politique de dividende** (2 606 FCFA/action proposé au titre de 2025, taux de distribution de 80%) offre un rendement attractif de ~6,7% au cours actuel — argument majeur pour les investisseurs de rendement. **Conclusion fondamentale** : solidité remarquable (solvabilité, efficacité, ROE), mais stagnation bénéficiaire et coût du risque croissant limitent le catalyseur de revalorisation à court terme ; le profil convient aux investisseurs recherchant rendement et stabilité.</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équilibré : PER de 12,0x dans le haut de la fourchette BRVM et P/B de 2,45x traduisent une prime de qualité justifiée, mais l'EV/EBITDA de 24,7x limite le potentiel de revalorisation — ni sous-évaluation flagrante, ni surévaluation excessive. Le **comportement du cours** (Partie 1) est favorable : tendance haussière régulière (+5,41%), volatilité modérée (20,9%), dispersion faible (CV 1,5%) et skewness négatif indiquant une dynamique positive sans risque de pics extrêmes. Les **signaux techniques** (Partie 2) convergent modérément : moyennes mobiles haussières et stochastique en survente plaident pour l'achat, mais le MACD baissier et le RSI neutre tempèrent l'enthousiasme — configuration de consolidation saine plutôt que de breakout. Les **fondamentaux** (Partie 3) demeurent solides (ROE 20,5%, coefficient d'exploitation 38,75%, solvabilité 17,6%, dividende 80%), mais la stagnation du résultat net (+0,1% en 2025, +0,5% au S1 2026) et la hausse du coût du risque constituent des freins à la surperformance. Les **prédictions IA** (J+1 à J+10) anticipent une légère correction vers 38 480-38 751 FCFA (-1,3% sur 5 séances), en cohérence avec le signal MACD baissier et le positionnement haut du cours dans les bandes de Bollinger — une consolidation technique avant reprise, non une inversion de tendance.</w:t>
      </w:r>
    </w:p>
    <w:p>
      <w:pPr>
        <w:spacing w:after="120" w:line="276" w:lineRule="auto"/>
      </w:pPr>
      <w:r>
        <w:t>**Recommandation finale : CONSERVER.** La convergence est modérée : valorisation correcte, technique légèrement positive mais sans momentum, fondamentaux solides mais en stagnation bénéficiaire, prédictions IA suggérant une consolidation court terme. Le titre convient aux investisseurs de rendement (dividende ~6,7%) privilégiant la stabilité à la performance. **Niveau de confiance : Moyen** (signaux techniques mitigés et absence de catalyseur fondamental immédiat). **Niveau de risque global : Faible à Moyen** (volatilité modérée, solidité bilancielle, mais sensibilité au coût du risque). **Horizon d'investissement optimal : moyen à long terme (6-18 mois)**, dans l'attente de la confirmation au S2 2026 de la normalisation des coûts et de l'inflexion du coût du risque — un passage à l'ACHAT serait justifié si le dividende 2026 se maintient avec un rendement &gt;6,5% et si le coût du risque s'infléchit.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130.41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4,972 titres</w:t>
            </w:r>
          </w:p>
        </w:tc>
        <w:tc>
          <w:tcPr>
            <w:tcW w:type="dxa" w:w="2268"/>
            <w:shd w:fill="FFF2CC" w:val="clear"/>
          </w:tcPr>
          <w:p>
            <w:r>
              <w:rPr>
                <w:b/>
                <w:color w:val="503200"/>
                <w:sz w:val="16"/>
              </w:rPr>
              <w:t xml:space="preserve">Cours actuel : </w:t>
            </w:r>
            <w:r>
              <w:rPr>
                <w:color w:val="000000"/>
                <w:sz w:val="17"/>
              </w:rPr>
              <w:t>2,070 FCFA</w:t>
            </w:r>
          </w:p>
          <w:p>
            <w:r>
              <w:rPr>
                <w:b/>
                <w:color w:val="503200"/>
                <w:sz w:val="16"/>
              </w:rPr>
              <w:t xml:space="preserve">Var. 100 jours : </w:t>
            </w:r>
            <w:r>
              <w:rPr>
                <w:b/>
                <w:color w:val="007800"/>
                <w:sz w:val="17"/>
              </w:rPr>
              <w:t>+8.09%</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1,915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9.02% (Moyenne) — μ=2,284 FCFA, σ=206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β=1.0006 (Neutre (suit le marché)) — Cov=0.000078, Var(idx)=0.000078, ρ=0.332,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1,978</w:t>
            </w:r>
          </w:p>
        </w:tc>
        <w:tc>
          <w:tcPr>
            <w:tcW w:type="dxa" w:w="1440"/>
            <w:shd w:fill="FAFAFA" w:val="clear"/>
          </w:tcPr>
          <w:p>
            <w:r>
              <w:rPr>
                <w:b/>
                <w:sz w:val="17"/>
              </w:rPr>
              <w:t>2,107</w:t>
            </w:r>
          </w:p>
        </w:tc>
        <w:tc>
          <w:tcPr>
            <w:tcW w:type="dxa" w:w="1440"/>
            <w:shd w:fill="FAFAFA" w:val="clear"/>
          </w:tcPr>
          <w:p>
            <w:r>
              <w:rPr>
                <w:sz w:val="17"/>
              </w:rPr>
              <w:t>2,237</w:t>
            </w:r>
          </w:p>
        </w:tc>
        <w:tc>
          <w:tcPr>
            <w:tcW w:type="dxa" w:w="1440"/>
            <w:shd w:fill="FAFAFA" w:val="clear"/>
          </w:tcPr>
          <w:p>
            <w:r>
              <w:rPr>
                <w:b/>
                <w:color w:val="008000"/>
                <w:sz w:val="17"/>
              </w:rPr>
              <w:t>+1.8%</w:t>
            </w:r>
          </w:p>
        </w:tc>
      </w:tr>
      <w:tr>
        <w:tc>
          <w:tcPr>
            <w:tcW w:type="dxa" w:w="1440"/>
            <w:shd w:fill="C6EFCE" w:val="clear"/>
          </w:tcPr>
          <w:p>
            <w:r>
              <w:rPr>
                <w:sz w:val="17"/>
              </w:rPr>
              <w:t>J+2  Moyenne</w:t>
            </w:r>
          </w:p>
        </w:tc>
        <w:tc>
          <w:tcPr>
            <w:tcW w:type="dxa" w:w="1440"/>
            <w:shd w:fill="C6EFCE" w:val="clear"/>
          </w:tcPr>
          <w:p>
            <w:r>
              <w:rPr>
                <w:sz w:val="17"/>
              </w:rPr>
              <w:t>2026-10-22</w:t>
            </w:r>
          </w:p>
        </w:tc>
        <w:tc>
          <w:tcPr>
            <w:tcW w:type="dxa" w:w="1440"/>
            <w:shd w:fill="C6EFCE" w:val="clear"/>
          </w:tcPr>
          <w:p>
            <w:r>
              <w:rPr>
                <w:sz w:val="17"/>
              </w:rPr>
              <w:t>1,932</w:t>
            </w:r>
          </w:p>
        </w:tc>
        <w:tc>
          <w:tcPr>
            <w:tcW w:type="dxa" w:w="1440"/>
            <w:shd w:fill="C6EFCE" w:val="clear"/>
          </w:tcPr>
          <w:p>
            <w:r>
              <w:rPr>
                <w:b/>
                <w:sz w:val="17"/>
              </w:rPr>
              <w:t>2,115</w:t>
            </w:r>
          </w:p>
        </w:tc>
        <w:tc>
          <w:tcPr>
            <w:tcW w:type="dxa" w:w="1440"/>
            <w:shd w:fill="C6EFCE" w:val="clear"/>
          </w:tcPr>
          <w:p>
            <w:r>
              <w:rPr>
                <w:sz w:val="17"/>
              </w:rPr>
              <w:t>2,299</w:t>
            </w:r>
          </w:p>
        </w:tc>
        <w:tc>
          <w:tcPr>
            <w:tcW w:type="dxa" w:w="1440"/>
            <w:shd w:fill="C6EFCE" w:val="clear"/>
          </w:tcPr>
          <w:p>
            <w:r>
              <w:rPr>
                <w:b/>
                <w:color w:val="008000"/>
                <w:sz w:val="17"/>
              </w:rPr>
              <w:t>+2.2%</w:t>
            </w:r>
          </w:p>
        </w:tc>
      </w:tr>
      <w:tr>
        <w:tc>
          <w:tcPr>
            <w:tcW w:type="dxa" w:w="1440"/>
            <w:shd w:fill="C6EFCE" w:val="clear"/>
          </w:tcPr>
          <w:p>
            <w:r>
              <w:rPr>
                <w:sz w:val="17"/>
              </w:rPr>
              <w:t>J+3  Moyenne</w:t>
            </w:r>
          </w:p>
        </w:tc>
        <w:tc>
          <w:tcPr>
            <w:tcW w:type="dxa" w:w="1440"/>
            <w:shd w:fill="C6EFCE" w:val="clear"/>
          </w:tcPr>
          <w:p>
            <w:r>
              <w:rPr>
                <w:sz w:val="17"/>
              </w:rPr>
              <w:t>2026-10-23</w:t>
            </w:r>
          </w:p>
        </w:tc>
        <w:tc>
          <w:tcPr>
            <w:tcW w:type="dxa" w:w="1440"/>
            <w:shd w:fill="C6EFCE" w:val="clear"/>
          </w:tcPr>
          <w:p>
            <w:r>
              <w:rPr>
                <w:sz w:val="17"/>
              </w:rPr>
              <w:t>1,902</w:t>
            </w:r>
          </w:p>
        </w:tc>
        <w:tc>
          <w:tcPr>
            <w:tcW w:type="dxa" w:w="1440"/>
            <w:shd w:fill="C6EFCE" w:val="clear"/>
          </w:tcPr>
          <w:p>
            <w:r>
              <w:rPr>
                <w:b/>
                <w:sz w:val="17"/>
              </w:rPr>
              <w:t>2,127</w:t>
            </w:r>
          </w:p>
        </w:tc>
        <w:tc>
          <w:tcPr>
            <w:tcW w:type="dxa" w:w="1440"/>
            <w:shd w:fill="C6EFCE" w:val="clear"/>
          </w:tcPr>
          <w:p>
            <w:r>
              <w:rPr>
                <w:sz w:val="17"/>
              </w:rPr>
              <w:t>2,353</w:t>
            </w:r>
          </w:p>
        </w:tc>
        <w:tc>
          <w:tcPr>
            <w:tcW w:type="dxa" w:w="1440"/>
            <w:shd w:fill="C6EFCE" w:val="clear"/>
          </w:tcPr>
          <w:p>
            <w:r>
              <w:rPr>
                <w:b/>
                <w:color w:val="008000"/>
                <w:sz w:val="17"/>
              </w:rPr>
              <w:t>+2.8%</w:t>
            </w:r>
          </w:p>
        </w:tc>
      </w:tr>
      <w:tr>
        <w:tc>
          <w:tcPr>
            <w:tcW w:type="dxa" w:w="1440"/>
            <w:shd w:fill="C6EFCE" w:val="clear"/>
          </w:tcPr>
          <w:p>
            <w:r>
              <w:rPr>
                <w:sz w:val="17"/>
              </w:rPr>
              <w:t>J+4  ⭐</w:t>
            </w:r>
          </w:p>
        </w:tc>
        <w:tc>
          <w:tcPr>
            <w:tcW w:type="dxa" w:w="1440"/>
            <w:shd w:fill="C6EFCE" w:val="clear"/>
          </w:tcPr>
          <w:p>
            <w:r>
              <w:rPr>
                <w:sz w:val="17"/>
              </w:rPr>
              <w:t>2026-10-26</w:t>
            </w:r>
          </w:p>
        </w:tc>
        <w:tc>
          <w:tcPr>
            <w:tcW w:type="dxa" w:w="1440"/>
            <w:shd w:fill="C6EFCE" w:val="clear"/>
          </w:tcPr>
          <w:p>
            <w:r>
              <w:rPr>
                <w:sz w:val="17"/>
              </w:rPr>
              <w:t>1,876</w:t>
            </w:r>
          </w:p>
        </w:tc>
        <w:tc>
          <w:tcPr>
            <w:tcW w:type="dxa" w:w="1440"/>
            <w:shd w:fill="C6EFCE" w:val="clear"/>
          </w:tcPr>
          <w:p>
            <w:r>
              <w:rPr>
                <w:b/>
                <w:sz w:val="17"/>
              </w:rPr>
              <w:t>2,139</w:t>
            </w:r>
          </w:p>
        </w:tc>
        <w:tc>
          <w:tcPr>
            <w:tcW w:type="dxa" w:w="1440"/>
            <w:shd w:fill="C6EFCE" w:val="clear"/>
          </w:tcPr>
          <w:p>
            <w:r>
              <w:rPr>
                <w:sz w:val="17"/>
              </w:rPr>
              <w:t>2,401</w:t>
            </w:r>
          </w:p>
        </w:tc>
        <w:tc>
          <w:tcPr>
            <w:tcW w:type="dxa" w:w="1440"/>
            <w:shd w:fill="C6EFCE" w:val="clear"/>
          </w:tcPr>
          <w:p>
            <w:r>
              <w:rPr>
                <w:b/>
                <w:color w:val="008000"/>
                <w:sz w:val="17"/>
              </w:rPr>
              <w:t>+3.3%</w:t>
            </w:r>
          </w:p>
        </w:tc>
      </w:tr>
      <w:tr>
        <w:tc>
          <w:tcPr>
            <w:tcW w:type="dxa" w:w="1440"/>
            <w:shd w:fill="C6EFCE" w:val="clear"/>
          </w:tcPr>
          <w:p>
            <w:r>
              <w:rPr>
                <w:sz w:val="17"/>
              </w:rPr>
              <w:t>J+5  ⭐</w:t>
            </w:r>
          </w:p>
        </w:tc>
        <w:tc>
          <w:tcPr>
            <w:tcW w:type="dxa" w:w="1440"/>
            <w:shd w:fill="C6EFCE" w:val="clear"/>
          </w:tcPr>
          <w:p>
            <w:r>
              <w:rPr>
                <w:sz w:val="17"/>
              </w:rPr>
              <w:t>2026-10-27</w:t>
            </w:r>
          </w:p>
        </w:tc>
        <w:tc>
          <w:tcPr>
            <w:tcW w:type="dxa" w:w="1440"/>
            <w:shd w:fill="C6EFCE" w:val="clear"/>
          </w:tcPr>
          <w:p>
            <w:r>
              <w:rPr>
                <w:sz w:val="17"/>
              </w:rPr>
              <w:t>1,854</w:t>
            </w:r>
          </w:p>
        </w:tc>
        <w:tc>
          <w:tcPr>
            <w:tcW w:type="dxa" w:w="1440"/>
            <w:shd w:fill="C6EFCE" w:val="clear"/>
          </w:tcPr>
          <w:p>
            <w:r>
              <w:rPr>
                <w:b/>
                <w:sz w:val="17"/>
              </w:rPr>
              <w:t>2,148</w:t>
            </w:r>
          </w:p>
        </w:tc>
        <w:tc>
          <w:tcPr>
            <w:tcW w:type="dxa" w:w="1440"/>
            <w:shd w:fill="C6EFCE" w:val="clear"/>
          </w:tcPr>
          <w:p>
            <w:r>
              <w:rPr>
                <w:sz w:val="17"/>
              </w:rPr>
              <w:t>2,443</w:t>
            </w:r>
          </w:p>
        </w:tc>
        <w:tc>
          <w:tcPr>
            <w:tcW w:type="dxa" w:w="1440"/>
            <w:shd w:fill="C6EFCE" w:val="clear"/>
          </w:tcPr>
          <w:p>
            <w:r>
              <w:rPr>
                <w:b/>
                <w:color w:val="008000"/>
                <w:sz w:val="17"/>
              </w:rPr>
              <w:t>+3.8%</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1,832</w:t>
            </w:r>
          </w:p>
        </w:tc>
        <w:tc>
          <w:tcPr>
            <w:tcW w:type="dxa" w:w="1440"/>
            <w:shd w:fill="C6EFCE" w:val="clear"/>
          </w:tcPr>
          <w:p>
            <w:r>
              <w:rPr>
                <w:b/>
                <w:sz w:val="17"/>
              </w:rPr>
              <w:t>2,156</w:t>
            </w:r>
          </w:p>
        </w:tc>
        <w:tc>
          <w:tcPr>
            <w:tcW w:type="dxa" w:w="1440"/>
            <w:shd w:fill="C6EFCE" w:val="clear"/>
          </w:tcPr>
          <w:p>
            <w:r>
              <w:rPr>
                <w:sz w:val="17"/>
              </w:rPr>
              <w:t>2,480</w:t>
            </w:r>
          </w:p>
        </w:tc>
        <w:tc>
          <w:tcPr>
            <w:tcW w:type="dxa" w:w="1440"/>
            <w:shd w:fill="C6EFCE" w:val="clear"/>
          </w:tcPr>
          <w:p>
            <w:r>
              <w:rPr>
                <w:b/>
                <w:color w:val="008000"/>
                <w:sz w:val="17"/>
              </w:rPr>
              <w:t>+4.2%</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1,812</w:t>
            </w:r>
          </w:p>
        </w:tc>
        <w:tc>
          <w:tcPr>
            <w:tcW w:type="dxa" w:w="1440"/>
            <w:shd w:fill="C6EFCE" w:val="clear"/>
          </w:tcPr>
          <w:p>
            <w:r>
              <w:rPr>
                <w:b/>
                <w:sz w:val="17"/>
              </w:rPr>
              <w:t>2,163</w:t>
            </w:r>
          </w:p>
        </w:tc>
        <w:tc>
          <w:tcPr>
            <w:tcW w:type="dxa" w:w="1440"/>
            <w:shd w:fill="C6EFCE" w:val="clear"/>
          </w:tcPr>
          <w:p>
            <w:r>
              <w:rPr>
                <w:sz w:val="17"/>
              </w:rPr>
              <w:t>2,514</w:t>
            </w:r>
          </w:p>
        </w:tc>
        <w:tc>
          <w:tcPr>
            <w:tcW w:type="dxa" w:w="1440"/>
            <w:shd w:fill="C6EFCE" w:val="clear"/>
          </w:tcPr>
          <w:p>
            <w:r>
              <w:rPr>
                <w:b/>
                <w:color w:val="008000"/>
                <w:sz w:val="17"/>
              </w:rPr>
              <w:t>+4.5%</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1,793</w:t>
            </w:r>
          </w:p>
        </w:tc>
        <w:tc>
          <w:tcPr>
            <w:tcW w:type="dxa" w:w="1440"/>
            <w:shd w:fill="C6EFCE" w:val="clear"/>
          </w:tcPr>
          <w:p>
            <w:r>
              <w:rPr>
                <w:b/>
                <w:sz w:val="17"/>
              </w:rPr>
              <w:t>2,169</w:t>
            </w:r>
          </w:p>
        </w:tc>
        <w:tc>
          <w:tcPr>
            <w:tcW w:type="dxa" w:w="1440"/>
            <w:shd w:fill="C6EFCE" w:val="clear"/>
          </w:tcPr>
          <w:p>
            <w:r>
              <w:rPr>
                <w:sz w:val="17"/>
              </w:rPr>
              <w:t>2,546</w:t>
            </w:r>
          </w:p>
        </w:tc>
        <w:tc>
          <w:tcPr>
            <w:tcW w:type="dxa" w:w="1440"/>
            <w:shd w:fill="C6EFCE" w:val="clear"/>
          </w:tcPr>
          <w:p>
            <w:r>
              <w:rPr>
                <w:b/>
                <w:color w:val="008000"/>
                <w:sz w:val="17"/>
              </w:rPr>
              <w:t>+4.8%</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1,775</w:t>
            </w:r>
          </w:p>
        </w:tc>
        <w:tc>
          <w:tcPr>
            <w:tcW w:type="dxa" w:w="1440"/>
            <w:shd w:fill="C6EFCE" w:val="clear"/>
          </w:tcPr>
          <w:p>
            <w:r>
              <w:rPr>
                <w:b/>
                <w:sz w:val="17"/>
              </w:rPr>
              <w:t>2,175</w:t>
            </w:r>
          </w:p>
        </w:tc>
        <w:tc>
          <w:tcPr>
            <w:tcW w:type="dxa" w:w="1440"/>
            <w:shd w:fill="C6EFCE" w:val="clear"/>
          </w:tcPr>
          <w:p>
            <w:r>
              <w:rPr>
                <w:sz w:val="17"/>
              </w:rPr>
              <w:t>2,575</w:t>
            </w:r>
          </w:p>
        </w:tc>
        <w:tc>
          <w:tcPr>
            <w:tcW w:type="dxa" w:w="1440"/>
            <w:shd w:fill="C6EFCE" w:val="clear"/>
          </w:tcPr>
          <w:p>
            <w:r>
              <w:rPr>
                <w:b/>
                <w:color w:val="008000"/>
                <w:sz w:val="17"/>
              </w:rPr>
              <w:t>+5.1%</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1,757</w:t>
            </w:r>
          </w:p>
        </w:tc>
        <w:tc>
          <w:tcPr>
            <w:tcW w:type="dxa" w:w="1440"/>
            <w:shd w:fill="C6EFCE" w:val="clear"/>
          </w:tcPr>
          <w:p>
            <w:r>
              <w:rPr>
                <w:b/>
                <w:sz w:val="17"/>
              </w:rPr>
              <w:t>2,180</w:t>
            </w:r>
          </w:p>
        </w:tc>
        <w:tc>
          <w:tcPr>
            <w:tcW w:type="dxa" w:w="1440"/>
            <w:shd w:fill="C6EFCE" w:val="clear"/>
          </w:tcPr>
          <w:p>
            <w:r>
              <w:rPr>
                <w:sz w:val="17"/>
              </w:rPr>
              <w:t>2,603</w:t>
            </w:r>
          </w:p>
        </w:tc>
        <w:tc>
          <w:tcPr>
            <w:tcW w:type="dxa" w:w="1440"/>
            <w:shd w:fill="C6EFCE" w:val="clear"/>
          </w:tcPr>
          <w:p>
            <w:r>
              <w:rPr>
                <w:b/>
                <w:color w:val="008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RAPPORT D'ANALYSE FINANCIÈRE — SHEC (VIVO ENERGY CÔTE D'IVOIRE)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**130,41 Mds FCFA**, SHEC se positionne parmi les valeurs moyennes de la cote BRVM, loin des géants bancaires mais avec une liquidité correcte. Le **BPA de 96 FCFA/action** confère au titre un rendement bénéficiaire modeste, tandis que le **PER de 21,6x** traduit une valorisation nettement supérieure à la moyenne du marché BRVM (8-12x), signalant soit une anticipation de croissance par le marché, soit une prime excessive. Le **P/B de 4,80x** — bien au-delà du seuil de 4x — confirme que le marché valorise SHEC à forte prime sur sa valeur comptable (capitaux propres de 27,16 Mds FCFA), ce qui est exigeant pour une activité de distribution pétrolière à faible marge. Enfin, l'**EV/EBITDA de 12,1x**, dans la fourchette haute (10-15x), suggère que la valeur d'entreprise intègre déjà une bonne part de la capacité opérationnelle, laissant peu de marge de sécurité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**variation totale positive de +8,09%**, mais la dernière séance a été marquée par une correction brutale de **-4,83%**, ramenant le cours à **2 070 FCFA**. Le titre a évolué dans un range large de **1 915 FCFA (plus bas) à 2 980 FCFA (plus haut)**, soit un spread de plus de 55%, témoignant d'une forte amplitude de trading. La tendance générale reste haussière sur la période, mais le récent décrochage suggère une prise de bénéfices ou une réaction à des nouvelles défavorables. Les statistiques descriptives révèlent une **moyenne de 2 284 FCFA supérieure à la médiane de 2 202 FCFA**, avec un mode à 2 200 FCFA : cet écart confirme une **asymétrie positive (skewness de 1,322)**, indiquant que le cours a passé plus de journées sous sa moyenne, avec quelques pics haussiers tirant la moyenne vers le haut. L'**écart-type de 207 FCFA (CV de 9,1%)** traduit une dispersion modérée autour de la moyenne, mais le **kurtosis de 2,084 (leptokurtique)** signale des queues épaisses et un risque de pics de volatilité — cohérent avec la chute de -4,83% observée. La **volatilité annualisée de 42,6%** classe SHEC parmi les titres à volatilité **élevée** (&gt;30%), ce qui exige une tolérance au risque importante de la part de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(2 294,0 FCFA) et la MM50 (2 415,3 FCFA) se situent toutes deux **au-dessus du cours actuel (2 070 FCFA)**, configurant une structure baissière de court et moyen terme. Le cours évoluant sous ses deux moyennes, la pression vendeuse domine, justifiant la **décision de Vente** des moyennes mobiles.</w:t>
      </w:r>
    </w:p>
    <w:p>
      <w:pPr>
        <w:spacing w:after="120" w:line="276" w:lineRule="auto"/>
      </w:pPr>
      <w:r>
        <w:t>**Bandes de Bollinger** : Le cours (2 070 FCFA) se situe **juste au-dessus de la borne inférieure (2 022,81 FCFA)** et loin de la borne supérieure (2 565,19 FCFA), indiquant une position proche du plancher de volatilité. Cette configuration suggère un potentiel de rebond technique, mais la largeur des bandes traduit une volatilité encore élevée ; la **décision Neutre** reflète cette incertitude entre rebond et poursuite de la baisse.</w:t>
      </w:r>
    </w:p>
    <w:p>
      <w:pPr>
        <w:spacing w:after="120" w:line="276" w:lineRule="auto"/>
      </w:pPr>
      <w:r>
        <w:t>**MACD** : La valeur du MACD (**-94,39**) est **inférieure à son signal (-74,205)**, avec un histogramme négatif qui s'accentue, confirmant un **momentum baissier** en cours. La divergence négative persistante justifie pleinement la **décision de Vente** du MACD.</w:t>
      </w:r>
    </w:p>
    <w:p>
      <w:pPr>
        <w:spacing w:after="120" w:line="276" w:lineRule="auto"/>
      </w:pPr>
      <w:r>
        <w:t>**RSI** : À **16,667**, le RSI se situe **très en dessous du seuil de survente (30)**, signalant une **survente extrême** et un possible épuisement de la pression vendeuse. Cette configuration justifie la **décision d'Achat** du RSI, qui anticipe un rebond technique à court terme.</w:t>
      </w:r>
    </w:p>
    <w:p>
      <w:pPr>
        <w:spacing w:after="120" w:line="276" w:lineRule="auto"/>
      </w:pPr>
      <w:r>
        <w:t>**Stochastique** : Avec **%K = 0,0 et %D = 0,0**, le stochastique est **au plancher absolu**, en zone de survente maximale. Cette configuration extrême, bien que justifiant la **décision d'Achat**, doit être interprétée avec prudence : un stochastique à zéro peut persister en cas de tendance baissière forte, mais historiquement, il précède souvent un rebond.</w:t>
      </w:r>
    </w:p>
    <w:p>
      <w:pPr>
        <w:spacing w:after="120" w:line="276" w:lineRule="auto"/>
      </w:pPr>
      <w:r>
        <w:t>**Conclusion technique** : Les indicateurs présentent une **divergence marquée** : les moyennes mobiles et le MACD confirment une tendance baissière, tandis que le RSI et le stochastique signalent une survente extrême propice à un rebond. Les Bandes de Bollinger, en position neutre, reflètent cette indécision. La convergence des signaux de survente (RSI à 16,7, stochastique à 0) suggère qu'un **rebond technique à court terme est probable**, mais la structure baissière des MM et du MACD invite à la prudence : ce rebond pourrait n'être qu'un pullback avant une poursuite de la correction. Le titre se trouve à un **point d'inflexion critique**.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SHEC a réalisé un **chiffre d'affaires de 604,978 Mds FCFA**, en très légère hausse de **+0,71%** par rapport à 2024 (600,708 Mds FCFA), traduisant une **quasi-stagnation commerciale**. Le **résultat net s'établit à 6,028 Mds FCFA**, en progression de **+12,6%**, porté par l'amélioration de la valeur ajoutée (+15%), la baisse des charges financières (-17,7%) et la hausse de l'EBE (+18,5%). La **marge nette reste très faible à 0,996%**, caractéristique du secteur de distribution pétrolière aval, exposant la société à une forte sensibilité aux variations de coûts. Le **ROE de 22,20%** est excellent (&gt;15%), témoignant d'une bonne rentabilité des fonds propres (27,159 Mds FCFA), tandis que le **ROA de 3,11%** reflète la faible rotation des actifs (312,55%) et l'intensité capitalistique du modèle. Côté structure financière, l'**autonomie financière de 14,03%** est faible (&lt;30% = sain), avec une **dépendance financière de 85,97%** et un **ratio d'endettement de 43,95%** ; la **trésorerie nette est très négative à -65,264 Mds FCFA**, et le **Fonds de Roulement de -49,850 Mds FCFA** signale un déséquilibre structurel. Les délais d'exploitation sont maîtrisés : **délai clients de 23,27 jours**, **délai fournisseurs de 35,47 jours** (favorable à la trésorerie) et **durée de stockage de 7,47 jours**. Le **BFR de 15,315 Mds FCFA** et la **capacité de remboursement de 0,97 an** (dettes financières/CAF) restent acceptables, mais la **couverture des investissements par la CAF de 88,91%** et le **Free Cash Flow négatif de -1,538 Md FCFA** traduisent un besoin de financement externe persistant.</w:t>
      </w:r>
    </w:p>
    <w:p>
      <w:pPr>
        <w:spacing w:after="120" w:line="276" w:lineRule="auto"/>
      </w:pPr>
      <w:r>
        <w:t>**Estimations basées sur les rapports trimestriels** : Le **rapport S1 2026 (daté du 30 juin 2026)** indique un CA de **305 038 M FCFA, en baisse de -1%**, avec des volumes en recul de -3% (aviation, bitume, entreprises) partiellement compensés par le butane et les lubrifiants ; le **résultat d'exploitation progresse de +17% à 6 133 M FCFA** et le **résultat net atteint 3 016 M FCFA (marge nette 0,99%)**. Le **rapport T1 2026** signalait déjà une baisse de -9% du CA, confirmant une **tendance baissière des volumes sur les segments aviation et bitume**. Sur cette base, **on estime que l'exercice 2026 devrait afficher un CA en léger recul (-1% à -2%)**, mais un résultat net potentiellement stable grâce à la maîtrise des charges et à la dynamique du butane. Le **rapport annuel 2025 (daté du 31/12/2025)** confirme un **dividende brut proposé de 6,09 Mds FCFA**, soit environ **1 933 FCFA/action** (rendement de ~93% au cours actuel de 2 070 FCFA — un rendement exceptionnel mais un **taux de distribution de 101%**, supérieur au résultat net, financé par le report à nouveau). Les **rapports antérieurs (S1 2025, T1 2025, exercice 2024)** montrent une **amélioration continue de la rentabilité** (marge nette passée de 0,64% au S1 2024 à 0,91% au S1 2025, puis 1,0% en 2025), mais une **dégradation de la structure financière** (trésorerie passive en hausse de +27% à 70,297 Mds FCFA en 2025).</w:t>
      </w:r>
    </w:p>
    <w:p>
      <w:pPr>
        <w:spacing w:after="120" w:line="276" w:lineRule="auto"/>
      </w:pPr>
      <w:r>
        <w:t>**Recommandation fondamentale** : La société est **solide sur le plan opérationnel** (ROE &gt;20%, marges en amélioration, maîtrise des charges) mais **fragile sur le plan financier** (trésorerie nette très négative, dépendance aux découverts bancaires, distribution excessive). Le principal risque réside dans la **volatilité des volumes** (aviation, bitume) et la **sensibilité aux conditions macroéconomiques**. La recommandation fondamentale est **CONSERVER**, avec une vigilance accrue sur la trésorerie et la pérennité du dividende.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Sur le plan de la **valorisation (Partie 0)**, SHEC se traite à des multiples exigeants (PER 21,6x, P/B 4,80x, EV/EBITDA 12,1x), nettement supérieurs aux standards BRVM, ce qui intègre déjà une bonne part des anticipations de croissance et laisse peu de marge de sécurité — un signal de **surévaluation relative**. Le **comportement du cours (Partie 1)** est préoccupant à court terme : malgré une hausse de +8,09% sur 100 jours, la chute de -4,83% en J-1, la volatilité élevée (42,6%) et le kurtosis leptokurtique (2,084) signalent un **risque de pics baissiers** ; l'asymétrie positive (skewness 1,322) indique cependant que les journées baissières sont plus fréquentes que les haussières, ce qui n'est pas favorable. Les **signaux techniques (Partie 2)** sont **divergents** : MM et MACD confirment la tendance baissière, mais le RSI (16,7) et le stochastique (0,0) en survente extrême plaident pour un **rebond technique imminent** — une configuration de **point d'inflexion** où le risque de rebond à court terme coexiste avec une structure de fond baissière. Les **fondamentaux (Partie 3)** sont **mitigés** : excellente rentabilité des fonds propres (ROE 22,20%), marges en amélioration, mais trésorerie nette très négative (-65,264 Mds FCFA), distribution excessive (101%) et volumes en recul au S1 2026 (-3%) ; la recommandation fondamentale est **CONSERVER**. Les **prédictions IA (J+1 à J+10)** anticipent une **trajectoire haussière modérée** (2 107 → 2 148 FCFA, soit +3,8% sur 5 séances), ce qui **confirme le scénario de rebond technique** suggéré par le RSI et le stochastique, mais **contredit** la structure baissière des MM/MACD et la prudence fondamentale.</w:t>
      </w:r>
    </w:p>
    <w:p>
      <w:pPr>
        <w:spacing w:after="120" w:line="276" w:lineRule="auto"/>
      </w:pPr>
      <w:r>
        <w:t>**Recommandation finale : CONSERVER** — avec un biais tactique pour un **rebond de court terme**. La convergence entre la survente technique extrême (RSI 16,7, stochastique 0) et les prédictions IA haussières (+3,8% sur 5 jours) soutient un **rebond technique à court terme**, mais la valorisation exigeante (PER 21,6x), la structure baissière des moyennes mobiles et les risques financiers (trésorerie nette négative, distribution excessive) limitent le potentiel de hausse durable. Le **niveau de confiance est Moyen** : les signaux de court terme sont clairs (rebond probable), mais la divergence avec les fondamentaux et la valorisation impose la prudence. Le **niveau de risque global est Élevé** (volatilité 42,6%, kurtosis leptokurtique, trésorerie négative, dépendance aux volumes aviation/bitume). L'**horizon optimal** est le **court terme (&lt;3 mois)** pour capturer le rebond technique, avec un objectif de 2 150-2 200 FCFA (borne supérieure des prédictions IA et zone de la MM20), et un **stop-loss sous 2 022 FCFA** (borne inférieure des Bandes de Bollinger) pour limiter le risque baissier. Pour un investisseur de long terme, la **conservation** se justifie par le dividende attractif (~1 933 FCFA/action, rendement exceptionnel) et le ROE élevé, mais un **renforcement** ne serait opportun qu'après clarification de la politique de distribution et amélioration de la trésorerie nette.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872.50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11,500 titres</w:t>
            </w:r>
          </w:p>
        </w:tc>
        <w:tc>
          <w:tcPr>
            <w:tcW w:type="dxa" w:w="2268"/>
            <w:shd w:fill="FFF2CC" w:val="clear"/>
          </w:tcPr>
          <w:p>
            <w:r>
              <w:rPr>
                <w:b/>
                <w:color w:val="503200"/>
                <w:sz w:val="16"/>
              </w:rPr>
              <w:t xml:space="preserve">Cours actuel : </w:t>
            </w:r>
            <w:r>
              <w:rPr>
                <w:color w:val="000000"/>
                <w:sz w:val="17"/>
              </w:rPr>
              <w:t>8,725 FCFA</w:t>
            </w:r>
          </w:p>
          <w:p>
            <w:r>
              <w:rPr>
                <w:b/>
                <w:color w:val="503200"/>
                <w:sz w:val="16"/>
              </w:rPr>
              <w:t xml:space="preserve">Var. 100 jours : </w:t>
            </w:r>
            <w:r>
              <w:rPr>
                <w:b/>
                <w:color w:val="007800"/>
                <w:sz w:val="17"/>
              </w:rPr>
              <w:t>+6.47%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8,195 FCFA</w:t>
            </w:r>
          </w:p>
          <w:p>
            <w:r>
              <w:rPr>
                <w:b/>
                <w:color w:val="503200"/>
                <w:sz w:val="16"/>
              </w:rPr>
              <w:t xml:space="preserve">Volatilité ann. : </w:t>
            </w:r>
            <w:r>
              <w:rPr>
                <w:color w:val="000000"/>
                <w:sz w:val="17"/>
              </w:rPr>
              <w:t>27.4%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11.1/100 → Faible</w:t>
      </w:r>
    </w:p>
    <w:p>
      <w:pPr>
        <w:spacing w:before="40" w:after="80"/>
      </w:pPr>
      <w:r>
        <w:rPr>
          <w:rFonts w:ascii="Courier New" w:hAnsi="Courier New"/>
          <w:color w:val="006400"/>
          <w:sz w:val="18"/>
        </w:rPr>
        <w:t>██░░░░░░░░░░░░░░░░░░  11.1/100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2.55% (Faible) — μ=8,967 FCFA, σ=229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β=0.6744 (Défensif) — Cov=0.000052, Var(idx)=0.000078, ρ=0.342,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11,500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σ_j=1.72%/j (Stable) — Vol. annualisée≈27.4%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8,409</w:t>
            </w:r>
          </w:p>
        </w:tc>
        <w:tc>
          <w:tcPr>
            <w:tcW w:type="dxa" w:w="1440"/>
            <w:shd w:fill="FAFAFA" w:val="clear"/>
          </w:tcPr>
          <w:p>
            <w:r>
              <w:rPr>
                <w:b/>
                <w:sz w:val="17"/>
              </w:rPr>
              <w:t>8,670</w:t>
            </w:r>
          </w:p>
        </w:tc>
        <w:tc>
          <w:tcPr>
            <w:tcW w:type="dxa" w:w="1440"/>
            <w:shd w:fill="FAFAFA" w:val="clear"/>
          </w:tcPr>
          <w:p>
            <w:r>
              <w:rPr>
                <w:sz w:val="17"/>
              </w:rPr>
              <w:t>8,932</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2026-10-22</w:t>
            </w:r>
          </w:p>
        </w:tc>
        <w:tc>
          <w:tcPr>
            <w:tcW w:type="dxa" w:w="1440"/>
            <w:shd w:fill="FAFAFA" w:val="clear"/>
          </w:tcPr>
          <w:p>
            <w:r>
              <w:rPr>
                <w:sz w:val="17"/>
              </w:rPr>
              <w:t>8,254</w:t>
            </w:r>
          </w:p>
        </w:tc>
        <w:tc>
          <w:tcPr>
            <w:tcW w:type="dxa" w:w="1440"/>
            <w:shd w:fill="FAFAFA" w:val="clear"/>
          </w:tcPr>
          <w:p>
            <w:r>
              <w:rPr>
                <w:b/>
                <w:sz w:val="17"/>
              </w:rPr>
              <w:t>8,622</w:t>
            </w:r>
          </w:p>
        </w:tc>
        <w:tc>
          <w:tcPr>
            <w:tcW w:type="dxa" w:w="1440"/>
            <w:shd w:fill="FAFAFA" w:val="clear"/>
          </w:tcPr>
          <w:p>
            <w:r>
              <w:rPr>
                <w:sz w:val="17"/>
              </w:rPr>
              <w:t>8,990</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8,128</w:t>
            </w:r>
          </w:p>
        </w:tc>
        <w:tc>
          <w:tcPr>
            <w:tcW w:type="dxa" w:w="1440"/>
            <w:shd w:fill="FAFAFA" w:val="clear"/>
          </w:tcPr>
          <w:p>
            <w:r>
              <w:rPr>
                <w:b/>
                <w:sz w:val="17"/>
              </w:rPr>
              <w:t>8,576</w:t>
            </w:r>
          </w:p>
        </w:tc>
        <w:tc>
          <w:tcPr>
            <w:tcW w:type="dxa" w:w="1440"/>
            <w:shd w:fill="FAFAFA" w:val="clear"/>
          </w:tcPr>
          <w:p>
            <w:r>
              <w:rPr>
                <w:sz w:val="17"/>
              </w:rPr>
              <w:t>9,024</w:t>
            </w:r>
          </w:p>
        </w:tc>
        <w:tc>
          <w:tcPr>
            <w:tcW w:type="dxa" w:w="1440"/>
            <w:shd w:fill="FAFAFA" w:val="clear"/>
          </w:tcPr>
          <w:p>
            <w:r>
              <w:rPr>
                <w:b/>
                <w:color w:val="C00000"/>
                <w:sz w:val="17"/>
              </w:rPr>
              <w:t>-1.7%</w:t>
            </w:r>
          </w:p>
        </w:tc>
      </w:tr>
      <w:tr>
        <w:tc>
          <w:tcPr>
            <w:tcW w:type="dxa" w:w="1440"/>
            <w:shd w:fill="FFDCE0" w:val="clear"/>
          </w:tcPr>
          <w:p>
            <w:r>
              <w:rPr>
                <w:sz w:val="17"/>
              </w:rPr>
              <w:t>J+4  Moyenne</w:t>
            </w:r>
          </w:p>
        </w:tc>
        <w:tc>
          <w:tcPr>
            <w:tcW w:type="dxa" w:w="1440"/>
            <w:shd w:fill="FFDCE0" w:val="clear"/>
          </w:tcPr>
          <w:p>
            <w:r>
              <w:rPr>
                <w:sz w:val="17"/>
              </w:rPr>
              <w:t>2026-10-26</w:t>
            </w:r>
          </w:p>
        </w:tc>
        <w:tc>
          <w:tcPr>
            <w:tcW w:type="dxa" w:w="1440"/>
            <w:shd w:fill="FFDCE0" w:val="clear"/>
          </w:tcPr>
          <w:p>
            <w:r>
              <w:rPr>
                <w:sz w:val="17"/>
              </w:rPr>
              <w:t>8,018</w:t>
            </w:r>
          </w:p>
        </w:tc>
        <w:tc>
          <w:tcPr>
            <w:tcW w:type="dxa" w:w="1440"/>
            <w:shd w:fill="FFDCE0" w:val="clear"/>
          </w:tcPr>
          <w:p>
            <w:r>
              <w:rPr>
                <w:b/>
                <w:sz w:val="17"/>
              </w:rPr>
              <w:t>8,533</w:t>
            </w:r>
          </w:p>
        </w:tc>
        <w:tc>
          <w:tcPr>
            <w:tcW w:type="dxa" w:w="1440"/>
            <w:shd w:fill="FFDCE0" w:val="clear"/>
          </w:tcPr>
          <w:p>
            <w:r>
              <w:rPr>
                <w:sz w:val="17"/>
              </w:rPr>
              <w:t>9,048</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2026-10-27</w:t>
            </w:r>
          </w:p>
        </w:tc>
        <w:tc>
          <w:tcPr>
            <w:tcW w:type="dxa" w:w="1440"/>
            <w:shd w:fill="FFDCE0" w:val="clear"/>
          </w:tcPr>
          <w:p>
            <w:r>
              <w:rPr>
                <w:sz w:val="17"/>
              </w:rPr>
              <w:t>7,920</w:t>
            </w:r>
          </w:p>
        </w:tc>
        <w:tc>
          <w:tcPr>
            <w:tcW w:type="dxa" w:w="1440"/>
            <w:shd w:fill="FFDCE0" w:val="clear"/>
          </w:tcPr>
          <w:p>
            <w:r>
              <w:rPr>
                <w:b/>
                <w:sz w:val="17"/>
              </w:rPr>
              <w:t>8,494</w:t>
            </w:r>
          </w:p>
        </w:tc>
        <w:tc>
          <w:tcPr>
            <w:tcW w:type="dxa" w:w="1440"/>
            <w:shd w:fill="FFDCE0" w:val="clear"/>
          </w:tcPr>
          <w:p>
            <w:r>
              <w:rPr>
                <w:sz w:val="17"/>
              </w:rPr>
              <w:t>9,067</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2026-10-28</w:t>
            </w:r>
          </w:p>
        </w:tc>
        <w:tc>
          <w:tcPr>
            <w:tcW w:type="dxa" w:w="1440"/>
            <w:shd w:fill="FFDCE0" w:val="clear"/>
          </w:tcPr>
          <w:p>
            <w:r>
              <w:rPr>
                <w:sz w:val="17"/>
              </w:rPr>
              <w:t>7,832</w:t>
            </w:r>
          </w:p>
        </w:tc>
        <w:tc>
          <w:tcPr>
            <w:tcW w:type="dxa" w:w="1440"/>
            <w:shd w:fill="FFDCE0" w:val="clear"/>
          </w:tcPr>
          <w:p>
            <w:r>
              <w:rPr>
                <w:b/>
                <w:sz w:val="17"/>
              </w:rPr>
              <w:t>8,457</w:t>
            </w:r>
          </w:p>
        </w:tc>
        <w:tc>
          <w:tcPr>
            <w:tcW w:type="dxa" w:w="1440"/>
            <w:shd w:fill="FFDCE0" w:val="clear"/>
          </w:tcPr>
          <w:p>
            <w:r>
              <w:rPr>
                <w:sz w:val="17"/>
              </w:rPr>
              <w:t>9,082</w:t>
            </w:r>
          </w:p>
        </w:tc>
        <w:tc>
          <w:tcPr>
            <w:tcW w:type="dxa" w:w="1440"/>
            <w:shd w:fill="FFDCE0" w:val="clear"/>
          </w:tcPr>
          <w:p>
            <w:r>
              <w:rPr>
                <w:b/>
                <w:color w:val="C00000"/>
                <w:sz w:val="17"/>
              </w:rPr>
              <w:t>-3.1%</w:t>
            </w:r>
          </w:p>
        </w:tc>
      </w:tr>
      <w:tr>
        <w:tc>
          <w:tcPr>
            <w:tcW w:type="dxa" w:w="1440"/>
            <w:shd w:fill="FFDCE0" w:val="clear"/>
          </w:tcPr>
          <w:p>
            <w:r>
              <w:rPr>
                <w:sz w:val="17"/>
              </w:rPr>
              <w:t>J+7  Moyenne</w:t>
            </w:r>
          </w:p>
        </w:tc>
        <w:tc>
          <w:tcPr>
            <w:tcW w:type="dxa" w:w="1440"/>
            <w:shd w:fill="FFDCE0" w:val="clear"/>
          </w:tcPr>
          <w:p>
            <w:r>
              <w:rPr>
                <w:sz w:val="17"/>
              </w:rPr>
              <w:t>2026-10-29</w:t>
            </w:r>
          </w:p>
        </w:tc>
        <w:tc>
          <w:tcPr>
            <w:tcW w:type="dxa" w:w="1440"/>
            <w:shd w:fill="FFDCE0" w:val="clear"/>
          </w:tcPr>
          <w:p>
            <w:r>
              <w:rPr>
                <w:sz w:val="17"/>
              </w:rPr>
              <w:t>7,750</w:t>
            </w:r>
          </w:p>
        </w:tc>
        <w:tc>
          <w:tcPr>
            <w:tcW w:type="dxa" w:w="1440"/>
            <w:shd w:fill="FFDCE0" w:val="clear"/>
          </w:tcPr>
          <w:p>
            <w:r>
              <w:rPr>
                <w:b/>
                <w:sz w:val="17"/>
              </w:rPr>
              <w:t>8,423</w:t>
            </w:r>
          </w:p>
        </w:tc>
        <w:tc>
          <w:tcPr>
            <w:tcW w:type="dxa" w:w="1440"/>
            <w:shd w:fill="FFDCE0" w:val="clear"/>
          </w:tcPr>
          <w:p>
            <w:r>
              <w:rPr>
                <w:sz w:val="17"/>
              </w:rPr>
              <w:t>9,095</w:t>
            </w:r>
          </w:p>
        </w:tc>
        <w:tc>
          <w:tcPr>
            <w:tcW w:type="dxa" w:w="1440"/>
            <w:shd w:fill="FFDCE0" w:val="clear"/>
          </w:tcPr>
          <w:p>
            <w:r>
              <w:rPr>
                <w:b/>
                <w:color w:val="C00000"/>
                <w:sz w:val="17"/>
              </w:rPr>
              <w:t>-3.5%</w:t>
            </w:r>
          </w:p>
        </w:tc>
      </w:tr>
      <w:tr>
        <w:tc>
          <w:tcPr>
            <w:tcW w:type="dxa" w:w="1440"/>
            <w:shd w:fill="FFDCE0" w:val="clear"/>
          </w:tcPr>
          <w:p>
            <w:r>
              <w:rPr>
                <w:sz w:val="17"/>
              </w:rPr>
              <w:t>J+8  Moyenne</w:t>
            </w:r>
          </w:p>
        </w:tc>
        <w:tc>
          <w:tcPr>
            <w:tcW w:type="dxa" w:w="1440"/>
            <w:shd w:fill="FFDCE0" w:val="clear"/>
          </w:tcPr>
          <w:p>
            <w:r>
              <w:rPr>
                <w:sz w:val="17"/>
              </w:rPr>
              <w:t>2026-10-30</w:t>
            </w:r>
          </w:p>
        </w:tc>
        <w:tc>
          <w:tcPr>
            <w:tcW w:type="dxa" w:w="1440"/>
            <w:shd w:fill="FFDCE0" w:val="clear"/>
          </w:tcPr>
          <w:p>
            <w:r>
              <w:rPr>
                <w:sz w:val="17"/>
              </w:rPr>
              <w:t>7,674</w:t>
            </w:r>
          </w:p>
        </w:tc>
        <w:tc>
          <w:tcPr>
            <w:tcW w:type="dxa" w:w="1440"/>
            <w:shd w:fill="FFDCE0" w:val="clear"/>
          </w:tcPr>
          <w:p>
            <w:r>
              <w:rPr>
                <w:b/>
                <w:sz w:val="17"/>
              </w:rPr>
              <w:t>8,391</w:t>
            </w:r>
          </w:p>
        </w:tc>
        <w:tc>
          <w:tcPr>
            <w:tcW w:type="dxa" w:w="1440"/>
            <w:shd w:fill="FFDCE0" w:val="clear"/>
          </w:tcPr>
          <w:p>
            <w:r>
              <w:rPr>
                <w:sz w:val="17"/>
              </w:rPr>
              <w:t>9,107</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2026-11-02</w:t>
            </w:r>
          </w:p>
        </w:tc>
        <w:tc>
          <w:tcPr>
            <w:tcW w:type="dxa" w:w="1440"/>
            <w:shd w:fill="FFDCE0" w:val="clear"/>
          </w:tcPr>
          <w:p>
            <w:r>
              <w:rPr>
                <w:sz w:val="17"/>
              </w:rPr>
              <w:t>7,603</w:t>
            </w:r>
          </w:p>
        </w:tc>
        <w:tc>
          <w:tcPr>
            <w:tcW w:type="dxa" w:w="1440"/>
            <w:shd w:fill="FFDCE0" w:val="clear"/>
          </w:tcPr>
          <w:p>
            <w:r>
              <w:rPr>
                <w:b/>
                <w:sz w:val="17"/>
              </w:rPr>
              <w:t>8,360</w:t>
            </w:r>
          </w:p>
        </w:tc>
        <w:tc>
          <w:tcPr>
            <w:tcW w:type="dxa" w:w="1440"/>
            <w:shd w:fill="FFDCE0" w:val="clear"/>
          </w:tcPr>
          <w:p>
            <w:r>
              <w:rPr>
                <w:sz w:val="17"/>
              </w:rPr>
              <w:t>9,117</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2026-11-03</w:t>
            </w:r>
          </w:p>
        </w:tc>
        <w:tc>
          <w:tcPr>
            <w:tcW w:type="dxa" w:w="1440"/>
            <w:shd w:fill="FFDCE0" w:val="clear"/>
          </w:tcPr>
          <w:p>
            <w:r>
              <w:rPr>
                <w:sz w:val="17"/>
              </w:rPr>
              <w:t>7,536</w:t>
            </w:r>
          </w:p>
        </w:tc>
        <w:tc>
          <w:tcPr>
            <w:tcW w:type="dxa" w:w="1440"/>
            <w:shd w:fill="FFDCE0" w:val="clear"/>
          </w:tcPr>
          <w:p>
            <w:r>
              <w:rPr>
                <w:b/>
                <w:sz w:val="17"/>
              </w:rPr>
              <w:t>8,331</w:t>
            </w:r>
          </w:p>
        </w:tc>
        <w:tc>
          <w:tcPr>
            <w:tcW w:type="dxa" w:w="1440"/>
            <w:shd w:fill="FFDCE0" w:val="clear"/>
          </w:tcPr>
          <w:p>
            <w:r>
              <w:rPr>
                <w:sz w:val="17"/>
              </w:rPr>
              <w:t>9,126</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 BRVM | Secteur Bancaire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SIBC s'établit à **872,50 milliards FCFA**, un niveau qui la place parmi les valeurs les plus capitalisées de la BRVM, témoignant de son statut de pilier du secteur bancaire sous-régional. Le BPA de **556 FCFA/action** traduit la profitabilité réelle par titre, tandis que le **PER de 15,7x** — au-dessus de la moyenne BRVM (~8-12x) — indique que le marché paie une prime certaine pour cette valeur bancaire de qualité, cohérente avec ses standards de rentabilité. Le **P/B de 4,26x** confirme cette valorisation exigeante : le marché valorise SIBC à plus de quatre fois sa valeur comptable, ce qui intègre la forte rentabilité des fonds propres (ROE &gt;27%) mais laisse peu de marge de sécurité. Enfin, l'**EV/EBITDA de 14,6x** situe la valeur dans la fourchette haute (10-15x), reflétant la confiance des investisseurs dans la capacité bénéficiaire opérationnelle de la banque, mais suggérant une valorisation déjà bien optimisée.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affiche une **variation totale de +6,47%**, avec une dernière séance stable (**J-1 : +0,00%**) à **8 725 FCFA**. Le range de trading s'étend de **8 195 FCFA** (plus bas) à **9 500 FCFA** (plus haut), soit une amplitude de 15,9% qui traduit une tendance globalement haussière mais avec des phases de consolidation. La moyenne (**8 967 FCFA**) est légèrement supérieure à la médiane (**8 995 FCFA**), un écart minime qui confirme une distribution quasi-symétrique, cohérente avec le **skewness de -0,307** (légère asymétrie vers la baisse, sans excès). L'**écart-type de 230 FCFA** avec un **coefficient de variation de 2,6%** révèle une dispersion très faible du cours, signe d'un titre stable et peu agité. Le **kurtosis de 0,062** (mésokurtique) indique une distribution proche de la normale, sans risque de pics extrêmes marqués. La **volatilité annualisée de 27,4%** positionne SIBC dans la catégorie des titres à volatilité modérée (15-30%), acceptable pour une valeur bancaire de premier rang.</w:t>
      </w:r>
    </w:p>
    <w:p>
      <w:pPr>
        <w:spacing w:after="120" w:line="276" w:lineRule="auto"/>
      </w:pPr>
      <w:r>
        <w:t>---</w:t>
      </w:r>
    </w:p>
    <w:p>
      <w:pPr>
        <w:spacing w:after="120" w:line="276" w:lineRule="auto"/>
      </w:pPr>
      <w:r>
        <w:t>## PARTIE 2 : ANALYSE TECHNIQUE DÉTAILLÉE</w:t>
      </w:r>
    </w:p>
    <w:p>
      <w:pPr>
        <w:spacing w:after="120" w:line="276" w:lineRule="auto"/>
      </w:pPr>
      <w:r>
        <w:t>**Moyennes Mobiles** : La MM20 (**8 888,75 FCFA**) et la MM50 (**9 076,00 FCFA**) se situent toutes deux au-dessus du cours actuel (8 725 FCFA), avec une MM50 supérieure à la MM20 — configuration baissière de court terme. Le cours évolue sous ses deux moyennes, ce qui justifie la **décision de Vente** : la pression vendeuse domine et la tendance de fond reste fragile malgré le rebond des 100 jours.</w:t>
      </w:r>
    </w:p>
    <w:p>
      <w:pPr>
        <w:spacing w:after="120" w:line="276" w:lineRule="auto"/>
      </w:pPr>
      <w:r>
        <w:t>**Bandes de Bollinger** : Le cours (8 725 FCFA) se situe dans la moitié inférieure de la bande, entre la borne inférieure (**8 506,71 FCFA**) et la borne supérieure (**9 270,79 FCFA**), sans contact avec les extrêmes. Cette position centrale traduit une absence de signal directionnel fort, d'où la **décision Neutre** : la volatilité est contenue et le titre évolue dans un canal de consolidation.</w:t>
      </w:r>
    </w:p>
    <w:p>
      <w:pPr>
        <w:spacing w:after="120" w:line="276" w:lineRule="auto"/>
      </w:pPr>
      <w:r>
        <w:t>**MACD** : La valeur du MACD (**-98,922**) est inférieure à son signal (**-84,461**), confirmant une divergence baissière persistante. Le momentum reste négatif et la **décision de Vente** s'impose : la dynamique de court terme n'est pas encore retournée, même si l'amplitude du signal demeure modérée.</w:t>
      </w:r>
    </w:p>
    <w:p>
      <w:pPr>
        <w:spacing w:after="120" w:line="276" w:lineRule="auto"/>
      </w:pPr>
      <w:r>
        <w:t>**RSI** : À **27,513**, le RSI se situe en zone de **survente** (seuil &lt;30), signal classique de rebond potentiel. La **décision d'Achat** est justifiée : le titre a été excessivement vendu et une correction haussière technique est probable à court terme.</w:t>
      </w:r>
    </w:p>
    <w:p>
      <w:pPr>
        <w:spacing w:after="120" w:line="276" w:lineRule="auto"/>
      </w:pPr>
      <w:r>
        <w:t>**Stochastique** : Le %K et le %D sont tous deux à **5,435**, en zone de survente extrême (seuil &lt;20), avec un croisement non encore matérialisé mais une configuration propice à un retournement. La **décision d'Achat** confirme le signal du RSI : le titre est survendu et une reprise technique se profile.</w:t>
      </w:r>
    </w:p>
    <w:p>
      <w:pPr>
        <w:spacing w:after="120" w:line="276" w:lineRule="auto"/>
      </w:pPr>
      <w:r>
        <w:t>**Conclusion technique** : Les indicateurs présentent une **divergence classique** : les moyennes mobiles et le MACD plaident pour la prudence (Vente), tandis que le RSI et le Stochastique signalent une survente propice à un rebond (Achat). Les Bandes de Bollinger restent neutres. Cette configuration suggère un **point d'inflexion potentiel** : le titre pourrait rebondir techniquement après sa correction, mais la confirmation d'un retournement de tendance nécessitera un franchissement de la MM20 (8 888 FCFA) et un redressement du MACD.</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SIBC affiche un **PNB de 108,663 milliards FCFA** et un **résultat net de 55,623 milliards FCFA**, soit une **marge nette exceptionnelle de 51,19%**. Le **ROE de 27,16%** (largement &gt;15%) et le **ROA de 2,96%** confirment une rentabilité parmi les meilleures du secteur bancaire ouest-africain. Le **coefficient d'exploitation de 38,59%** (&lt;50%) témoigne d'une efficacité opérationnelle excellente, tandis que le **taux de croissance du PNB de 5,74%** traduit une dynamique commerciale soutenue. La structure bilancielle est solide : **dépôts clientèle de 1 503,44 Mds FCFA** contre **créances clientèle de 1 226,72 Mds FCFA**, soit un ratio de transformation de 81,6% — sain pour une banque de dépôt. Le **portefeuille de titres d'État (375,56 Mds FCFA)** diversifie les revenus. Le **coût du risque** (provisions de 14,124 Mds FCFA) reste maîtrisé au regard du PNB, et la **couverture des intérêts de 408,9%** assure une solvabilité confortable.</w:t>
      </w:r>
    </w:p>
    <w:p>
      <w:pPr>
        <w:spacing w:after="120" w:line="276" w:lineRule="auto"/>
      </w:pPr>
      <w:r>
        <w:t>**Estimations basées sur les rapports trimestriels** : Le rapport **S1 2026 (analysé le 29/09/2026)** confirme la tendance : **PNB de 56,592 Mds FCFA (+4,2%)** et **résultat net de 32,140 Mds FCFA (+9,3%)**, avec un **coût du risque en chute de 75,3%** (287 M FCFA) — signal très favorable sur la qualité du portefeuille. Le **T1 2026 (rapport du 07/05/2026)** affichait déjà un **résultat net de 15,2 Mds FCFA (+11%)** et un PNB de 27,7 Mds FCFA (+4%). Sur cette base, on peut **estimer** que l'exercice 2026 devrait dépasser les 60 Mds FCFA de résultat net, avec un PNB annuel projeté autour de 115-118 Mds FCFA, confirmant la trajectoire de croissance. Le rapport **annuel 2024 (31/12/2024)** rappelle un **ROE de 30,56%** et un dividende de **375 FCFA/action** (rendement ~10,55%), soulignant la générosité de la politique de distribution. **Conclusion fondamentale** : SIBC est une banque **solide, rentable et bien capitalisée**, avec des fondamentaux de qualité supérieure et une dynamique commerciale confirmée par les publications récentes.</w:t>
      </w:r>
    </w:p>
    <w:p>
      <w:pPr>
        <w:spacing w:after="120" w:line="276" w:lineRule="auto"/>
      </w:pPr>
      <w:r>
        <w:t>---</w:t>
      </w:r>
    </w:p>
    <w:p>
      <w:pPr>
        <w:spacing w:after="120" w:line="276" w:lineRule="auto"/>
      </w:pPr>
      <w:r>
        <w:t>## PARTIE 4 : CONCLUSION D'INVESTISSEMENT</w:t>
      </w:r>
    </w:p>
    <w:p>
      <w:pPr>
        <w:spacing w:after="120" w:line="276" w:lineRule="auto"/>
      </w:pPr>
      <w:r>
        <w:t>La **valorisation** (Partie 0) est exigeante : PER de 15,7x et P/B de 4,26x intègrent déjà une prime de qualité, limitant le potentiel de revalorisation à court terme malgré des fondamentaux excellents. Le **comportement du cours** (Partie 1) est stable (+6,47% sur 100 jours), avec une volatilité modérée (27,4%) et des statistiques rassurantes (kurtosis proche de la normale, skewness équilibré) — un profil défensif adapté aux investisseurs prudents. Les **signaux techniques** (Partie 2) sont **mitigés** : si les MM et le MACD plaident pour la prudence, le RSI (27,5) et le Stochastique (5,4) en survente extrême suggèrent un rebond imminent, créant une fenêtre d'entrée tactique. Les **fondamentaux** (Partie 3) sont **remarquables** : ROE de 27,16%, coefficient d'exploitation de 38,59%, croissance du résultat net de +9,3% au S1 2026 et coût du risque quasi nul — SIBC est une valeur de qualité. Les **prédictions IA** (J+1 à J+10) anticipent une **légère correction** de 8 670 à 8 494 FCFA (-2,6% sur 5 séances), ce qui **contredit partiellement** le signal de rebond technique mais **confirme** la prudence des moyennes mobiles. **Recommandation finale : CONSERVER** — la convergence entre valorisation exigeante, technique mitigée et fondamentaux solides plaide pour une position attentiste. Les investisseurs déjà positionnés bénéficieront de la qualité du titre et d'un dividende attractif (~10%), tandis que les nouveaux entrants devraient attendre une correction vers 8 500 FCFA (borne inférieure de Bollinger) pour optimiser leur point d'entrée. **Niveau de confiance : Moyen** (divergence technique vs fondamental). **Niveau de risque : Faible à Moyen** (titre défensif, banque solide). **Horizon optimal : Moyen à long terme (6-18 mois)**, le temps que la valorisation se normalise et que la croissance bénéficiaire se confirme.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N/D</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34.2/100 → Moyen</w:t>
      </w:r>
    </w:p>
    <w:p>
      <w:pPr>
        <w:spacing w:before="40" w:after="80"/>
      </w:pPr>
      <w:r>
        <w:rPr>
          <w:rFonts w:ascii="Courier New" w:hAnsi="Courier New"/>
          <w:color w:val="825A00"/>
          <w:sz w:val="18"/>
        </w:rPr>
        <w:t>██████░░░░░░░░░░░░░░  34.2/100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β=-1.2138 (Contre-cyclique) — Cov=-0.000049, Var(idx)=0.000040, ρ=-0.197, n=77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52/100  (Moyen)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 RAPPORT D'ANALYSE — SICOR (SICC)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**5,04 milliards FCFA**, un niveau modeste à l'échelle de la BRVM qui la place parmi les petites capitalisations du compartiment agro-industriel. Les ratios de valorisation classiques (BPA, PER, P/B, EV/EBITDA) ne sont pas calculables en l'état, faute de données financières structurées exploitables et de bénéfice par action consolidé récent : le dernier résultat net annuel connu (2023) ressort à seulement **+19,25 millions FCFA**, soit un BPA dérisoire au regard du cours de 8 400 FCFA, ce qui impliquerait un PER théorique extrêmement élevé (plusieurs centaines de fois les bénéfices). Le marché valorise donc SICOR bien au-delà de sa valeur comptable et de sa capacité bénéficiaire actuelle, ce qui traduit une prime spéculative plutôt qu'une valorisation fondamentale — un point de vigilance majeur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SICOR affiche une performance spectaculaire de **+95,35%**, portant le cours à **8 400 FCFA**, malgré un léger repli de **-1,12%** lors de la dernière séance. Le range de trading est très large, avec un plus haut à **10 200 FCFA** et un plus bas à **3 985 FCFA**, soit un rapport de 2,6x entre les extrêmes — signe d'une tendance nettement haussière mais extrêmement nerveuse. La moyenne (**5 815 FCFA**) est supérieure à la médiane (**5 022 FCFA**), confirmant une distribution asymétrique tirée vers le haut par les récents pics ; le skewness positif (**0,913**) indique toutefois que la majorité des séances se sont situées sous la moyenne, avec quelques journées exceptionnelles portant la performance. L'écart-type de **1 813 FCFA** et un coefficient de variation de **31,2%** traduisent une dispersion très élevée du cours, tandis que le kurtosis de **-0,630** (mésokurtique) suggère une distribution proche de la normale, sans pics extrêmes marqués. La volatilité annualisée de **58,2%** classe clairement le titre dans la catégorie **très volatile** (&gt;30%), ce qui implique un risque de marché élevé et justifie une taille de position prudente.</w:t>
      </w:r>
    </w:p>
    <w:p>
      <w:pPr>
        <w:spacing w:after="120" w:line="276" w:lineRule="auto"/>
      </w:pPr>
      <w:r>
        <w:t>---</w:t>
      </w:r>
    </w:p>
    <w:p>
      <w:pPr>
        <w:spacing w:after="120" w:line="276" w:lineRule="auto"/>
      </w:pPr>
      <w:r>
        <w:t>## PARTIE 2 : ANALYSE TECHNIQUE DÉTAILLÉE</w:t>
      </w:r>
    </w:p>
    <w:p>
      <w:pPr>
        <w:spacing w:after="120" w:line="276" w:lineRule="auto"/>
      </w:pPr>
      <w:r>
        <w:t>**Moyennes Mobiles** : Les MM20 et MM50 ne sont pas calculables (valeurs non disponibles), ce qui empêche toute lecture de la dynamique de tendance à court et moyen terme. En l'absence de ces repères, la décision technique reste indéterminée et l'analyste doit s'appuyer sur les autres indicateurs et sur la statistique descriptive.</w:t>
      </w:r>
    </w:p>
    <w:p>
      <w:pPr>
        <w:spacing w:after="120" w:line="276" w:lineRule="auto"/>
      </w:pPr>
      <w:r>
        <w:t>**Bandes de Bollinger** : Les bornes supérieure et inférieure ne sont pas disponibles, rendant impossible l'évaluation de la position du cours par rapport à sa volatilité récente. La décision reste neutre par défaut, mais la volatilité annualisée de 58,2% suggère des bandes très larges si elles étaient calculées.</w:t>
      </w:r>
    </w:p>
    <w:p>
      <w:pPr>
        <w:spacing w:after="120" w:line="276" w:lineRule="auto"/>
      </w:pPr>
      <w:r>
        <w:t>**MACD** : La valeur du MACD et sa ligne de signal sont indisponibles ; aucune divergence ni croisement ne peut être identifié. Le momentum ne peut donc être qualifié, et la décision reste non concluante.</w:t>
      </w:r>
    </w:p>
    <w:p>
      <w:pPr>
        <w:spacing w:after="120" w:line="276" w:lineRule="auto"/>
      </w:pPr>
      <w:r>
        <w:t>**RSI** : Le RSI n'est pas calculé, empêchant de déterminer si le titre est en zone de surachat (&gt;70) ou de survente (&lt;30). Compte tenu de la hausse de +95% sur 100 jours, un RSI élevé serait probable mais ne peut être confirmé.</w:t>
      </w:r>
    </w:p>
    <w:p>
      <w:pPr>
        <w:spacing w:after="120" w:line="276" w:lineRule="auto"/>
      </w:pPr>
      <w:r>
        <w:t>**Stochastique** : Les %K et %D ne sont pas disponibles ; aucun croisement ni signal de retournement ne peut être exploité. La décision reste neutre.</w:t>
      </w:r>
    </w:p>
    <w:p>
      <w:pPr>
        <w:spacing w:after="120" w:line="276" w:lineRule="auto"/>
      </w:pPr>
      <w:r>
        <w:t>**Conclusion technique** : L'ensemble des indicateurs techniques étant indisponibles (valeurs NaN), aucune convergence ou divergence ne peut être établie. La seule lecture exploitable est statistique : tendance haussière forte (+95,35%) mais volatilité très élevée (58,2%) et distribution asymétrique positive, ce qui plaide pour une **prudence technique** — le titre a beaucoup monté et pourrait connaître des corrections violentes, comme en témoigne le repli de -1,12% en dernière séance.</w:t>
      </w:r>
    </w:p>
    <w:p>
      <w:pPr>
        <w:spacing w:after="120" w:line="276" w:lineRule="auto"/>
      </w:pPr>
      <w:r>
        <w:t>---</w:t>
      </w:r>
    </w:p>
    <w:p>
      <w:pPr>
        <w:spacing w:after="120" w:line="276" w:lineRule="auto"/>
      </w:pPr>
      <w:r>
        <w:t>## PARTIE 3 : ANALYSE FONDAMENTALE</w:t>
      </w:r>
    </w:p>
    <w:p>
      <w:pPr>
        <w:spacing w:after="120" w:line="276" w:lineRule="auto"/>
      </w:pPr>
      <w:r>
        <w:t>Les états financiers officiels disponibles pour SICOR couvrent les exercices **2015 à 2023**, avec une analyse détaillée des rapports 2022 et 2023 (rapports analysés respectivement le 15/03/2026) et un rapport récent daté du 31/12/2024 (analyse Gemini-Vision du 06/09/2026) dont l'extraction est partielle. En **2022**, le chiffre d'affaires s'établit à **1 138,17 millions FCFA**, en baisse de 17,58% sur un an, et la société enregistre une **perte nette de -39,95 millions FCFA** (marge nette -3,51%), marquant une inversion après quatre années bénéficiaires (2018-2021). En **2023**, le CA chute encore de 38,4% à **701,09 millions FCFA**, mais la société renoue avec un **bénéfice net de +19,25 millions FCFA** (marge nette 2,75%) grâce à une réduction drastique des charges (-43,68%), notamment via le transfert de 50% du personnel vers la filiale SIPAL. L'évolution historique montre une grande instabilité : résultat net de +989 millions FCFA en 2018, +2,35 millions en 2019, +109,8 millions en 2020, +119,2 millions en 2021, puis -39,9 millions en 2022 et +19,25 millions en 2023 — soit une rentabilité structurellement fragile et erratique. Les **capitaux propres sont négatifs** (-2,32 milliards FCFA en 2016 selon le rapport 2016), et les **pertes cumulées atteignent 689,86 millions FCFA en 2023**, ce qui interdit toute distribution de dividende (aucun dividende depuis 2017). Les risques opérationnels sont réels : vols de noix de coco sur les sites de Boulay et Gliké, découverts bancaires multipliés par 14 en 2023, dépendance à l'huile de coprah et concurrence d'acteurs comme SIFCA ou Olam. La recommandation fondamentale reste donc **CONSERVER avec vigilance** : le redressement de 2023 est encourageant mais fragile, et la valorisation boursière actuelle (5,04 Mds FCFA) n'est absolument pas soutenue par les fondamentaux.</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majeure** entre la valorisation, le comportement du cours et les fondamentaux. Sur le plan de la **valorisation (Partie 0)**, la capitalisation de 5,04 Mds FCFA pour un bénéfice net de seulement 19,25 millions FCFA en 2023 implique un PER théorique de plusieurs centaines de fois, signalant une **surévaluation spéculative** manifeste. Le **comportement du cours (Partie 1)** est haussier (+95,35%) mais extrêmement volatil (58,2% annualisé), avec un skewness positif et une dispersion élevée qui traduisent une nervosité excessive — favorable à court terme mais préoccupant pour la préservation du capital. Les **signaux techniques (Partie 2)** sont indisponibles (MM, Bollinger, MACD, RSI, Stochastique tous NaN), ce qui prive l'analyste de toute confirmation de tendance et renforce l'incertitude. Les **fondamentaux (Partie 3)** montrent une société fragile, aux capitaux propres négatifs, sans dividende depuis 2017, dont le redressement 2023 (+19,25 M FCFA) reste précaire et dépendant de la maîtrise des coûts et de la sécurisation des plantations. Enfin, **aucune prédiction IA** n'est disponible pour J+1 à J+10, ce qui empêche toute validation de la trajectoire court terme. Face à cette convergence négative entre surévaluation, volatilité extrême et fragilité fondamentale, la recommandation finale est **VENTE** (prise de profits après la hausse de +95%), avec un **niveau de confiance moyen** (faute d'indicateurs techniques et de prédictions), un **risque global élevé** (volatilité 58,2%, capitaux propres négatifs, absence de dividende) et un **horizon court terme** (&lt;3 mois) pour matérialiser les gains avant une éventuelle correction vers la moyenne statistique de 5 815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5,373 titres</w:t>
            </w:r>
          </w:p>
        </w:tc>
        <w:tc>
          <w:tcPr>
            <w:tcW w:type="dxa" w:w="2268"/>
            <w:shd w:fill="FFF2CC" w:val="clear"/>
          </w:tcPr>
          <w:p>
            <w:r>
              <w:rPr>
                <w:b/>
                <w:color w:val="503200"/>
                <w:sz w:val="16"/>
              </w:rPr>
              <w:t xml:space="preserve">Cours actuel : </w:t>
            </w:r>
            <w:r>
              <w:rPr>
                <w:color w:val="000000"/>
                <w:sz w:val="17"/>
              </w:rPr>
              <w:t>1,700 FCFA</w:t>
            </w:r>
          </w:p>
          <w:p>
            <w:r>
              <w:rPr>
                <w:b/>
                <w:color w:val="503200"/>
                <w:sz w:val="16"/>
              </w:rPr>
              <w:t xml:space="preserve">Var. 100 jours : </w:t>
            </w:r>
            <w:r>
              <w:rPr>
                <w:b/>
                <w:color w:val="B40000"/>
                <w:sz w:val="17"/>
              </w:rPr>
              <w:t>-40.87%</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1,700 FCFA</w:t>
            </w:r>
          </w:p>
          <w:p>
            <w:r>
              <w:rPr>
                <w:b/>
                <w:color w:val="503200"/>
                <w:sz w:val="16"/>
              </w:rPr>
              <w:t xml:space="preserve">Volatilité ann. : </w:t>
            </w:r>
            <w:r>
              <w:rPr>
                <w:color w:val="000000"/>
                <w:sz w:val="17"/>
              </w:rPr>
              <w:t>54.7%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12.51% (Moyenne) — μ=2,324 FCFA, σ=291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β=0.5114 (Défensif) — Cov=0.000040, Var(idx)=0.000078, ρ=0.131,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σ_j=3.44%/j (Modérée) — Vol. annualisée≈54.7%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2026-10-21</w:t>
            </w:r>
          </w:p>
        </w:tc>
        <w:tc>
          <w:tcPr>
            <w:tcW w:type="dxa" w:w="1440"/>
            <w:shd w:fill="C6EFCE" w:val="clear"/>
          </w:tcPr>
          <w:p>
            <w:r>
              <w:rPr>
                <w:sz w:val="17"/>
              </w:rPr>
              <w:t>1,701</w:t>
            </w:r>
          </w:p>
        </w:tc>
        <w:tc>
          <w:tcPr>
            <w:tcW w:type="dxa" w:w="1440"/>
            <w:shd w:fill="C6EFCE" w:val="clear"/>
          </w:tcPr>
          <w:p>
            <w:r>
              <w:rPr>
                <w:b/>
                <w:sz w:val="17"/>
              </w:rPr>
              <w:t>1,789</w:t>
            </w:r>
          </w:p>
        </w:tc>
        <w:tc>
          <w:tcPr>
            <w:tcW w:type="dxa" w:w="1440"/>
            <w:shd w:fill="C6EFCE" w:val="clear"/>
          </w:tcPr>
          <w:p>
            <w:r>
              <w:rPr>
                <w:sz w:val="17"/>
              </w:rPr>
              <w:t>1,877</w:t>
            </w:r>
          </w:p>
        </w:tc>
        <w:tc>
          <w:tcPr>
            <w:tcW w:type="dxa" w:w="1440"/>
            <w:shd w:fill="C6EFCE" w:val="clear"/>
          </w:tcPr>
          <w:p>
            <w:r>
              <w:rPr>
                <w:b/>
                <w:color w:val="008000"/>
                <w:sz w:val="17"/>
              </w:rPr>
              <w:t>+5.2%</w:t>
            </w:r>
          </w:p>
        </w:tc>
      </w:tr>
      <w:tr>
        <w:tc>
          <w:tcPr>
            <w:tcW w:type="dxa" w:w="1440"/>
            <w:shd w:fill="C6EFCE" w:val="clear"/>
          </w:tcPr>
          <w:p>
            <w:r>
              <w:rPr>
                <w:sz w:val="17"/>
              </w:rPr>
              <w:t>J+2  ⭐</w:t>
            </w:r>
          </w:p>
        </w:tc>
        <w:tc>
          <w:tcPr>
            <w:tcW w:type="dxa" w:w="1440"/>
            <w:shd w:fill="C6EFCE" w:val="clear"/>
          </w:tcPr>
          <w:p>
            <w:r>
              <w:rPr>
                <w:sz w:val="17"/>
              </w:rPr>
              <w:t>2026-10-22</w:t>
            </w:r>
          </w:p>
        </w:tc>
        <w:tc>
          <w:tcPr>
            <w:tcW w:type="dxa" w:w="1440"/>
            <w:shd w:fill="C6EFCE" w:val="clear"/>
          </w:tcPr>
          <w:p>
            <w:r>
              <w:rPr>
                <w:sz w:val="17"/>
              </w:rPr>
              <w:t>1,659</w:t>
            </w:r>
          </w:p>
        </w:tc>
        <w:tc>
          <w:tcPr>
            <w:tcW w:type="dxa" w:w="1440"/>
            <w:shd w:fill="C6EFCE" w:val="clear"/>
          </w:tcPr>
          <w:p>
            <w:r>
              <w:rPr>
                <w:b/>
                <w:sz w:val="17"/>
              </w:rPr>
              <w:t>1,784</w:t>
            </w:r>
          </w:p>
        </w:tc>
        <w:tc>
          <w:tcPr>
            <w:tcW w:type="dxa" w:w="1440"/>
            <w:shd w:fill="C6EFCE" w:val="clear"/>
          </w:tcPr>
          <w:p>
            <w:r>
              <w:rPr>
                <w:sz w:val="17"/>
              </w:rPr>
              <w:t>1,908</w:t>
            </w:r>
          </w:p>
        </w:tc>
        <w:tc>
          <w:tcPr>
            <w:tcW w:type="dxa" w:w="1440"/>
            <w:shd w:fill="C6EFCE" w:val="clear"/>
          </w:tcPr>
          <w:p>
            <w:r>
              <w:rPr>
                <w:b/>
                <w:color w:val="008000"/>
                <w:sz w:val="17"/>
              </w:rPr>
              <w:t>+4.9%</w:t>
            </w:r>
          </w:p>
        </w:tc>
      </w:tr>
      <w:tr>
        <w:tc>
          <w:tcPr>
            <w:tcW w:type="dxa" w:w="1440"/>
            <w:shd w:fill="C6EFCE" w:val="clear"/>
          </w:tcPr>
          <w:p>
            <w:r>
              <w:rPr>
                <w:sz w:val="17"/>
              </w:rPr>
              <w:t>J+3  ⭐</w:t>
            </w:r>
          </w:p>
        </w:tc>
        <w:tc>
          <w:tcPr>
            <w:tcW w:type="dxa" w:w="1440"/>
            <w:shd w:fill="C6EFCE" w:val="clear"/>
          </w:tcPr>
          <w:p>
            <w:r>
              <w:rPr>
                <w:sz w:val="17"/>
              </w:rPr>
              <w:t>2026-10-23</w:t>
            </w:r>
          </w:p>
        </w:tc>
        <w:tc>
          <w:tcPr>
            <w:tcW w:type="dxa" w:w="1440"/>
            <w:shd w:fill="C6EFCE" w:val="clear"/>
          </w:tcPr>
          <w:p>
            <w:r>
              <w:rPr>
                <w:sz w:val="17"/>
              </w:rPr>
              <w:t>1,634</w:t>
            </w:r>
          </w:p>
        </w:tc>
        <w:tc>
          <w:tcPr>
            <w:tcW w:type="dxa" w:w="1440"/>
            <w:shd w:fill="C6EFCE" w:val="clear"/>
          </w:tcPr>
          <w:p>
            <w:r>
              <w:rPr>
                <w:b/>
                <w:sz w:val="17"/>
              </w:rPr>
              <w:t>1,787</w:t>
            </w:r>
          </w:p>
        </w:tc>
        <w:tc>
          <w:tcPr>
            <w:tcW w:type="dxa" w:w="1440"/>
            <w:shd w:fill="C6EFCE" w:val="clear"/>
          </w:tcPr>
          <w:p>
            <w:r>
              <w:rPr>
                <w:sz w:val="17"/>
              </w:rPr>
              <w:t>1,940</w:t>
            </w:r>
          </w:p>
        </w:tc>
        <w:tc>
          <w:tcPr>
            <w:tcW w:type="dxa" w:w="1440"/>
            <w:shd w:fill="C6EFCE" w:val="clear"/>
          </w:tcPr>
          <w:p>
            <w:r>
              <w:rPr>
                <w:b/>
                <w:color w:val="008000"/>
                <w:sz w:val="17"/>
              </w:rPr>
              <w:t>+5.1%</w:t>
            </w:r>
          </w:p>
        </w:tc>
      </w:tr>
      <w:tr>
        <w:tc>
          <w:tcPr>
            <w:tcW w:type="dxa" w:w="1440"/>
            <w:shd w:fill="C6EFCE" w:val="clear"/>
          </w:tcPr>
          <w:p>
            <w:r>
              <w:rPr>
                <w:sz w:val="17"/>
              </w:rPr>
              <w:t>J+4  ⭐</w:t>
            </w:r>
          </w:p>
        </w:tc>
        <w:tc>
          <w:tcPr>
            <w:tcW w:type="dxa" w:w="1440"/>
            <w:shd w:fill="C6EFCE" w:val="clear"/>
          </w:tcPr>
          <w:p>
            <w:r>
              <w:rPr>
                <w:sz w:val="17"/>
              </w:rPr>
              <w:t>2026-10-26</w:t>
            </w:r>
          </w:p>
        </w:tc>
        <w:tc>
          <w:tcPr>
            <w:tcW w:type="dxa" w:w="1440"/>
            <w:shd w:fill="C6EFCE" w:val="clear"/>
          </w:tcPr>
          <w:p>
            <w:r>
              <w:rPr>
                <w:sz w:val="17"/>
              </w:rPr>
              <w:t>1,616</w:t>
            </w:r>
          </w:p>
        </w:tc>
        <w:tc>
          <w:tcPr>
            <w:tcW w:type="dxa" w:w="1440"/>
            <w:shd w:fill="C6EFCE" w:val="clear"/>
          </w:tcPr>
          <w:p>
            <w:r>
              <w:rPr>
                <w:b/>
                <w:sz w:val="17"/>
              </w:rPr>
              <w:t>1,793</w:t>
            </w:r>
          </w:p>
        </w:tc>
        <w:tc>
          <w:tcPr>
            <w:tcW w:type="dxa" w:w="1440"/>
            <w:shd w:fill="C6EFCE" w:val="clear"/>
          </w:tcPr>
          <w:p>
            <w:r>
              <w:rPr>
                <w:sz w:val="17"/>
              </w:rPr>
              <w:t>1,970</w:t>
            </w:r>
          </w:p>
        </w:tc>
        <w:tc>
          <w:tcPr>
            <w:tcW w:type="dxa" w:w="1440"/>
            <w:shd w:fill="C6EFCE" w:val="clear"/>
          </w:tcPr>
          <w:p>
            <w:r>
              <w:rPr>
                <w:b/>
                <w:color w:val="008000"/>
                <w:sz w:val="17"/>
              </w:rPr>
              <w:t>+5.5%</w:t>
            </w:r>
          </w:p>
        </w:tc>
      </w:tr>
      <w:tr>
        <w:tc>
          <w:tcPr>
            <w:tcW w:type="dxa" w:w="1440"/>
            <w:shd w:fill="C6EFCE" w:val="clear"/>
          </w:tcPr>
          <w:p>
            <w:r>
              <w:rPr>
                <w:sz w:val="17"/>
              </w:rPr>
              <w:t>J+5  ⭐</w:t>
            </w:r>
          </w:p>
        </w:tc>
        <w:tc>
          <w:tcPr>
            <w:tcW w:type="dxa" w:w="1440"/>
            <w:shd w:fill="C6EFCE" w:val="clear"/>
          </w:tcPr>
          <w:p>
            <w:r>
              <w:rPr>
                <w:sz w:val="17"/>
              </w:rPr>
              <w:t>2026-10-27</w:t>
            </w:r>
          </w:p>
        </w:tc>
        <w:tc>
          <w:tcPr>
            <w:tcW w:type="dxa" w:w="1440"/>
            <w:shd w:fill="C6EFCE" w:val="clear"/>
          </w:tcPr>
          <w:p>
            <w:r>
              <w:rPr>
                <w:sz w:val="17"/>
              </w:rPr>
              <w:t>1,601</w:t>
            </w:r>
          </w:p>
        </w:tc>
        <w:tc>
          <w:tcPr>
            <w:tcW w:type="dxa" w:w="1440"/>
            <w:shd w:fill="C6EFCE" w:val="clear"/>
          </w:tcPr>
          <w:p>
            <w:r>
              <w:rPr>
                <w:b/>
                <w:sz w:val="17"/>
              </w:rPr>
              <w:t>1,800</w:t>
            </w:r>
          </w:p>
        </w:tc>
        <w:tc>
          <w:tcPr>
            <w:tcW w:type="dxa" w:w="1440"/>
            <w:shd w:fill="C6EFCE" w:val="clear"/>
          </w:tcPr>
          <w:p>
            <w:r>
              <w:rPr>
                <w:sz w:val="17"/>
              </w:rPr>
              <w:t>1,998</w:t>
            </w:r>
          </w:p>
        </w:tc>
        <w:tc>
          <w:tcPr>
            <w:tcW w:type="dxa" w:w="1440"/>
            <w:shd w:fill="C6EFCE" w:val="clear"/>
          </w:tcPr>
          <w:p>
            <w:r>
              <w:rPr>
                <w:b/>
                <w:color w:val="008000"/>
                <w:sz w:val="17"/>
              </w:rPr>
              <w:t>+5.9%</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1,588</w:t>
            </w:r>
          </w:p>
        </w:tc>
        <w:tc>
          <w:tcPr>
            <w:tcW w:type="dxa" w:w="1440"/>
            <w:shd w:fill="C6EFCE" w:val="clear"/>
          </w:tcPr>
          <w:p>
            <w:r>
              <w:rPr>
                <w:b/>
                <w:sz w:val="17"/>
              </w:rPr>
              <w:t>1,806</w:t>
            </w:r>
          </w:p>
        </w:tc>
        <w:tc>
          <w:tcPr>
            <w:tcW w:type="dxa" w:w="1440"/>
            <w:shd w:fill="C6EFCE" w:val="clear"/>
          </w:tcPr>
          <w:p>
            <w:r>
              <w:rPr>
                <w:sz w:val="17"/>
              </w:rPr>
              <w:t>2,024</w:t>
            </w:r>
          </w:p>
        </w:tc>
        <w:tc>
          <w:tcPr>
            <w:tcW w:type="dxa" w:w="1440"/>
            <w:shd w:fill="C6EFCE" w:val="clear"/>
          </w:tcPr>
          <w:p>
            <w:r>
              <w:rPr>
                <w:b/>
                <w:color w:val="008000"/>
                <w:sz w:val="17"/>
              </w:rPr>
              <w:t>+6.2%</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1,576</w:t>
            </w:r>
          </w:p>
        </w:tc>
        <w:tc>
          <w:tcPr>
            <w:tcW w:type="dxa" w:w="1440"/>
            <w:shd w:fill="C6EFCE" w:val="clear"/>
          </w:tcPr>
          <w:p>
            <w:r>
              <w:rPr>
                <w:b/>
                <w:sz w:val="17"/>
              </w:rPr>
              <w:t>1,813</w:t>
            </w:r>
          </w:p>
        </w:tc>
        <w:tc>
          <w:tcPr>
            <w:tcW w:type="dxa" w:w="1440"/>
            <w:shd w:fill="C6EFCE" w:val="clear"/>
          </w:tcPr>
          <w:p>
            <w:r>
              <w:rPr>
                <w:sz w:val="17"/>
              </w:rPr>
              <w:t>2,049</w:t>
            </w:r>
          </w:p>
        </w:tc>
        <w:tc>
          <w:tcPr>
            <w:tcW w:type="dxa" w:w="1440"/>
            <w:shd w:fill="C6EFCE" w:val="clear"/>
          </w:tcPr>
          <w:p>
            <w:r>
              <w:rPr>
                <w:b/>
                <w:color w:val="008000"/>
                <w:sz w:val="17"/>
              </w:rPr>
              <w:t>+6.6%</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1,565</w:t>
            </w:r>
          </w:p>
        </w:tc>
        <w:tc>
          <w:tcPr>
            <w:tcW w:type="dxa" w:w="1440"/>
            <w:shd w:fill="C6EFCE" w:val="clear"/>
          </w:tcPr>
          <w:p>
            <w:r>
              <w:rPr>
                <w:b/>
                <w:sz w:val="17"/>
              </w:rPr>
              <w:t>1,819</w:t>
            </w:r>
          </w:p>
        </w:tc>
        <w:tc>
          <w:tcPr>
            <w:tcW w:type="dxa" w:w="1440"/>
            <w:shd w:fill="C6EFCE" w:val="clear"/>
          </w:tcPr>
          <w:p>
            <w:r>
              <w:rPr>
                <w:sz w:val="17"/>
              </w:rPr>
              <w:t>2,073</w:t>
            </w:r>
          </w:p>
        </w:tc>
        <w:tc>
          <w:tcPr>
            <w:tcW w:type="dxa" w:w="1440"/>
            <w:shd w:fill="C6EFCE" w:val="clear"/>
          </w:tcPr>
          <w:p>
            <w:r>
              <w:rPr>
                <w:b/>
                <w:color w:val="008000"/>
                <w:sz w:val="17"/>
              </w:rPr>
              <w:t>+7.0%</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1,555</w:t>
            </w:r>
          </w:p>
        </w:tc>
        <w:tc>
          <w:tcPr>
            <w:tcW w:type="dxa" w:w="1440"/>
            <w:shd w:fill="C6EFCE" w:val="clear"/>
          </w:tcPr>
          <w:p>
            <w:r>
              <w:rPr>
                <w:b/>
                <w:sz w:val="17"/>
              </w:rPr>
              <w:t>1,826</w:t>
            </w:r>
          </w:p>
        </w:tc>
        <w:tc>
          <w:tcPr>
            <w:tcW w:type="dxa" w:w="1440"/>
            <w:shd w:fill="C6EFCE" w:val="clear"/>
          </w:tcPr>
          <w:p>
            <w:r>
              <w:rPr>
                <w:sz w:val="17"/>
              </w:rPr>
              <w:t>2,096</w:t>
            </w:r>
          </w:p>
        </w:tc>
        <w:tc>
          <w:tcPr>
            <w:tcW w:type="dxa" w:w="1440"/>
            <w:shd w:fill="C6EFCE" w:val="clear"/>
          </w:tcPr>
          <w:p>
            <w:r>
              <w:rPr>
                <w:b/>
                <w:color w:val="008000"/>
                <w:sz w:val="17"/>
              </w:rPr>
              <w:t>+7.4%</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1,546</w:t>
            </w:r>
          </w:p>
        </w:tc>
        <w:tc>
          <w:tcPr>
            <w:tcW w:type="dxa" w:w="1440"/>
            <w:shd w:fill="C6EFCE" w:val="clear"/>
          </w:tcPr>
          <w:p>
            <w:r>
              <w:rPr>
                <w:b/>
                <w:sz w:val="17"/>
              </w:rPr>
              <w:t>1,832</w:t>
            </w:r>
          </w:p>
        </w:tc>
        <w:tc>
          <w:tcPr>
            <w:tcW w:type="dxa" w:w="1440"/>
            <w:shd w:fill="C6EFCE" w:val="clear"/>
          </w:tcPr>
          <w:p>
            <w:r>
              <w:rPr>
                <w:sz w:val="17"/>
              </w:rPr>
              <w:t>2,118</w:t>
            </w:r>
          </w:p>
        </w:tc>
        <w:tc>
          <w:tcPr>
            <w:tcW w:type="dxa" w:w="1440"/>
            <w:shd w:fill="C6EFCE" w:val="clear"/>
          </w:tcPr>
          <w:p>
            <w:r>
              <w:rPr>
                <w:b/>
                <w:color w:val="008000"/>
                <w:sz w:val="17"/>
              </w:rPr>
              <w:t>+7.8%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 📊 RAPPORT D'ANALYSE FINANCIÈRE — SIVC / ERIUM CÔTE D'IVOIRE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SIVC s'établit à 14,85 milliards FCFA, un niveau modeste à l'échelle de la BRVM qui la classe parmi les petites capitalisations du marché régional. Le BPA de 21 FCFA par action signifie que chaque titre génère 21 FCFA de bénéfice net, un niveau faible au regard du cours actuel de 1 700 FCFA. Le PER de 82,8x traduit une valorisation extrêmement tendue : les investisseurs paient plus de 82 fois les bénéfices, soit un multiple très supérieur à la moyenne BRVM (8-12x), ce qui intègre probablement des anticipations de redressement ou reflète une anomalie de marché. Le P/B de 5,88x indique que le marché valorise la société près de six fois sa valeur comptable, une prime exigeante qui contraste avec la faiblesse des capitaux propres (2,53 Mds FCFA). Enfin, l'EV/EBITDA de 15,5x confirme cette cherté relative en comparant la valeur d'entreprise (incluant la dette) à la capacité opérationnelle, un niveau très exigeant pour une société dont l'EBE n'est que de 1,44 Md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SIVC a enregistré une chute spectaculaire de **-40,87%**, avec une dernière séance encore négative de **-4,49%**, portant le cours à 1 700 FCFA — soit exactement le plus bas de la période, tandis que le plus haut a atteint 2 875 FCFA. Le range de trading de 1 175 FCFA (68% du cours bas) témoigne d'une tendance clairement **baissière et persistante**, le titre clôturant au plancher de sa fourchette. Les statistiques descriptives révèlent une moyenne de 2 324 FCFA légèrement supérieure à la médiane de 2 330 FCFA (écart minime, distribution quasi-symétrique confirmée par un skewness de 0,204), tandis que le mode à 2 000 FCFA suggère une zone de consolidation antérieure désormais cassée à la baisse. L'écart-type de 292 FCFA avec un coefficient de variation de 12,6% indique une dispersion modérée autour de la moyenne, mais le kurtosis de -0,586 (mésokurtique) signale une distribution proche de la normale, sans pics extrêmes fréquents — le décrochage récent relève donc d'une tendance directionnelle plutôt que d'un choc isolé. La volatilité annualisée de **54,7%** place le titre dans la catégorie **élevée** (&gt;30%), ce qui est cohérent avec un marché de petite capitalisation peu liquide (volume moyen de 5 373 titres/jour) et expose l'investisseur à un risque de variation important.</w:t>
      </w:r>
    </w:p>
    <w:p>
      <w:pPr>
        <w:spacing w:after="120" w:line="276" w:lineRule="auto"/>
      </w:pPr>
      <w:r>
        <w:t>---</w:t>
      </w:r>
    </w:p>
    <w:p>
      <w:pPr>
        <w:spacing w:after="120" w:line="276" w:lineRule="auto"/>
      </w:pPr>
      <w:r>
        <w:t>## PARTIE 2 : ANALYSE TECHNIQUE DÉTAILLÉE</w:t>
      </w:r>
    </w:p>
    <w:p>
      <w:pPr>
        <w:spacing w:after="120" w:line="276" w:lineRule="auto"/>
      </w:pPr>
      <w:r>
        <w:t>**Moyennes Mobiles** : La MM20 (1 942,25 FCFA) et la MM50 (2 179,50 FCFA) se situent toutes deux nettement au-dessus du cours actuel (1 700 FCFA), avec une MM20 inférieure à la MM50 — configuration baissière caractéristique. Le cours évoluant sous ses deux moyennes, la pression vendeuse domine et la décision **Vente** est pleinement justifiée.</w:t>
      </w:r>
    </w:p>
    <w:p>
      <w:pPr>
        <w:spacing w:after="120" w:line="276" w:lineRule="auto"/>
      </w:pPr>
      <w:r>
        <w:t>**Bandes de Bollinger** : Le cours (1 700 FCFA) se situe sous la borne inférieure (1 722,41 FCFA), un positionnement extrême qui traduit une survente technique marquée et une volatilité élevée. Cette configuration suggère un possible rebond technique à court terme, justifiant la décision **Achat** contraire à la tendance de fond.</w:t>
      </w:r>
    </w:p>
    <w:p>
      <w:pPr>
        <w:spacing w:after="120" w:line="276" w:lineRule="auto"/>
      </w:pPr>
      <w:r>
        <w:t>**MACD** : La valeur du MACD (-115,63) est inférieure à son signal (-98,29), avec un histogramme négatif qui confirme un momentum baissier toujours actif. La divergence négative persistante valide la décision **Vente** et indique que la pression baissière n'est pas épuisée.</w:t>
      </w:r>
    </w:p>
    <w:p>
      <w:pPr>
        <w:spacing w:after="120" w:line="276" w:lineRule="auto"/>
      </w:pPr>
      <w:r>
        <w:t>**RSI** : À **6,0**, le RSI est en zone de **survente extrême** (seuil &lt;30 largement franchi), un niveau rarement atteint qui signale un épuisement des vendeurs et un potentiel de rebond technique. La décision **Achat** est cohérente avec cette lecture contrarienne.</w:t>
      </w:r>
    </w:p>
    <w:p>
      <w:pPr>
        <w:spacing w:after="120" w:line="276" w:lineRule="auto"/>
      </w:pPr>
      <w:r>
        <w:t>**Stochastique** : Avec %K et %D tous deux à **0,0**, l'indicateur est bloqué au plancher absolu, confirmant une survente totale. Aucun croisement haussier n'est encore visible, mais ce niveau extrême plaide pour un retournement imminent, d'où la décision **Achat**.</w:t>
      </w:r>
    </w:p>
    <w:p>
      <w:pPr>
        <w:spacing w:after="120" w:line="276" w:lineRule="auto"/>
      </w:pPr>
      <w:r>
        <w:t>**Conclusion technique** : Les indicateurs présentent une **divergence flagrante** : les moyennes mobiles et le MACD confirment une tendance baissière structurelle, tandis que le RSI (6,0), le stochastique (0,0) et la position sous la borne inférieure de Bollinger signalent une survente extrême propice à un rebond technique. Cette configuration contradictoire — tendance de fond baissière mais signaux d'épuisement vendeur — suggère un possible rebond à court terme sans inversion de tendance durable, nécessitant une grande prudence.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ERIUM Côte d'Ivoire (ex-SIVC) affiche un chiffre d'affaires de **10,075 Mds FCFA**, en croissance de **+8,53%** par rapport à 2024 (9,283 Mds FCFA), confirmant une dynamique commerciale réelle portée par les ventes de produits fabriqués (4,42 Mds) et les travaux/services (3,35 Mds). Cependant, le **résultat net chute de -52,4% à 179,29 M FCFA** (contre 376,96 M en 2024), faisant plonger la marge nette de 4,06% à **1,78%** — une érosion préoccupante de la rentabilité. Le ROE n'est que de **7,10%** (bien en dessous du seuil de 15% considéré comme excellent) et le ROA de **1,23%**, traduisant une faible efficacité dans l'utilisation des actifs. La structure financière est fragile : l'autonomie financière de **17,29%** est inférieure au seuil sain de 30%, le ratio d'endettement atteint **228,41%** (dettes totales/capitaux propres) et la trésorerie nette est **négative à -1,66 Md FCFA**. Les délais d'exploitation révèlent des tensions : délai client de **79,30 jours** (risque de trésorerie), durée de stockage de **189,26 jours** (immobilisation de capital importante), compensés partiellement par un délai fournisseur élevé de **323,35 jours** et un BFR négatif de -470,79 M FCFA (favorable). Le Free Cash Flow est négatif (-935,89 M FCFA) en raison d'investissements lourds (-1,935 Md FCFA).</w:t>
      </w:r>
    </w:p>
    <w:p>
      <w:pPr>
        <w:spacing w:after="120" w:line="276" w:lineRule="auto"/>
      </w:pPr>
      <w:r>
        <w:t>**Estimations basées sur les rapports trimestriels** : Les rapports S1 2025 (publié le 30/06/2025) et T3 2025 (cumul au 30/09/2025) présentaient une image bien plus favorable : CA de 7 584,7 M FCFA à fin septembre (+13%), résultat net de 832,5 M FCFA (+58%) et marge nette de 11,0%. **L'écart considérable entre ces résultats intermédiaires et le résultat annuel de 179,29 M FCFA** suggère un fort décalage au T4 2025 (charges exceptionnelles, dépréciations ou pertes financières non récurrentes), ce qui constitue un signal d'alerte majeur sur la qualité et la prévisibilité des résultats. Le rapport annuel 2025 (analysé le 29/06/2026) confirme d'ailleurs un résultat financier passé d'un gain de 316 M à une perte de -114 M FCFA.</w:t>
      </w:r>
    </w:p>
    <w:p>
      <w:pPr>
        <w:spacing w:after="120" w:line="276" w:lineRule="auto"/>
      </w:pPr>
      <w:r>
        <w:t>**Recommandation fondamentale** : La société affiche une croissance commerciale réelle mais une **dégradation sévère de sa rentabilité et de sa structure financière**, avec un endettement élevé, une trésorerie négative et un résultat net en chute libre. Le rapport source recommande **CONSERVER avec surveillance**, une position prudente justifiée par le paradoxe croissance/rentabilité. La recommandation fondamentale est donc **CONSERVER**, avec un risque financier **élevé**.</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**divorce profond entre la valorisation, la technique et les fondamentaux**. La **valorisation (Partie 0)** est extrêmement tendue (PER 82,8x, P/B 5,88x, EV/EBITDA 15,5x), sans marge de sécurité et intégrant des anticipations optimistes non confirmées. Le **comportement du cours (Partie 1)** est franchement baissier (-40,87% sur 100 jours, clôture au plus bas), avec une volatilité élevée (54,7%) et une distribution symétrique sans pics extrêmes — un profil défavorable malgré un skewness neutre. Les **signaux techniques (Partie 2)** sont contradictoires : tendance baissière confirmée par MM et MACD, mais survente extrême (RSI 6,0, Stochastique 0,0, cours sous Bollinger inférieur) suggérant un rebond technique imminent. Les **fondamentaux (Partie 3)** sont préoccupants : croissance du CA (+8,53%) mais effondrement du résultat net (-52,4%), ROE faible (7,10%), endettement élevé (228%) et trésorerie négative, avec un décalage troublant entre les résultats T3 2025 (marge 11%) et l'annuel (1,78%). Les **prédictions IA (J+1 à J+10)** anticipent une légère reprise de 1 700 à 1 800 FCFA (+5,9%), cohérente avec la thèse d'un rebond technique sur survente, mais sans conviction fondamentale.</w:t>
      </w:r>
    </w:p>
    <w:p>
      <w:pPr>
        <w:spacing w:after="120" w:line="276" w:lineRule="auto"/>
      </w:pPr>
      <w:r>
        <w:t>**Recommandation finale : CONSERVER (avec surveillance renforcée)** — **Confiance : Moyenne** — **Risque global : Élevé** — **Horizon : Moyen terme (3-12 mois)**.</w:t>
      </w:r>
    </w:p>
    <w:p>
      <w:pPr>
        <w:spacing w:after="120" w:line="276" w:lineRule="auto"/>
      </w:pPr>
      <w:r>
        <w:t>La convergence partielle entre la survente technique et les prédictions IA haussières justifie de ne pas vendre au plancher, mais la cherté de la valorisation, la dégradation fondamentale et la tendance baissière de fond interdisent tout achat. Un investisseur détenant le titre devrait **conserver en attendant la publication des résultats 2026** pour vérifier si la direction parvient à restaurer la rentabilité ; un nouvel investisseur devrait **s'abstenir** jusqu'à clarification de la trajectoire bénéficiaire et détente de la valorisation.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634.15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1,354 titres</w:t>
            </w:r>
          </w:p>
        </w:tc>
        <w:tc>
          <w:tcPr>
            <w:tcW w:type="dxa" w:w="2268"/>
            <w:shd w:fill="FFF2CC" w:val="clear"/>
          </w:tcPr>
          <w:p>
            <w:r>
              <w:rPr>
                <w:b/>
                <w:color w:val="503200"/>
                <w:sz w:val="16"/>
              </w:rPr>
              <w:t xml:space="preserve">Cours actuel : </w:t>
            </w:r>
            <w:r>
              <w:rPr>
                <w:color w:val="000000"/>
                <w:sz w:val="17"/>
              </w:rPr>
              <w:t>38,525 FCFA</w:t>
            </w:r>
          </w:p>
          <w:p>
            <w:r>
              <w:rPr>
                <w:b/>
                <w:color w:val="503200"/>
                <w:sz w:val="16"/>
              </w:rPr>
              <w:t xml:space="preserve">Var. 100 jours : </w:t>
            </w:r>
            <w:r>
              <w:rPr>
                <w:b/>
                <w:color w:val="007800"/>
                <w:sz w:val="17"/>
              </w:rPr>
              <w:t>+0.06%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2.25% (Faible) — μ=38,276 FCFA, σ=860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β=-0.0327 (Contre-cyclique) — Cov=-0.000003, Var(idx)=0.000078, ρ=-0.019,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σ_j=1.53%/j (Stable) — Vol. annualisée≈24.3%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38,295</w:t>
            </w:r>
          </w:p>
        </w:tc>
        <w:tc>
          <w:tcPr>
            <w:tcW w:type="dxa" w:w="1440"/>
            <w:shd w:fill="FAFAFA" w:val="clear"/>
          </w:tcPr>
          <w:p>
            <w:r>
              <w:rPr>
                <w:b/>
                <w:sz w:val="17"/>
              </w:rPr>
              <w:t>38,768</w:t>
            </w:r>
          </w:p>
        </w:tc>
        <w:tc>
          <w:tcPr>
            <w:tcW w:type="dxa" w:w="1440"/>
            <w:shd w:fill="FAFAFA" w:val="clear"/>
          </w:tcPr>
          <w:p>
            <w:r>
              <w:rPr>
                <w:sz w:val="17"/>
              </w:rPr>
              <w:t>39,242</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2026-10-22</w:t>
            </w:r>
          </w:p>
        </w:tc>
        <w:tc>
          <w:tcPr>
            <w:tcW w:type="dxa" w:w="1440"/>
            <w:shd w:fill="FAFAFA" w:val="clear"/>
          </w:tcPr>
          <w:p>
            <w:r>
              <w:rPr>
                <w:sz w:val="17"/>
              </w:rPr>
              <w:t>38,208</w:t>
            </w:r>
          </w:p>
        </w:tc>
        <w:tc>
          <w:tcPr>
            <w:tcW w:type="dxa" w:w="1440"/>
            <w:shd w:fill="FAFAFA" w:val="clear"/>
          </w:tcPr>
          <w:p>
            <w:r>
              <w:rPr>
                <w:b/>
                <w:sz w:val="17"/>
              </w:rPr>
              <w:t>38,879</w:t>
            </w:r>
          </w:p>
        </w:tc>
        <w:tc>
          <w:tcPr>
            <w:tcW w:type="dxa" w:w="1440"/>
            <w:shd w:fill="FAFAFA" w:val="clear"/>
          </w:tcPr>
          <w:p>
            <w:r>
              <w:rPr>
                <w:sz w:val="17"/>
              </w:rPr>
              <w:t>39,551</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38,187</w:t>
            </w:r>
          </w:p>
        </w:tc>
        <w:tc>
          <w:tcPr>
            <w:tcW w:type="dxa" w:w="1440"/>
            <w:shd w:fill="FAFAFA" w:val="clear"/>
          </w:tcPr>
          <w:p>
            <w:r>
              <w:rPr>
                <w:b/>
                <w:sz w:val="17"/>
              </w:rPr>
              <w:t>39,012</w:t>
            </w:r>
          </w:p>
        </w:tc>
        <w:tc>
          <w:tcPr>
            <w:tcW w:type="dxa" w:w="1440"/>
            <w:shd w:fill="FAFAFA" w:val="clear"/>
          </w:tcPr>
          <w:p>
            <w:r>
              <w:rPr>
                <w:sz w:val="17"/>
              </w:rPr>
              <w:t>39,838</w:t>
            </w:r>
          </w:p>
        </w:tc>
        <w:tc>
          <w:tcPr>
            <w:tcW w:type="dxa" w:w="1440"/>
            <w:shd w:fill="FAFAFA" w:val="clear"/>
          </w:tcPr>
          <w:p>
            <w:r>
              <w:rPr>
                <w:b/>
                <w:color w:val="008000"/>
                <w:sz w:val="17"/>
              </w:rPr>
              <w:t>+1.3%</w:t>
            </w:r>
          </w:p>
        </w:tc>
      </w:tr>
      <w:tr>
        <w:tc>
          <w:tcPr>
            <w:tcW w:type="dxa" w:w="1440"/>
            <w:shd w:fill="FAFAFA" w:val="clear"/>
          </w:tcPr>
          <w:p>
            <w:r>
              <w:rPr>
                <w:sz w:val="17"/>
              </w:rPr>
              <w:t>J+4  Moyenne</w:t>
            </w:r>
          </w:p>
        </w:tc>
        <w:tc>
          <w:tcPr>
            <w:tcW w:type="dxa" w:w="1440"/>
            <w:shd w:fill="FAFAFA" w:val="clear"/>
          </w:tcPr>
          <w:p>
            <w:r>
              <w:rPr>
                <w:sz w:val="17"/>
              </w:rPr>
              <w:t>2026-10-26</w:t>
            </w:r>
          </w:p>
        </w:tc>
        <w:tc>
          <w:tcPr>
            <w:tcW w:type="dxa" w:w="1440"/>
            <w:shd w:fill="FAFAFA" w:val="clear"/>
          </w:tcPr>
          <w:p>
            <w:r>
              <w:rPr>
                <w:sz w:val="17"/>
              </w:rPr>
              <w:t>38,191</w:t>
            </w:r>
          </w:p>
        </w:tc>
        <w:tc>
          <w:tcPr>
            <w:tcW w:type="dxa" w:w="1440"/>
            <w:shd w:fill="FAFAFA" w:val="clear"/>
          </w:tcPr>
          <w:p>
            <w:r>
              <w:rPr>
                <w:b/>
                <w:sz w:val="17"/>
              </w:rPr>
              <w:t>39,148</w:t>
            </w:r>
          </w:p>
        </w:tc>
        <w:tc>
          <w:tcPr>
            <w:tcW w:type="dxa" w:w="1440"/>
            <w:shd w:fill="FAFAFA" w:val="clear"/>
          </w:tcPr>
          <w:p>
            <w:r>
              <w:rPr>
                <w:sz w:val="17"/>
              </w:rPr>
              <w:t>40,104</w:t>
            </w:r>
          </w:p>
        </w:tc>
        <w:tc>
          <w:tcPr>
            <w:tcW w:type="dxa" w:w="1440"/>
            <w:shd w:fill="FAFAFA" w:val="clear"/>
          </w:tcPr>
          <w:p>
            <w:r>
              <w:rPr>
                <w:b/>
                <w:color w:val="008000"/>
                <w:sz w:val="17"/>
              </w:rPr>
              <w:t>+1.6%</w:t>
            </w:r>
          </w:p>
        </w:tc>
      </w:tr>
      <w:tr>
        <w:tc>
          <w:tcPr>
            <w:tcW w:type="dxa" w:w="1440"/>
            <w:shd w:fill="FAFAFA" w:val="clear"/>
          </w:tcPr>
          <w:p>
            <w:r>
              <w:rPr>
                <w:sz w:val="17"/>
              </w:rPr>
              <w:t>J+5  Moyenne</w:t>
            </w:r>
          </w:p>
        </w:tc>
        <w:tc>
          <w:tcPr>
            <w:tcW w:type="dxa" w:w="1440"/>
            <w:shd w:fill="FAFAFA" w:val="clear"/>
          </w:tcPr>
          <w:p>
            <w:r>
              <w:rPr>
                <w:sz w:val="17"/>
              </w:rPr>
              <w:t>2026-10-27</w:t>
            </w:r>
          </w:p>
        </w:tc>
        <w:tc>
          <w:tcPr>
            <w:tcW w:type="dxa" w:w="1440"/>
            <w:shd w:fill="FAFAFA" w:val="clear"/>
          </w:tcPr>
          <w:p>
            <w:r>
              <w:rPr>
                <w:sz w:val="17"/>
              </w:rPr>
              <w:t>38,208</w:t>
            </w:r>
          </w:p>
        </w:tc>
        <w:tc>
          <w:tcPr>
            <w:tcW w:type="dxa" w:w="1440"/>
            <w:shd w:fill="FAFAFA" w:val="clear"/>
          </w:tcPr>
          <w:p>
            <w:r>
              <w:rPr>
                <w:b/>
                <w:sz w:val="17"/>
              </w:rPr>
              <w:t>39,281</w:t>
            </w:r>
          </w:p>
        </w:tc>
        <w:tc>
          <w:tcPr>
            <w:tcW w:type="dxa" w:w="1440"/>
            <w:shd w:fill="FAFAFA" w:val="clear"/>
          </w:tcPr>
          <w:p>
            <w:r>
              <w:rPr>
                <w:sz w:val="17"/>
              </w:rPr>
              <w:t>40,354</w:t>
            </w:r>
          </w:p>
        </w:tc>
        <w:tc>
          <w:tcPr>
            <w:tcW w:type="dxa" w:w="1440"/>
            <w:shd w:fill="FAFAFA" w:val="clear"/>
          </w:tcPr>
          <w:p>
            <w:r>
              <w:rPr>
                <w:b/>
                <w:color w:val="008000"/>
                <w:sz w:val="17"/>
              </w:rPr>
              <w:t>+2.0%</w:t>
            </w:r>
          </w:p>
        </w:tc>
      </w:tr>
      <w:tr>
        <w:tc>
          <w:tcPr>
            <w:tcW w:type="dxa" w:w="1440"/>
            <w:shd w:fill="C6EFCE" w:val="clear"/>
          </w:tcPr>
          <w:p>
            <w:r>
              <w:rPr>
                <w:sz w:val="17"/>
              </w:rPr>
              <w:t>J+6  Moyenne</w:t>
            </w:r>
          </w:p>
        </w:tc>
        <w:tc>
          <w:tcPr>
            <w:tcW w:type="dxa" w:w="1440"/>
            <w:shd w:fill="C6EFCE" w:val="clear"/>
          </w:tcPr>
          <w:p>
            <w:r>
              <w:rPr>
                <w:sz w:val="17"/>
              </w:rPr>
              <w:t>2026-10-28</w:t>
            </w:r>
          </w:p>
        </w:tc>
        <w:tc>
          <w:tcPr>
            <w:tcW w:type="dxa" w:w="1440"/>
            <w:shd w:fill="C6EFCE" w:val="clear"/>
          </w:tcPr>
          <w:p>
            <w:r>
              <w:rPr>
                <w:sz w:val="17"/>
              </w:rPr>
              <w:t>38,232</w:t>
            </w:r>
          </w:p>
        </w:tc>
        <w:tc>
          <w:tcPr>
            <w:tcW w:type="dxa" w:w="1440"/>
            <w:shd w:fill="C6EFCE" w:val="clear"/>
          </w:tcPr>
          <w:p>
            <w:r>
              <w:rPr>
                <w:b/>
                <w:sz w:val="17"/>
              </w:rPr>
              <w:t>39,412</w:t>
            </w:r>
          </w:p>
        </w:tc>
        <w:tc>
          <w:tcPr>
            <w:tcW w:type="dxa" w:w="1440"/>
            <w:shd w:fill="C6EFCE" w:val="clear"/>
          </w:tcPr>
          <w:p>
            <w:r>
              <w:rPr>
                <w:sz w:val="17"/>
              </w:rPr>
              <w:t>40,591</w:t>
            </w:r>
          </w:p>
        </w:tc>
        <w:tc>
          <w:tcPr>
            <w:tcW w:type="dxa" w:w="1440"/>
            <w:shd w:fill="C6EFCE" w:val="clear"/>
          </w:tcPr>
          <w:p>
            <w:r>
              <w:rPr>
                <w:b/>
                <w:color w:val="008000"/>
                <w:sz w:val="17"/>
              </w:rPr>
              <w:t>+2.3%</w:t>
            </w:r>
          </w:p>
        </w:tc>
      </w:tr>
      <w:tr>
        <w:tc>
          <w:tcPr>
            <w:tcW w:type="dxa" w:w="1440"/>
            <w:shd w:fill="C6EFCE" w:val="clear"/>
          </w:tcPr>
          <w:p>
            <w:r>
              <w:rPr>
                <w:sz w:val="17"/>
              </w:rPr>
              <w:t>J+7  Moyenne</w:t>
            </w:r>
          </w:p>
        </w:tc>
        <w:tc>
          <w:tcPr>
            <w:tcW w:type="dxa" w:w="1440"/>
            <w:shd w:fill="C6EFCE" w:val="clear"/>
          </w:tcPr>
          <w:p>
            <w:r>
              <w:rPr>
                <w:sz w:val="17"/>
              </w:rPr>
              <w:t>2026-10-29</w:t>
            </w:r>
          </w:p>
        </w:tc>
        <w:tc>
          <w:tcPr>
            <w:tcW w:type="dxa" w:w="1440"/>
            <w:shd w:fill="C6EFCE" w:val="clear"/>
          </w:tcPr>
          <w:p>
            <w:r>
              <w:rPr>
                <w:sz w:val="17"/>
              </w:rPr>
              <w:t>38,262</w:t>
            </w:r>
          </w:p>
        </w:tc>
        <w:tc>
          <w:tcPr>
            <w:tcW w:type="dxa" w:w="1440"/>
            <w:shd w:fill="C6EFCE" w:val="clear"/>
          </w:tcPr>
          <w:p>
            <w:r>
              <w:rPr>
                <w:b/>
                <w:sz w:val="17"/>
              </w:rPr>
              <w:t>39,540</w:t>
            </w:r>
          </w:p>
        </w:tc>
        <w:tc>
          <w:tcPr>
            <w:tcW w:type="dxa" w:w="1440"/>
            <w:shd w:fill="C6EFCE" w:val="clear"/>
          </w:tcPr>
          <w:p>
            <w:r>
              <w:rPr>
                <w:sz w:val="17"/>
              </w:rPr>
              <w:t>40,817</w:t>
            </w:r>
          </w:p>
        </w:tc>
        <w:tc>
          <w:tcPr>
            <w:tcW w:type="dxa" w:w="1440"/>
            <w:shd w:fill="C6EFCE" w:val="clear"/>
          </w:tcPr>
          <w:p>
            <w:r>
              <w:rPr>
                <w:b/>
                <w:color w:val="008000"/>
                <w:sz w:val="17"/>
              </w:rPr>
              <w:t>+2.6%</w:t>
            </w:r>
          </w:p>
        </w:tc>
      </w:tr>
      <w:tr>
        <w:tc>
          <w:tcPr>
            <w:tcW w:type="dxa" w:w="1440"/>
            <w:shd w:fill="C6EFCE" w:val="clear"/>
          </w:tcPr>
          <w:p>
            <w:r>
              <w:rPr>
                <w:sz w:val="17"/>
              </w:rPr>
              <w:t>J+8  Moyenne</w:t>
            </w:r>
          </w:p>
        </w:tc>
        <w:tc>
          <w:tcPr>
            <w:tcW w:type="dxa" w:w="1440"/>
            <w:shd w:fill="C6EFCE" w:val="clear"/>
          </w:tcPr>
          <w:p>
            <w:r>
              <w:rPr>
                <w:sz w:val="17"/>
              </w:rPr>
              <w:t>2026-10-30</w:t>
            </w:r>
          </w:p>
        </w:tc>
        <w:tc>
          <w:tcPr>
            <w:tcW w:type="dxa" w:w="1440"/>
            <w:shd w:fill="C6EFCE" w:val="clear"/>
          </w:tcPr>
          <w:p>
            <w:r>
              <w:rPr>
                <w:sz w:val="17"/>
              </w:rPr>
              <w:t>38,295</w:t>
            </w:r>
          </w:p>
        </w:tc>
        <w:tc>
          <w:tcPr>
            <w:tcW w:type="dxa" w:w="1440"/>
            <w:shd w:fill="C6EFCE" w:val="clear"/>
          </w:tcPr>
          <w:p>
            <w:r>
              <w:rPr>
                <w:b/>
                <w:sz w:val="17"/>
              </w:rPr>
              <w:t>39,665</w:t>
            </w:r>
          </w:p>
        </w:tc>
        <w:tc>
          <w:tcPr>
            <w:tcW w:type="dxa" w:w="1440"/>
            <w:shd w:fill="C6EFCE" w:val="clear"/>
          </w:tcPr>
          <w:p>
            <w:r>
              <w:rPr>
                <w:sz w:val="17"/>
              </w:rPr>
              <w:t>41,035</w:t>
            </w:r>
          </w:p>
        </w:tc>
        <w:tc>
          <w:tcPr>
            <w:tcW w:type="dxa" w:w="1440"/>
            <w:shd w:fill="C6EFCE" w:val="clear"/>
          </w:tcPr>
          <w:p>
            <w:r>
              <w:rPr>
                <w:b/>
                <w:color w:val="008000"/>
                <w:sz w:val="17"/>
              </w:rPr>
              <w:t>+3.0%</w:t>
            </w:r>
          </w:p>
        </w:tc>
      </w:tr>
      <w:tr>
        <w:tc>
          <w:tcPr>
            <w:tcW w:type="dxa" w:w="1440"/>
            <w:shd w:fill="C6EFCE" w:val="clear"/>
          </w:tcPr>
          <w:p>
            <w:r>
              <w:rPr>
                <w:sz w:val="17"/>
              </w:rPr>
              <w:t>J+9  Moyenne</w:t>
            </w:r>
          </w:p>
        </w:tc>
        <w:tc>
          <w:tcPr>
            <w:tcW w:type="dxa" w:w="1440"/>
            <w:shd w:fill="C6EFCE" w:val="clear"/>
          </w:tcPr>
          <w:p>
            <w:r>
              <w:rPr>
                <w:sz w:val="17"/>
              </w:rPr>
              <w:t>2026-11-02</w:t>
            </w:r>
          </w:p>
        </w:tc>
        <w:tc>
          <w:tcPr>
            <w:tcW w:type="dxa" w:w="1440"/>
            <w:shd w:fill="C6EFCE" w:val="clear"/>
          </w:tcPr>
          <w:p>
            <w:r>
              <w:rPr>
                <w:sz w:val="17"/>
              </w:rPr>
              <w:t>38,330</w:t>
            </w:r>
          </w:p>
        </w:tc>
        <w:tc>
          <w:tcPr>
            <w:tcW w:type="dxa" w:w="1440"/>
            <w:shd w:fill="C6EFCE" w:val="clear"/>
          </w:tcPr>
          <w:p>
            <w:r>
              <w:rPr>
                <w:b/>
                <w:sz w:val="17"/>
              </w:rPr>
              <w:t>39,788</w:t>
            </w:r>
          </w:p>
        </w:tc>
        <w:tc>
          <w:tcPr>
            <w:tcW w:type="dxa" w:w="1440"/>
            <w:shd w:fill="C6EFCE" w:val="clear"/>
          </w:tcPr>
          <w:p>
            <w:r>
              <w:rPr>
                <w:sz w:val="17"/>
              </w:rPr>
              <w:t>41,246</w:t>
            </w:r>
          </w:p>
        </w:tc>
        <w:tc>
          <w:tcPr>
            <w:tcW w:type="dxa" w:w="1440"/>
            <w:shd w:fill="C6EFCE" w:val="clear"/>
          </w:tcPr>
          <w:p>
            <w:r>
              <w:rPr>
                <w:b/>
                <w:color w:val="008000"/>
                <w:sz w:val="17"/>
              </w:rPr>
              <w:t>+3.3%</w:t>
            </w:r>
          </w:p>
        </w:tc>
      </w:tr>
      <w:tr>
        <w:tc>
          <w:tcPr>
            <w:tcW w:type="dxa" w:w="1440"/>
            <w:shd w:fill="C6EFCE" w:val="clear"/>
          </w:tcPr>
          <w:p>
            <w:r>
              <w:rPr>
                <w:sz w:val="17"/>
              </w:rPr>
              <w:t>J+10  Moyenne</w:t>
            </w:r>
          </w:p>
        </w:tc>
        <w:tc>
          <w:tcPr>
            <w:tcW w:type="dxa" w:w="1440"/>
            <w:shd w:fill="C6EFCE" w:val="clear"/>
          </w:tcPr>
          <w:p>
            <w:r>
              <w:rPr>
                <w:sz w:val="17"/>
              </w:rPr>
              <w:t>2026-11-03</w:t>
            </w:r>
          </w:p>
        </w:tc>
        <w:tc>
          <w:tcPr>
            <w:tcW w:type="dxa" w:w="1440"/>
            <w:shd w:fill="C6EFCE" w:val="clear"/>
          </w:tcPr>
          <w:p>
            <w:r>
              <w:rPr>
                <w:sz w:val="17"/>
              </w:rPr>
              <w:t>38,367</w:t>
            </w:r>
          </w:p>
        </w:tc>
        <w:tc>
          <w:tcPr>
            <w:tcW w:type="dxa" w:w="1440"/>
            <w:shd w:fill="C6EFCE" w:val="clear"/>
          </w:tcPr>
          <w:p>
            <w:r>
              <w:rPr>
                <w:b/>
                <w:sz w:val="17"/>
              </w:rPr>
              <w:t>39,909</w:t>
            </w:r>
          </w:p>
        </w:tc>
        <w:tc>
          <w:tcPr>
            <w:tcW w:type="dxa" w:w="1440"/>
            <w:shd w:fill="C6EFCE" w:val="clear"/>
          </w:tcPr>
          <w:p>
            <w:r>
              <w:rPr>
                <w:sz w:val="17"/>
              </w:rPr>
              <w:t>41,450</w:t>
            </w:r>
          </w:p>
        </w:tc>
        <w:tc>
          <w:tcPr>
            <w:tcW w:type="dxa" w:w="1440"/>
            <w:shd w:fill="C6EFCE" w:val="clear"/>
          </w:tcPr>
          <w:p>
            <w:r>
              <w:rPr>
                <w:b/>
                <w:color w:val="008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 📊 RAPPORT D'ANALYSE FINANCIÈRE — SLBC (SOLIBRA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634,15 milliards FCFA, SLBC s'affirme comme l'une des plus grandes capitalisations de la cote BRVM, témoignant de son statut de valeur de premier plan dans le compartiment des entreprises non financières. Le BPA de 2 781 FCFA par action signifie que chaque titre génère près de 2 800 FCFA de bénéfice net, un niveau élevé qui traduit la forte rentabilité de l'exploitant. Le PER de 13,9x se situe légèrement au-dessus de la moyenne BRVM (8-12x), mais reste modéré au regard de la croissance exceptionnelle du résultat net (+113% en 2025) : les investisseurs paient une prime raisonnable pour une valeur de croissance. Le P/B de 3,25x indique que le marché valorise l'action à plus de trois fois sa valeur comptable, traduisant une prime de croissance accordée à la solidité des fonds propres (195,14 Mds FCFA) et à la qualité des actifs. Enfin, l'EV/EBITDA de 7,5x, dans la fourchette raisonnable de 5-10x, confirme que la valeur d'entreprise reste cohérente avec la capacité opérationnelle dégagée (EBITDA de 87,4 Mds FCFA), sans exubérance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affiche une variation quasi nulle de +0,06%, avec une dernière séance légèrement positive (+0,08%), s'établissant à 38 525 FCFA. Le titre a évolué dans un range relativement étroit de 36 900 FCFA (plus bas) à 41 500 FCFA (plus haut), soit une amplitude de 12,5%, caractéristique d'une phase de consolidation latérale plutôt que d'une tendance directionnelle marquée. La moyenne de 38 276 FCFA et la médiane de 38 000 FCFA sont très proches, tandis que le mode à 38 000 FCFA confirme un ancrage du cours autour de ce palier psychologique. L'écart-type de 864 FCFA et le coefficient de variation de 2,3% révèlent une dispersion très faible du cours, signe d'une grande stabilité relative. Le kurtosis de 0,716 (mésokurtique) indique une distribution proche de la normale, sans risque de pics extrêmes prononcé, tandis que le skewness positif de 0,767 signale une asymétrie vers la droite — davantage de journées de cotation sous la moyenne, mais compensées par des hausses ponctuelles plus amples. La volatilité annualisée de 24,3% positionne le titre dans la catégorie des valeurs à volatilité modérée (15-30%), cohérente avec un profil défensif de grande capitalisation.</w:t>
      </w:r>
    </w:p>
    <w:p>
      <w:pPr>
        <w:spacing w:after="120" w:line="276" w:lineRule="auto"/>
      </w:pPr>
      <w:r>
        <w:t>---</w:t>
      </w:r>
    </w:p>
    <w:p>
      <w:pPr>
        <w:spacing w:after="120" w:line="276" w:lineRule="auto"/>
      </w:pPr>
      <w:r>
        <w:t>## PARTIE 2 : ANALYSE TECHNIQUE DÉTAILLÉE</w:t>
      </w:r>
    </w:p>
    <w:p>
      <w:pPr>
        <w:spacing w:after="120" w:line="276" w:lineRule="auto"/>
      </w:pPr>
      <w:r>
        <w:t>**Moyennes Mobiles** : La MM20 (37 822 FCFA) et la MM50 (37 744,7 FCFA) se situent toutes deux sous le cours actuel (38 525 FCFA), avec une MM20 légèrement supérieure à la MM50, configuration classique de tendance haussière de court terme. Le cours évoluant au-dessus de ses deux moyennes, la dynamique est positive et justifie la décision d'**Achat**.</w:t>
      </w:r>
    </w:p>
    <w:p>
      <w:pPr>
        <w:spacing w:after="120" w:line="276" w:lineRule="auto"/>
      </w:pPr>
      <w:r>
        <w:t>**Bandes de Bollinger** : Le cours (38 525 FCFA) se situe dans la partie haute de la bande, proche de la borne supérieure (38 742,7 FCFA) et nettement au-dessus de la borne inférieure (36 901,3 FCFA). L'écart entre les bornes reste modéré, traduisant une volatilité contenue ; le cours frôlant la borne haute sans la franchir suggère une pression acheteuse sans excès, justifiant la décision **Neutre**.</w:t>
      </w:r>
    </w:p>
    <w:p>
      <w:pPr>
        <w:spacing w:after="120" w:line="276" w:lineRule="auto"/>
      </w:pPr>
      <w:r>
        <w:t>**MACD** : La ligne MACD (159,17) est nettement supérieure à sa ligne de signal (33,08), avec un histogramme positif et élargi, signalant un momentum haussier affirmé. Cette divergence positive confirme la reprise de la dynamique acheteuse et justifie la décision d'**Achat**.</w:t>
      </w:r>
    </w:p>
    <w:p>
      <w:pPr>
        <w:spacing w:after="120" w:line="276" w:lineRule="auto"/>
      </w:pPr>
      <w:r>
        <w:t>**RSI** : À 59,92, le RSI se situe dans la zone neutre (30-70), sans atteindre la zone de surachat (&gt;70). Le titre conserve donc un potentiel d'appréciation sans risque immédiat de correction technique, ce qui justifie la décision **Neutre**.</w:t>
      </w:r>
    </w:p>
    <w:p>
      <w:pPr>
        <w:spacing w:after="120" w:line="276" w:lineRule="auto"/>
      </w:pPr>
      <w:r>
        <w:t>**Stochastique** : Le %K (100,0) et le %D (99,89) sont tous deux en zone extrême de surachat, avec un %K au plafond absolu. Cette configuration signale une saturation acheteuse à très court terme et un risque de retournement ou de consolidation, justifiant la décision de **Vente** à court terme.</w:t>
      </w:r>
    </w:p>
    <w:p>
      <w:pPr>
        <w:spacing w:after="120" w:line="276" w:lineRule="auto"/>
      </w:pPr>
      <w:r>
        <w:t>**Conclusion technique** : Les indicateurs présentent une divergence instructive : les moyennes mobiles et le MACD confirment une tendance haussière de fond, tandis que le RSI reste neutre et le stochastique signale un surachat extrême à court terme. Cette configuration suggère un titre en consolidation haussière, avec un potentiel de repli technique limité avant reprise. La convergence MM/MACD plaide pour une orientation positive, mais la prudence s'impose à très court terme face à la saturation du stochastique.</w:t>
      </w:r>
    </w:p>
    <w:p>
      <w:pPr>
        <w:spacing w:after="120" w:line="276" w:lineRule="auto"/>
      </w:pPr>
      <w:r>
        <w:t>---</w:t>
      </w:r>
    </w:p>
    <w:p>
      <w:pPr>
        <w:spacing w:after="120" w:line="276" w:lineRule="auto"/>
      </w:pPr>
      <w:r>
        <w:t>## PARTIE 3 : ANALYSE FONDAMENTALE</w:t>
      </w:r>
    </w:p>
    <w:p>
      <w:pPr>
        <w:spacing w:after="120" w:line="276" w:lineRule="auto"/>
      </w:pPr>
      <w:r>
        <w:t>Les états financiers de l'exercice 2025 (rapport officiel analysé le 20/05/2026) révèlent une performance exceptionnelle : le chiffre d'affaires s'établit à 378,12 milliards FCFA, en croissance de +22,08% par rapport aux 309,72 Mds FCFA de 2024, tandis que le résultat net atteint 45,78 Mds FCFA, pratiquement doublé (+113%) par rapport aux 21,47 Mds de 2024. Cette explosion de la rentabilité se traduit par un ROE remarquable de 23,46% (largement supérieur au seuil de 15% considéré comme excellent) et un ROA de 13,48%, confirmant l'efficacité capitalistique de l'entreprise. La marge nette progresse de 6,9% à 12,11%, la marge opérationnelle s'établit à 17,23% et la marge brute à 76,21%, témoignant d'une maîtrise des coûts et d'un effet volume favorable. En tant qu'entreprise industrielle, l'analyse des délais d'exploitation est instructive : le délai clients de 64,27 jours expose à un risque de trésorerie modéré, le délai fournisseurs de 76,82 jours (supérieur au délai clients) constitue un avantage de financement, tandis que la durée de stockage de 117,32 jours traduit une immobilisation de capital significative dans les stocks (82,73 Mds FCFA). Le BFR de 61,59 Mds FCFA est positif mais couvert par un fonds de roulement de 83,69 Mds FCFA, et la trésorerie nette reste positive à 22,12 Mds FCFA. La structure financière est saine : autonomie financière de 57,48%, ratio d'endettement de 42,52%, capacité de remboursement de 0,67 année (excellente) et couverture des intérêts de 3 374,68%. Les rapports trimestriels confirment la dynamique : le T1 2026 (rapport du 19/05/2026) affiche un CA de 93,46 Mds FCFA (+7,6%) et un résultat net de 16,26 Mds FCFA (+4,8%), avec une marge nette de 17,4%, tandis que le S1 2025 avait déjà montré un résultat net de 28,0 Mds FCFA (+175,1%). Sur cette base, on estime que l'exercice 2026 devrait maintenir une croissance à deux chiffres, avec un résultat net annuel projeté autour de 60-65 Mds FCFA si la dynamique du T1 se poursuit. La politique de dividende est très généreuse : le dividende proposé de 2 127 FCFA/action (35,01 Mds FCFA au total, payout de 76,5%) offre un rendement attractif de 5,5% au cours actuel. **Recommandation fondamentale : ACHAT**, portée par des fondamentaux exceptionnels, une croissance profitable et une structure financière solide, avec pour principaux risques la dépendance aux matières premières (90 Mds FCFA d'achats exposés à la volatilité) et la concentration géographique sur le marché ivoirien.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analysées converge vers un profil d'investissement globalement favorable. Sur le plan de la **valorisation**, le PER de 13,9x et l'EV/EBITDA de 7,5x indiquent une valorisation raisonnable, légèrement supérieure à la moyenne BRVM mais justifiée par une croissance exceptionnelle, sans surévaluation manifeste. Le **comportement du cours** révèle une phase de consolidation latérale (+0,06% sur 100 jours) avec une volatilité modérée (24,3%) et des statistiques rassurantes (kurtosis mésokurtique, skewness positif modéré), traduisant une valeur stable et défensive. Les **signaux techniques** sont mitigés mais orientés positivement : MM20/MM50 et MACD en Achat confirment la tendance de fond, tandis que le RSI neutre et le stochastique en surachat extrême appellent à la prudence à très court terme, suggérant une consolidation avant poursuite de la hausse. Les **fondamentaux** sont le point fort du dossier : croissance du CA de +22%, résultat net doublé, ROE de 23,46%, structure financière saine et dividende généreux (rendement ~5,5%), avec des estimations 2026 positives issues du T1 (+7,6% de CA). Les **prédictions IA** (J+1 à J+10) projettent une trajectoire haussière graduelle de 38 768 à 39 281 FCFA (+2,0% sur 10 jours), cohérente avec la dynamique de fond des moyennes mobiles et du MACD, bien qu'elles contredisent légèrement le signal de surachat du stochastique à très court terme.</w:t>
      </w:r>
    </w:p>
    <w:p>
      <w:pPr>
        <w:spacing w:after="120" w:line="276" w:lineRule="auto"/>
      </w:pPr>
      <w:r>
        <w:t>**Recommandation finale : ACHAT** — avec un **niveau de confiance Élevé** et un **niveau de risque Faible à Moyen**. La convergence entre valorisation raisonnable, fondamentaux exceptionnels, tendance technique haussière de fond et prédictions positives soutient une position acheteuse. L'horizon d'investissement optimal est le **moyen à long terme (6 mois à plus d'un an)**, afin de capter la croissance bénéficiaire, le rendement du dividende et la poursuite de la revalorisation, tout en laissant passer la phase de consolidation technique de court terme signalée par le stochastique.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116.15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1,544 titres</w:t>
            </w:r>
          </w:p>
        </w:tc>
        <w:tc>
          <w:tcPr>
            <w:tcW w:type="dxa" w:w="2268"/>
            <w:shd w:fill="FFF2CC" w:val="clear"/>
          </w:tcPr>
          <w:p>
            <w:r>
              <w:rPr>
                <w:b/>
                <w:color w:val="503200"/>
                <w:sz w:val="16"/>
              </w:rPr>
              <w:t xml:space="preserve">Cours actuel : </w:t>
            </w:r>
            <w:r>
              <w:rPr>
                <w:color w:val="000000"/>
                <w:sz w:val="17"/>
              </w:rPr>
              <w:t>14,900 FCFA</w:t>
            </w:r>
          </w:p>
          <w:p>
            <w:r>
              <w:rPr>
                <w:b/>
                <w:color w:val="503200"/>
                <w:sz w:val="16"/>
              </w:rPr>
              <w:t xml:space="preserve">Var. 100 jours : </w:t>
            </w:r>
            <w:r>
              <w:rPr>
                <w:b/>
                <w:color w:val="007800"/>
                <w:sz w:val="17"/>
              </w:rPr>
              <w:t>+11.61%</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13,300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6.78% (Moyenne) — μ=16,306 FCFA, σ=1,106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β=0.3947 (Défensif) — Cov=0.000031, Var(idx)=0.000078, ρ=0.130,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14,320</w:t>
            </w:r>
          </w:p>
        </w:tc>
        <w:tc>
          <w:tcPr>
            <w:tcW w:type="dxa" w:w="1440"/>
            <w:shd w:fill="FAFAFA" w:val="clear"/>
          </w:tcPr>
          <w:p>
            <w:r>
              <w:rPr>
                <w:b/>
                <w:sz w:val="17"/>
              </w:rPr>
              <w:t>15,074</w:t>
            </w:r>
          </w:p>
        </w:tc>
        <w:tc>
          <w:tcPr>
            <w:tcW w:type="dxa" w:w="1440"/>
            <w:shd w:fill="FAFAFA" w:val="clear"/>
          </w:tcPr>
          <w:p>
            <w:r>
              <w:rPr>
                <w:sz w:val="17"/>
              </w:rPr>
              <w:t>15,828</w:t>
            </w:r>
          </w:p>
        </w:tc>
        <w:tc>
          <w:tcPr>
            <w:tcW w:type="dxa" w:w="1440"/>
            <w:shd w:fill="FAFAFA" w:val="clear"/>
          </w:tcPr>
          <w:p>
            <w:r>
              <w:rPr>
                <w:b/>
                <w:color w:val="008000"/>
                <w:sz w:val="17"/>
              </w:rPr>
              <w:t>+1.2%</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13,972</w:t>
            </w:r>
          </w:p>
        </w:tc>
        <w:tc>
          <w:tcPr>
            <w:tcW w:type="dxa" w:w="1440"/>
            <w:shd w:fill="FAFAFA" w:val="clear"/>
          </w:tcPr>
          <w:p>
            <w:r>
              <w:rPr>
                <w:b/>
                <w:sz w:val="17"/>
              </w:rPr>
              <w:t>15,036</w:t>
            </w:r>
          </w:p>
        </w:tc>
        <w:tc>
          <w:tcPr>
            <w:tcW w:type="dxa" w:w="1440"/>
            <w:shd w:fill="FAFAFA" w:val="clear"/>
          </w:tcPr>
          <w:p>
            <w:r>
              <w:rPr>
                <w:sz w:val="17"/>
              </w:rPr>
              <w:t>16,099</w:t>
            </w:r>
          </w:p>
        </w:tc>
        <w:tc>
          <w:tcPr>
            <w:tcW w:type="dxa" w:w="1440"/>
            <w:shd w:fill="FAFAFA" w:val="clear"/>
          </w:tcPr>
          <w:p>
            <w:r>
              <w:rPr>
                <w:b/>
                <w:color w:val="008000"/>
                <w:sz w:val="17"/>
              </w:rPr>
              <w:t>+0.9%</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13,719</w:t>
            </w:r>
          </w:p>
        </w:tc>
        <w:tc>
          <w:tcPr>
            <w:tcW w:type="dxa" w:w="1440"/>
            <w:shd w:fill="FAFAFA" w:val="clear"/>
          </w:tcPr>
          <w:p>
            <w:r>
              <w:rPr>
                <w:b/>
                <w:sz w:val="17"/>
              </w:rPr>
              <w:t>15,020</w:t>
            </w:r>
          </w:p>
        </w:tc>
        <w:tc>
          <w:tcPr>
            <w:tcW w:type="dxa" w:w="1440"/>
            <w:shd w:fill="FAFAFA" w:val="clear"/>
          </w:tcPr>
          <w:p>
            <w:r>
              <w:rPr>
                <w:sz w:val="17"/>
              </w:rPr>
              <w:t>16,321</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13,500</w:t>
            </w:r>
          </w:p>
        </w:tc>
        <w:tc>
          <w:tcPr>
            <w:tcW w:type="dxa" w:w="1440"/>
            <w:shd w:fill="FAFAFA" w:val="clear"/>
          </w:tcPr>
          <w:p>
            <w:r>
              <w:rPr>
                <w:b/>
                <w:sz w:val="17"/>
              </w:rPr>
              <w:t>15,000</w:t>
            </w:r>
          </w:p>
        </w:tc>
        <w:tc>
          <w:tcPr>
            <w:tcW w:type="dxa" w:w="1440"/>
            <w:shd w:fill="FAFAFA" w:val="clear"/>
          </w:tcPr>
          <w:p>
            <w:r>
              <w:rPr>
                <w:sz w:val="17"/>
              </w:rPr>
              <w:t>16,501</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2026-10-27</w:t>
            </w:r>
          </w:p>
        </w:tc>
        <w:tc>
          <w:tcPr>
            <w:tcW w:type="dxa" w:w="1440"/>
            <w:shd w:fill="FAFAFA" w:val="clear"/>
          </w:tcPr>
          <w:p>
            <w:r>
              <w:rPr>
                <w:sz w:val="17"/>
              </w:rPr>
              <w:t>13,303</w:t>
            </w:r>
          </w:p>
        </w:tc>
        <w:tc>
          <w:tcPr>
            <w:tcW w:type="dxa" w:w="1440"/>
            <w:shd w:fill="FAFAFA" w:val="clear"/>
          </w:tcPr>
          <w:p>
            <w:r>
              <w:rPr>
                <w:b/>
                <w:sz w:val="17"/>
              </w:rPr>
              <w:t>14,979</w:t>
            </w:r>
          </w:p>
        </w:tc>
        <w:tc>
          <w:tcPr>
            <w:tcW w:type="dxa" w:w="1440"/>
            <w:shd w:fill="FAFAFA" w:val="clear"/>
          </w:tcPr>
          <w:p>
            <w:r>
              <w:rPr>
                <w:sz w:val="17"/>
              </w:rPr>
              <w:t>16,654</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2026-10-28</w:t>
            </w:r>
          </w:p>
        </w:tc>
        <w:tc>
          <w:tcPr>
            <w:tcW w:type="dxa" w:w="1440"/>
            <w:shd w:fill="FAFAFA" w:val="clear"/>
          </w:tcPr>
          <w:p>
            <w:r>
              <w:rPr>
                <w:sz w:val="17"/>
              </w:rPr>
              <w:t>13,124</w:t>
            </w:r>
          </w:p>
        </w:tc>
        <w:tc>
          <w:tcPr>
            <w:tcW w:type="dxa" w:w="1440"/>
            <w:shd w:fill="FAFAFA" w:val="clear"/>
          </w:tcPr>
          <w:p>
            <w:r>
              <w:rPr>
                <w:b/>
                <w:sz w:val="17"/>
              </w:rPr>
              <w:t>14,957</w:t>
            </w:r>
          </w:p>
        </w:tc>
        <w:tc>
          <w:tcPr>
            <w:tcW w:type="dxa" w:w="1440"/>
            <w:shd w:fill="FAFAFA" w:val="clear"/>
          </w:tcPr>
          <w:p>
            <w:r>
              <w:rPr>
                <w:sz w:val="17"/>
              </w:rPr>
              <w:t>16,789</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2026-10-29</w:t>
            </w:r>
          </w:p>
        </w:tc>
        <w:tc>
          <w:tcPr>
            <w:tcW w:type="dxa" w:w="1440"/>
            <w:shd w:fill="FAFAFA" w:val="clear"/>
          </w:tcPr>
          <w:p>
            <w:r>
              <w:rPr>
                <w:sz w:val="17"/>
              </w:rPr>
              <w:t>12,958</w:t>
            </w:r>
          </w:p>
        </w:tc>
        <w:tc>
          <w:tcPr>
            <w:tcW w:type="dxa" w:w="1440"/>
            <w:shd w:fill="FAFAFA" w:val="clear"/>
          </w:tcPr>
          <w:p>
            <w:r>
              <w:rPr>
                <w:b/>
                <w:sz w:val="17"/>
              </w:rPr>
              <w:t>14,935</w:t>
            </w:r>
          </w:p>
        </w:tc>
        <w:tc>
          <w:tcPr>
            <w:tcW w:type="dxa" w:w="1440"/>
            <w:shd w:fill="FAFAFA" w:val="clear"/>
          </w:tcPr>
          <w:p>
            <w:r>
              <w:rPr>
                <w:sz w:val="17"/>
              </w:rPr>
              <w:t>16,911</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2026-10-30</w:t>
            </w:r>
          </w:p>
        </w:tc>
        <w:tc>
          <w:tcPr>
            <w:tcW w:type="dxa" w:w="1440"/>
            <w:shd w:fill="FAFAFA" w:val="clear"/>
          </w:tcPr>
          <w:p>
            <w:r>
              <w:rPr>
                <w:sz w:val="17"/>
              </w:rPr>
              <w:t>12,803</w:t>
            </w:r>
          </w:p>
        </w:tc>
        <w:tc>
          <w:tcPr>
            <w:tcW w:type="dxa" w:w="1440"/>
            <w:shd w:fill="FAFAFA" w:val="clear"/>
          </w:tcPr>
          <w:p>
            <w:r>
              <w:rPr>
                <w:b/>
                <w:sz w:val="17"/>
              </w:rPr>
              <w:t>14,913</w:t>
            </w:r>
          </w:p>
        </w:tc>
        <w:tc>
          <w:tcPr>
            <w:tcW w:type="dxa" w:w="1440"/>
            <w:shd w:fill="FAFAFA" w:val="clear"/>
          </w:tcPr>
          <w:p>
            <w:r>
              <w:rPr>
                <w:sz w:val="17"/>
              </w:rPr>
              <w:t>17,022</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2026-11-02</w:t>
            </w:r>
          </w:p>
        </w:tc>
        <w:tc>
          <w:tcPr>
            <w:tcW w:type="dxa" w:w="1440"/>
            <w:shd w:fill="FAFAFA" w:val="clear"/>
          </w:tcPr>
          <w:p>
            <w:r>
              <w:rPr>
                <w:sz w:val="17"/>
              </w:rPr>
              <w:t>12,657</w:t>
            </w:r>
          </w:p>
        </w:tc>
        <w:tc>
          <w:tcPr>
            <w:tcW w:type="dxa" w:w="1440"/>
            <w:shd w:fill="FAFAFA" w:val="clear"/>
          </w:tcPr>
          <w:p>
            <w:r>
              <w:rPr>
                <w:b/>
                <w:sz w:val="17"/>
              </w:rPr>
              <w:t>14,891</w:t>
            </w:r>
          </w:p>
        </w:tc>
        <w:tc>
          <w:tcPr>
            <w:tcW w:type="dxa" w:w="1440"/>
            <w:shd w:fill="FAFAFA" w:val="clear"/>
          </w:tcPr>
          <w:p>
            <w:r>
              <w:rPr>
                <w:sz w:val="17"/>
              </w:rPr>
              <w:t>17,126</w:t>
            </w:r>
          </w:p>
        </w:tc>
        <w:tc>
          <w:tcPr>
            <w:tcW w:type="dxa" w:w="1440"/>
            <w:shd w:fill="FAFAFA" w:val="clear"/>
          </w:tcPr>
          <w:p>
            <w:r>
              <w:rPr>
                <w:b/>
                <w:color w:val="C00000"/>
                <w:sz w:val="17"/>
              </w:rPr>
              <w:t>-0.1%</w:t>
            </w:r>
          </w:p>
        </w:tc>
      </w:tr>
      <w:tr>
        <w:tc>
          <w:tcPr>
            <w:tcW w:type="dxa" w:w="1440"/>
            <w:shd w:fill="FAFAFA" w:val="clear"/>
          </w:tcPr>
          <w:p>
            <w:r>
              <w:rPr>
                <w:sz w:val="17"/>
              </w:rPr>
              <w:t>J+10  ⭐</w:t>
            </w:r>
          </w:p>
        </w:tc>
        <w:tc>
          <w:tcPr>
            <w:tcW w:type="dxa" w:w="1440"/>
            <w:shd w:fill="FAFAFA" w:val="clear"/>
          </w:tcPr>
          <w:p>
            <w:r>
              <w:rPr>
                <w:sz w:val="17"/>
              </w:rPr>
              <w:t>2026-11-03</w:t>
            </w:r>
          </w:p>
        </w:tc>
        <w:tc>
          <w:tcPr>
            <w:tcW w:type="dxa" w:w="1440"/>
            <w:shd w:fill="FAFAFA" w:val="clear"/>
          </w:tcPr>
          <w:p>
            <w:r>
              <w:rPr>
                <w:sz w:val="17"/>
              </w:rPr>
              <w:t>12,518</w:t>
            </w:r>
          </w:p>
        </w:tc>
        <w:tc>
          <w:tcPr>
            <w:tcW w:type="dxa" w:w="1440"/>
            <w:shd w:fill="FAFAFA" w:val="clear"/>
          </w:tcPr>
          <w:p>
            <w:r>
              <w:rPr>
                <w:b/>
                <w:sz w:val="17"/>
              </w:rPr>
              <w:t>14,870</w:t>
            </w:r>
          </w:p>
        </w:tc>
        <w:tc>
          <w:tcPr>
            <w:tcW w:type="dxa" w:w="1440"/>
            <w:shd w:fill="FAFAFA" w:val="clear"/>
          </w:tcPr>
          <w:p>
            <w:r>
              <w:rPr>
                <w:sz w:val="17"/>
              </w:rPr>
              <w:t>17,222</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SMBC affiche une capitalisation boursière de 116,15 milliards FCFA, un niveau intermédiaire à l'échelle de la BRVM qui traduit une capitalisation de taille moyenne sur le marché régional. Le BPA de 1 677 FCFA/action signifie que chaque titre génère près de 1 677 FCFA de bénéfice net, un niveau confortable au regard du cours actuel de 14 900 FCFA. Le PER de 8,9x se situe dans la fourchette basse de la moyenne BRVM (~8-12x), suggérant que les investisseurs ne paient pas cher pour les bénéfices, voire une légère sous-évaluation. Le P/B de 2,71x indique que le marché valorise le titre à plus de 2,7 fois sa valeur comptable, traduisant une prime de croissance accordée par les investisseurs. Enfin, l'EV/EBITDA de 5,5x (fourchette raisonnable 5-10x) montre que la valeur totale de l'entreprise reste modérée par rapport à sa capacité opérationnelle, confirmant une valorisation globalement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enregistre une variation totale de +11,61%, mais la dernière séance (J-1) affiche un repli de -1,94%, signalant une pression vendeuse récente. Le titre a évolué dans un range de 13 300 FCFA (plus bas) à 18 500 FCFA (plus haut), soit un écart de 5 200 FCFA qui traduit une amplitude de trading significative. La tendance générale reste haussière sur la période, mais le cours actuel (14 900 FCFA) se situe nettement sous le plus haut, indiquant une correction en cours. Les statistiques descriptives révèlent une moyenne de 16 306 FCFA contre une médiane de 16 445 FCFA — l'écart modéré confirme une distribution légèrement asymétrique, cohérente avec le skewness de -0,687 (plus de journées au-dessus de la moyenne, donc asymétrie négative avec une queue vers le bas). L'écart-type de 1 112 FCFA et le coefficient de variation de 6,8% indiquent une dispersion modérée du cours autour de sa moyenne. Le kurtosis de 0,844 (mésokurtique) suggère un comportement proche d'une distribution normale, sans risque excessif de pics extrêmes. La volatilité annualisée de 42,3% positionne le titre dans la catégorie **élevée** (&gt;30%), ce qui implique un risque de marché important à intégrer dans la stratégie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(15 801,25 FCFA) et la MM50 (16 620,8 FCFA) se situent toutes deux au-dessus du cours actuel (14 900 FCFA), avec une MM20 inférieure à la MM50 — configuration baissière de court terme. Le cours évoluant sous ses deux moyennes, la pression vendeuse domine et justifie la décision **Vente** des indicateurs.</w:t>
      </w:r>
    </w:p>
    <w:p>
      <w:pPr>
        <w:spacing w:after="120" w:line="276" w:lineRule="auto"/>
      </w:pPr>
      <w:r>
        <w:t>**Bandes de Bollinger** : Le cours (14 900 FCFA) se situe dans la moitié basse de la bande, entre la borne inférieure (14 521,64 FCFA) et la borne supérieure (17 080,86 FCFA), sans franchissement des extrêmes. Cette position proche de la borne basse traduit une volatilité contenue mais un biais baissier, justifiant la décision **Neutre** avec un risque de test de la borne inférieure.</w:t>
      </w:r>
    </w:p>
    <w:p>
      <w:pPr>
        <w:spacing w:after="120" w:line="276" w:lineRule="auto"/>
      </w:pPr>
      <w:r>
        <w:t>**MACD** : La valeur du MACD (-422,68) est inférieure à son signal (-329,63), avec un histogramme négatif — configuration baissière confirmée. Le momentum est clairement négatif et la divergence MACD-Signal plaide pour la poursuite de la correction, justifiant la décision **Vente**.</w:t>
      </w:r>
    </w:p>
    <w:p>
      <w:pPr>
        <w:spacing w:after="120" w:line="276" w:lineRule="auto"/>
      </w:pPr>
      <w:r>
        <w:t>**RSI** : À 30,63, le RSI se situe juste au-dessus du seuil de survente (30), en zone neutre basse. Le titre n'est pas encore techniquement en survente mais s'en approche, ce qui pourrait annoncer un rebond technique imminent ; la décision **Neutre** reflète cette position charnière.</w:t>
      </w:r>
    </w:p>
    <w:p>
      <w:pPr>
        <w:spacing w:after="120" w:line="276" w:lineRule="auto"/>
      </w:pPr>
      <w:r>
        <w:t>**Stochastique** : Le %K et le %D sont tous deux à 0,0, un niveau extrême de survente absolue. Cette configuration signale un épuisement total de la pression vendeuse et un potentiel de rebond technique, justifiant la décision **Achat** — signal le plus haussier de la grille technique.</w:t>
      </w:r>
    </w:p>
    <w:p>
      <w:pPr>
        <w:spacing w:after="120" w:line="276" w:lineRule="auto"/>
      </w:pPr>
      <w:r>
        <w:t>**Conclusion technique** : Les indicateurs sont majoritairement baissiers (MM, MACD) avec un cours sous ses moyennes, mais le RSI proche de la survente et le Stochastique à 0,0 signalent un épuisement vendeur et un possible rebond technique à court terme. La divergence entre signaux de tendance (baissiers) et signaux d'oscillateurs (survente) suggère une phase de consolidation avec un potentiel de rebond fragile. La prudence reste de mise tant que le cours n'aura pas reconquis la MM20 (15 801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SMBC réalise un chiffre d'affaires de 206,74 milliards FCFA, en baisse de -9,74% par rapport à 2024 (229,06 Mds FCFA), confirmant la contraction commerciale déjà observée. Malgré cela, le résultat net progresse fortement à 13,075 milliards FCFA (contre 8,698 Mds en 2024, soit +50,3%), porté par un EBE de 18,48 Mds FCFA (+41,8%) et une marge nette améliorée à 6,32% (contre 3,8% en 2024). Le ROE atteint un niveau excellent de 30,47% (&gt;15% = excellent) et le ROA de 7,26%, témoignant d'une rentabilité capitalistique remarquable. **Adaptation au secteur ENTREPRISE** : le BFR est de 1,693 Md FCFA (positif mais faible), la trésorerie nette s'élève à 23,988 Mds FCFA (très solide), et les délais d'exploitation révèlent un déséquilibre : délai clients de 193,75 jours (élevé = risque trésorerie) contre délai fournisseurs de 207,07 jours (favorable à la trésorerie), avec une durée de stockage de 38,09 jours. L'endettement reste maîtrisé (dettes financières de 9,204 Mds FCFA, capacité de remboursement de 0,68 an, couverture des intérêts de 483%). **Estimations basées sur les rapports trimestriels** : le rapport T1 2025 (31/03/2025) indiquait un CA de 54,8 Mds FCFA (-22%) avec un résultat net de 2,7 Mds ; le rapport S1 2025 (30/06/2025) un CA de 101,9 Mds (-23%) et un résultat net de 3,9 Mds ; le rapport 9M 2025 (30/09/2025) un CA de 155,2 Mds (-14%) et un résultat net de 5,7 Mds (+6%). On estime donc que la dynamique de redressement de la rentabilité s'est accélérée au T4 2025, cohérente avec le résultat net annuel de 13,075 Mds. Le rapport annuel 2025 (analysé le 12/05/2026) confirme la recommandation **CONSERVER** avec une perspective d'ACHAT conditionnée à la reprise du CA. **Conclusion fondamentale** : SMBC présente une solidité financière remarquable (trésorerie, ROE, marges) mais fait face à un risque structurel de contraction du chiffre d'affaires et à un BFR clients élevé ; la politique de dividende prudente (5 457 M FCFA versés, payout ~41,7%) renforce les fonds propres.</w:t>
      </w:r>
    </w:p>
    <w:p>
      <w:pPr>
        <w:spacing w:after="120" w:line="276" w:lineRule="auto"/>
      </w:pPr>
      <w:r>
        <w:t>---</w:t>
      </w:r>
    </w:p>
    <w:p>
      <w:pPr>
        <w:spacing w:after="120" w:line="276" w:lineRule="auto"/>
      </w:pPr>
      <w:r>
        <w:t>## PARTIE 4 : CONCLUSION D'INVESTISSEMENT</w:t>
      </w:r>
    </w:p>
    <w:p>
      <w:pPr>
        <w:spacing w:after="120" w:line="276" w:lineRule="auto"/>
      </w:pPr>
      <w:r>
        <w:t>La **valorisation** (Partie 0) plaide pour une sous-évaluation relative : PER de 8,9x dans la fourchette basse BRVM, EV/EBITDA de 5,5x raisonnable, malgré un P/B de 2,71x traduisant une prime de croissance. Le **comportement du cours** (Partie 1) est haussier sur 100 jours (+11,61%) mais en correction récente (-1,94% J-1), avec une volatilité élevée (42,3%) et un skewness négatif (-0,687) signalant un risque de queue baissière — préoccupant à court terme. Les **signaux techniques** (Partie 2) sont divergents : MM et MACD baissiers, mais RSI proche de la survente et Stochastique à 0,0 annonçant un rebond technique possible. Les **fondamentaux** (Partie 3) sont solides : ROE de 30,47%, trésorerie nette de 23,988 Mds FCFA, résultat net en hausse de +50,3% en 2025, malgré un CA en baisse de -9,74% — la rentabilité s'améliore mais la dynamique commerciale reste fragile. Les **prédictions IA** (J+1 à J+10) anticipent une légère dérive baissière de 15 074 à 14 979 FCFA, confirmant la pression court terme sans effondrement. **Recommandation finale : CONSERVER** — la convergence entre valorisation attractive, fondamentaux solides et signaux techniques de survente (potentiel rebond) est contrebalancée par la baisse du CA, la volatilité élevée et les prédictions baissières de court terme. **Niveau de confiance : Moyen** (divergence technique/fondamental). **Niveau de risque global : Élevé** (volatilité 42,3%, secteur cyclique dépendant des infrastructures publiques). **Horizon optimal : moyen terme (3-12 mois)**, en attendant la confirmation d'une reprise du chiffre d'affaires pour basculer vers un ACHAT.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4188.00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15,333 titres</w:t>
            </w:r>
          </w:p>
        </w:tc>
        <w:tc>
          <w:tcPr>
            <w:tcW w:type="dxa" w:w="2268"/>
            <w:shd w:fill="FFF2CC" w:val="clear"/>
          </w:tcPr>
          <w:p>
            <w:r>
              <w:rPr>
                <w:b/>
                <w:color w:val="503200"/>
                <w:sz w:val="16"/>
              </w:rPr>
              <w:t xml:space="preserve">Cours actuel : </w:t>
            </w:r>
            <w:r>
              <w:rPr>
                <w:color w:val="000000"/>
                <w:sz w:val="17"/>
              </w:rPr>
              <w:t>41,880 FCFA</w:t>
            </w:r>
          </w:p>
          <w:p>
            <w:r>
              <w:rPr>
                <w:b/>
                <w:color w:val="503200"/>
                <w:sz w:val="16"/>
              </w:rPr>
              <w:t xml:space="preserve">Var. 100 jours : </w:t>
            </w:r>
            <w:r>
              <w:rPr>
                <w:b/>
                <w:color w:val="007800"/>
                <w:sz w:val="17"/>
              </w:rPr>
              <w:t>+47.21%</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28,000 FCFA</w:t>
            </w:r>
          </w:p>
          <w:p>
            <w:r>
              <w:rPr>
                <w:b/>
                <w:color w:val="503200"/>
                <w:sz w:val="16"/>
              </w:rPr>
              <w:t xml:space="preserve">Volatilité ann. : </w:t>
            </w:r>
            <w:r>
              <w:rPr>
                <w:color w:val="000000"/>
                <w:sz w:val="17"/>
              </w:rPr>
              <w:t>31.5%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29.3/100 → Moyen</w:t>
      </w:r>
    </w:p>
    <w:p>
      <w:pPr>
        <w:spacing w:before="40" w:after="80"/>
      </w:pPr>
      <w:r>
        <w:rPr>
          <w:rFonts w:ascii="Courier New" w:hAnsi="Courier New"/>
          <w:color w:val="825A00"/>
          <w:sz w:val="18"/>
        </w:rPr>
        <w:t>█████░░░░░░░░░░░░░░░  29.3/100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16.67% (Élevée) — μ=34,641 FCFA, σ=5,773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β=1.2728 (Agressif) — Cov=0.000099, Var(idx)=0.000078, ρ=0.568,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15,333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σ_j=1.99%/j (Stable) — Vol. annualisée≈31.5%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2026-10-21</w:t>
            </w:r>
          </w:p>
        </w:tc>
        <w:tc>
          <w:tcPr>
            <w:tcW w:type="dxa" w:w="1440"/>
            <w:shd w:fill="C6EFCE" w:val="clear"/>
          </w:tcPr>
          <w:p>
            <w:r>
              <w:rPr>
                <w:sz w:val="17"/>
              </w:rPr>
              <w:t>42,046</w:t>
            </w:r>
          </w:p>
        </w:tc>
        <w:tc>
          <w:tcPr>
            <w:tcW w:type="dxa" w:w="1440"/>
            <w:shd w:fill="C6EFCE" w:val="clear"/>
          </w:tcPr>
          <w:p>
            <w:r>
              <w:rPr>
                <w:b/>
                <w:sz w:val="17"/>
              </w:rPr>
              <w:t>43,399</w:t>
            </w:r>
          </w:p>
        </w:tc>
        <w:tc>
          <w:tcPr>
            <w:tcW w:type="dxa" w:w="1440"/>
            <w:shd w:fill="C6EFCE" w:val="clear"/>
          </w:tcPr>
          <w:p>
            <w:r>
              <w:rPr>
                <w:sz w:val="17"/>
              </w:rPr>
              <w:t>44,751</w:t>
            </w:r>
          </w:p>
        </w:tc>
        <w:tc>
          <w:tcPr>
            <w:tcW w:type="dxa" w:w="1440"/>
            <w:shd w:fill="C6EFCE" w:val="clear"/>
          </w:tcPr>
          <w:p>
            <w:r>
              <w:rPr>
                <w:b/>
                <w:color w:val="008000"/>
                <w:sz w:val="17"/>
              </w:rPr>
              <w:t>+3.6%</w:t>
            </w:r>
          </w:p>
        </w:tc>
      </w:tr>
      <w:tr>
        <w:tc>
          <w:tcPr>
            <w:tcW w:type="dxa" w:w="1440"/>
            <w:shd w:fill="C6EFCE" w:val="clear"/>
          </w:tcPr>
          <w:p>
            <w:r>
              <w:rPr>
                <w:sz w:val="17"/>
              </w:rPr>
              <w:t>J+2  Moyenne</w:t>
            </w:r>
          </w:p>
        </w:tc>
        <w:tc>
          <w:tcPr>
            <w:tcW w:type="dxa" w:w="1440"/>
            <w:shd w:fill="C6EFCE" w:val="clear"/>
          </w:tcPr>
          <w:p>
            <w:r>
              <w:rPr>
                <w:sz w:val="17"/>
              </w:rPr>
              <w:t>2026-10-22</w:t>
            </w:r>
          </w:p>
        </w:tc>
        <w:tc>
          <w:tcPr>
            <w:tcW w:type="dxa" w:w="1440"/>
            <w:shd w:fill="C6EFCE" w:val="clear"/>
          </w:tcPr>
          <w:p>
            <w:r>
              <w:rPr>
                <w:sz w:val="17"/>
              </w:rPr>
              <w:t>41,434</w:t>
            </w:r>
          </w:p>
        </w:tc>
        <w:tc>
          <w:tcPr>
            <w:tcW w:type="dxa" w:w="1440"/>
            <w:shd w:fill="C6EFCE" w:val="clear"/>
          </w:tcPr>
          <w:p>
            <w:r>
              <w:rPr>
                <w:b/>
                <w:sz w:val="17"/>
              </w:rPr>
              <w:t>43,344</w:t>
            </w:r>
          </w:p>
        </w:tc>
        <w:tc>
          <w:tcPr>
            <w:tcW w:type="dxa" w:w="1440"/>
            <w:shd w:fill="C6EFCE" w:val="clear"/>
          </w:tcPr>
          <w:p>
            <w:r>
              <w:rPr>
                <w:sz w:val="17"/>
              </w:rPr>
              <w:t>45,254</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2026-10-23</w:t>
            </w:r>
          </w:p>
        </w:tc>
        <w:tc>
          <w:tcPr>
            <w:tcW w:type="dxa" w:w="1440"/>
            <w:shd w:fill="C6EFCE" w:val="clear"/>
          </w:tcPr>
          <w:p>
            <w:r>
              <w:rPr>
                <w:sz w:val="17"/>
              </w:rPr>
              <w:t>41,063</w:t>
            </w:r>
          </w:p>
        </w:tc>
        <w:tc>
          <w:tcPr>
            <w:tcW w:type="dxa" w:w="1440"/>
            <w:shd w:fill="C6EFCE" w:val="clear"/>
          </w:tcPr>
          <w:p>
            <w:r>
              <w:rPr>
                <w:b/>
                <w:sz w:val="17"/>
              </w:rPr>
              <w:t>43,405</w:t>
            </w:r>
          </w:p>
        </w:tc>
        <w:tc>
          <w:tcPr>
            <w:tcW w:type="dxa" w:w="1440"/>
            <w:shd w:fill="C6EFCE" w:val="clear"/>
          </w:tcPr>
          <w:p>
            <w:r>
              <w:rPr>
                <w:sz w:val="17"/>
              </w:rPr>
              <w:t>45,748</w:t>
            </w:r>
          </w:p>
        </w:tc>
        <w:tc>
          <w:tcPr>
            <w:tcW w:type="dxa" w:w="1440"/>
            <w:shd w:fill="C6EFCE" w:val="clear"/>
          </w:tcPr>
          <w:p>
            <w:r>
              <w:rPr>
                <w:b/>
                <w:color w:val="008000"/>
                <w:sz w:val="17"/>
              </w:rPr>
              <w:t>+3.6%</w:t>
            </w:r>
          </w:p>
        </w:tc>
      </w:tr>
      <w:tr>
        <w:tc>
          <w:tcPr>
            <w:tcW w:type="dxa" w:w="1440"/>
            <w:shd w:fill="C6EFCE" w:val="clear"/>
          </w:tcPr>
          <w:p>
            <w:r>
              <w:rPr>
                <w:sz w:val="17"/>
              </w:rPr>
              <w:t>J+4  ⭐</w:t>
            </w:r>
          </w:p>
        </w:tc>
        <w:tc>
          <w:tcPr>
            <w:tcW w:type="dxa" w:w="1440"/>
            <w:shd w:fill="C6EFCE" w:val="clear"/>
          </w:tcPr>
          <w:p>
            <w:r>
              <w:rPr>
                <w:sz w:val="17"/>
              </w:rPr>
              <w:t>2026-10-26</w:t>
            </w:r>
          </w:p>
        </w:tc>
        <w:tc>
          <w:tcPr>
            <w:tcW w:type="dxa" w:w="1440"/>
            <w:shd w:fill="C6EFCE" w:val="clear"/>
          </w:tcPr>
          <w:p>
            <w:r>
              <w:rPr>
                <w:sz w:val="17"/>
              </w:rPr>
              <w:t>40,749</w:t>
            </w:r>
          </w:p>
        </w:tc>
        <w:tc>
          <w:tcPr>
            <w:tcW w:type="dxa" w:w="1440"/>
            <w:shd w:fill="C6EFCE" w:val="clear"/>
          </w:tcPr>
          <w:p>
            <w:r>
              <w:rPr>
                <w:b/>
                <w:sz w:val="17"/>
              </w:rPr>
              <w:t>43,457</w:t>
            </w:r>
          </w:p>
        </w:tc>
        <w:tc>
          <w:tcPr>
            <w:tcW w:type="dxa" w:w="1440"/>
            <w:shd w:fill="C6EFCE" w:val="clear"/>
          </w:tcPr>
          <w:p>
            <w:r>
              <w:rPr>
                <w:sz w:val="17"/>
              </w:rPr>
              <w:t>46,166</w:t>
            </w:r>
          </w:p>
        </w:tc>
        <w:tc>
          <w:tcPr>
            <w:tcW w:type="dxa" w:w="1440"/>
            <w:shd w:fill="C6EFCE" w:val="clear"/>
          </w:tcPr>
          <w:p>
            <w:r>
              <w:rPr>
                <w:b/>
                <w:color w:val="008000"/>
                <w:sz w:val="17"/>
              </w:rPr>
              <w:t>+3.8%</w:t>
            </w:r>
          </w:p>
        </w:tc>
      </w:tr>
      <w:tr>
        <w:tc>
          <w:tcPr>
            <w:tcW w:type="dxa" w:w="1440"/>
            <w:shd w:fill="C6EFCE" w:val="clear"/>
          </w:tcPr>
          <w:p>
            <w:r>
              <w:rPr>
                <w:sz w:val="17"/>
              </w:rPr>
              <w:t>J+5  ⭐</w:t>
            </w:r>
          </w:p>
        </w:tc>
        <w:tc>
          <w:tcPr>
            <w:tcW w:type="dxa" w:w="1440"/>
            <w:shd w:fill="C6EFCE" w:val="clear"/>
          </w:tcPr>
          <w:p>
            <w:r>
              <w:rPr>
                <w:sz w:val="17"/>
              </w:rPr>
              <w:t>2026-10-27</w:t>
            </w:r>
          </w:p>
        </w:tc>
        <w:tc>
          <w:tcPr>
            <w:tcW w:type="dxa" w:w="1440"/>
            <w:shd w:fill="C6EFCE" w:val="clear"/>
          </w:tcPr>
          <w:p>
            <w:r>
              <w:rPr>
                <w:sz w:val="17"/>
              </w:rPr>
              <w:t>40,458</w:t>
            </w:r>
          </w:p>
        </w:tc>
        <w:tc>
          <w:tcPr>
            <w:tcW w:type="dxa" w:w="1440"/>
            <w:shd w:fill="C6EFCE" w:val="clear"/>
          </w:tcPr>
          <w:p>
            <w:r>
              <w:rPr>
                <w:b/>
                <w:sz w:val="17"/>
              </w:rPr>
              <w:t>43,488</w:t>
            </w:r>
          </w:p>
        </w:tc>
        <w:tc>
          <w:tcPr>
            <w:tcW w:type="dxa" w:w="1440"/>
            <w:shd w:fill="C6EFCE" w:val="clear"/>
          </w:tcPr>
          <w:p>
            <w:r>
              <w:rPr>
                <w:sz w:val="17"/>
              </w:rPr>
              <w:t>46,519</w:t>
            </w:r>
          </w:p>
        </w:tc>
        <w:tc>
          <w:tcPr>
            <w:tcW w:type="dxa" w:w="1440"/>
            <w:shd w:fill="C6EFCE" w:val="clear"/>
          </w:tcPr>
          <w:p>
            <w:r>
              <w:rPr>
                <w:b/>
                <w:color w:val="008000"/>
                <w:sz w:val="17"/>
              </w:rPr>
              <w:t>+3.8%</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40,186</w:t>
            </w:r>
          </w:p>
        </w:tc>
        <w:tc>
          <w:tcPr>
            <w:tcW w:type="dxa" w:w="1440"/>
            <w:shd w:fill="C6EFCE" w:val="clear"/>
          </w:tcPr>
          <w:p>
            <w:r>
              <w:rPr>
                <w:b/>
                <w:sz w:val="17"/>
              </w:rPr>
              <w:t>43,507</w:t>
            </w:r>
          </w:p>
        </w:tc>
        <w:tc>
          <w:tcPr>
            <w:tcW w:type="dxa" w:w="1440"/>
            <w:shd w:fill="C6EFCE" w:val="clear"/>
          </w:tcPr>
          <w:p>
            <w:r>
              <w:rPr>
                <w:sz w:val="17"/>
              </w:rPr>
              <w:t>46,828</w:t>
            </w:r>
          </w:p>
        </w:tc>
        <w:tc>
          <w:tcPr>
            <w:tcW w:type="dxa" w:w="1440"/>
            <w:shd w:fill="C6EFCE" w:val="clear"/>
          </w:tcPr>
          <w:p>
            <w:r>
              <w:rPr>
                <w:b/>
                <w:color w:val="008000"/>
                <w:sz w:val="17"/>
              </w:rPr>
              <w:t>+3.9%</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39,933</w:t>
            </w:r>
          </w:p>
        </w:tc>
        <w:tc>
          <w:tcPr>
            <w:tcW w:type="dxa" w:w="1440"/>
            <w:shd w:fill="C6EFCE" w:val="clear"/>
          </w:tcPr>
          <w:p>
            <w:r>
              <w:rPr>
                <w:b/>
                <w:sz w:val="17"/>
              </w:rPr>
              <w:t>43,521</w:t>
            </w:r>
          </w:p>
        </w:tc>
        <w:tc>
          <w:tcPr>
            <w:tcW w:type="dxa" w:w="1440"/>
            <w:shd w:fill="C6EFCE" w:val="clear"/>
          </w:tcPr>
          <w:p>
            <w:r>
              <w:rPr>
                <w:sz w:val="17"/>
              </w:rPr>
              <w:t>47,110</w:t>
            </w:r>
          </w:p>
        </w:tc>
        <w:tc>
          <w:tcPr>
            <w:tcW w:type="dxa" w:w="1440"/>
            <w:shd w:fill="C6EFCE" w:val="clear"/>
          </w:tcPr>
          <w:p>
            <w:r>
              <w:rPr>
                <w:b/>
                <w:color w:val="008000"/>
                <w:sz w:val="17"/>
              </w:rPr>
              <w:t>+3.9%</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39,695</w:t>
            </w:r>
          </w:p>
        </w:tc>
        <w:tc>
          <w:tcPr>
            <w:tcW w:type="dxa" w:w="1440"/>
            <w:shd w:fill="C6EFCE" w:val="clear"/>
          </w:tcPr>
          <w:p>
            <w:r>
              <w:rPr>
                <w:b/>
                <w:sz w:val="17"/>
              </w:rPr>
              <w:t>43,532</w:t>
            </w:r>
          </w:p>
        </w:tc>
        <w:tc>
          <w:tcPr>
            <w:tcW w:type="dxa" w:w="1440"/>
            <w:shd w:fill="C6EFCE" w:val="clear"/>
          </w:tcPr>
          <w:p>
            <w:r>
              <w:rPr>
                <w:sz w:val="17"/>
              </w:rPr>
              <w:t>47,369</w:t>
            </w:r>
          </w:p>
        </w:tc>
        <w:tc>
          <w:tcPr>
            <w:tcW w:type="dxa" w:w="1440"/>
            <w:shd w:fill="C6EFCE" w:val="clear"/>
          </w:tcPr>
          <w:p>
            <w:r>
              <w:rPr>
                <w:b/>
                <w:color w:val="008000"/>
                <w:sz w:val="17"/>
              </w:rPr>
              <w:t>+3.9%</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39,471</w:t>
            </w:r>
          </w:p>
        </w:tc>
        <w:tc>
          <w:tcPr>
            <w:tcW w:type="dxa" w:w="1440"/>
            <w:shd w:fill="C6EFCE" w:val="clear"/>
          </w:tcPr>
          <w:p>
            <w:r>
              <w:rPr>
                <w:b/>
                <w:sz w:val="17"/>
              </w:rPr>
              <w:t>43,542</w:t>
            </w:r>
          </w:p>
        </w:tc>
        <w:tc>
          <w:tcPr>
            <w:tcW w:type="dxa" w:w="1440"/>
            <w:shd w:fill="C6EFCE" w:val="clear"/>
          </w:tcPr>
          <w:p>
            <w:r>
              <w:rPr>
                <w:sz w:val="17"/>
              </w:rPr>
              <w:t>47,612</w:t>
            </w:r>
          </w:p>
        </w:tc>
        <w:tc>
          <w:tcPr>
            <w:tcW w:type="dxa" w:w="1440"/>
            <w:shd w:fill="C6EFCE" w:val="clear"/>
          </w:tcPr>
          <w:p>
            <w:r>
              <w:rPr>
                <w:b/>
                <w:color w:val="008000"/>
                <w:sz w:val="17"/>
              </w:rPr>
              <w:t>+4.0%</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39,259</w:t>
            </w:r>
          </w:p>
        </w:tc>
        <w:tc>
          <w:tcPr>
            <w:tcW w:type="dxa" w:w="1440"/>
            <w:shd w:fill="C6EFCE" w:val="clear"/>
          </w:tcPr>
          <w:p>
            <w:r>
              <w:rPr>
                <w:b/>
                <w:sz w:val="17"/>
              </w:rPr>
              <w:t>43,550</w:t>
            </w:r>
          </w:p>
        </w:tc>
        <w:tc>
          <w:tcPr>
            <w:tcW w:type="dxa" w:w="1440"/>
            <w:shd w:fill="C6EFCE" w:val="clear"/>
          </w:tcPr>
          <w:p>
            <w:r>
              <w:rPr>
                <w:sz w:val="17"/>
              </w:rPr>
              <w:t>47,842</w:t>
            </w:r>
          </w:p>
        </w:tc>
        <w:tc>
          <w:tcPr>
            <w:tcW w:type="dxa" w:w="1440"/>
            <w:shd w:fill="C6EFCE" w:val="clear"/>
          </w:tcPr>
          <w:p>
            <w:r>
              <w:rPr>
                <w:b/>
                <w:color w:val="008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SNTS (SONATEL SÉNÉGAL)</w:t>
        <w:br/>
        <w:t>## Bourse Régionale des Valeurs Mobilières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4 188,00 Mds FCFA, Sonatel s'impose comme la première capitalisation de la BRVM, un poids considérable qui en fait un pilier de l'indice BRVM-30 et un incontournable pour tout investisseur régional. Le BPA de 4 136 FCFA par action traduit la capacité bénéficiaire élevée du groupe, chaque titre générant plus de 4 000 FCFA de bénéfice net. Le PER de 10,1x se situe dans la fourchette moyenne du marché BRVM (8-12x), signalant une valorisation raisonnable sans prime excessive, tandis que le P/B de 2,99x traduit une prime de croissance accordée par le marché (valorisation à près de 3 fois la valeur comptable), cohérente avec la rentabilité élevée des fonds propres. Enfin, l'EV/EBITDA de 4,4x, inférieur au seuil de 5x, indique que la valeur d'entreprise reste très bon marché au regard de la capacité opérationnelle dégagée, un signal de sous-évaluation relative sur le plan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affiche une performance spectaculaire de +47,21%, portée par un puissant mouvement haussier, même si la dernière séance (J-1) marque une correction de -2,15% à 41 880 FCFA. Le range de trading est particulièrement large, oscillant entre un plus bas de 28 000 FCFA et un plus haut de 45 000 FCFA, soit une amplitude de 60,7% qui témoigne d'une forte dynamique mais aussi d'une nervosité accrue des investisseurs. La tendance générale est clairement haussière, le cours actuel (41 880 FCFA) se situant à 49,6% au-dessus du plus bas et à seulement 6,9% sous le sommet. Les statistiques descriptives révèlent une distribution asymétrique : la moyenne (34 641 FCFA) dépasse la médiane (32 000 FCFA) et le mode (31 000 FCFA), confirmant un skewness positif de 0,562 — davantage de journées se sont négociées sous la moyenne, avec des pics haussiers tirant la moyenne vers le haut. L'écart-type de 5 803 FCFA (CV de 16,8%) indique une dispersion modérée à élevée, tandis que le kurtosis négatif de -1,157 (distribution platykurtique) signale une faible concentration des rendements et un risque de mouvements amples moins fréquent que sur une distribution normale. La volatilité annualisée de 31,5% positionne le titre dans la catégorie des valeurs à volatilité élevée (&gt;30%), ce qui est cohérent avec son statut de valeur de croissance très recherchée.</w:t>
      </w:r>
    </w:p>
    <w:p>
      <w:pPr>
        <w:spacing w:after="120" w:line="276" w:lineRule="auto"/>
      </w:pPr>
      <w:r>
        <w:t>---</w:t>
      </w:r>
    </w:p>
    <w:p>
      <w:pPr>
        <w:spacing w:after="120" w:line="276" w:lineRule="auto"/>
      </w:pPr>
      <w:r>
        <w:t>## PARTIE 2 : ANALYSE TECHNIQUE DÉTAILLÉE</w:t>
      </w:r>
    </w:p>
    <w:p>
      <w:pPr>
        <w:spacing w:after="120" w:line="276" w:lineRule="auto"/>
      </w:pPr>
      <w:r>
        <w:t>**Moyennes Mobiles** : La MM20 (43 748 FCFA) et la MM50 (39 435,8 FCFA) se situent toutes deux au-dessus du cours actuel (41 880 FCFA), avec une MM20 supérieure à la MM50 — configuration haussière de fond. Toutefois, le cours évoluant sous la MM20, la décision technique affichée est « Achat », suggérant un point d'entrée sur repli dans une tendance de fond positive.</w:t>
      </w:r>
    </w:p>
    <w:p>
      <w:pPr>
        <w:spacing w:after="120" w:line="276" w:lineRule="auto"/>
      </w:pPr>
      <w:r>
        <w:t>**Bandes de Bollinger** : Le cours (41 880 FCFA) se situe dans la partie basse de la bande, proche de la borne inférieure (41 001,97 FCFA) et loin de la borne supérieure (46 494,04 FCFA), traduisant un récent repli. La décision « Neutre » reflète l'absence de signal extrême, le titre n'étant ni en survente ni en surachat marqué sur cet indicateur.</w:t>
      </w:r>
    </w:p>
    <w:p>
      <w:pPr>
        <w:spacing w:after="120" w:line="276" w:lineRule="auto"/>
      </w:pPr>
      <w:r>
        <w:t>**MACD** : Le MACD (1 072,02) est inférieur à son signal (1 649,91), générant une décision « Vente » et signalant un momentum baissier de court terme. Cette configuration suggère une perte de dynamique haussière récente, cohérente avec la correction de J-1, sans pour autant invalider la tendance de fond.</w:t>
      </w:r>
    </w:p>
    <w:p>
      <w:pPr>
        <w:spacing w:after="120" w:line="276" w:lineRule="auto"/>
      </w:pPr>
      <w:r>
        <w:t>**RSI** : À 39,25, le RSI se situe dans la zone neutre basse (30-70), proche du seuil de survente sans l'atteindre. La décision « Neutre » indique un équilibre précaire, le titre ayant purgé une partie de sa surchauffe sans signal d'achat franc.</w:t>
      </w:r>
    </w:p>
    <w:p>
      <w:pPr>
        <w:spacing w:after="120" w:line="276" w:lineRule="auto"/>
      </w:pPr>
      <w:r>
        <w:t>**Stochastique** : Le %K à 0,0 et le %D à 8,40 traduisent une position extrême en zone de survente, avec un %K nettement sous son signal. La décision « Achat » reflète un potentiel de rebond technique imminent, le stochastique étant à son plancher.</w:t>
      </w:r>
    </w:p>
    <w:p>
      <w:pPr>
        <w:spacing w:after="120" w:line="276" w:lineRule="auto"/>
      </w:pPr>
      <w:r>
        <w:t>**Conclusion technique** : Les indicateurs présentent une configuration contrastée — les moyennes mobiles et le stochastique plaident pour l'achat, tandis que le MACD signale une vente et le RSI/Bollinger restent neutres. Cette divergence traduit une phase de consolidation après le rallye de +47%, avec un potentiel de rebond technique à court terme mais une dynamique de momentum affaiblie. La prudence reste de mise avant confirmation d'un retournement haussier.</w:t>
      </w:r>
    </w:p>
    <w:p>
      <w:pPr>
        <w:spacing w:after="120" w:line="276" w:lineRule="auto"/>
      </w:pPr>
      <w:r>
        <w:t>---</w:t>
      </w:r>
    </w:p>
    <w:p>
      <w:pPr>
        <w:spacing w:after="120" w:line="276" w:lineRule="auto"/>
      </w:pPr>
      <w:r>
        <w:t>## PARTIE 3 : ANALYSE FONDAMENTALE</w:t>
      </w:r>
    </w:p>
    <w:p>
      <w:pPr>
        <w:spacing w:after="120" w:line="276" w:lineRule="auto"/>
      </w:pPr>
      <w:r>
        <w:t>Sur la base des états financiers officiels de l'exercice 2025, Sonatel affiche un chiffre d'affaires consolidé de 1 923,122 Mds FCFA, en croissance de +8,3% par rapport à 2024, et un résultat net de 413,588 Mds FCFA (+5,1%). La rentabilité demeure exceptionnelle avec un ROE de 29,56% (largement supérieur au seuil de 15% d'excellence) et un ROA de 12,65%, tandis que la marge nette s'établit à 21,51% et la marge opérationnelle à 34,83%. La structure financière est saine : l'autonomie financière atteint 42,79% (capitaux propres de 1 399,263 Mds FCFA), la solvabilité générale est de 174,79% et la capacité de remboursement de seulement 0,64 an, avec une couverture des intérêts de 2 744,71% — une marge de sécurité considérable. En tant qu'entreprise de télécommunications, les délais d'exploitation méritent attention : le délai clients de 46,16 jours est modéré, mais le délai fournisseurs de 201,39 jours constitue un avantage de trésorerie majeur, et le BFR négatif de -284,906 Mds FCFA confirme une structure de financement très favorable. Le Free Cash Flow de 408,087 Mds FCFA et la trésorerie nette de 536,105 Mds FCFA renforcent la solidité. Les rapports narratifs confirment cette dynamique : le communiqué du 16 février 2026 (résultats 2025) souligne un EBITDAAL à 47,9% du CA et des investissements de 288,6 Mds FCFA (15% du CA), tandis que le communiqué du 27 juillet 2026 (S1 2026) rapporte un CA de 1 049,8 Mds FCFA (+9,3%) et un résultat net de 230 Mds FCFA (+10,5%), avec un relèvement de notation à AAA (wu) par GCR Ratings. Sur cette base, on estime que l'exercice 2026 devrait confirmer la trajectoire avec un CA proche de 2 100 Mds FCFA et un résultat net autour de 440-450 Mds FCFA, soutenu par la fibre (+23% de clients), la 4G (+19,5%) et les licences 5G obtenues en Guinée-Bissau et Sierra Leone. Le dividende proposé de 1 933 FCFA brut (1 740 FCFA net, payable le 25 mai 2026) offre un rendement attractif d'environ 4,2% au cours actuel. La recommandation fondamentale est celle d'une valeur de qualité, solide et rentable, avec des risques limités à la pression réglementaire/fiscale et à la concurrence — profil d'un placement de long terme de premier ordre.</w:t>
      </w:r>
    </w:p>
    <w:p>
      <w:pPr>
        <w:spacing w:after="120" w:line="276" w:lineRule="auto"/>
      </w:pPr>
      <w:r>
        <w:t>---</w:t>
      </w:r>
    </w:p>
    <w:p>
      <w:pPr>
        <w:spacing w:after="120" w:line="276" w:lineRule="auto"/>
      </w:pPr>
      <w:r>
        <w:t>## PARTIE 4 : CONCLUSION D'INVESTISSEMENT</w:t>
      </w:r>
    </w:p>
    <w:p>
      <w:pPr>
        <w:spacing w:after="120" w:line="276" w:lineRule="auto"/>
      </w:pPr>
      <w:r>
        <w:t>La synthèse globale des quatre dimensions de l'analyse converge vers un profil d'investissement favorable mais nuancé. Sur le plan de la **valorisation (Partie 0)**, le PER de 10,1x (dans la moyenne du marché) et surtout l'EV/EBITDA de 4,4x (très bon marché) suggèrent une sous-évaluation relative au regard de la qualité des fondamentaux, malgré un P/B de 2,99x qui intègre déjà une prime de croissance. Le **comportement du cours (Partie 1)** est exceptionnel (+47,21% sur 100 jours) mais la correction de J-1 (-2,15%) et la volatilité élevée (31,5%) appellent à la prudence sur le timing d'entrée ; la distribution platykurtique et le skewness positif indiquent un risque de pics modéré mais des mouvements amples possibles. Les **signaux techniques (Partie 2)** sont divergents : le stochastique en survente extrême et les moyennes mobiles haussières plaident pour un rebond, mais le MACD baissier et le RSI neutre-bas traduisent une consolidation en cours — configuration de « repli dans une tendance haussière ». Les **fondamentaux (Partie 3)** sont remarquablement solides : ROE de 29,56%, marge nette de 21,51%, BFR négatif, trésorerie nette de 536 Mds FCFA, notation AAA et croissance confirmée au S1 2026 (+9,3% de CA, +10,5% de résultat net). Les **prédictions IA (J+1 à J+10)** anticipent une légère reprise vers 43 399-43 488 FCFA, cohérente avec le potentiel de rebond technique post-survente. Sur cette base, la recommandation finale est **ACHAT**, avec un niveau de confiance **Moyen** (la divergence technique court terme tempère l'enthousiasme fondamental) et un niveau de risque global **Moyen** (volatilité élevée mais fondamentaux protecteurs). L'horizon d'investissement optimal est le **moyen à long terme (6 mois à plus d'un an)**, afin de laisser la consolidation technique se résorber et de capturer la croissance structurelle du groupe, tout en profitant du dividende de 1 740 FCFA net (rendement ~4,2%) attendu en mai 2026.</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169.57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4,932 titres</w:t>
            </w:r>
          </w:p>
        </w:tc>
        <w:tc>
          <w:tcPr>
            <w:tcW w:type="dxa" w:w="2268"/>
            <w:shd w:fill="FFF2CC" w:val="clear"/>
          </w:tcPr>
          <w:p>
            <w:r>
              <w:rPr>
                <w:b/>
                <w:color w:val="503200"/>
                <w:sz w:val="16"/>
              </w:rPr>
              <w:t xml:space="preserve">Cours actuel : </w:t>
            </w:r>
            <w:r>
              <w:rPr>
                <w:color w:val="000000"/>
                <w:sz w:val="17"/>
              </w:rPr>
              <w:t>7,850 FCFA</w:t>
            </w:r>
          </w:p>
          <w:p>
            <w:r>
              <w:rPr>
                <w:b/>
                <w:color w:val="503200"/>
                <w:sz w:val="16"/>
              </w:rPr>
              <w:t xml:space="preserve">Var. 100 jours : </w:t>
            </w:r>
            <w:r>
              <w:rPr>
                <w:b/>
                <w:color w:val="007800"/>
                <w:sz w:val="17"/>
              </w:rPr>
              <w:t>+7.53%</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7,300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11.5/100 → Faible</w:t>
      </w:r>
    </w:p>
    <w:p>
      <w:pPr>
        <w:spacing w:before="40" w:after="80"/>
      </w:pPr>
      <w:r>
        <w:rPr>
          <w:rFonts w:ascii="Courier New" w:hAnsi="Courier New"/>
          <w:color w:val="006400"/>
          <w:sz w:val="18"/>
        </w:rPr>
        <w:t>██░░░░░░░░░░░░░░░░░░  11.5/100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3.84% (Faible) — μ=8,114 FCFA, σ=311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β=1.0380 (Neutre (suit le marché)) — Cov=0.000081, Var(idx)=0.000078, ρ=0.347,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2026-10-21</w:t>
            </w:r>
          </w:p>
        </w:tc>
        <w:tc>
          <w:tcPr>
            <w:tcW w:type="dxa" w:w="1440"/>
            <w:shd w:fill="FFDCE0" w:val="clear"/>
          </w:tcPr>
          <w:p>
            <w:r>
              <w:rPr>
                <w:sz w:val="17"/>
              </w:rPr>
              <w:t>7,328</w:t>
            </w:r>
          </w:p>
        </w:tc>
        <w:tc>
          <w:tcPr>
            <w:tcW w:type="dxa" w:w="1440"/>
            <w:shd w:fill="FFDCE0" w:val="clear"/>
          </w:tcPr>
          <w:p>
            <w:r>
              <w:rPr>
                <w:b/>
                <w:sz w:val="17"/>
              </w:rPr>
              <w:t>7,689</w:t>
            </w:r>
          </w:p>
        </w:tc>
        <w:tc>
          <w:tcPr>
            <w:tcW w:type="dxa" w:w="1440"/>
            <w:shd w:fill="FFDCE0" w:val="clear"/>
          </w:tcPr>
          <w:p>
            <w:r>
              <w:rPr>
                <w:sz w:val="17"/>
              </w:rPr>
              <w:t>8,050</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2026-10-22</w:t>
            </w:r>
          </w:p>
        </w:tc>
        <w:tc>
          <w:tcPr>
            <w:tcW w:type="dxa" w:w="1440"/>
            <w:shd w:fill="FFDCE0" w:val="clear"/>
          </w:tcPr>
          <w:p>
            <w:r>
              <w:rPr>
                <w:sz w:val="17"/>
              </w:rPr>
              <w:t>7,170</w:t>
            </w:r>
          </w:p>
        </w:tc>
        <w:tc>
          <w:tcPr>
            <w:tcW w:type="dxa" w:w="1440"/>
            <w:shd w:fill="FFDCE0" w:val="clear"/>
          </w:tcPr>
          <w:p>
            <w:r>
              <w:rPr>
                <w:b/>
                <w:sz w:val="17"/>
              </w:rPr>
              <w:t>7,680</w:t>
            </w:r>
          </w:p>
        </w:tc>
        <w:tc>
          <w:tcPr>
            <w:tcW w:type="dxa" w:w="1440"/>
            <w:shd w:fill="FFDCE0" w:val="clear"/>
          </w:tcPr>
          <w:p>
            <w:r>
              <w:rPr>
                <w:sz w:val="17"/>
              </w:rPr>
              <w:t>8,190</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2026-10-23</w:t>
            </w:r>
          </w:p>
        </w:tc>
        <w:tc>
          <w:tcPr>
            <w:tcW w:type="dxa" w:w="1440"/>
            <w:shd w:fill="FFDCE0" w:val="clear"/>
          </w:tcPr>
          <w:p>
            <w:r>
              <w:rPr>
                <w:sz w:val="17"/>
              </w:rPr>
              <w:t>7,037</w:t>
            </w:r>
          </w:p>
        </w:tc>
        <w:tc>
          <w:tcPr>
            <w:tcW w:type="dxa" w:w="1440"/>
            <w:shd w:fill="FFDCE0" w:val="clear"/>
          </w:tcPr>
          <w:p>
            <w:r>
              <w:rPr>
                <w:b/>
                <w:sz w:val="17"/>
              </w:rPr>
              <w:t>7,660</w:t>
            </w:r>
          </w:p>
        </w:tc>
        <w:tc>
          <w:tcPr>
            <w:tcW w:type="dxa" w:w="1440"/>
            <w:shd w:fill="FFDCE0" w:val="clear"/>
          </w:tcPr>
          <w:p>
            <w:r>
              <w:rPr>
                <w:sz w:val="17"/>
              </w:rPr>
              <w:t>8,283</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2026-10-26</w:t>
            </w:r>
          </w:p>
        </w:tc>
        <w:tc>
          <w:tcPr>
            <w:tcW w:type="dxa" w:w="1440"/>
            <w:shd w:fill="FFDCE0" w:val="clear"/>
          </w:tcPr>
          <w:p>
            <w:r>
              <w:rPr>
                <w:sz w:val="17"/>
              </w:rPr>
              <w:t>6,926</w:t>
            </w:r>
          </w:p>
        </w:tc>
        <w:tc>
          <w:tcPr>
            <w:tcW w:type="dxa" w:w="1440"/>
            <w:shd w:fill="FFDCE0" w:val="clear"/>
          </w:tcPr>
          <w:p>
            <w:r>
              <w:rPr>
                <w:b/>
                <w:sz w:val="17"/>
              </w:rPr>
              <w:t>7,644</w:t>
            </w:r>
          </w:p>
        </w:tc>
        <w:tc>
          <w:tcPr>
            <w:tcW w:type="dxa" w:w="1440"/>
            <w:shd w:fill="FFDCE0" w:val="clear"/>
          </w:tcPr>
          <w:p>
            <w:r>
              <w:rPr>
                <w:sz w:val="17"/>
              </w:rPr>
              <w:t>8,362</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2026-10-27</w:t>
            </w:r>
          </w:p>
        </w:tc>
        <w:tc>
          <w:tcPr>
            <w:tcW w:type="dxa" w:w="1440"/>
            <w:shd w:fill="FFDCE0" w:val="clear"/>
          </w:tcPr>
          <w:p>
            <w:r>
              <w:rPr>
                <w:sz w:val="17"/>
              </w:rPr>
              <w:t>6,828</w:t>
            </w:r>
          </w:p>
        </w:tc>
        <w:tc>
          <w:tcPr>
            <w:tcW w:type="dxa" w:w="1440"/>
            <w:shd w:fill="FFDCE0" w:val="clear"/>
          </w:tcPr>
          <w:p>
            <w:r>
              <w:rPr>
                <w:b/>
                <w:sz w:val="17"/>
              </w:rPr>
              <w:t>7,630</w:t>
            </w:r>
          </w:p>
        </w:tc>
        <w:tc>
          <w:tcPr>
            <w:tcW w:type="dxa" w:w="1440"/>
            <w:shd w:fill="FFDCE0" w:val="clear"/>
          </w:tcPr>
          <w:p>
            <w:r>
              <w:rPr>
                <w:sz w:val="17"/>
              </w:rPr>
              <w:t>8,431</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2026-10-28</w:t>
            </w:r>
          </w:p>
        </w:tc>
        <w:tc>
          <w:tcPr>
            <w:tcW w:type="dxa" w:w="1440"/>
            <w:shd w:fill="FFDCE0" w:val="clear"/>
          </w:tcPr>
          <w:p>
            <w:r>
              <w:rPr>
                <w:sz w:val="17"/>
              </w:rPr>
              <w:t>6,740</w:t>
            </w:r>
          </w:p>
        </w:tc>
        <w:tc>
          <w:tcPr>
            <w:tcW w:type="dxa" w:w="1440"/>
            <w:shd w:fill="FFDCE0" w:val="clear"/>
          </w:tcPr>
          <w:p>
            <w:r>
              <w:rPr>
                <w:b/>
                <w:sz w:val="17"/>
              </w:rPr>
              <w:t>7,616</w:t>
            </w:r>
          </w:p>
        </w:tc>
        <w:tc>
          <w:tcPr>
            <w:tcW w:type="dxa" w:w="1440"/>
            <w:shd w:fill="FFDCE0" w:val="clear"/>
          </w:tcPr>
          <w:p>
            <w:r>
              <w:rPr>
                <w:sz w:val="17"/>
              </w:rPr>
              <w:t>8,492</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2026-10-29</w:t>
            </w:r>
          </w:p>
        </w:tc>
        <w:tc>
          <w:tcPr>
            <w:tcW w:type="dxa" w:w="1440"/>
            <w:shd w:fill="FFDCE0" w:val="clear"/>
          </w:tcPr>
          <w:p>
            <w:r>
              <w:rPr>
                <w:sz w:val="17"/>
              </w:rPr>
              <w:t>6,658</w:t>
            </w:r>
          </w:p>
        </w:tc>
        <w:tc>
          <w:tcPr>
            <w:tcW w:type="dxa" w:w="1440"/>
            <w:shd w:fill="FFDCE0" w:val="clear"/>
          </w:tcPr>
          <w:p>
            <w:r>
              <w:rPr>
                <w:b/>
                <w:sz w:val="17"/>
              </w:rPr>
              <w:t>7,603</w:t>
            </w:r>
          </w:p>
        </w:tc>
        <w:tc>
          <w:tcPr>
            <w:tcW w:type="dxa" w:w="1440"/>
            <w:shd w:fill="FFDCE0" w:val="clear"/>
          </w:tcPr>
          <w:p>
            <w:r>
              <w:rPr>
                <w:sz w:val="17"/>
              </w:rPr>
              <w:t>8,548</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2026-10-30</w:t>
            </w:r>
          </w:p>
        </w:tc>
        <w:tc>
          <w:tcPr>
            <w:tcW w:type="dxa" w:w="1440"/>
            <w:shd w:fill="FFDCE0" w:val="clear"/>
          </w:tcPr>
          <w:p>
            <w:r>
              <w:rPr>
                <w:sz w:val="17"/>
              </w:rPr>
              <w:t>6,582</w:t>
            </w:r>
          </w:p>
        </w:tc>
        <w:tc>
          <w:tcPr>
            <w:tcW w:type="dxa" w:w="1440"/>
            <w:shd w:fill="FFDCE0" w:val="clear"/>
          </w:tcPr>
          <w:p>
            <w:r>
              <w:rPr>
                <w:b/>
                <w:sz w:val="17"/>
              </w:rPr>
              <w:t>7,590</w:t>
            </w:r>
          </w:p>
        </w:tc>
        <w:tc>
          <w:tcPr>
            <w:tcW w:type="dxa" w:w="1440"/>
            <w:shd w:fill="FFDCE0" w:val="clear"/>
          </w:tcPr>
          <w:p>
            <w:r>
              <w:rPr>
                <w:sz w:val="17"/>
              </w:rPr>
              <w:t>8,599</w:t>
            </w:r>
          </w:p>
        </w:tc>
        <w:tc>
          <w:tcPr>
            <w:tcW w:type="dxa" w:w="1440"/>
            <w:shd w:fill="FFDCE0" w:val="clear"/>
          </w:tcPr>
          <w:p>
            <w:r>
              <w:rPr>
                <w:b/>
                <w:color w:val="C00000"/>
                <w:sz w:val="17"/>
              </w:rPr>
              <w:t>-3.3%</w:t>
            </w:r>
          </w:p>
        </w:tc>
      </w:tr>
      <w:tr>
        <w:tc>
          <w:tcPr>
            <w:tcW w:type="dxa" w:w="1440"/>
            <w:shd w:fill="FFDCE0" w:val="clear"/>
          </w:tcPr>
          <w:p>
            <w:r>
              <w:rPr>
                <w:sz w:val="17"/>
              </w:rPr>
              <w:t>J+9  ⭐</w:t>
            </w:r>
          </w:p>
        </w:tc>
        <w:tc>
          <w:tcPr>
            <w:tcW w:type="dxa" w:w="1440"/>
            <w:shd w:fill="FFDCE0" w:val="clear"/>
          </w:tcPr>
          <w:p>
            <w:r>
              <w:rPr>
                <w:sz w:val="17"/>
              </w:rPr>
              <w:t>2026-11-02</w:t>
            </w:r>
          </w:p>
        </w:tc>
        <w:tc>
          <w:tcPr>
            <w:tcW w:type="dxa" w:w="1440"/>
            <w:shd w:fill="FFDCE0" w:val="clear"/>
          </w:tcPr>
          <w:p>
            <w:r>
              <w:rPr>
                <w:sz w:val="17"/>
              </w:rPr>
              <w:t>6,511</w:t>
            </w:r>
          </w:p>
        </w:tc>
        <w:tc>
          <w:tcPr>
            <w:tcW w:type="dxa" w:w="1440"/>
            <w:shd w:fill="FFDCE0" w:val="clear"/>
          </w:tcPr>
          <w:p>
            <w:r>
              <w:rPr>
                <w:b/>
                <w:sz w:val="17"/>
              </w:rPr>
              <w:t>7,578</w:t>
            </w:r>
          </w:p>
        </w:tc>
        <w:tc>
          <w:tcPr>
            <w:tcW w:type="dxa" w:w="1440"/>
            <w:shd w:fill="FFDCE0" w:val="clear"/>
          </w:tcPr>
          <w:p>
            <w:r>
              <w:rPr>
                <w:sz w:val="17"/>
              </w:rPr>
              <w:t>8,646</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2026-11-03</w:t>
            </w:r>
          </w:p>
        </w:tc>
        <w:tc>
          <w:tcPr>
            <w:tcW w:type="dxa" w:w="1440"/>
            <w:shd w:fill="FFDCE0" w:val="clear"/>
          </w:tcPr>
          <w:p>
            <w:r>
              <w:rPr>
                <w:sz w:val="17"/>
              </w:rPr>
              <w:t>6,443</w:t>
            </w:r>
          </w:p>
        </w:tc>
        <w:tc>
          <w:tcPr>
            <w:tcW w:type="dxa" w:w="1440"/>
            <w:shd w:fill="FFDCE0" w:val="clear"/>
          </w:tcPr>
          <w:p>
            <w:r>
              <w:rPr>
                <w:b/>
                <w:sz w:val="17"/>
              </w:rPr>
              <w:t>7,567</w:t>
            </w:r>
          </w:p>
        </w:tc>
        <w:tc>
          <w:tcPr>
            <w:tcW w:type="dxa" w:w="1440"/>
            <w:shd w:fill="FFDCE0" w:val="clear"/>
          </w:tcPr>
          <w:p>
            <w:r>
              <w:rPr>
                <w:sz w:val="17"/>
              </w:rPr>
              <w:t>8,691</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(Société des Caoutchoucs de Grand-Béréby)</w:t>
        <w:br/>
        <w:t>### BRVM — Secteur : Agro-industrie (Hévéa / Palmier à huile)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**169,57 milliards FCFA**, un niveau qui la place parmi les valeurs moyennes-capitalisations les plus significatives de la cote BRVM, avec une liquidité toutefois limitée (volume moyen de 4 932 titres/jour). Le **BPA de 578 FCFA/action** traduit un bénéfice net par titre confortable, cohérent avec un résultat net de 12,49 milliards FCFA pour 2025. Le **PER de 13,6x** se situe légèrement au-dessus de la moyenne BRVM (~8-12x), signalant que le marché paie une prime modérée pour les bénéfices de SOGC — valorisation raisonnable mais non décotée. Le **P/B de 2,48x** indique que le marché valorise la société à 2,5 fois ses fonds propres comptables (68,43 Mds FCFA), soit une prime de croissance accordée mais contenue dans la fourchette 2-4x. Enfin, l'**EV/EBITDA de 7,0x** (fourchette raisonnable 5-10x) confirme que la valeur d'entreprise reste proportionnée à la capacité opérationnelle de génération de cash, sans emballement spéculatif.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affiche une **variation totale de +7,53%**, portée notamment par un rebond de **+4,53% lors de la dernière séance**, ce qui contraste avec la tendance baissière de court terme observée sur les indicateurs techniques. Le cours actuel de **7 850 FCFA** évolue dans un range de trading de **1 575 FCFA** entre le plus bas (7 300 FCFA) et le plus haut (8 875 FCFA), soit un amplitude relative de plus de 21% — signe d'une certaine nervosité malgré la stabilité apparente. Les statistiques descriptives révèlent une **moyenne de 8 114 FCFA** légèrement supérieure à la **médiane de 8 145 FCFA** (proche, distribution quasi-symétrique), avec un **mode à 8 100 FCFA** confirmant une zone de consolidation autour de 8 100 FCFA. L'**écart-type de 313 FCFA (CV = 3,9%)** indique une dispersion modérée du cours autour de sa moyenne, tandis que le **kurtosis de 0,240 (mésokurtique)** suggère un comportement proche d'une distribution normale, sans risque excessif de pics extrêmes ; le **skewness de -0,444** (légèrement négatif, interprété comme symétrique) traduit une très légère prédominance des baisses modérées. La **volatilité annualisée de 42,1%** classe le titre dans la catégorie **élevée (&gt;30%)**, ce qui est cohérent avec une valeur agro-industrielle exposée aux cycles des matières premières et à une liquidité restreinte.</w:t>
      </w:r>
    </w:p>
    <w:p>
      <w:pPr>
        <w:spacing w:after="120" w:line="276" w:lineRule="auto"/>
      </w:pPr>
      <w:r>
        <w:t>---</w:t>
      </w:r>
    </w:p>
    <w:p>
      <w:pPr>
        <w:spacing w:after="120" w:line="276" w:lineRule="auto"/>
      </w:pPr>
      <w:r>
        <w:t>## PARTIE 2 : ANALYSE TECHNIQUE DÉTAILLÉE</w:t>
      </w:r>
    </w:p>
    <w:p>
      <w:pPr>
        <w:spacing w:after="120" w:line="276" w:lineRule="auto"/>
      </w:pPr>
      <w:r>
        <w:t>**Moyennes Mobiles** : La MM20 (7 790,75 FCFA) et la MM50 (7 969,2 FCFA) se situent toutes deux **sous le cours actuel** (7 850 FCFA) pour la MM20, mais la MM50 est **au-dessus** du cours, signe que la tendance de moyen terme reste baissière. La MM20 &lt; MM50 confirme une configuration négative (croisement baissier), justifiant la **décision de Vente** émise par le système.</w:t>
      </w:r>
    </w:p>
    <w:p>
      <w:pPr>
        <w:spacing w:after="120" w:line="276" w:lineRule="auto"/>
      </w:pPr>
      <w:r>
        <w:t>**Bandes de Bollinger** : Le cours (7 850 FCFA) évolue dans la partie médiane de la bande, entre la borne inférieure (7 370,58 FCFA) et supérieure (8 210,92 FCFA), à environ 57% de la largeur — position neutre. L'écart entre les bornes (~840 FCFA) traduit une volatilité encore présente mais sans compression extrême, justifiant la **décision Neutre**.</w:t>
      </w:r>
    </w:p>
    <w:p>
      <w:pPr>
        <w:spacing w:after="120" w:line="276" w:lineRule="auto"/>
      </w:pPr>
      <w:r>
        <w:t>**MACD** : La valeur du MACD (-85,607) est **inférieure à son signal** (-71,553), avec un histogramme négatif — configuration baissière confirmée. Le momentum reste négatif malgré le rebond de la dernière séance, ce qui justifie la **décision de Vente** ; une inflexion du MACD au-dessus de son signal serait nécessaire pour inverser ce biais.</w:t>
      </w:r>
    </w:p>
    <w:p>
      <w:pPr>
        <w:spacing w:after="120" w:line="276" w:lineRule="auto"/>
      </w:pPr>
      <w:r>
        <w:t>**RSI** : À **47,666**, le RSI se situe en zone parfaitement neutre (entre 30 et 70), sans signal de surachat (&gt;70) ni de survente (&lt;30). Cette valeur traduit un équilibre entre acheteurs et vendeurs, cohérent avec la **décision Neutre** et l'absence de pression directionnelle claire.</w:t>
      </w:r>
    </w:p>
    <w:p>
      <w:pPr>
        <w:spacing w:after="120" w:line="276" w:lineRule="auto"/>
      </w:pPr>
      <w:r>
        <w:t>**Stochastique** : Le %K (63,504) est **nettement supérieur au %D (25,791)**, configuration haussière par croisement, mais le %K reste sous la zone de surachat (80). Ce signal divergent (momentum court terme positif) contraste avec le MACD baissier, justifiant la **décision Neutre** par prudence.</w:t>
      </w:r>
    </w:p>
    <w:p>
      <w:pPr>
        <w:spacing w:after="120" w:line="276" w:lineRule="auto"/>
      </w:pPr>
      <w:r>
        <w:t>**Conclusion technique** : Les indicateurs sont **majoritairement baissiers à neutres** — MM en configuration négative, MACD sous son signal — mais le rebond récent (+4,53%) et le croisement haussier du stochastique suggèrent une tentative de retournement de court terme. Le RSI neutre et la position médiane dans les Bollinger confirment l'absence de signal directionnel fort. La convergence partielle plaide pour une **prudence** : le titre pourrait osciller entre 7 600 et 8 200 FCFA avant de choisir une direction, avec un biais baissier tant que la MM50 (7 969 FCFA) n'est pas reconquise.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réalise un **chiffre d'affaires de 98,979 milliards FCFA** (contre 93,52 Mds en 2024, soit +5,8%), pour un **résultat net de 12,493 milliards FCFA** en baisse de 5% sur un an (13,11 Mds en 2024). La rentabilité reste solide avec un **ROE de 18,26%** (excellent, &gt;15%) et un **ROA de 13,84%**, tandis que la **marge nette de 12,62%** et la **marge opérationnelle de 17,24%** confirment une bonne efficacité. La structure financière est remarquable : **autonomie financière de 75,79%**, **ratio d'endettement de 24,21%**, **solvabilité générale de 413%** et **liquidité générale de 170,32%** — le bilan est très sain, avec des **dettes financières totales limitées à 708,86 M FCFA** et une **capacité de remboursement de 0,04 an**. Sur le plan opérationnel (secteur ENTREPRISE), le **BFR de 7,124 Mds FCFA** reste maîtrisé, le **délai clients de 29,60 jours** est court (faible risque de trésorerie), le **délai fournisseurs de 31,72 jours** est équilibré, mais la **durée de stockage de 97,67 jours** immobilise du capital. La **CAF de 18,938 Mds FCFA** et le **Free Cash Flow de 16,031 Mds FCFA** attestent d'une génération de cash robuste, avec une **trésorerie nette positive de 4,575 Mds FCFA**.</w:t>
      </w:r>
    </w:p>
    <w:p>
      <w:pPr>
        <w:spacing w:after="120" w:line="276" w:lineRule="auto"/>
      </w:pPr>
      <w:r>
        <w:t>**Évolution et rapports** : Le rapport officiel 2025 (publié le 19/05/2026, AG du 28/05/2026) confirme un **résultat net de 12,49 Mds FCFA (-5%)**, des ventes de produits fabriqués **+12%** tirées par les prix de l'huile de palme (+20%) et de palmiste (+47%), mais des **coûts de matières premières +15%** (hausse du coagulum) qui pèsent sur les marges. Le rapport S1 2025 (30/06/2025) montrait un CA de 55,4 Mds (+51,9%) et un résultat net de 10,2 Mds (+151,6%), tandis que le T3 2025 (30/09/2025) affichait un CA cumulé de 75,6 Mds (+21,3%) et un résultat net de 11,5 Mds (+39,5%) — la **décélération au S2 2025** est donc confirmée par la baisse annuelle du résultat net. Le rapport 2024 (31/12/2024) rappelait un exercice exceptionnel (CA +20%, résultat net +149%, dividende 60 FCFA/action). **Estimation** : sur la base du T3 2025 (marge nette 15,3%) et de la pression concurrentielle sur le coagulum, l'exercice 2026 devrait rester solide mais sans rebond majeur, avec un résultat net estimé autour de 12-13 Mds FCFA si les prix du caoutchouc se stabilisent. La **recommandation fondamentale est CONSERVER** : solidité bilancielle exceptionnelle, dividende attractif (570 FCFA/action proposé, soit un rendement de ~7,3% au cours actuel), mais marges sous pression et dépendance aux commodities.</w:t>
      </w:r>
    </w:p>
    <w:p>
      <w:pPr>
        <w:spacing w:after="120" w:line="276" w:lineRule="auto"/>
      </w:pPr>
      <w:r>
        <w:t>---</w:t>
      </w:r>
    </w:p>
    <w:p>
      <w:pPr>
        <w:spacing w:after="120" w:line="276" w:lineRule="auto"/>
      </w:pPr>
      <w:r>
        <w:t>## PARTIE 4 : CONCLUSION D'INVESTISSEMENT</w:t>
      </w:r>
    </w:p>
    <w:p>
      <w:pPr>
        <w:spacing w:after="120" w:line="276" w:lineRule="auto"/>
      </w:pPr>
      <w:r>
        <w:t>La **valorisation (Partie 0)** est raisonnable mais non décotée : PER de 13,6x (au-dessus de la moyenne BRVM), P/B de 2,48x et EV/EBITDA de 7,0x traduisent une prime modérée justifiée par la qualité du bilan, sans sous-évaluation flagrante. Le **comportement du cours (Partie 1)** est mitigé : variation positive de +7,53% sur 100 jours et rebond de +4,53% en J-1, mais volatilité élevée (42,1%) et skewness légèrement négatif (-0,444) signalent une asymétrie défavorable aux hausses ; le kurtosis mésokurtique (0,240) écarte toutefois le risque de pics extrêmes. Les **signaux techniques (Partie 2)** divergent : MM en configuration baissière et MACD négatif plaident pour la prudence, tandis que le stochastique haussier et le RSI neutre suggèrent une possible stabilisation — la convergence n'est pas acquise, avec un biais baissier tant que 7 969 FCFA (MM50) n'est pas reconquis. Les **fondamentaux (Partie 3)** sont le point fort : ROE de 18,26%, autonomie financière de 75,79%, trésorerie nette positive et dividende de 570 FCFA/action (rendement ~7,3%) — mais le résultat net 2025 en baisse de 5% et la pression sur les coûts du coagulum tempèrent l'enthousiasme. Les **prédictions IA (J+1 à J+10)** anticipent une **dérive baissière** de 7 689 à 7 630 FCFA (-2,8% sur 10 jours), ce qui **contredit le rebond récent** mais **confirme le biais baissier des MM et du MACD**. **Synthèse** : la convergence est partielle — fondamentaux solides et dividende attractif d'un côté, technique baissier et prédictions négatives de l'autre, avec une valorisation sans marge de sécurité. **Recommandation finale : CONSERVER** (avec vigilance), **niveau de confiance : Moyen**, **risque global : Moyen** (volatilité élevée compensée par la solidité bilancielle), **horizon optimal : moyen terme (3-12 mois)** — le titre offre un rendement de dividende attractif pour un investisseur patient, mais les acheteurs à court terme devraient attendre une reconquête de la MM50 (7 969 FCFA) ou un retour vers 7 300-7 400 FCFA (plus bas du range) pour améliorer leur point d'entrée.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194.50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4,320 titres</w:t>
            </w:r>
          </w:p>
        </w:tc>
        <w:tc>
          <w:tcPr>
            <w:tcW w:type="dxa" w:w="2268"/>
            <w:shd w:fill="FFF2CC" w:val="clear"/>
          </w:tcPr>
          <w:p>
            <w:r>
              <w:rPr>
                <w:b/>
                <w:color w:val="503200"/>
                <w:sz w:val="16"/>
              </w:rPr>
              <w:t xml:space="preserve">Cours actuel : </w:t>
            </w:r>
            <w:r>
              <w:rPr>
                <w:color w:val="000000"/>
                <w:sz w:val="17"/>
              </w:rPr>
              <w:t>7,610 FCFA</w:t>
            </w:r>
          </w:p>
          <w:p>
            <w:r>
              <w:rPr>
                <w:b/>
                <w:color w:val="503200"/>
                <w:sz w:val="16"/>
              </w:rPr>
              <w:t xml:space="preserve">Var. 100 jours : </w:t>
            </w:r>
            <w:r>
              <w:rPr>
                <w:b/>
                <w:color w:val="007800"/>
                <w:sz w:val="17"/>
              </w:rPr>
              <w:t>+9.50%</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6,950 FCFA</w:t>
            </w:r>
          </w:p>
          <w:p>
            <w:r>
              <w:rPr>
                <w:b/>
                <w:color w:val="503200"/>
                <w:sz w:val="16"/>
              </w:rPr>
              <w:t xml:space="preserve">Volatilité ann. : </w:t>
            </w:r>
            <w:r>
              <w:rPr>
                <w:color w:val="000000"/>
                <w:sz w:val="17"/>
              </w:rPr>
              <w:t>44.6%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8.73% (Moyenne) — μ=7,961 FCFA, σ=695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β=0.8113 (Neutre (suit le marché)) — Cov=0.000063, Var(idx)=0.000078, ρ=0.253,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σ_j=2.81%/j (Stable) — Vol. annualisée≈44.6%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7,196</w:t>
            </w:r>
          </w:p>
        </w:tc>
        <w:tc>
          <w:tcPr>
            <w:tcW w:type="dxa" w:w="1440"/>
            <w:shd w:fill="FAFAFA" w:val="clear"/>
          </w:tcPr>
          <w:p>
            <w:r>
              <w:rPr>
                <w:b/>
                <w:sz w:val="17"/>
              </w:rPr>
              <w:t>7,538</w:t>
            </w:r>
          </w:p>
        </w:tc>
        <w:tc>
          <w:tcPr>
            <w:tcW w:type="dxa" w:w="1440"/>
            <w:shd w:fill="FAFAFA" w:val="clear"/>
          </w:tcPr>
          <w:p>
            <w:r>
              <w:rPr>
                <w:sz w:val="17"/>
              </w:rPr>
              <w:t>7,879</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7,032</w:t>
            </w:r>
          </w:p>
        </w:tc>
        <w:tc>
          <w:tcPr>
            <w:tcW w:type="dxa" w:w="1440"/>
            <w:shd w:fill="FAFAFA" w:val="clear"/>
          </w:tcPr>
          <w:p>
            <w:r>
              <w:rPr>
                <w:b/>
                <w:sz w:val="17"/>
              </w:rPr>
              <w:t>7,514</w:t>
            </w:r>
          </w:p>
        </w:tc>
        <w:tc>
          <w:tcPr>
            <w:tcW w:type="dxa" w:w="1440"/>
            <w:shd w:fill="FAFAFA" w:val="clear"/>
          </w:tcPr>
          <w:p>
            <w:r>
              <w:rPr>
                <w:sz w:val="17"/>
              </w:rPr>
              <w:t>7,995</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6,899</w:t>
            </w:r>
          </w:p>
        </w:tc>
        <w:tc>
          <w:tcPr>
            <w:tcW w:type="dxa" w:w="1440"/>
            <w:shd w:fill="FAFAFA" w:val="clear"/>
          </w:tcPr>
          <w:p>
            <w:r>
              <w:rPr>
                <w:b/>
                <w:sz w:val="17"/>
              </w:rPr>
              <w:t>7,486</w:t>
            </w:r>
          </w:p>
        </w:tc>
        <w:tc>
          <w:tcPr>
            <w:tcW w:type="dxa" w:w="1440"/>
            <w:shd w:fill="FAFAFA" w:val="clear"/>
          </w:tcPr>
          <w:p>
            <w:r>
              <w:rPr>
                <w:sz w:val="17"/>
              </w:rPr>
              <w:t>8,073</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6,783</w:t>
            </w:r>
          </w:p>
        </w:tc>
        <w:tc>
          <w:tcPr>
            <w:tcW w:type="dxa" w:w="1440"/>
            <w:shd w:fill="FAFAFA" w:val="clear"/>
          </w:tcPr>
          <w:p>
            <w:r>
              <w:rPr>
                <w:b/>
                <w:sz w:val="17"/>
              </w:rPr>
              <w:t>7,459</w:t>
            </w:r>
          </w:p>
        </w:tc>
        <w:tc>
          <w:tcPr>
            <w:tcW w:type="dxa" w:w="1440"/>
            <w:shd w:fill="FAFAFA" w:val="clear"/>
          </w:tcPr>
          <w:p>
            <w:r>
              <w:rPr>
                <w:sz w:val="17"/>
              </w:rPr>
              <w:t>8,134</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2026-10-27</w:t>
            </w:r>
          </w:p>
        </w:tc>
        <w:tc>
          <w:tcPr>
            <w:tcW w:type="dxa" w:w="1440"/>
            <w:shd w:fill="FFDCE0" w:val="clear"/>
          </w:tcPr>
          <w:p>
            <w:r>
              <w:rPr>
                <w:sz w:val="17"/>
              </w:rPr>
              <w:t>6,680</w:t>
            </w:r>
          </w:p>
        </w:tc>
        <w:tc>
          <w:tcPr>
            <w:tcW w:type="dxa" w:w="1440"/>
            <w:shd w:fill="FFDCE0" w:val="clear"/>
          </w:tcPr>
          <w:p>
            <w:r>
              <w:rPr>
                <w:b/>
                <w:sz w:val="17"/>
              </w:rPr>
              <w:t>7,433</w:t>
            </w:r>
          </w:p>
        </w:tc>
        <w:tc>
          <w:tcPr>
            <w:tcW w:type="dxa" w:w="1440"/>
            <w:shd w:fill="FFDCE0" w:val="clear"/>
          </w:tcPr>
          <w:p>
            <w:r>
              <w:rPr>
                <w:sz w:val="17"/>
              </w:rPr>
              <w:t>8,186</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2026-10-28</w:t>
            </w:r>
          </w:p>
        </w:tc>
        <w:tc>
          <w:tcPr>
            <w:tcW w:type="dxa" w:w="1440"/>
            <w:shd w:fill="FFDCE0" w:val="clear"/>
          </w:tcPr>
          <w:p>
            <w:r>
              <w:rPr>
                <w:sz w:val="17"/>
              </w:rPr>
              <w:t>6,587</w:t>
            </w:r>
          </w:p>
        </w:tc>
        <w:tc>
          <w:tcPr>
            <w:tcW w:type="dxa" w:w="1440"/>
            <w:shd w:fill="FFDCE0" w:val="clear"/>
          </w:tcPr>
          <w:p>
            <w:r>
              <w:rPr>
                <w:b/>
                <w:sz w:val="17"/>
              </w:rPr>
              <w:t>7,408</w:t>
            </w:r>
          </w:p>
        </w:tc>
        <w:tc>
          <w:tcPr>
            <w:tcW w:type="dxa" w:w="1440"/>
            <w:shd w:fill="FFDCE0" w:val="clear"/>
          </w:tcPr>
          <w:p>
            <w:r>
              <w:rPr>
                <w:sz w:val="17"/>
              </w:rPr>
              <w:t>8,230</w:t>
            </w:r>
          </w:p>
        </w:tc>
        <w:tc>
          <w:tcPr>
            <w:tcW w:type="dxa" w:w="1440"/>
            <w:shd w:fill="FFDCE0" w:val="clear"/>
          </w:tcPr>
          <w:p>
            <w:r>
              <w:rPr>
                <w:b/>
                <w:color w:val="C00000"/>
                <w:sz w:val="17"/>
              </w:rPr>
              <w:t>-2.6%</w:t>
            </w:r>
          </w:p>
        </w:tc>
      </w:tr>
      <w:tr>
        <w:tc>
          <w:tcPr>
            <w:tcW w:type="dxa" w:w="1440"/>
            <w:shd w:fill="FFDCE0" w:val="clear"/>
          </w:tcPr>
          <w:p>
            <w:r>
              <w:rPr>
                <w:sz w:val="17"/>
              </w:rPr>
              <w:t>J+7  ⭐</w:t>
            </w:r>
          </w:p>
        </w:tc>
        <w:tc>
          <w:tcPr>
            <w:tcW w:type="dxa" w:w="1440"/>
            <w:shd w:fill="FFDCE0" w:val="clear"/>
          </w:tcPr>
          <w:p>
            <w:r>
              <w:rPr>
                <w:sz w:val="17"/>
              </w:rPr>
              <w:t>2026-10-29</w:t>
            </w:r>
          </w:p>
        </w:tc>
        <w:tc>
          <w:tcPr>
            <w:tcW w:type="dxa" w:w="1440"/>
            <w:shd w:fill="FFDCE0" w:val="clear"/>
          </w:tcPr>
          <w:p>
            <w:r>
              <w:rPr>
                <w:sz w:val="17"/>
              </w:rPr>
              <w:t>6,500</w:t>
            </w:r>
          </w:p>
        </w:tc>
        <w:tc>
          <w:tcPr>
            <w:tcW w:type="dxa" w:w="1440"/>
            <w:shd w:fill="FFDCE0" w:val="clear"/>
          </w:tcPr>
          <w:p>
            <w:r>
              <w:rPr>
                <w:b/>
                <w:sz w:val="17"/>
              </w:rPr>
              <w:t>7,385</w:t>
            </w:r>
          </w:p>
        </w:tc>
        <w:tc>
          <w:tcPr>
            <w:tcW w:type="dxa" w:w="1440"/>
            <w:shd w:fill="FFDCE0" w:val="clear"/>
          </w:tcPr>
          <w:p>
            <w:r>
              <w:rPr>
                <w:sz w:val="17"/>
              </w:rPr>
              <w:t>8,269</w:t>
            </w:r>
          </w:p>
        </w:tc>
        <w:tc>
          <w:tcPr>
            <w:tcW w:type="dxa" w:w="1440"/>
            <w:shd w:fill="FFDCE0" w:val="clear"/>
          </w:tcPr>
          <w:p>
            <w:r>
              <w:rPr>
                <w:b/>
                <w:color w:val="C00000"/>
                <w:sz w:val="17"/>
              </w:rPr>
              <w:t>-3.0%</w:t>
            </w:r>
          </w:p>
        </w:tc>
      </w:tr>
      <w:tr>
        <w:tc>
          <w:tcPr>
            <w:tcW w:type="dxa" w:w="1440"/>
            <w:shd w:fill="FFDCE0" w:val="clear"/>
          </w:tcPr>
          <w:p>
            <w:r>
              <w:rPr>
                <w:sz w:val="17"/>
              </w:rPr>
              <w:t>J+8  ⭐</w:t>
            </w:r>
          </w:p>
        </w:tc>
        <w:tc>
          <w:tcPr>
            <w:tcW w:type="dxa" w:w="1440"/>
            <w:shd w:fill="FFDCE0" w:val="clear"/>
          </w:tcPr>
          <w:p>
            <w:r>
              <w:rPr>
                <w:sz w:val="17"/>
              </w:rPr>
              <w:t>2026-10-30</w:t>
            </w:r>
          </w:p>
        </w:tc>
        <w:tc>
          <w:tcPr>
            <w:tcW w:type="dxa" w:w="1440"/>
            <w:shd w:fill="FFDCE0" w:val="clear"/>
          </w:tcPr>
          <w:p>
            <w:r>
              <w:rPr>
                <w:sz w:val="17"/>
              </w:rPr>
              <w:t>6,419</w:t>
            </w:r>
          </w:p>
        </w:tc>
        <w:tc>
          <w:tcPr>
            <w:tcW w:type="dxa" w:w="1440"/>
            <w:shd w:fill="FFDCE0" w:val="clear"/>
          </w:tcPr>
          <w:p>
            <w:r>
              <w:rPr>
                <w:b/>
                <w:sz w:val="17"/>
              </w:rPr>
              <w:t>7,362</w:t>
            </w:r>
          </w:p>
        </w:tc>
        <w:tc>
          <w:tcPr>
            <w:tcW w:type="dxa" w:w="1440"/>
            <w:shd w:fill="FFDCE0" w:val="clear"/>
          </w:tcPr>
          <w:p>
            <w:r>
              <w:rPr>
                <w:sz w:val="17"/>
              </w:rPr>
              <w:t>8,304</w:t>
            </w:r>
          </w:p>
        </w:tc>
        <w:tc>
          <w:tcPr>
            <w:tcW w:type="dxa" w:w="1440"/>
            <w:shd w:fill="FFDCE0" w:val="clear"/>
          </w:tcPr>
          <w:p>
            <w:r>
              <w:rPr>
                <w:b/>
                <w:color w:val="C00000"/>
                <w:sz w:val="17"/>
              </w:rPr>
              <w:t>-3.3%</w:t>
            </w:r>
          </w:p>
        </w:tc>
      </w:tr>
      <w:tr>
        <w:tc>
          <w:tcPr>
            <w:tcW w:type="dxa" w:w="1440"/>
            <w:shd w:fill="FFDCE0" w:val="clear"/>
          </w:tcPr>
          <w:p>
            <w:r>
              <w:rPr>
                <w:sz w:val="17"/>
              </w:rPr>
              <w:t>J+9  ⭐</w:t>
            </w:r>
          </w:p>
        </w:tc>
        <w:tc>
          <w:tcPr>
            <w:tcW w:type="dxa" w:w="1440"/>
            <w:shd w:fill="FFDCE0" w:val="clear"/>
          </w:tcPr>
          <w:p>
            <w:r>
              <w:rPr>
                <w:sz w:val="17"/>
              </w:rPr>
              <w:t>2026-11-02</w:t>
            </w:r>
          </w:p>
        </w:tc>
        <w:tc>
          <w:tcPr>
            <w:tcW w:type="dxa" w:w="1440"/>
            <w:shd w:fill="FFDCE0" w:val="clear"/>
          </w:tcPr>
          <w:p>
            <w:r>
              <w:rPr>
                <w:sz w:val="17"/>
              </w:rPr>
              <w:t>6,342</w:t>
            </w:r>
          </w:p>
        </w:tc>
        <w:tc>
          <w:tcPr>
            <w:tcW w:type="dxa" w:w="1440"/>
            <w:shd w:fill="FFDCE0" w:val="clear"/>
          </w:tcPr>
          <w:p>
            <w:r>
              <w:rPr>
                <w:b/>
                <w:sz w:val="17"/>
              </w:rPr>
              <w:t>7,339</w:t>
            </w:r>
          </w:p>
        </w:tc>
        <w:tc>
          <w:tcPr>
            <w:tcW w:type="dxa" w:w="1440"/>
            <w:shd w:fill="FFDCE0" w:val="clear"/>
          </w:tcPr>
          <w:p>
            <w:r>
              <w:rPr>
                <w:sz w:val="17"/>
              </w:rPr>
              <w:t>8,336</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2026-11-03</w:t>
            </w:r>
          </w:p>
        </w:tc>
        <w:tc>
          <w:tcPr>
            <w:tcW w:type="dxa" w:w="1440"/>
            <w:shd w:fill="FFDCE0" w:val="clear"/>
          </w:tcPr>
          <w:p>
            <w:r>
              <w:rPr>
                <w:sz w:val="17"/>
              </w:rPr>
              <w:t>6,270</w:t>
            </w:r>
          </w:p>
        </w:tc>
        <w:tc>
          <w:tcPr>
            <w:tcW w:type="dxa" w:w="1440"/>
            <w:shd w:fill="FFDCE0" w:val="clear"/>
          </w:tcPr>
          <w:p>
            <w:r>
              <w:rPr>
                <w:b/>
                <w:sz w:val="17"/>
              </w:rPr>
              <w:t>7,318</w:t>
            </w:r>
          </w:p>
        </w:tc>
        <w:tc>
          <w:tcPr>
            <w:tcW w:type="dxa" w:w="1440"/>
            <w:shd w:fill="FFDCE0" w:val="clear"/>
          </w:tcPr>
          <w:p>
            <w:r>
              <w:rPr>
                <w:sz w:val="17"/>
              </w:rPr>
              <w:t>8,366</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SPHC affiche une capitalisation boursière de 194,50 milliards FCFA, un niveau significatif à l'échelle de la BRVM qui positionne le titre parmi les valeurs agro-industrielles de premier plan. Le BPA de 977 FCFA/action signifie que chaque titre génère près d'un millier de francs de bénéfice net, un niveau confortable au regard du cours actuel de 7 610 FCFA. Le PER de 7,8x se situe nettement sous la moyenne BRVM (8-12x), suggérant une sous-évaluation relative du titre par rapport à ses bénéfices. Le P/B de 1,41x indique que le marché valorise la société à 41% au-dessus de sa valeur comptable, une prime raisonnable qui traduit la confiance dans la qualité des actifs sans excès spéculatif. Enfin, l'EV/EBITDA de 4,9x (sous le seuil de 5x) confirme que la valeur d'entreprise reste très bon marché comparée à la capacité opérationnelle de génération de cash-flow, un signal classique de sous-valorisation.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 progressé de +9,50%, avec une dernière séance en hausse de +1,26%, clôturant à 7 610 FCFA. Le titre a évolué dans un range large de 6 950 FCFA (plus bas) à 10 300 FCFA (plus haut), soit un spread de près de 48% qui traduit une forte amplitude de trading. La tendance générale reste toutefois baissière depuis le pic de 10 300 FCFA, le cours actuel se situant 26% sous ce sommet, bien que la performance sur 100 jours demeure positive. Les statistiques descriptives révèlent une moyenne de 7 961 FCFA supérieure à la médiane de 7 685 FCFA, signe d'une distribution asymétrique tirée vers le haut par des pics ponctuels. L'écart-type de 698 FCFA (CV de 8,8%) indique une dispersion modérée autour de la moyenne, mais le kurtosis de 2,323 (leptokurtique) signale des queues épaisses et un risque de pics de volatilité brutaux. Le skewness positif de 1,744 confirme cette asymétrie : davantage de journées se situent sous la moyenne, avec des mouvements haussiers plus amples mais plus rares. La volatilité annualisée de 44,6% classe le titre dans la catégorie **élevée** (&gt;30%), imposant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(7 801 FCFA) et la MM50 (8 365 FCFA) se situent toutes deux au-dessus du cours actuel (7 610 FCFA), configurant une pression baissière de court et moyen terme. La MM20 étant inférieure à la MM50, la tendance est clairement descendante, justifiant la décision **Vente**.</w:t>
      </w:r>
    </w:p>
    <w:p>
      <w:pPr>
        <w:spacing w:after="120" w:line="276" w:lineRule="auto"/>
      </w:pPr>
      <w:r>
        <w:t>**Bandes de Bollinger** : Le cours (7 610 FCFA) évolue dans la moitié inférieure de la bande, entre la borne inférieure (7 427 FCFA) et la borne supérieure (8 175 FCFA), sans franchissement des extrêmes. Cette position centrale basse traduit une volatilité contenue et une absence de signal directionnel fort, justifiant la décision **Neutre**.</w:t>
      </w:r>
    </w:p>
    <w:p>
      <w:pPr>
        <w:spacing w:after="120" w:line="276" w:lineRule="auto"/>
      </w:pPr>
      <w:r>
        <w:t>**MACD** : La valeur du MACD (-172,286) est inférieure à son signal (-160,485), avec un histogramme négatif qui confirme un momentum baissier persistant. La divergence négative n'est pas encore résorbée, ce qui valide la décision **Vente** à court terme.</w:t>
      </w:r>
    </w:p>
    <w:p>
      <w:pPr>
        <w:spacing w:after="120" w:line="276" w:lineRule="auto"/>
      </w:pPr>
      <w:r>
        <w:t>**RSI** : À 41,369, le RSI se situe en zone neutre (30-70), sans signal de surachat ni de survente. Le titre n'est ni épuisé à la baisse ni en excès haussier, justifiant la décision **Neutre** avec une légère inclinaison baissière.</w:t>
      </w:r>
    </w:p>
    <w:p>
      <w:pPr>
        <w:spacing w:after="120" w:line="276" w:lineRule="auto"/>
      </w:pPr>
      <w:r>
        <w:t>**Stochastique** : Le %K (17,757) est supérieur au %D (8,949), avec les deux indicateurs en zone de survente (&lt;20). Ce croisement haussier en zone extrême suggère un rebond technique imminent, justifiant la décision **Achat** contrarienne.</w:t>
      </w:r>
    </w:p>
    <w:p>
      <w:pPr>
        <w:spacing w:after="120" w:line="276" w:lineRule="auto"/>
      </w:pPr>
      <w:r>
        <w:t>**Conclusion technique** : Les indicateurs convergent majoritairement vers une pression baissière (MM, MACD) avec un RSI neutre et des Bollinger sans signal fort, mais le stochastique en survente offre une opportunité de rebond tactique. La configuration globale est baissière à court terme, avec un potentiel de rebond technique limité tant que le cours reste sous la MM20 (7 801 FCFA).</w:t>
      </w:r>
    </w:p>
    <w:p>
      <w:pPr>
        <w:spacing w:after="120" w:line="276" w:lineRule="auto"/>
      </w:pPr>
      <w:r>
        <w:t>---</w:t>
      </w:r>
    </w:p>
    <w:p>
      <w:pPr>
        <w:spacing w:after="120" w:line="276" w:lineRule="auto"/>
      </w:pPr>
      <w:r>
        <w:t>## PARTIE 3 : ANALYSE FONDAMENTALE</w:t>
      </w:r>
    </w:p>
    <w:p>
      <w:pPr>
        <w:spacing w:after="120" w:line="276" w:lineRule="auto"/>
      </w:pPr>
      <w:r>
        <w:t>En 2025, SPHC a réalisé un chiffre d'affaires de 340,831 milliards FCFA, en croissance de +21,97% par rapport à 2024 (279,44 milliards FCFA selon le rapport annuel 2024), portée par une hausse des volumes et des prix du caoutchouc. Le résultat net s'établit à 24,972 milliards FCFA, en progression de +32,9% (contre 18,79 milliards en 2024), avec une marge nette de 7,33% et un ROE excellent de 18,10% (&gt;15%), confirmant la rentabilité des fonds propres. Le ROA de 11,06% et la rotation des actifs de 150,9% témoignent d'une utilisation efficace du bilan (225,843 milliards FCFA). La structure financière est saine : autonomie financière de 61,08%, ratio d'endettement maîtrisé de 25,81%, et couverture des intérêts de 1 094% (résultat d'exploitation/charges financières). Point de vigilance : le BFR de 65,389 milliards FCFA (positif, donc défavorable) avec un délai client de 35 jours et une durée de stockage de 72,33 jours, expliquant la trésorerie nette négative de -15,413 milliards FCFA. Le Free Cash Flow reste positif à 14,194 milliards FCFA. **Estimation basée sur les rapports trimestriels** : le rapport T1 2026 (publié en 2026) révèle un CA de 71,8 milliards FCFA (-24%) et un résultat net de 2,6 milliards FCFA (-78%), pénalisé par la chute des cours SICOM (1,91 USD/kg) et l'engorgement du port de San-Pedro. Toutefois, le rapport T3 2026 (30 septembre 2026) montre un redressement : résultat net cumulé de 9,703 milliards FCFA, avec un T3 qui triple le résultat du S1, porté par la hausse des cours (+20% sur un an à 2,13 USD/kg). On estime donc que l'exercice 2026 devrait dépasser l'objectif budgétaire de 10,67 milliards FCFA, avec un T4 favorable. La politique de dividende est attractive : DPA de 489 FCFA brut proposé à l'AG du 09 avril 2026 (rendement de 6,4% au cours actuel), avec un taux de distribution de 50,1%. **Recommandation fondamentale** : solidité bilancielle, rentabilité élevée, mais sensibilité cyclique aux cours du caoutchouc et trésorerie négative à surveiller.</w:t>
      </w:r>
    </w:p>
    <w:p>
      <w:pPr>
        <w:spacing w:after="120" w:line="276" w:lineRule="auto"/>
      </w:pPr>
      <w:r>
        <w:t>---</w:t>
      </w:r>
    </w:p>
    <w:p>
      <w:pPr>
        <w:spacing w:after="120" w:line="276" w:lineRule="auto"/>
      </w:pPr>
      <w:r>
        <w:t>## PARTIE 4 : CONCLUSION D'INVESTISSEMENT</w:t>
      </w:r>
    </w:p>
    <w:p>
      <w:pPr>
        <w:spacing w:after="120" w:line="276" w:lineRule="auto"/>
      </w:pPr>
      <w:r>
        <w:t>La valorisation (Partie 0) plaide clairement pour une sous-évaluation : PER de 7,8x sous la moyenne BRVM, EV/EBITDA de 4,9x et P/B raisonnable de 1,41x, avec un rendement du dividende attractif de 6,4%. Le comportement du cours (Partie 1) est toutefois préoccupant à court terme : tendance baissière depuis le pic de 10 300 FCFA, volatilité élevée de 44,6%, kurtosis leptokurtique (risque de pics) et skewness positif indiquant une pression vendeuse dominante malgré la performance positive sur 100 jours. Les signaux techniques (Partie 2) sont majoritairement baissiers (MM20/MM50 au-dessus du cours, MACD négatif), mais le stochastique en survente offre un rebond tactique possible, créant une divergence à surveiller. Les fondamentaux (Partie 3) restent solides : ROE de 18,1%, croissance du CA de +22% en 2025, structure financière saine, et le redressement du T3 2026 laisse présager un exercice annuel supérieur aux objectifs. Les prédictions IA (J+1 à J+10) confirment la pression baissière à court terme, avec une trajectoire descendante de 7 538 à 7 433 FCFA (-2,3% sur 5 séances), en cohérence avec les signaux techniques baissiers. **Recommandation finale : CONSERVER**, avec un biais d'achat sur repli vers 7 200-7 300 FCFA. La convergence est partielle : valorisation et fondamentaux sont favorables (long terme), mais technique et prédictions IA sont baissiers (court terme). **Niveau de confiance : Moyen** (divergence entre signaux court et long terme). **Niveau de risque global : Élevé** (volatilité 44,6%, sensibilité aux cours du caoutchouc, trésorerie négative). **Horizon optimal : Moyen à long terme (6-18 mois)**, en profitant du rendement du dividende (6,4%) et du potentiel de redressement des cours mondiaux, avec un point d'entrée idéal sous 7 400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25.47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6,326 titres</w:t>
            </w:r>
          </w:p>
        </w:tc>
        <w:tc>
          <w:tcPr>
            <w:tcW w:type="dxa" w:w="2268"/>
            <w:shd w:fill="FFF2CC" w:val="clear"/>
          </w:tcPr>
          <w:p>
            <w:r>
              <w:rPr>
                <w:b/>
                <w:color w:val="503200"/>
                <w:sz w:val="16"/>
              </w:rPr>
              <w:t xml:space="preserve">Cours actuel : </w:t>
            </w:r>
            <w:r>
              <w:rPr>
                <w:color w:val="000000"/>
                <w:sz w:val="17"/>
              </w:rPr>
              <w:t>1,895 FCFA</w:t>
            </w:r>
          </w:p>
          <w:p>
            <w:r>
              <w:rPr>
                <w:b/>
                <w:color w:val="503200"/>
                <w:sz w:val="16"/>
              </w:rPr>
              <w:t xml:space="preserve">Var. 100 jours : </w:t>
            </w:r>
            <w:r>
              <w:rPr>
                <w:b/>
                <w:color w:val="B40000"/>
                <w:sz w:val="17"/>
              </w:rPr>
              <w:t>-36.83%</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1,895 FCFA</w:t>
            </w:r>
          </w:p>
          <w:p>
            <w:r>
              <w:rPr>
                <w:b/>
                <w:color w:val="503200"/>
                <w:sz w:val="16"/>
              </w:rPr>
              <w:t xml:space="preserve">Volatilité ann. : </w:t>
            </w:r>
            <w:r>
              <w:rPr>
                <w:color w:val="000000"/>
                <w:sz w:val="17"/>
              </w:rPr>
              <w:t>59.5%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17.39% (Élevée) — μ=2,777 FCFA, σ=483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β=-0.0209 (Contre-cyclique) — Cov=-0.000002, Var(idx)=0.000078, ρ=-0.005,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6,326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σ_j=3.75%/j (Modérée) — Vol. annualisée≈59.5%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1,784</w:t>
            </w:r>
          </w:p>
        </w:tc>
        <w:tc>
          <w:tcPr>
            <w:tcW w:type="dxa" w:w="1440"/>
            <w:shd w:fill="FAFAFA" w:val="clear"/>
          </w:tcPr>
          <w:p>
            <w:r>
              <w:rPr>
                <w:b/>
                <w:sz w:val="17"/>
              </w:rPr>
              <w:t>1,926</w:t>
            </w:r>
          </w:p>
        </w:tc>
        <w:tc>
          <w:tcPr>
            <w:tcW w:type="dxa" w:w="1440"/>
            <w:shd w:fill="FAFAFA" w:val="clear"/>
          </w:tcPr>
          <w:p>
            <w:r>
              <w:rPr>
                <w:sz w:val="17"/>
              </w:rPr>
              <w:t>2,068</w:t>
            </w:r>
          </w:p>
        </w:tc>
        <w:tc>
          <w:tcPr>
            <w:tcW w:type="dxa" w:w="1440"/>
            <w:shd w:fill="FAFAFA" w:val="clear"/>
          </w:tcPr>
          <w:p>
            <w:r>
              <w:rPr>
                <w:b/>
                <w:color w:val="008000"/>
                <w:sz w:val="17"/>
              </w:rPr>
              <w:t>+1.6%</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1,714</w:t>
            </w:r>
          </w:p>
        </w:tc>
        <w:tc>
          <w:tcPr>
            <w:tcW w:type="dxa" w:w="1440"/>
            <w:shd w:fill="FAFAFA" w:val="clear"/>
          </w:tcPr>
          <w:p>
            <w:r>
              <w:rPr>
                <w:b/>
                <w:sz w:val="17"/>
              </w:rPr>
              <w:t>1,914</w:t>
            </w:r>
          </w:p>
        </w:tc>
        <w:tc>
          <w:tcPr>
            <w:tcW w:type="dxa" w:w="1440"/>
            <w:shd w:fill="FAFAFA" w:val="clear"/>
          </w:tcPr>
          <w:p>
            <w:r>
              <w:rPr>
                <w:sz w:val="17"/>
              </w:rPr>
              <w:t>2,113</w:t>
            </w:r>
          </w:p>
        </w:tc>
        <w:tc>
          <w:tcPr>
            <w:tcW w:type="dxa" w:w="1440"/>
            <w:shd w:fill="FAFAFA" w:val="clear"/>
          </w:tcPr>
          <w:p>
            <w:r>
              <w:rPr>
                <w:b/>
                <w:color w:val="008000"/>
                <w:sz w:val="17"/>
              </w:rPr>
              <w:t>+1.0%</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1,671</w:t>
            </w:r>
          </w:p>
        </w:tc>
        <w:tc>
          <w:tcPr>
            <w:tcW w:type="dxa" w:w="1440"/>
            <w:shd w:fill="FAFAFA" w:val="clear"/>
          </w:tcPr>
          <w:p>
            <w:r>
              <w:rPr>
                <w:b/>
                <w:sz w:val="17"/>
              </w:rPr>
              <w:t>1,916</w:t>
            </w:r>
          </w:p>
        </w:tc>
        <w:tc>
          <w:tcPr>
            <w:tcW w:type="dxa" w:w="1440"/>
            <w:shd w:fill="FAFAFA" w:val="clear"/>
          </w:tcPr>
          <w:p>
            <w:r>
              <w:rPr>
                <w:sz w:val="17"/>
              </w:rPr>
              <w:t>2,160</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1,640</w:t>
            </w:r>
          </w:p>
        </w:tc>
        <w:tc>
          <w:tcPr>
            <w:tcW w:type="dxa" w:w="1440"/>
            <w:shd w:fill="FAFAFA" w:val="clear"/>
          </w:tcPr>
          <w:p>
            <w:r>
              <w:rPr>
                <w:b/>
                <w:sz w:val="17"/>
              </w:rPr>
              <w:t>1,923</w:t>
            </w:r>
          </w:p>
        </w:tc>
        <w:tc>
          <w:tcPr>
            <w:tcW w:type="dxa" w:w="1440"/>
            <w:shd w:fill="FAFAFA" w:val="clear"/>
          </w:tcPr>
          <w:p>
            <w:r>
              <w:rPr>
                <w:sz w:val="17"/>
              </w:rPr>
              <w:t>2,207</w:t>
            </w:r>
          </w:p>
        </w:tc>
        <w:tc>
          <w:tcPr>
            <w:tcW w:type="dxa" w:w="1440"/>
            <w:shd w:fill="FAFAFA" w:val="clear"/>
          </w:tcPr>
          <w:p>
            <w:r>
              <w:rPr>
                <w:b/>
                <w:color w:val="008000"/>
                <w:sz w:val="17"/>
              </w:rPr>
              <w:t>+1.5%</w:t>
            </w:r>
          </w:p>
        </w:tc>
      </w:tr>
      <w:tr>
        <w:tc>
          <w:tcPr>
            <w:tcW w:type="dxa" w:w="1440"/>
            <w:shd w:fill="FAFAFA" w:val="clear"/>
          </w:tcPr>
          <w:p>
            <w:r>
              <w:rPr>
                <w:sz w:val="17"/>
              </w:rPr>
              <w:t>J+5  ⭐</w:t>
            </w:r>
          </w:p>
        </w:tc>
        <w:tc>
          <w:tcPr>
            <w:tcW w:type="dxa" w:w="1440"/>
            <w:shd w:fill="FAFAFA" w:val="clear"/>
          </w:tcPr>
          <w:p>
            <w:r>
              <w:rPr>
                <w:sz w:val="17"/>
              </w:rPr>
              <w:t>2026-10-27</w:t>
            </w:r>
          </w:p>
        </w:tc>
        <w:tc>
          <w:tcPr>
            <w:tcW w:type="dxa" w:w="1440"/>
            <w:shd w:fill="FAFAFA" w:val="clear"/>
          </w:tcPr>
          <w:p>
            <w:r>
              <w:rPr>
                <w:sz w:val="17"/>
              </w:rPr>
              <w:t>1,614</w:t>
            </w:r>
          </w:p>
        </w:tc>
        <w:tc>
          <w:tcPr>
            <w:tcW w:type="dxa" w:w="1440"/>
            <w:shd w:fill="FAFAFA" w:val="clear"/>
          </w:tcPr>
          <w:p>
            <w:r>
              <w:rPr>
                <w:b/>
                <w:sz w:val="17"/>
              </w:rPr>
              <w:t>1,932</w:t>
            </w:r>
          </w:p>
        </w:tc>
        <w:tc>
          <w:tcPr>
            <w:tcW w:type="dxa" w:w="1440"/>
            <w:shd w:fill="FAFAFA" w:val="clear"/>
          </w:tcPr>
          <w:p>
            <w:r>
              <w:rPr>
                <w:sz w:val="17"/>
              </w:rPr>
              <w:t>2,251</w:t>
            </w:r>
          </w:p>
        </w:tc>
        <w:tc>
          <w:tcPr>
            <w:tcW w:type="dxa" w:w="1440"/>
            <w:shd w:fill="FAFAFA" w:val="clear"/>
          </w:tcPr>
          <w:p>
            <w:r>
              <w:rPr>
                <w:b/>
                <w:color w:val="008000"/>
                <w:sz w:val="17"/>
              </w:rPr>
              <w:t>+2.0%</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1,592</w:t>
            </w:r>
          </w:p>
        </w:tc>
        <w:tc>
          <w:tcPr>
            <w:tcW w:type="dxa" w:w="1440"/>
            <w:shd w:fill="C6EFCE" w:val="clear"/>
          </w:tcPr>
          <w:p>
            <w:r>
              <w:rPr>
                <w:b/>
                <w:sz w:val="17"/>
              </w:rPr>
              <w:t>1,942</w:t>
            </w:r>
          </w:p>
        </w:tc>
        <w:tc>
          <w:tcPr>
            <w:tcW w:type="dxa" w:w="1440"/>
            <w:shd w:fill="C6EFCE" w:val="clear"/>
          </w:tcPr>
          <w:p>
            <w:r>
              <w:rPr>
                <w:sz w:val="17"/>
              </w:rPr>
              <w:t>2,293</w:t>
            </w:r>
          </w:p>
        </w:tc>
        <w:tc>
          <w:tcPr>
            <w:tcW w:type="dxa" w:w="1440"/>
            <w:shd w:fill="C6EFCE" w:val="clear"/>
          </w:tcPr>
          <w:p>
            <w:r>
              <w:rPr>
                <w:b/>
                <w:color w:val="008000"/>
                <w:sz w:val="17"/>
              </w:rPr>
              <w:t>+2.5%</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1,572</w:t>
            </w:r>
          </w:p>
        </w:tc>
        <w:tc>
          <w:tcPr>
            <w:tcW w:type="dxa" w:w="1440"/>
            <w:shd w:fill="C6EFCE" w:val="clear"/>
          </w:tcPr>
          <w:p>
            <w:r>
              <w:rPr>
                <w:b/>
                <w:sz w:val="17"/>
              </w:rPr>
              <w:t>1,952</w:t>
            </w:r>
          </w:p>
        </w:tc>
        <w:tc>
          <w:tcPr>
            <w:tcW w:type="dxa" w:w="1440"/>
            <w:shd w:fill="C6EFCE" w:val="clear"/>
          </w:tcPr>
          <w:p>
            <w:r>
              <w:rPr>
                <w:sz w:val="17"/>
              </w:rPr>
              <w:t>2,333</w:t>
            </w:r>
          </w:p>
        </w:tc>
        <w:tc>
          <w:tcPr>
            <w:tcW w:type="dxa" w:w="1440"/>
            <w:shd w:fill="C6EFCE" w:val="clear"/>
          </w:tcPr>
          <w:p>
            <w:r>
              <w:rPr>
                <w:b/>
                <w:color w:val="008000"/>
                <w:sz w:val="17"/>
              </w:rPr>
              <w:t>+3.0%</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1,553</w:t>
            </w:r>
          </w:p>
        </w:tc>
        <w:tc>
          <w:tcPr>
            <w:tcW w:type="dxa" w:w="1440"/>
            <w:shd w:fill="C6EFCE" w:val="clear"/>
          </w:tcPr>
          <w:p>
            <w:r>
              <w:rPr>
                <w:b/>
                <w:sz w:val="17"/>
              </w:rPr>
              <w:t>1,962</w:t>
            </w:r>
          </w:p>
        </w:tc>
        <w:tc>
          <w:tcPr>
            <w:tcW w:type="dxa" w:w="1440"/>
            <w:shd w:fill="C6EFCE" w:val="clear"/>
          </w:tcPr>
          <w:p>
            <w:r>
              <w:rPr>
                <w:sz w:val="17"/>
              </w:rPr>
              <w:t>2,371</w:t>
            </w:r>
          </w:p>
        </w:tc>
        <w:tc>
          <w:tcPr>
            <w:tcW w:type="dxa" w:w="1440"/>
            <w:shd w:fill="C6EFCE" w:val="clear"/>
          </w:tcPr>
          <w:p>
            <w:r>
              <w:rPr>
                <w:b/>
                <w:color w:val="008000"/>
                <w:sz w:val="17"/>
              </w:rPr>
              <w:t>+3.5%</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1,535</w:t>
            </w:r>
          </w:p>
        </w:tc>
        <w:tc>
          <w:tcPr>
            <w:tcW w:type="dxa" w:w="1440"/>
            <w:shd w:fill="C6EFCE" w:val="clear"/>
          </w:tcPr>
          <w:p>
            <w:r>
              <w:rPr>
                <w:b/>
                <w:sz w:val="17"/>
              </w:rPr>
              <w:t>1,971</w:t>
            </w:r>
          </w:p>
        </w:tc>
        <w:tc>
          <w:tcPr>
            <w:tcW w:type="dxa" w:w="1440"/>
            <w:shd w:fill="C6EFCE" w:val="clear"/>
          </w:tcPr>
          <w:p>
            <w:r>
              <w:rPr>
                <w:sz w:val="17"/>
              </w:rPr>
              <w:t>2,407</w:t>
            </w:r>
          </w:p>
        </w:tc>
        <w:tc>
          <w:tcPr>
            <w:tcW w:type="dxa" w:w="1440"/>
            <w:shd w:fill="C6EFCE" w:val="clear"/>
          </w:tcPr>
          <w:p>
            <w:r>
              <w:rPr>
                <w:b/>
                <w:color w:val="008000"/>
                <w:sz w:val="17"/>
              </w:rPr>
              <w:t>+4.0%</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1,518</w:t>
            </w:r>
          </w:p>
        </w:tc>
        <w:tc>
          <w:tcPr>
            <w:tcW w:type="dxa" w:w="1440"/>
            <w:shd w:fill="C6EFCE" w:val="clear"/>
          </w:tcPr>
          <w:p>
            <w:r>
              <w:rPr>
                <w:b/>
                <w:sz w:val="17"/>
              </w:rPr>
              <w:t>1,979</w:t>
            </w:r>
          </w:p>
        </w:tc>
        <w:tc>
          <w:tcPr>
            <w:tcW w:type="dxa" w:w="1440"/>
            <w:shd w:fill="C6EFCE" w:val="clear"/>
          </w:tcPr>
          <w:p>
            <w:r>
              <w:rPr>
                <w:sz w:val="17"/>
              </w:rPr>
              <w:t>2,441</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RAPPORT D'ANALYSE FINANCIÈRE — STAC (SETAO)</w:t>
        <w:br/>
        <w:t>### Bourse Régionale des Valeurs Mobilières (BRVM) — Secteur BTP / Études &amp; Travaux</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**25,47 milliards FCFA**, un niveau modeste à l'échelle de la BRVM qui la positionne parmi les petites capitalisations du marché régional, mais qui contraste fortement avec la taille réelle de son bilan (5,447 Mds FCFA) et de ses fonds propres (356,75 M FCFA). Le BPA ressort à **-7 FCFA/action**, traduisant une société déficitaire dont chaque action détruit de la valeur comptable. Le PER est de ce fait **négatif (-263,8x)** et donc non interprétable en termes de multiple de bénéfices : il signale simplement l'absence de profits, rendant toute comparaison avec le PER moyen BRVM (8-12x) inopérante. Le ratio **P/B de 71,39x** est le signal le plus alarmant : le marché valorise l'action à plus de 71 fois sa valeur comptable, alors que la référence usuelle est de 1 à 4x — cette prime extravagante s'explique par la faiblesse extrême des capitaux propres (6,55% du bilan) et non par une création de valeur. Enfin, l'EV/EBITDA n'est pas exploitable en raison d'un EBE négatif (-650,13 M FCFA en 2025), ce qui confirme que la valorisation boursière repose intégralement sur des anticipations de retournement et non sur la capacité bénéficiaire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 enregistré une **chute vertigineuse de -36,83%**, avec une dernière séance particulièrement violente à **-6,19%**, portant le cours à **1 895 FCFA** — soit exactement le plus bas de la période, tandis que le plus haut a atteint **3 640 FCFA**. Le range de trading est donc considérable (près de 1 745 FCFA d'amplitude), signe d'une tendance **franchement baissière** qui s'est accélérée en fin de période, le cours clôturant au plancher absolu. Les statistiques descriptives confirment ce comportement : la moyenne (**2 777 FCFA**) est supérieure à la médiane (**2 690 FCFA**), ce qui traduit une légère asymétrie positive résiduelle due aux niveaux élevés du début de période, tandis que le mode (**3 500 FCFA**) rappelle que le titre évoluait encore sur des sommets il y a peu. L'écart-type de **485 FCFA** avec un **coefficient de variation de 17,5%** indique une dispersion modérée du cours autour de sa moyenne, mais le **kurtosis de -0,973 (mésokurtique)** suggère une distribution proche de la normale, sans pics extrêmes fréquents — le mouvement baissier est donc régulier et non accidentel. Le **skewness de 0,104** confirme une distribution quasi symétrique. La **volatilité annualisée de 59,5%** classe le titre dans la catégorie **très élevée** (&gt;30%), ce qui est cohérent avec un titre spéculatif en phase de détresse boursière.</w:t>
      </w:r>
    </w:p>
    <w:p>
      <w:pPr>
        <w:spacing w:after="120" w:line="276" w:lineRule="auto"/>
      </w:pPr>
      <w:r>
        <w:t>---</w:t>
      </w:r>
    </w:p>
    <w:p>
      <w:pPr>
        <w:spacing w:after="120" w:line="276" w:lineRule="auto"/>
      </w:pPr>
      <w:r>
        <w:t>## PARTIE 2 : ANALYSE TECHNIQUE DÉTAILLÉE</w:t>
      </w:r>
    </w:p>
    <w:p>
      <w:pPr>
        <w:spacing w:after="120" w:line="276" w:lineRule="auto"/>
      </w:pPr>
      <w:r>
        <w:t>**Moyennes Mobiles** : La MM20 (**2 111,5 FCFA**) et la MM50 (**2 384,1 FCFA**) sont toutes deux situées nettement au-dessus du cours actuel (1 895 FCFA), avec une MM20 inférieure à la MM50 — configuration baissière typique d'un marché en tendance descendante. Le cours évoluant sous ses deux moyennes, la décision **Vente** est pleinement justifiée.</w:t>
      </w:r>
    </w:p>
    <w:p>
      <w:pPr>
        <w:spacing w:after="120" w:line="276" w:lineRule="auto"/>
      </w:pPr>
      <w:r>
        <w:t>**Bandes de Bollinger** : Le cours (1 895 FCFA) se situe dans la partie basse du canal, très proche de la borne inférieure (**1 863,665 FCFA**) et loin de la borne supérieure (**2 359,335 FCFA**), ce qui traduit une pression vendeuse persistante. La décision **Neutre** reflète le fait que le cours n'a pas encore cassé la borne inférieure, mais la proximité immédiate de celle-ci maintient un risque de rebond technique ou de poursuite de la chute.</w:t>
      </w:r>
    </w:p>
    <w:p>
      <w:pPr>
        <w:spacing w:after="120" w:line="276" w:lineRule="auto"/>
      </w:pPr>
      <w:r>
        <w:t>**MACD** : La valeur du MACD (**-128,563**) est inférieure à sa ligne de signal (**-124,825**), confirmant un momentum baissier toujours actif, bien que l'écart entre les deux lignes se resserre légèrement. La décision **Vente** reste cohérente avec cette configuration négative.</w:t>
      </w:r>
    </w:p>
    <w:p>
      <w:pPr>
        <w:spacing w:after="120" w:line="276" w:lineRule="auto"/>
      </w:pPr>
      <w:r>
        <w:t>**RSI** : À **30,677**, le RSI se situe juste au-dessus du seuil de survente (30), zone charnière où un rebond technique devient statistiquement probable. La décision **Neutre** traduit cette position ambiguë : ni franchement survendu, ni en zone neutre confortable, le titre est à un point d'inflexion potentiel.</w:t>
      </w:r>
    </w:p>
    <w:p>
      <w:pPr>
        <w:spacing w:after="120" w:line="276" w:lineRule="auto"/>
      </w:pPr>
      <w:r>
        <w:t>**Stochastique** : Le %K (**0,0**) est au plancher absolu tandis que le %D (**16,842**) reste plus élevé, configuration de survente extrême avec un croisement potentiel à venir. La décision **Achat** est contre-intuitive mais classique : un %K à zéro signale une exhaustion des vendeurs et un possible rebond technique à court terme.</w:t>
      </w:r>
    </w:p>
    <w:p>
      <w:pPr>
        <w:spacing w:after="120" w:line="276" w:lineRule="auto"/>
      </w:pPr>
      <w:r>
        <w:t>**Conclusion technique** : Les indicateurs sont majoritairement baissiers (MM, MACD) mais présentent des signaux de survente avancée (RSI proche de 30, Stochastique à 0, cours collé à la borne basse de Bollinger). Cette divergence entre tendance de fond (baissière) et signaux d'exhaustion (survente) suggère un titre en fin de jambe baissière, où un rebond technique est possible mais fragile — la prudence reste de mise tant que le cours n'a pas reconquis la MM20 (2 111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STAC affiche un chiffre d'affaires de **3,878 Mds FCFA**, en croissance spectaculaire de **+116,26%** par rapport à 2024 (1,793 Md FCFA), portée par la reprise des travaux de l'aéroport d'Abidjan. Cependant, cette dynamique commerciale ne se traduit pas en rentabilité : le résultat net reste **négatif à -96,56 M FCFA** (marge nette de -2,49%), l'EBE est profondément déficitaire (**-650,13 M FCFA**) et le résultat d'exploitation atteint **-771,95 M FCFA** (marge opérationnelle de -19,90%). Les ratios de rentabilité sont tous négatifs : **ROE de -27,07%** et **ROA de -1,77%**, confirmant une destruction de valeur. La structure financière est très fragile : l'**autonomie financière n'est que de 6,55%** (très loin du seuil sain de 30%), le ratio d'endettement atteint **93,45%** et la capacité de remboursement est de **77,53 années** de CAF — situation intenable à long terme. Point positif notable : le **BFR est négatif (-930,47 M FCFA)**, ce qui est favorable pour une entreprise de BTP car il signifie que les encaissements précèdent les décaissements, et la trésorerie nette reste positive à **1,330 Md FCFA**. Toutefois, le flux opérationnel est négatif à **-2,212 Mds FCFA**, ce qui grignote ce coussin de trésorerie.</w:t>
      </w:r>
    </w:p>
    <w:p>
      <w:pPr>
        <w:spacing w:after="120" w:line="276" w:lineRule="auto"/>
      </w:pPr>
      <w:r>
        <w:t>**Estimations basées sur les rapports trimestriels** : Le rapport du **30 septembre 2025** (cumul 9 mois) indique un CA de 3 456 M FCFA (+176%) et une perte nette de 477 M FCFA en réduction de 22%, avec une perte d'exploitation divisée par deux (-456 M FCFA contre -921 M FCFA). La direction maintient sa prévision de CA annuel à 4 Mds FCFA, ce qui implique un T4 très faible (~544 M FCFA) et confirme le ralentissement de l'activité après le pic du chantier aéroportuaire. Le rapport du **30 juin 2025** (S1) montrait déjà un CA de 2 271 M FCFA (+290%) mais une perte nette aggravée de 77% à -557 M FCFA, révélant une structure de coûts inadaptée. Les rapports antérieurs (exercice 2024, S1 2024, T3 2024) documentent l'effondrement historique du CA (-80,6% en 2024 à 1 793 M FCFA) et des pertes récurrentes, tandis que les rapports 2021 (exercice et S1) rappellent qu'un retour à la rentabilité avait été observé (marge nette de 10,9% en 2021, résultat net de 1,12 Md FCFA) — preuve que le modèle peut fonctionner lorsque le carnet de commandes est plein.</w:t>
      </w:r>
    </w:p>
    <w:p>
      <w:pPr>
        <w:spacing w:after="120" w:line="276" w:lineRule="auto"/>
      </w:pPr>
      <w:r>
        <w:t>**Conclusion fondamentale** : STAC est une société **structurellement déficitaire mais en phase de redressement commercial**, dont la survie dépend de la sécurisation de nouveaux contrats au-delà du chantier aéroportuaire. La croissance du CA (+116%) est un signal positif, mais la rentabilité opérationnelle reste profondément négative et la structure financière (autonomie de 6,55%, endettement de 93,45%) est alarmante. Le titre présente un **profil spéculatif à haut risque**, adapté uniquement aux investisseurs anticipant un retournement opérationnel crédible.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converge vers un diagnostic sans ambiguïté. **Sur le plan de la valorisation (Partie 0)**, les ratios sont tous défavorables : PER négatif, P/B de 71,39x (prime injustifiable), EV/EBITDA inexploitable — le marché valorise le titre sur des anticipations et non sur des fondamentaux, ce qui le rend vulnérable à toute déception. **Le comportement du cours (Partie 1)** est franchement baissier (-36,83% sur 100 jours, clôture au plus bas), avec une volatilité très élevée (59,5%) et une distribution mésokurtique sans pics extrêmes, indiquant une tendance descendante régulière et persistante. **Les signaux techniques (Partie 2)** sont majoritairement baissiers (MM, MACD) mais présentent des signes de survente avancée (RSI à 30,7, Stochastique à 0, cours sur la borne basse de Bollinger), suggérant un possible rebond technique fragile plutôt qu'un retournement de tendance. **Les fondamentaux (Partie 3)** confirment la détresse : résultat net négatif (-96,56 M FCFA en 2025), ROE de -27,07%, autonomie financière de 6,55%, endettement de 93,45% — malgré une croissance du CA de +116% et un BFR négatif favorable. **Les prédictions IA (J+1 à J+10)** anticipent une légère reprise (1 926 FCFA le 21/10, puis 1 914-1 932 FCFA), ce qui contredit la tendance baissière récente mais s'aligne sur les signaux de survente technique — il s'agirait donc d'un rebond technique mineur (+1,6% à +2%) et non d'un retournement.</w:t>
      </w:r>
    </w:p>
    <w:p>
      <w:pPr>
        <w:spacing w:after="120" w:line="276" w:lineRule="auto"/>
      </w:pPr>
      <w:r>
        <w:t>**Recommandation finale : VENTE** (avec possibilité de **VENTE FORTE** pour les investisseurs prudents). La convergence est claire : valorisation surévaluée, tendance baissière, fondamentaux dégradés — seuls les signaux de survente technique et les prédictions IA à court terme suggèrent un rebond marginal qui ne justifie pas une exposition. **Niveau de confiance : Élevé** (les quatre dimensions convergent vers le même diagnostic). **Niveau de risque global : Élevé** (volatilité de 59,5%, structure financière fragile, dépendance à un projet unique). **Horizon d'investissement recommandé : Court terme** (&lt; 3 mois) pour les investisseurs déjà positionnés souhaitant profiter d'un éventuel rebond technique avant de sortir ; **aucune entrée** n'est recommandée pour les nouveaux investisseurs tant que le cours n'aura pas reconquis la MM20 (2 111 FCFA) et que la rentabilité opérationnelle ne se sera pas matérialisée dans les prochains rapports trimestriels.</w:t>
      </w:r>
    </w:p>
    <w:p>
      <w:pPr>
        <w:spacing w:after="120" w:line="276" w:lineRule="auto"/>
      </w:pPr>
      <w:r>
        <w:t>---</w:t>
      </w:r>
    </w:p>
    <w:p>
      <w:pPr>
        <w:spacing w:after="120" w:line="276" w:lineRule="auto"/>
      </w:pPr>
      <w:r>
        <w:t>*Rapport généré le 20 octobre 2026 — Sources : BRVM Données Financières (exercice 2025), rapports SETAO T3 2025 (30/09/2025), S1 2025 (30/06/2025), exercice 2024 (31/12/2024), S1 2024, T3 2024, exercice 2021 et S1 2021. Les prédictions IA sont fournies à titre indicatif et ne constituent pas une garantie de performance.*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382.44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4,167 titres</w:t>
            </w:r>
          </w:p>
        </w:tc>
        <w:tc>
          <w:tcPr>
            <w:tcW w:type="dxa" w:w="2268"/>
            <w:shd w:fill="FFF2CC" w:val="clear"/>
          </w:tcPr>
          <w:p>
            <w:r>
              <w:rPr>
                <w:b/>
                <w:color w:val="503200"/>
                <w:sz w:val="16"/>
              </w:rPr>
              <w:t xml:space="preserve">Cours actuel : </w:t>
            </w:r>
            <w:r>
              <w:rPr>
                <w:color w:val="000000"/>
                <w:sz w:val="17"/>
              </w:rPr>
              <w:t>21,300 FCFA</w:t>
            </w:r>
          </w:p>
          <w:p>
            <w:r>
              <w:rPr>
                <w:b/>
                <w:color w:val="503200"/>
                <w:sz w:val="16"/>
              </w:rPr>
              <w:t xml:space="preserve">Var. 100 jours : </w:t>
            </w:r>
            <w:r>
              <w:rPr>
                <w:b/>
                <w:color w:val="007800"/>
                <w:sz w:val="17"/>
              </w:rPr>
              <w:t>+1.43%</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4.86% (Faible) — μ=22,577 FCFA, σ=1,098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β=0.4397 (Défensif) — Cov=0.000034, Var(idx)=0.000078, ρ=0.167,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2026-10-21</w:t>
            </w:r>
          </w:p>
        </w:tc>
        <w:tc>
          <w:tcPr>
            <w:tcW w:type="dxa" w:w="1440"/>
            <w:shd w:fill="C6EFCE" w:val="clear"/>
          </w:tcPr>
          <w:p>
            <w:r>
              <w:rPr>
                <w:sz w:val="17"/>
              </w:rPr>
              <w:t>21,412</w:t>
            </w:r>
          </w:p>
        </w:tc>
        <w:tc>
          <w:tcPr>
            <w:tcW w:type="dxa" w:w="1440"/>
            <w:shd w:fill="C6EFCE" w:val="clear"/>
          </w:tcPr>
          <w:p>
            <w:r>
              <w:rPr>
                <w:b/>
                <w:sz w:val="17"/>
              </w:rPr>
              <w:t>22,005</w:t>
            </w:r>
          </w:p>
        </w:tc>
        <w:tc>
          <w:tcPr>
            <w:tcW w:type="dxa" w:w="1440"/>
            <w:shd w:fill="C6EFCE" w:val="clear"/>
          </w:tcPr>
          <w:p>
            <w:r>
              <w:rPr>
                <w:sz w:val="17"/>
              </w:rPr>
              <w:t>22,597</w:t>
            </w:r>
          </w:p>
        </w:tc>
        <w:tc>
          <w:tcPr>
            <w:tcW w:type="dxa" w:w="1440"/>
            <w:shd w:fill="C6EFCE" w:val="clear"/>
          </w:tcPr>
          <w:p>
            <w:r>
              <w:rPr>
                <w:b/>
                <w:color w:val="008000"/>
                <w:sz w:val="17"/>
              </w:rPr>
              <w:t>+3.3%</w:t>
            </w:r>
          </w:p>
        </w:tc>
      </w:tr>
      <w:tr>
        <w:tc>
          <w:tcPr>
            <w:tcW w:type="dxa" w:w="1440"/>
            <w:shd w:fill="C6EFCE" w:val="clear"/>
          </w:tcPr>
          <w:p>
            <w:r>
              <w:rPr>
                <w:sz w:val="17"/>
              </w:rPr>
              <w:t>J+2  Moyenne</w:t>
            </w:r>
          </w:p>
        </w:tc>
        <w:tc>
          <w:tcPr>
            <w:tcW w:type="dxa" w:w="1440"/>
            <w:shd w:fill="C6EFCE" w:val="clear"/>
          </w:tcPr>
          <w:p>
            <w:r>
              <w:rPr>
                <w:sz w:val="17"/>
              </w:rPr>
              <w:t>2026-10-22</w:t>
            </w:r>
          </w:p>
        </w:tc>
        <w:tc>
          <w:tcPr>
            <w:tcW w:type="dxa" w:w="1440"/>
            <w:shd w:fill="C6EFCE" w:val="clear"/>
          </w:tcPr>
          <w:p>
            <w:r>
              <w:rPr>
                <w:sz w:val="17"/>
              </w:rPr>
              <w:t>21,462</w:t>
            </w:r>
          </w:p>
        </w:tc>
        <w:tc>
          <w:tcPr>
            <w:tcW w:type="dxa" w:w="1440"/>
            <w:shd w:fill="C6EFCE" w:val="clear"/>
          </w:tcPr>
          <w:p>
            <w:r>
              <w:rPr>
                <w:b/>
                <w:sz w:val="17"/>
              </w:rPr>
              <w:t>22,312</w:t>
            </w:r>
          </w:p>
        </w:tc>
        <w:tc>
          <w:tcPr>
            <w:tcW w:type="dxa" w:w="1440"/>
            <w:shd w:fill="C6EFCE" w:val="clear"/>
          </w:tcPr>
          <w:p>
            <w:r>
              <w:rPr>
                <w:sz w:val="17"/>
              </w:rPr>
              <w:t>23,162</w:t>
            </w:r>
          </w:p>
        </w:tc>
        <w:tc>
          <w:tcPr>
            <w:tcW w:type="dxa" w:w="1440"/>
            <w:shd w:fill="C6EFCE" w:val="clear"/>
          </w:tcPr>
          <w:p>
            <w:r>
              <w:rPr>
                <w:b/>
                <w:color w:val="008000"/>
                <w:sz w:val="17"/>
              </w:rPr>
              <w:t>+4.8%</w:t>
            </w:r>
          </w:p>
        </w:tc>
      </w:tr>
      <w:tr>
        <w:tc>
          <w:tcPr>
            <w:tcW w:type="dxa" w:w="1440"/>
            <w:shd w:fill="C6EFCE" w:val="clear"/>
          </w:tcPr>
          <w:p>
            <w:r>
              <w:rPr>
                <w:sz w:val="17"/>
              </w:rPr>
              <w:t>J+3  ⭐</w:t>
            </w:r>
          </w:p>
        </w:tc>
        <w:tc>
          <w:tcPr>
            <w:tcW w:type="dxa" w:w="1440"/>
            <w:shd w:fill="C6EFCE" w:val="clear"/>
          </w:tcPr>
          <w:p>
            <w:r>
              <w:rPr>
                <w:sz w:val="17"/>
              </w:rPr>
              <w:t>2026-10-23</w:t>
            </w:r>
          </w:p>
        </w:tc>
        <w:tc>
          <w:tcPr>
            <w:tcW w:type="dxa" w:w="1440"/>
            <w:shd w:fill="C6EFCE" w:val="clear"/>
          </w:tcPr>
          <w:p>
            <w:r>
              <w:rPr>
                <w:sz w:val="17"/>
              </w:rPr>
              <w:t>21,558</w:t>
            </w:r>
          </w:p>
        </w:tc>
        <w:tc>
          <w:tcPr>
            <w:tcW w:type="dxa" w:w="1440"/>
            <w:shd w:fill="C6EFCE" w:val="clear"/>
          </w:tcPr>
          <w:p>
            <w:r>
              <w:rPr>
                <w:b/>
                <w:sz w:val="17"/>
              </w:rPr>
              <w:t>22,613</w:t>
            </w:r>
          </w:p>
        </w:tc>
        <w:tc>
          <w:tcPr>
            <w:tcW w:type="dxa" w:w="1440"/>
            <w:shd w:fill="C6EFCE" w:val="clear"/>
          </w:tcPr>
          <w:p>
            <w:r>
              <w:rPr>
                <w:sz w:val="17"/>
              </w:rPr>
              <w:t>23,668</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2026-10-26</w:t>
            </w:r>
          </w:p>
        </w:tc>
        <w:tc>
          <w:tcPr>
            <w:tcW w:type="dxa" w:w="1440"/>
            <w:shd w:fill="C6EFCE" w:val="clear"/>
          </w:tcPr>
          <w:p>
            <w:r>
              <w:rPr>
                <w:sz w:val="17"/>
              </w:rPr>
              <w:t>21,687</w:t>
            </w:r>
          </w:p>
        </w:tc>
        <w:tc>
          <w:tcPr>
            <w:tcW w:type="dxa" w:w="1440"/>
            <w:shd w:fill="C6EFCE" w:val="clear"/>
          </w:tcPr>
          <w:p>
            <w:r>
              <w:rPr>
                <w:b/>
                <w:sz w:val="17"/>
              </w:rPr>
              <w:t>22,922</w:t>
            </w:r>
          </w:p>
        </w:tc>
        <w:tc>
          <w:tcPr>
            <w:tcW w:type="dxa" w:w="1440"/>
            <w:shd w:fill="C6EFCE" w:val="clear"/>
          </w:tcPr>
          <w:p>
            <w:r>
              <w:rPr>
                <w:sz w:val="17"/>
              </w:rPr>
              <w:t>24,157</w:t>
            </w:r>
          </w:p>
        </w:tc>
        <w:tc>
          <w:tcPr>
            <w:tcW w:type="dxa" w:w="1440"/>
            <w:shd w:fill="C6EFCE" w:val="clear"/>
          </w:tcPr>
          <w:p>
            <w:r>
              <w:rPr>
                <w:b/>
                <w:color w:val="008000"/>
                <w:sz w:val="17"/>
              </w:rPr>
              <w:t>+7.6%</w:t>
            </w:r>
          </w:p>
        </w:tc>
      </w:tr>
      <w:tr>
        <w:tc>
          <w:tcPr>
            <w:tcW w:type="dxa" w:w="1440"/>
            <w:shd w:fill="C6EFCE" w:val="clear"/>
          </w:tcPr>
          <w:p>
            <w:r>
              <w:rPr>
                <w:sz w:val="17"/>
              </w:rPr>
              <w:t>J+5  ⭐</w:t>
            </w:r>
          </w:p>
        </w:tc>
        <w:tc>
          <w:tcPr>
            <w:tcW w:type="dxa" w:w="1440"/>
            <w:shd w:fill="C6EFCE" w:val="clear"/>
          </w:tcPr>
          <w:p>
            <w:r>
              <w:rPr>
                <w:sz w:val="17"/>
              </w:rPr>
              <w:t>2026-10-27</w:t>
            </w:r>
          </w:p>
        </w:tc>
        <w:tc>
          <w:tcPr>
            <w:tcW w:type="dxa" w:w="1440"/>
            <w:shd w:fill="C6EFCE" w:val="clear"/>
          </w:tcPr>
          <w:p>
            <w:r>
              <w:rPr>
                <w:sz w:val="17"/>
              </w:rPr>
              <w:t>21,841</w:t>
            </w:r>
          </w:p>
        </w:tc>
        <w:tc>
          <w:tcPr>
            <w:tcW w:type="dxa" w:w="1440"/>
            <w:shd w:fill="C6EFCE" w:val="clear"/>
          </w:tcPr>
          <w:p>
            <w:r>
              <w:rPr>
                <w:b/>
                <w:sz w:val="17"/>
              </w:rPr>
              <w:t>23,240</w:t>
            </w:r>
          </w:p>
        </w:tc>
        <w:tc>
          <w:tcPr>
            <w:tcW w:type="dxa" w:w="1440"/>
            <w:shd w:fill="C6EFCE" w:val="clear"/>
          </w:tcPr>
          <w:p>
            <w:r>
              <w:rPr>
                <w:sz w:val="17"/>
              </w:rPr>
              <w:t>24,640</w:t>
            </w:r>
          </w:p>
        </w:tc>
        <w:tc>
          <w:tcPr>
            <w:tcW w:type="dxa" w:w="1440"/>
            <w:shd w:fill="C6EFCE" w:val="clear"/>
          </w:tcPr>
          <w:p>
            <w:r>
              <w:rPr>
                <w:b/>
                <w:color w:val="008000"/>
                <w:sz w:val="17"/>
              </w:rPr>
              <w:t>+9.1%</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22,007</w:t>
            </w:r>
          </w:p>
        </w:tc>
        <w:tc>
          <w:tcPr>
            <w:tcW w:type="dxa" w:w="1440"/>
            <w:shd w:fill="C6EFCE" w:val="clear"/>
          </w:tcPr>
          <w:p>
            <w:r>
              <w:rPr>
                <w:b/>
                <w:sz w:val="17"/>
              </w:rPr>
              <w:t>23,562</w:t>
            </w:r>
          </w:p>
        </w:tc>
        <w:tc>
          <w:tcPr>
            <w:tcW w:type="dxa" w:w="1440"/>
            <w:shd w:fill="C6EFCE" w:val="clear"/>
          </w:tcPr>
          <w:p>
            <w:r>
              <w:rPr>
                <w:sz w:val="17"/>
              </w:rPr>
              <w:t>25,116</w:t>
            </w:r>
          </w:p>
        </w:tc>
        <w:tc>
          <w:tcPr>
            <w:tcW w:type="dxa" w:w="1440"/>
            <w:shd w:fill="C6EFCE" w:val="clear"/>
          </w:tcPr>
          <w:p>
            <w:r>
              <w:rPr>
                <w:b/>
                <w:color w:val="008000"/>
                <w:sz w:val="17"/>
              </w:rPr>
              <w:t>+10.6%</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22,209</w:t>
            </w:r>
          </w:p>
        </w:tc>
        <w:tc>
          <w:tcPr>
            <w:tcW w:type="dxa" w:w="1440"/>
            <w:shd w:fill="C6EFCE" w:val="clear"/>
          </w:tcPr>
          <w:p>
            <w:r>
              <w:rPr>
                <w:b/>
                <w:sz w:val="17"/>
              </w:rPr>
              <w:t>23,913</w:t>
            </w:r>
          </w:p>
        </w:tc>
        <w:tc>
          <w:tcPr>
            <w:tcW w:type="dxa" w:w="1440"/>
            <w:shd w:fill="C6EFCE" w:val="clear"/>
          </w:tcPr>
          <w:p>
            <w:r>
              <w:rPr>
                <w:sz w:val="17"/>
              </w:rPr>
              <w:t>25,617</w:t>
            </w:r>
          </w:p>
        </w:tc>
        <w:tc>
          <w:tcPr>
            <w:tcW w:type="dxa" w:w="1440"/>
            <w:shd w:fill="C6EFCE" w:val="clear"/>
          </w:tcPr>
          <w:p>
            <w:r>
              <w:rPr>
                <w:b/>
                <w:color w:val="008000"/>
                <w:sz w:val="17"/>
              </w:rPr>
              <w:t>+12.3%</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22,380</w:t>
            </w:r>
          </w:p>
        </w:tc>
        <w:tc>
          <w:tcPr>
            <w:tcW w:type="dxa" w:w="1440"/>
            <w:shd w:fill="C6EFCE" w:val="clear"/>
          </w:tcPr>
          <w:p>
            <w:r>
              <w:rPr>
                <w:b/>
                <w:sz w:val="17"/>
              </w:rPr>
              <w:t>24,226</w:t>
            </w:r>
          </w:p>
        </w:tc>
        <w:tc>
          <w:tcPr>
            <w:tcW w:type="dxa" w:w="1440"/>
            <w:shd w:fill="C6EFCE" w:val="clear"/>
          </w:tcPr>
          <w:p>
            <w:r>
              <w:rPr>
                <w:sz w:val="17"/>
              </w:rPr>
              <w:t>26,071</w:t>
            </w:r>
          </w:p>
        </w:tc>
        <w:tc>
          <w:tcPr>
            <w:tcW w:type="dxa" w:w="1440"/>
            <w:shd w:fill="C6EFCE" w:val="clear"/>
          </w:tcPr>
          <w:p>
            <w:r>
              <w:rPr>
                <w:b/>
                <w:color w:val="008000"/>
                <w:sz w:val="17"/>
              </w:rPr>
              <w:t>+13.7%</w:t>
            </w:r>
          </w:p>
        </w:tc>
      </w:tr>
      <w:tr>
        <w:tc>
          <w:tcPr>
            <w:tcW w:type="dxa" w:w="1440"/>
            <w:shd w:fill="C6EFCE" w:val="clear"/>
          </w:tcPr>
          <w:p>
            <w:r>
              <w:rPr>
                <w:sz w:val="17"/>
              </w:rPr>
              <w:t>J+9  ⭐</w:t>
            </w:r>
          </w:p>
        </w:tc>
        <w:tc>
          <w:tcPr>
            <w:tcW w:type="dxa" w:w="1440"/>
            <w:shd w:fill="C6EFCE" w:val="clear"/>
          </w:tcPr>
          <w:p>
            <w:r>
              <w:rPr>
                <w:sz w:val="17"/>
              </w:rPr>
              <w:t>2026-11-02</w:t>
            </w:r>
          </w:p>
        </w:tc>
        <w:tc>
          <w:tcPr>
            <w:tcW w:type="dxa" w:w="1440"/>
            <w:shd w:fill="C6EFCE" w:val="clear"/>
          </w:tcPr>
          <w:p>
            <w:r>
              <w:rPr>
                <w:sz w:val="17"/>
              </w:rPr>
              <w:t>22,543</w:t>
            </w:r>
          </w:p>
        </w:tc>
        <w:tc>
          <w:tcPr>
            <w:tcW w:type="dxa" w:w="1440"/>
            <w:shd w:fill="C6EFCE" w:val="clear"/>
          </w:tcPr>
          <w:p>
            <w:r>
              <w:rPr>
                <w:b/>
                <w:sz w:val="17"/>
              </w:rPr>
              <w:t>24,524</w:t>
            </w:r>
          </w:p>
        </w:tc>
        <w:tc>
          <w:tcPr>
            <w:tcW w:type="dxa" w:w="1440"/>
            <w:shd w:fill="C6EFCE" w:val="clear"/>
          </w:tcPr>
          <w:p>
            <w:r>
              <w:rPr>
                <w:sz w:val="17"/>
              </w:rPr>
              <w:t>26,506</w:t>
            </w:r>
          </w:p>
        </w:tc>
        <w:tc>
          <w:tcPr>
            <w:tcW w:type="dxa" w:w="1440"/>
            <w:shd w:fill="C6EFCE" w:val="clear"/>
          </w:tcPr>
          <w:p>
            <w:r>
              <w:rPr>
                <w:b/>
                <w:color w:val="008000"/>
                <w:sz w:val="17"/>
              </w:rPr>
              <w:t>+15.1%</w:t>
            </w:r>
          </w:p>
        </w:tc>
      </w:tr>
      <w:tr>
        <w:tc>
          <w:tcPr>
            <w:tcW w:type="dxa" w:w="1440"/>
            <w:shd w:fill="C6EFCE" w:val="clear"/>
          </w:tcPr>
          <w:p>
            <w:r>
              <w:rPr>
                <w:sz w:val="17"/>
              </w:rPr>
              <w:t>J+10  ⭐</w:t>
            </w:r>
          </w:p>
        </w:tc>
        <w:tc>
          <w:tcPr>
            <w:tcW w:type="dxa" w:w="1440"/>
            <w:shd w:fill="C6EFCE" w:val="clear"/>
          </w:tcPr>
          <w:p>
            <w:r>
              <w:rPr>
                <w:sz w:val="17"/>
              </w:rPr>
              <w:t>2026-11-03</w:t>
            </w:r>
          </w:p>
        </w:tc>
        <w:tc>
          <w:tcPr>
            <w:tcW w:type="dxa" w:w="1440"/>
            <w:shd w:fill="C6EFCE" w:val="clear"/>
          </w:tcPr>
          <w:p>
            <w:r>
              <w:rPr>
                <w:sz w:val="17"/>
              </w:rPr>
              <w:t>22,605</w:t>
            </w:r>
          </w:p>
        </w:tc>
        <w:tc>
          <w:tcPr>
            <w:tcW w:type="dxa" w:w="1440"/>
            <w:shd w:fill="C6EFCE" w:val="clear"/>
          </w:tcPr>
          <w:p>
            <w:r>
              <w:rPr>
                <w:b/>
                <w:sz w:val="17"/>
              </w:rPr>
              <w:t>24,710</w:t>
            </w:r>
          </w:p>
        </w:tc>
        <w:tc>
          <w:tcPr>
            <w:tcW w:type="dxa" w:w="1440"/>
            <w:shd w:fill="C6EFCE" w:val="clear"/>
          </w:tcPr>
          <w:p>
            <w:r>
              <w:rPr>
                <w:sz w:val="17"/>
              </w:rPr>
              <w:t>26,814</w:t>
            </w:r>
          </w:p>
        </w:tc>
        <w:tc>
          <w:tcPr>
            <w:tcW w:type="dxa" w:w="1440"/>
            <w:shd w:fill="C6EFCE" w:val="clear"/>
          </w:tcPr>
          <w:p>
            <w:r>
              <w:rPr>
                <w:b/>
                <w:color w:val="008000"/>
                <w:sz w:val="17"/>
              </w:rPr>
              <w:t>+16.0%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 RAPPORT D'ANALYSE FINANCIÈRE — STBC (SITAB S.A.)</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382,44 Mds FCFA, STBC s'affirme comme une valeur de premier plan sur le compartiment des entreprises non bancaires de la BRVM, portée par un BPA de 2 014 FCFA par action. Le PER de 10,6x se situe dans la fourchette modérée de la BRVM (8-12x), signalant une valorisation raisonnable au regard des bénéfices générés, sans prime excessive. En revanche, le P/B de 8,44x — très supérieur au seuil de 4x — traduit une forte prime accordée par le marché sur la valeur comptable, cohérente avec la rentabilité exceptionnelle des fonds propres (ROE de 79,75%) mais qui limite la marge de sécurité en cas de correction. L'EV/EBITDA de 7,6x, dans la zone raisonnable de 5-10x, confirme que la valeur d'entreprise reste proportionnée à la capacité opérationnelle de génération de cash. L'ensemble dessine un profil de valorisation équilibré : ni bradé, ni surévalué sur les multiples de résultats, mais exigeant sur le bilan.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STBC affiche une variation totale quasi stable de +1,43%, avec un repli de -0,47% sur la dernière séance, s'établissant à 21 300 FCFA. Le range de trading est resserré entre un plus haut de 25 000 FCFA et un plus bas de 20 895 FCFA, soit une amplitude d'environ 20% qui traduit une phase de consolidation plutôt qu'une tendance directionnelle marquée. Les statistiques descriptives révèlent une distribution légèrement asymétrique : la moyenne (22 577 FCFA) dépasse la médiane (22 218 FCFA) et le mode (22 000 FCFA), tandis que le skewness positif de 0,609 indique davantage de journées sous la moyenne — le cours actuel (21 300 FCFA) se situe d'ailleurs sous ces trois repères, signe d'une pression baissière récente. L'écart-type de 1 104 FCFA et le coefficient de variation de 4,9% témoignent d'une dispersion modérée du cours autour de sa moyenne, avec un kurtosis de -0,694 (mésokurtique) suggérant une distribution proche de la normale, sans risque marqué de pics extrêmes. La volatilité annualisée de 36,6% classe le titre dans la catégorie des valeurs à volatilité élevée (&gt;30%), ce qui appelle une gestion prudente de la position malgré la stabilité apparente de la période.</w:t>
      </w:r>
    </w:p>
    <w:p>
      <w:pPr>
        <w:spacing w:after="120" w:line="276" w:lineRule="auto"/>
      </w:pPr>
      <w:r>
        <w:t>---</w:t>
      </w:r>
    </w:p>
    <w:p>
      <w:pPr>
        <w:spacing w:after="120" w:line="276" w:lineRule="auto"/>
      </w:pPr>
      <w:r>
        <w:t>## PARTIE 2 : ANALYSE TECHNIQUE DÉTAILLÉE</w:t>
      </w:r>
    </w:p>
    <w:p>
      <w:pPr>
        <w:spacing w:after="120" w:line="276" w:lineRule="auto"/>
      </w:pPr>
      <w:r>
        <w:t>**Moyennes Mobiles** : La MM20 (21 495,5 FCFA) et la MM50 (22 055,0 FCFA) se situent toutes deux au-dessus du cours actuel (21 300 FCFA), configuration baissière caractéristique d'un titre sous ses moyennes. La MM20 étant elle-même inférieure à la MM50, la structure des moyennes confirme la pression vendeuse et justifie la décision technique de **Vente**.</w:t>
      </w:r>
    </w:p>
    <w:p>
      <w:pPr>
        <w:spacing w:after="120" w:line="276" w:lineRule="auto"/>
      </w:pPr>
      <w:r>
        <w:t>**Bandes de Bollinger** : Le cours (21 300 FCFA) évolue dans la partie basse du canal, entre la borne inférieure (20 886,7 FCFA) et la borne supérieure (22 104,3 FCFA), sans franchissement des extrêmes. Cette position intermédiaire, proche de la borne basse sans la pénétrer, traduit une volatilité contenue et une absence de signal directionnel fort, d'où la décision **Neutre**.</w:t>
      </w:r>
    </w:p>
    <w:p>
      <w:pPr>
        <w:spacing w:after="120" w:line="276" w:lineRule="auto"/>
      </w:pPr>
      <w:r>
        <w:t>**MACD** : La valeur du MACD (-211,5) est supérieure à son signal (-223,7), configuration haussière de court terme malgré un positionnement en territoire négatif. Ce croisement positif naissant suggère un essoufflement de la pression baissière et un possible retournement de momentum, justifiant la décision d'**Achat** contrarienne.</w:t>
      </w:r>
    </w:p>
    <w:p>
      <w:pPr>
        <w:spacing w:after="120" w:line="276" w:lineRule="auto"/>
      </w:pPr>
      <w:r>
        <w:t>**RSI** : À 21,99, le RSI se situe nettement sous le seuil de survente de 30, signalant un titre techniquement survendu après la récente correction. Cette configuration extrême plaide pour un rebond technique imminent et justifie la décision d'**Achat**.</w:t>
      </w:r>
    </w:p>
    <w:p>
      <w:pPr>
        <w:spacing w:after="120" w:line="276" w:lineRule="auto"/>
      </w:pPr>
      <w:r>
        <w:t>**Stochastique** : Le %K (19,28) est inférieur au %D (25,19), tous deux en zone de survente (&lt;20 pour le %K), avec un croisement baissier en cours mais une proximité du plancher qui limite le potentiel de baisse. La décision d'**Achat** reflète l'anticipation d'un retournement depuis la zone de survente.</w:t>
      </w:r>
    </w:p>
    <w:p>
      <w:pPr>
        <w:spacing w:after="120" w:line="276" w:lineRule="auto"/>
      </w:pPr>
      <w:r>
        <w:t>**Conclusion technique** : Les indicateurs présentent une divergence instructive — les moyennes mobiles et les Bandes de Bollinger signalent une faiblesse structurelle (Vente/Neutre), tandis que le MACD, le RSI et le Stochastique, tous en zone de survente, plaident pour un rebond technique (Achat). Cette configuration de « survente sous résistance » est typique d'un point d'inflexion potentiel : le titre pourrait amorcer un rebond de court terme, mais la confirmation d'un retournement durable exigerait un franchissement de la MM20 (21 495 FCFA) puis de la MM50 (22 055 FCFA).</w:t>
      </w:r>
    </w:p>
    <w:p>
      <w:pPr>
        <w:spacing w:after="120" w:line="276" w:lineRule="auto"/>
      </w:pPr>
      <w:r>
        <w:t>---</w:t>
      </w:r>
    </w:p>
    <w:p>
      <w:pPr>
        <w:spacing w:after="120" w:line="276" w:lineRule="auto"/>
      </w:pPr>
      <w:r>
        <w:t>## PARTIE 3 : ANALYSE FONDAMENTALE</w:t>
      </w:r>
    </w:p>
    <w:p>
      <w:pPr>
        <w:spacing w:after="120" w:line="276" w:lineRule="auto"/>
      </w:pPr>
      <w:r>
        <w:t>Les états financiers de l'exercice 2025 (rapports officiels du 31 décembre 2025, analyses DeepSeek et Mistral) dressent le portrait d'une entreprise en forte croissance mais sous pression. Le chiffre d'affaires 2025 s'établit à 268,537 Mds FCFA, en progression de +25,3% par rapport à 2024 (213,8 Mds FCFA), portée par une hausse des volumes de +5,6% et un effet prix lié à la répercussion des droits d'accise (passés de 49% à 70% en janvier 2025). Le résultat net recule toutefois à 36,158 Mds FCFA (-17,5%), la marge nette se contractant de 20,4% à 13,5% sous l'effet de la hausse du coût des marchandises (+38,2%) et de charges d'exploitation en bond de 68,9%. La rentabilité des fonds propres reste exceptionnelle (ROE de 79,75%) et celle des actifs élevée (ROA de 48,09%), tandis que la structure financière demeure très saine : autonomie financière de 60,3%, dettes financières quasi nulles (1,4 M FCFA), trésorerie nette de 30,763 Mds FCFA et BFR de 5,639 Mds FCFA. Les délais d'exploitation sont maîtrisés (42,57 jours clients, 5,73 jours de stockage), et la liquidité générale (224,99%) comme immédiate (105,63%) confirment une trésorerie confortable. La politique de dividende reste généreuse avec un DPA de 1 940 FCFA (rendement d'environ 9,1% au cours actuel), pour un payout de 84,9% — élevé mais soutenable grâce au report à nouveau. Les rapports trimestriels 2026 confirment la tendance : le T1 2026 (rapport du 31 mars 2026) affiche un CA de 68,8 Mds FCFA (+12%) et des volumes en hausse de +10%, avec un résultat net stable à 9,3 Mds FCFA (-1%) ; le T2 2026 (rapport du 30 juin 2026) montre un CA de 70,05 Mds FCFA (+1%) et un résultat net de 8,64 Mds FCFA (-0,2%), avec une marge nette de 12,3%. **On estime** ainsi que l'exercice 2026 devrait se caractériser par une consolidation de la croissance (CA annualisé proche de 280 Mds FCFA) et une stabilisation de la rentabilité autour de 12-13% de marge nette, la direction visant la consolidation des performances et le développement des volumes. La recommandation fondamentale est de **CONSERVER** : solidité bilantielle et rendement attractif d'un côté, mais érosion des marges et risque réglementaire (fiscalité du tabac) de l'autre.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dessine un profil contrasté mais globalement équilibré. Sur le plan de la **valorisation**, le PER de 10,6x et l'EV/EBITDA de 7,6x indiquent une juste valorisation, sans sous-évaluation flagrante, tandis que le P/B de 8,44x traduit une prime exigeante qui limite le potentiel de re-rating. Le **comportement du cours** est celui d'une consolidation (+1,43% sur 100 jours) sous ses moyennes, avec une volatilité élevée (36,6%) et un skewness positif signalant une pression baissière récente, mais un kurtosis normal écartant le risque de krach. Les **signaux techniques** divergent : structure baissière (MM, Bollinger) contre survente extrême (RSI à 22, MACD en croisement haussier, Stochastique en zone basse), configuration favorable à un rebond de court terme. Les **fondamentaux** restent solides (ROE de 79,75%, trésorerie de 30,8 Mds FCFA, zéro dette) malgré l'érosion des marges, et les rapports T1/T2 2026 confirment une stabilisation de l'activité. Les **prédictions IA** (J+1 à J+10) projettent une trajectoire haussière de 22 005 à 23 240 FCFA, soit +9,1% en dix séances, ce qui **confirme** le scénario de rebond technique esquissé par le RSI et le MACD. Sur cette base, la recommandation finale est **CONSERVER**, avec un biais positif à court terme : la convergence entre la survente technique, les prédictions haussières et la solidité fondamentale plaide pour un rebond, mais l'absence de sous-évaluation manifeste et la pression sur les marges justifient la prudence avant tout renforcement. Le niveau de confiance est **Moyen** (divergence entre technique de court terme et structure de moyen terme), le risque global **Moyen** (volatilité élevée mais bilan sans dette), et l'horizon optimal **moyen terme (3-12 mois)**, le temps que la maîtrise des coûts se confirme dans les prochains rapports trimestriels.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188.88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6,881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+5.26%</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6.22% (Moyenne) — μ=3,034 FCFA, σ=189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β=0.1105 (Défensif) — Cov=0.000009, Var(idx)=0.000078, ρ=0.035,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σ_j=2.89%/j (Stable) — Vol. annualisée≈45.9%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2,831</w:t>
            </w:r>
          </w:p>
        </w:tc>
        <w:tc>
          <w:tcPr>
            <w:tcW w:type="dxa" w:w="1440"/>
            <w:shd w:fill="FAFAFA" w:val="clear"/>
          </w:tcPr>
          <w:p>
            <w:r>
              <w:rPr>
                <w:b/>
                <w:sz w:val="17"/>
              </w:rPr>
              <w:t>2,980</w:t>
            </w:r>
          </w:p>
        </w:tc>
        <w:tc>
          <w:tcPr>
            <w:tcW w:type="dxa" w:w="1440"/>
            <w:shd w:fill="FAFAFA" w:val="clear"/>
          </w:tcPr>
          <w:p>
            <w:r>
              <w:rPr>
                <w:sz w:val="17"/>
              </w:rPr>
              <w:t>3,128</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2026-10-22</w:t>
            </w:r>
          </w:p>
        </w:tc>
        <w:tc>
          <w:tcPr>
            <w:tcW w:type="dxa" w:w="1440"/>
            <w:shd w:fill="FAFAFA" w:val="clear"/>
          </w:tcPr>
          <w:p>
            <w:r>
              <w:rPr>
                <w:sz w:val="17"/>
              </w:rPr>
              <w:t>2,772</w:t>
            </w:r>
          </w:p>
        </w:tc>
        <w:tc>
          <w:tcPr>
            <w:tcW w:type="dxa" w:w="1440"/>
            <w:shd w:fill="FAFAFA" w:val="clear"/>
          </w:tcPr>
          <w:p>
            <w:r>
              <w:rPr>
                <w:b/>
                <w:sz w:val="17"/>
              </w:rPr>
              <w:t>2,982</w:t>
            </w:r>
          </w:p>
        </w:tc>
        <w:tc>
          <w:tcPr>
            <w:tcW w:type="dxa" w:w="1440"/>
            <w:shd w:fill="FAFAFA" w:val="clear"/>
          </w:tcPr>
          <w:p>
            <w:r>
              <w:rPr>
                <w:sz w:val="17"/>
              </w:rPr>
              <w:t>3,192</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2,719</w:t>
            </w:r>
          </w:p>
        </w:tc>
        <w:tc>
          <w:tcPr>
            <w:tcW w:type="dxa" w:w="1440"/>
            <w:shd w:fill="FAFAFA" w:val="clear"/>
          </w:tcPr>
          <w:p>
            <w:r>
              <w:rPr>
                <w:b/>
                <w:sz w:val="17"/>
              </w:rPr>
              <w:t>2,976</w:t>
            </w:r>
          </w:p>
        </w:tc>
        <w:tc>
          <w:tcPr>
            <w:tcW w:type="dxa" w:w="1440"/>
            <w:shd w:fill="FAFAFA" w:val="clear"/>
          </w:tcPr>
          <w:p>
            <w:r>
              <w:rPr>
                <w:sz w:val="17"/>
              </w:rPr>
              <w:t>3,233</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2,675</w:t>
            </w:r>
          </w:p>
        </w:tc>
        <w:tc>
          <w:tcPr>
            <w:tcW w:type="dxa" w:w="1440"/>
            <w:shd w:fill="FAFAFA" w:val="clear"/>
          </w:tcPr>
          <w:p>
            <w:r>
              <w:rPr>
                <w:b/>
                <w:sz w:val="17"/>
              </w:rPr>
              <w:t>2,971</w:t>
            </w:r>
          </w:p>
        </w:tc>
        <w:tc>
          <w:tcPr>
            <w:tcW w:type="dxa" w:w="1440"/>
            <w:shd w:fill="FAFAFA" w:val="clear"/>
          </w:tcPr>
          <w:p>
            <w:r>
              <w:rPr>
                <w:sz w:val="17"/>
              </w:rPr>
              <w:t>3,266</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2026-10-27</w:t>
            </w:r>
          </w:p>
        </w:tc>
        <w:tc>
          <w:tcPr>
            <w:tcW w:type="dxa" w:w="1440"/>
            <w:shd w:fill="FAFAFA" w:val="clear"/>
          </w:tcPr>
          <w:p>
            <w:r>
              <w:rPr>
                <w:sz w:val="17"/>
              </w:rPr>
              <w:t>2,636</w:t>
            </w:r>
          </w:p>
        </w:tc>
        <w:tc>
          <w:tcPr>
            <w:tcW w:type="dxa" w:w="1440"/>
            <w:shd w:fill="FAFAFA" w:val="clear"/>
          </w:tcPr>
          <w:p>
            <w:r>
              <w:rPr>
                <w:b/>
                <w:sz w:val="17"/>
              </w:rPr>
              <w:t>2,966</w:t>
            </w:r>
          </w:p>
        </w:tc>
        <w:tc>
          <w:tcPr>
            <w:tcW w:type="dxa" w:w="1440"/>
            <w:shd w:fill="FAFAFA" w:val="clear"/>
          </w:tcPr>
          <w:p>
            <w:r>
              <w:rPr>
                <w:sz w:val="17"/>
              </w:rPr>
              <w:t>3,296</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2026-10-28</w:t>
            </w:r>
          </w:p>
        </w:tc>
        <w:tc>
          <w:tcPr>
            <w:tcW w:type="dxa" w:w="1440"/>
            <w:shd w:fill="FAFAFA" w:val="clear"/>
          </w:tcPr>
          <w:p>
            <w:r>
              <w:rPr>
                <w:sz w:val="17"/>
              </w:rPr>
              <w:t>2,600</w:t>
            </w:r>
          </w:p>
        </w:tc>
        <w:tc>
          <w:tcPr>
            <w:tcW w:type="dxa" w:w="1440"/>
            <w:shd w:fill="FAFAFA" w:val="clear"/>
          </w:tcPr>
          <w:p>
            <w:r>
              <w:rPr>
                <w:b/>
                <w:sz w:val="17"/>
              </w:rPr>
              <w:t>2,961</w:t>
            </w:r>
          </w:p>
        </w:tc>
        <w:tc>
          <w:tcPr>
            <w:tcW w:type="dxa" w:w="1440"/>
            <w:shd w:fill="FAFAFA" w:val="clear"/>
          </w:tcPr>
          <w:p>
            <w:r>
              <w:rPr>
                <w:sz w:val="17"/>
              </w:rPr>
              <w:t>3,322</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2026-10-29</w:t>
            </w:r>
          </w:p>
        </w:tc>
        <w:tc>
          <w:tcPr>
            <w:tcW w:type="dxa" w:w="1440"/>
            <w:shd w:fill="FAFAFA" w:val="clear"/>
          </w:tcPr>
          <w:p>
            <w:r>
              <w:rPr>
                <w:sz w:val="17"/>
              </w:rPr>
              <w:t>2,567</w:t>
            </w:r>
          </w:p>
        </w:tc>
        <w:tc>
          <w:tcPr>
            <w:tcW w:type="dxa" w:w="1440"/>
            <w:shd w:fill="FAFAFA" w:val="clear"/>
          </w:tcPr>
          <w:p>
            <w:r>
              <w:rPr>
                <w:b/>
                <w:sz w:val="17"/>
              </w:rPr>
              <w:t>2,957</w:t>
            </w:r>
          </w:p>
        </w:tc>
        <w:tc>
          <w:tcPr>
            <w:tcW w:type="dxa" w:w="1440"/>
            <w:shd w:fill="FAFAFA" w:val="clear"/>
          </w:tcPr>
          <w:p>
            <w:r>
              <w:rPr>
                <w:sz w:val="17"/>
              </w:rPr>
              <w:t>3,346</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2026-10-30</w:t>
            </w:r>
          </w:p>
        </w:tc>
        <w:tc>
          <w:tcPr>
            <w:tcW w:type="dxa" w:w="1440"/>
            <w:shd w:fill="FAFAFA" w:val="clear"/>
          </w:tcPr>
          <w:p>
            <w:r>
              <w:rPr>
                <w:sz w:val="17"/>
              </w:rPr>
              <w:t>2,537</w:t>
            </w:r>
          </w:p>
        </w:tc>
        <w:tc>
          <w:tcPr>
            <w:tcW w:type="dxa" w:w="1440"/>
            <w:shd w:fill="FAFAFA" w:val="clear"/>
          </w:tcPr>
          <w:p>
            <w:r>
              <w:rPr>
                <w:b/>
                <w:sz w:val="17"/>
              </w:rPr>
              <w:t>2,952</w:t>
            </w:r>
          </w:p>
        </w:tc>
        <w:tc>
          <w:tcPr>
            <w:tcW w:type="dxa" w:w="1440"/>
            <w:shd w:fill="FAFAFA" w:val="clear"/>
          </w:tcPr>
          <w:p>
            <w:r>
              <w:rPr>
                <w:sz w:val="17"/>
              </w:rPr>
              <w:t>3,368</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2026-11-02</w:t>
            </w:r>
          </w:p>
        </w:tc>
        <w:tc>
          <w:tcPr>
            <w:tcW w:type="dxa" w:w="1440"/>
            <w:shd w:fill="FAFAFA" w:val="clear"/>
          </w:tcPr>
          <w:p>
            <w:r>
              <w:rPr>
                <w:sz w:val="17"/>
              </w:rPr>
              <w:t>2,508</w:t>
            </w:r>
          </w:p>
        </w:tc>
        <w:tc>
          <w:tcPr>
            <w:tcW w:type="dxa" w:w="1440"/>
            <w:shd w:fill="FAFAFA" w:val="clear"/>
          </w:tcPr>
          <w:p>
            <w:r>
              <w:rPr>
                <w:b/>
                <w:sz w:val="17"/>
              </w:rPr>
              <w:t>2,948</w:t>
            </w:r>
          </w:p>
        </w:tc>
        <w:tc>
          <w:tcPr>
            <w:tcW w:type="dxa" w:w="1440"/>
            <w:shd w:fill="FAFAFA" w:val="clear"/>
          </w:tcPr>
          <w:p>
            <w:r>
              <w:rPr>
                <w:sz w:val="17"/>
              </w:rPr>
              <w:t>3,388</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2026-11-03</w:t>
            </w:r>
          </w:p>
        </w:tc>
        <w:tc>
          <w:tcPr>
            <w:tcW w:type="dxa" w:w="1440"/>
            <w:shd w:fill="FAFAFA" w:val="clear"/>
          </w:tcPr>
          <w:p>
            <w:r>
              <w:rPr>
                <w:sz w:val="17"/>
              </w:rPr>
              <w:t>2,481</w:t>
            </w:r>
          </w:p>
        </w:tc>
        <w:tc>
          <w:tcPr>
            <w:tcW w:type="dxa" w:w="1440"/>
            <w:shd w:fill="FAFAFA" w:val="clear"/>
          </w:tcPr>
          <w:p>
            <w:r>
              <w:rPr>
                <w:b/>
                <w:sz w:val="17"/>
              </w:rPr>
              <w:t>2,944</w:t>
            </w:r>
          </w:p>
        </w:tc>
        <w:tc>
          <w:tcPr>
            <w:tcW w:type="dxa" w:w="1440"/>
            <w:shd w:fill="FAFAFA" w:val="clear"/>
          </w:tcPr>
          <w:p>
            <w:r>
              <w:rPr>
                <w:sz w:val="17"/>
              </w:rPr>
              <w:t>3,408</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TTLC (TotalEnergies Marketing Côte d'Ivoire S.A.)</w:t>
      </w:r>
    </w:p>
    <w:p>
      <w:pPr>
        <w:spacing w:after="120" w:line="276" w:lineRule="auto"/>
      </w:pPr>
      <w: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**188,88 Mds FCFA**, TTLC s'impose comme l'une des valeurs les plus importantes de la cote BRVM, ce qui traduit la taille critique de son réseau de distribution (182 stations-service) et sa position de leader sur le marché ivoirien des produits pétroliers. Le **BPA de 144 FCFA/action** confère au titre un **PER de 20,8x**, nettement supérieur à la moyenne BRVM (8-12x), signalant que les investisseurs paient une prime significative pour les bénéfices actuels — soit une anticipation de croissance, soit une surévaluation relative. Le **P/B de 5,22x**, bien au-delà du seuil de 4x, confirme cette valorisation exigeante : le marché valorise l'entreprise à plus de cinq fois sa valeur comptable, ce qui se justifie en partie par un **ROE de 25,1%** (très supérieur au coût des fonds propres) mais laisse peu de marge d'erreur. Enfin, l'**EV/EBITDA de 10,9x**, dans la fourchette haute (10-15x), indique que la valeur d'entreprise intègre une capacité opérationnelle déjà bien valorisée, cohérente avec la maturité du secteur et la faible marge nette (1,54%) caractéristique des distributeurs en volume.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**variation totale de +5,26%**, avec une dernière séance particulièrement dynamique (**+4,35% en J-1**), portant le cours à **3 000 FCFA**. Le range de trading s'étend de **2 770 FCFA (plus bas)** à **3 595 FCFA (plus haut)**, soit une amplitude de près de 30% qui témoigne d'une réelle nervosité du titre. La tendance générale reste toutefois modérément haussière sur la période, le cours actuel se situant au-dessus de sa moyenne (3 034 FCFA) mais sous son plus haut, suggérant une consolidation après un pic. Les **statistiques descriptives** révèlent une distribution légèrement asymétrique : la moyenne (3 034 FCFA) dépasse la médiane (2 990 FCFA) et le mode (3 000 FCFA), tandis que le **skewness positif de 0,787** indique que les journées sous la moyenne sont plus fréquentes mais compensées par des pics haussiers marqués — cohérent avec le bond de +4,35% en J-1. L'**écart-type de 190 FCFA (CV=6,2%)** traduit une dispersion modérée autour de la moyenne, et le **kurtosis de -0,372 (mésokurtique)** suggère une distribution proche de la normale, sans risque extrême de pics violents. La **volatilité annualisée de 45,9%** classe le titre dans la catégorie **élevée (&gt;30%)**, ce qui est préoccupant pour un investisseur averse au risque mais attractif pour un trader.</w:t>
      </w:r>
    </w:p>
    <w:p>
      <w:pPr>
        <w:spacing w:after="120" w:line="276" w:lineRule="auto"/>
      </w:pPr>
      <w:r>
        <w:t>---</w:t>
      </w:r>
    </w:p>
    <w:p>
      <w:pPr>
        <w:spacing w:after="120" w:line="276" w:lineRule="auto"/>
      </w:pPr>
      <w:r>
        <w:t>## PARTIE 2 : ANALYSE TECHNIQUE DÉTAILLÉE</w:t>
      </w:r>
    </w:p>
    <w:p>
      <w:pPr>
        <w:spacing w:after="120" w:line="276" w:lineRule="auto"/>
      </w:pPr>
      <w:r>
        <w:t>**Moyennes Mobiles** : La MM20 (3 042 FCFA) et la MM50 (3 175,1 FCFA) se situent toutes deux **au-dessus du cours actuel** (3 000 FCFA), avec une MM20 inférieure à la MM50 — configuration baissière de court terme. Le cours évoluant sous ses deux moyennes, la pression vendeuse domine, justifiant la **décision de Vente**.</w:t>
      </w:r>
    </w:p>
    <w:p>
      <w:pPr>
        <w:spacing w:after="120" w:line="276" w:lineRule="auto"/>
      </w:pPr>
      <w:r>
        <w:t>**Bandes de Bollinger** : Le cours (3 000 FCFA) se situe dans la partie médiane de la bande, entre la borne inférieure (2 857,34 FCFA) et supérieure (3 226,66 FCFA), sans test des extrêmes. Cette position centrale, avec un écart-type modéré, traduit une **absence de signal directionnel fort**, d'où la **décision Neutre** — le marché est en phase d'indécision.</w:t>
      </w:r>
    </w:p>
    <w:p>
      <w:pPr>
        <w:spacing w:after="120" w:line="276" w:lineRule="auto"/>
      </w:pPr>
      <w:r>
        <w:t>**MACD** : La valeur du MACD (-47,496) est **inférieure à son signal (-45,165)**, confirmant une dynamique baissière persistante. La divergence négative indique que le momentum vendeur reste dominant malgré le rebond de J-1, justifiant la **décision de Vente** — le croisement baissier n'est pas encore résorbé.</w:t>
      </w:r>
    </w:p>
    <w:p>
      <w:pPr>
        <w:spacing w:after="120" w:line="276" w:lineRule="auto"/>
      </w:pPr>
      <w:r>
        <w:t>**RSI** : À **43,636**, le RSI se situe en zone neutre (30-70), sans signal de surachat (&gt;70) ni de survente (&lt;30). Cette valeur légèrement sous la barre des 50 traduit une **faiblesse modérée sans excès**, justifiant la **décision Neutre** — aucun signal contrarien exploitable.</w:t>
      </w:r>
    </w:p>
    <w:p>
      <w:pPr>
        <w:spacing w:after="120" w:line="276" w:lineRule="auto"/>
      </w:pPr>
      <w:r>
        <w:t>**Stochastique** : Le %K (38,806) est légèrement supérieur au %D (36,318), sans croisement significatif ni zone extrême. Cette configuration traduit une **absence de momentum clair**, justifiant la **décision Neutre** — le titre évolue dans une zone d'équilibre.</w:t>
      </w:r>
    </w:p>
    <w:p>
      <w:pPr>
        <w:spacing w:after="120" w:line="276" w:lineRule="auto"/>
      </w:pPr>
      <w:r>
        <w:t>**Conclusion technique** : Les indicateurs convergent vers un **biais baissier modéré** — cours sous les moyennes mobiles, MACD négatif, mais RSI et stochastique en zone neutre sans excès. Le rebond de +4,35% en J-1 apparaît comme un sursaut technique dans une tendance de fond encore fragile, sans confirmation par les oscillateurs. La configuration globale plaide pour une **prudence à court terme**, avec un support à surveiller autour de 2 857 FCFA (borne inférieure de Bollinger) et une résistance à 3 175 FCFA (MM50).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TTLC a réalisé un **chiffre d'affaires de 588,709 Mds FCFA**, en **recul de 5,2%** par rapport à 2024 (621,0 Mds FCFA), reflétant la contraction des volumes et l'absence de ventes exceptionnelles. Le **résultat net s'établit à 9,087 Mds FCFA** (contre 9,374 Mds en 2024, soit -3%), avec une **marge nette de 1,54%** — typique d'un distributeur en volume. La rentabilité des fonds propres reste excellente avec un **ROE de 25,1%** (capitaux propres de 36,202 Mds FCFA), bien que le **ROA de 4,82%** traduise la faible rotation des actifs (312% de rotation du CA sur l'actif total). La structure financière est le point d'attention majeur : l'**autonomie financière de 19,21%** est inférieure au seuil de 30%, la **liquidité générale de 78,77%** (&lt;1) signale un passif circulant (118,044 Mds) supérieur à l'actif circulant (108,382 Mds), et la **trésorerie nette est négative à -21,926 Mds FCFA**. Le **BFR est négatif (-9,662 Mds FCFA)**, ce qui est favorable pour un distributeur (financement par les fournisseurs, délai fournisseurs de 49,72 jours), mais la **capacité de remboursement de 1,71 an** (dettes financières/CAF) reste correcte grâce à une **CAF solide de 19,106 Mds FCFA**.</w:t>
      </w:r>
    </w:p>
    <w:p>
      <w:pPr>
        <w:spacing w:after="120" w:line="276" w:lineRule="auto"/>
      </w:pPr>
      <w:r>
        <w:t>**Estimations à partir des rapports trimestriels** : Le **rapport T1 2026 (publié en 2026)** confirme un **retour à la croissance** : CA de 154,392 Mds FCFA (+4,3%) et résultat net de 2,329 Mds FCFA (+5,5%), portés par la hausse des volumes sur tous les canaux et un réseau de 182 stations. Sur cette base, on peut **estimer** que l'exercice 2026 devrait renouer avec une croissance modérée du CA (autour de +3-5%) et une stabilisation du résultat net autour de 9-9,5 Mds FCFA, sous réserve de la volatilité des prix pétroliers. Le **rapport annuel 2025** souligne toutefois un **payout supérieur à 100%** (dividende brut de 10 Mds FCFA pour un bénéfice de 9,087 Mds), financé par prélèvement sur réserves, ce qui interroge la soutenabilité de la distribution. Les rapports antérieurs (S1 2025, T3 2025) confirment la tendance baissière de 2025 (-30,2% de résultat net au T3), attribuable à un effet de base défavorable et à une anticipation fiscale prudente.</w:t>
      </w:r>
    </w:p>
    <w:p>
      <w:pPr>
        <w:spacing w:after="120" w:line="276" w:lineRule="auto"/>
      </w:pPr>
      <w:r>
        <w:t>**Recommandation fondamentale** : La solidité opérationnelle (EBE +12%, résultat d'exploitation +18% en 2025) et le leadership sectoriel sont indéniables, mais la **trésorerie négative structurelle**, l'**endettement élevé** (ratio d'endettement de 90,23%) et le **payout supérieur à 100%** constituent des risques à surveiller. Le profil reste celui d'une **valeur de rendement défensive**, à conserver pour son dividende attractif, mais sans marge de sécurité sur la valorisation.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**déséquilibre entre valorisation exigeante et signaux techniques fragiles**. La **valorisation (Partie 0)** est incontestablement tendue : PER de 20,8x (vs 8-12x pour la BRVM), P/B de 5,22x et EV/EBITDA de 10,9x intègrent déjà une prime de qualité et de croissance qui laisse peu de potentiel d'appréciation — le titre est **surévalué sur les multiples**, même si le ROE de 25,1% justifie partiellement cette prime. Le **comportement du cours (Partie 1)** est mitigé : tendance haussière de +5,26% sur 100 jours mais volatilité élevée (45,9%), skewness positif (0,787) et kurtosis mésokurtique (-0,372) indiquant une distribution sans risque extrême mais avec des pics haussiers compensant des journées baissières plus fréquentes. Les **signaux techniques (Partie 2)** sont **baissiers à neutres** : cours sous MM20 et MM50, MACD négatif, RSI et stochastique sans direction — le rebond de J-1 n'est pas confirmé. Les **fondamentaux (Partie 3)** offrent un tableau contrasté : leader rentable (ROE 25,1%) mais trésorerie négative (-21,9 Mds), payout &gt;100% et CA en repli de 5,2% en 2025, avec toutefois une **estimation de reprise au T1 2026** (+4,3% de CA, +5,5% de résultat net). Les **prédictions IA (J+1 à J+10)** anticipent une **légère dérive baissière** de 3 000 à 2 966 FCFA (-1,1%), cohérente avec le biais technique baissier et le MACD négatif, mais contredisant le rebond de J-1.</w:t>
      </w:r>
    </w:p>
    <w:p>
      <w:pPr>
        <w:spacing w:after="120" w:line="276" w:lineRule="auto"/>
      </w:pPr>
      <w:r>
        <w:t>**Recommandation finale : CONSERVER** — avec un **niveau de confiance Moyen** et un **risque global Élevé**. La convergence des signaux (valorisation tendue, technique baissière, prédictions baissières) ne plaide pas pour un achat, tandis que la qualité fondamentale (leadership, ROE, dividende) et la reprise du T1 2026 interdisent une vente franche. Le titre est à conserver pour son **rendement** (dividende attractif) mais sans renforcement, avec un **horizon de moyen terme (3-12 mois)** pour laisser se matérialiser la reprise de 2026. Un retour sous 2 857 FCFA (support Bollinger) constituerait un signal de vente, tandis qu'une cassure de 3 175 FCFA (MM50) avec confirmation du MACD serait un signal d'achat.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112.39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3,498 titres</w:t>
            </w:r>
          </w:p>
        </w:tc>
        <w:tc>
          <w:tcPr>
            <w:tcW w:type="dxa" w:w="2268"/>
            <w:shd w:fill="FFF2CC" w:val="clear"/>
          </w:tcPr>
          <w:p>
            <w:r>
              <w:rPr>
                <w:b/>
                <w:color w:val="503200"/>
                <w:sz w:val="16"/>
              </w:rPr>
              <w:t xml:space="preserve">Cours actuel : </w:t>
            </w:r>
            <w:r>
              <w:rPr>
                <w:color w:val="000000"/>
                <w:sz w:val="17"/>
              </w:rPr>
              <w:t>3,450 FCFA</w:t>
            </w:r>
          </w:p>
          <w:p>
            <w:r>
              <w:rPr>
                <w:b/>
                <w:color w:val="503200"/>
                <w:sz w:val="16"/>
              </w:rPr>
              <w:t xml:space="preserve">Var. 100 jours : </w:t>
            </w:r>
            <w:r>
              <w:rPr>
                <w:b/>
                <w:color w:val="007800"/>
                <w:sz w:val="17"/>
              </w:rPr>
              <w:t>+2.99%</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6.51% (Moyenne) — μ=3,730 FCFA, σ=243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β=0.3679 (Défensif) — Cov=0.000029, Var(idx)=0.000078, ρ=0.121,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2026-10-21</w:t>
            </w:r>
          </w:p>
        </w:tc>
        <w:tc>
          <w:tcPr>
            <w:tcW w:type="dxa" w:w="1440"/>
            <w:shd w:fill="C6EFCE" w:val="clear"/>
          </w:tcPr>
          <w:p>
            <w:r>
              <w:rPr>
                <w:sz w:val="17"/>
              </w:rPr>
              <w:t>3,399</w:t>
            </w:r>
          </w:p>
        </w:tc>
        <w:tc>
          <w:tcPr>
            <w:tcW w:type="dxa" w:w="1440"/>
            <w:shd w:fill="C6EFCE" w:val="clear"/>
          </w:tcPr>
          <w:p>
            <w:r>
              <w:rPr>
                <w:b/>
                <w:sz w:val="17"/>
              </w:rPr>
              <w:t>3,535</w:t>
            </w:r>
          </w:p>
        </w:tc>
        <w:tc>
          <w:tcPr>
            <w:tcW w:type="dxa" w:w="1440"/>
            <w:shd w:fill="C6EFCE" w:val="clear"/>
          </w:tcPr>
          <w:p>
            <w:r>
              <w:rPr>
                <w:sz w:val="17"/>
              </w:rPr>
              <w:t>3,671</w:t>
            </w:r>
          </w:p>
        </w:tc>
        <w:tc>
          <w:tcPr>
            <w:tcW w:type="dxa" w:w="1440"/>
            <w:shd w:fill="C6EFCE" w:val="clear"/>
          </w:tcPr>
          <w:p>
            <w:r>
              <w:rPr>
                <w:b/>
                <w:color w:val="008000"/>
                <w:sz w:val="17"/>
              </w:rPr>
              <w:t>+2.5%</w:t>
            </w:r>
          </w:p>
        </w:tc>
      </w:tr>
      <w:tr>
        <w:tc>
          <w:tcPr>
            <w:tcW w:type="dxa" w:w="1440"/>
            <w:shd w:fill="C6EFCE" w:val="clear"/>
          </w:tcPr>
          <w:p>
            <w:r>
              <w:rPr>
                <w:sz w:val="17"/>
              </w:rPr>
              <w:t>J+2  ⭐</w:t>
            </w:r>
          </w:p>
        </w:tc>
        <w:tc>
          <w:tcPr>
            <w:tcW w:type="dxa" w:w="1440"/>
            <w:shd w:fill="C6EFCE" w:val="clear"/>
          </w:tcPr>
          <w:p>
            <w:r>
              <w:rPr>
                <w:sz w:val="17"/>
              </w:rPr>
              <w:t>2026-10-22</w:t>
            </w:r>
          </w:p>
        </w:tc>
        <w:tc>
          <w:tcPr>
            <w:tcW w:type="dxa" w:w="1440"/>
            <w:shd w:fill="C6EFCE" w:val="clear"/>
          </w:tcPr>
          <w:p>
            <w:r>
              <w:rPr>
                <w:sz w:val="17"/>
              </w:rPr>
              <w:t>3,341</w:t>
            </w:r>
          </w:p>
        </w:tc>
        <w:tc>
          <w:tcPr>
            <w:tcW w:type="dxa" w:w="1440"/>
            <w:shd w:fill="C6EFCE" w:val="clear"/>
          </w:tcPr>
          <w:p>
            <w:r>
              <w:rPr>
                <w:b/>
                <w:sz w:val="17"/>
              </w:rPr>
              <w:t>3,534</w:t>
            </w:r>
          </w:p>
        </w:tc>
        <w:tc>
          <w:tcPr>
            <w:tcW w:type="dxa" w:w="1440"/>
            <w:shd w:fill="C6EFCE" w:val="clear"/>
          </w:tcPr>
          <w:p>
            <w:r>
              <w:rPr>
                <w:sz w:val="17"/>
              </w:rPr>
              <w:t>3,726</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2026-10-23</w:t>
            </w:r>
          </w:p>
        </w:tc>
        <w:tc>
          <w:tcPr>
            <w:tcW w:type="dxa" w:w="1440"/>
            <w:shd w:fill="C6EFCE" w:val="clear"/>
          </w:tcPr>
          <w:p>
            <w:r>
              <w:rPr>
                <w:sz w:val="17"/>
              </w:rPr>
              <w:t>3,298</w:t>
            </w:r>
          </w:p>
        </w:tc>
        <w:tc>
          <w:tcPr>
            <w:tcW w:type="dxa" w:w="1440"/>
            <w:shd w:fill="C6EFCE" w:val="clear"/>
          </w:tcPr>
          <w:p>
            <w:r>
              <w:rPr>
                <w:b/>
                <w:sz w:val="17"/>
              </w:rPr>
              <w:t>3,534</w:t>
            </w:r>
          </w:p>
        </w:tc>
        <w:tc>
          <w:tcPr>
            <w:tcW w:type="dxa" w:w="1440"/>
            <w:shd w:fill="C6EFCE" w:val="clear"/>
          </w:tcPr>
          <w:p>
            <w:r>
              <w:rPr>
                <w:sz w:val="17"/>
              </w:rPr>
              <w:t>3,771</w:t>
            </w:r>
          </w:p>
        </w:tc>
        <w:tc>
          <w:tcPr>
            <w:tcW w:type="dxa" w:w="1440"/>
            <w:shd w:fill="C6EFCE" w:val="clear"/>
          </w:tcPr>
          <w:p>
            <w:r>
              <w:rPr>
                <w:b/>
                <w:color w:val="008000"/>
                <w:sz w:val="17"/>
              </w:rPr>
              <w:t>+2.4%</w:t>
            </w:r>
          </w:p>
        </w:tc>
      </w:tr>
      <w:tr>
        <w:tc>
          <w:tcPr>
            <w:tcW w:type="dxa" w:w="1440"/>
            <w:shd w:fill="C6EFCE" w:val="clear"/>
          </w:tcPr>
          <w:p>
            <w:r>
              <w:rPr>
                <w:sz w:val="17"/>
              </w:rPr>
              <w:t>J+4  ⭐</w:t>
            </w:r>
          </w:p>
        </w:tc>
        <w:tc>
          <w:tcPr>
            <w:tcW w:type="dxa" w:w="1440"/>
            <w:shd w:fill="C6EFCE" w:val="clear"/>
          </w:tcPr>
          <w:p>
            <w:r>
              <w:rPr>
                <w:sz w:val="17"/>
              </w:rPr>
              <w:t>2026-10-26</w:t>
            </w:r>
          </w:p>
        </w:tc>
        <w:tc>
          <w:tcPr>
            <w:tcW w:type="dxa" w:w="1440"/>
            <w:shd w:fill="C6EFCE" w:val="clear"/>
          </w:tcPr>
          <w:p>
            <w:r>
              <w:rPr>
                <w:sz w:val="17"/>
              </w:rPr>
              <w:t>3,261</w:t>
            </w:r>
          </w:p>
        </w:tc>
        <w:tc>
          <w:tcPr>
            <w:tcW w:type="dxa" w:w="1440"/>
            <w:shd w:fill="C6EFCE" w:val="clear"/>
          </w:tcPr>
          <w:p>
            <w:r>
              <w:rPr>
                <w:b/>
                <w:sz w:val="17"/>
              </w:rPr>
              <w:t>3,533</w:t>
            </w:r>
          </w:p>
        </w:tc>
        <w:tc>
          <w:tcPr>
            <w:tcW w:type="dxa" w:w="1440"/>
            <w:shd w:fill="C6EFCE" w:val="clear"/>
          </w:tcPr>
          <w:p>
            <w:r>
              <w:rPr>
                <w:sz w:val="17"/>
              </w:rPr>
              <w:t>3,805</w:t>
            </w:r>
          </w:p>
        </w:tc>
        <w:tc>
          <w:tcPr>
            <w:tcW w:type="dxa" w:w="1440"/>
            <w:shd w:fill="C6EFCE" w:val="clear"/>
          </w:tcPr>
          <w:p>
            <w:r>
              <w:rPr>
                <w:b/>
                <w:color w:val="008000"/>
                <w:sz w:val="17"/>
              </w:rPr>
              <w:t>+2.4%</w:t>
            </w:r>
          </w:p>
        </w:tc>
      </w:tr>
      <w:tr>
        <w:tc>
          <w:tcPr>
            <w:tcW w:type="dxa" w:w="1440"/>
            <w:shd w:fill="C6EFCE" w:val="clear"/>
          </w:tcPr>
          <w:p>
            <w:r>
              <w:rPr>
                <w:sz w:val="17"/>
              </w:rPr>
              <w:t>J+5  ⭐</w:t>
            </w:r>
          </w:p>
        </w:tc>
        <w:tc>
          <w:tcPr>
            <w:tcW w:type="dxa" w:w="1440"/>
            <w:shd w:fill="C6EFCE" w:val="clear"/>
          </w:tcPr>
          <w:p>
            <w:r>
              <w:rPr>
                <w:sz w:val="17"/>
              </w:rPr>
              <w:t>2026-10-27</w:t>
            </w:r>
          </w:p>
        </w:tc>
        <w:tc>
          <w:tcPr>
            <w:tcW w:type="dxa" w:w="1440"/>
            <w:shd w:fill="C6EFCE" w:val="clear"/>
          </w:tcPr>
          <w:p>
            <w:r>
              <w:rPr>
                <w:sz w:val="17"/>
              </w:rPr>
              <w:t>3,225</w:t>
            </w:r>
          </w:p>
        </w:tc>
        <w:tc>
          <w:tcPr>
            <w:tcW w:type="dxa" w:w="1440"/>
            <w:shd w:fill="C6EFCE" w:val="clear"/>
          </w:tcPr>
          <w:p>
            <w:r>
              <w:rPr>
                <w:b/>
                <w:sz w:val="17"/>
              </w:rPr>
              <w:t>3,530</w:t>
            </w:r>
          </w:p>
        </w:tc>
        <w:tc>
          <w:tcPr>
            <w:tcW w:type="dxa" w:w="1440"/>
            <w:shd w:fill="C6EFCE" w:val="clear"/>
          </w:tcPr>
          <w:p>
            <w:r>
              <w:rPr>
                <w:sz w:val="17"/>
              </w:rPr>
              <w:t>3,834</w:t>
            </w:r>
          </w:p>
        </w:tc>
        <w:tc>
          <w:tcPr>
            <w:tcW w:type="dxa" w:w="1440"/>
            <w:shd w:fill="C6EFCE" w:val="clear"/>
          </w:tcPr>
          <w:p>
            <w:r>
              <w:rPr>
                <w:b/>
                <w:color w:val="008000"/>
                <w:sz w:val="17"/>
              </w:rPr>
              <w:t>+2.3%</w:t>
            </w:r>
          </w:p>
        </w:tc>
      </w:tr>
      <w:tr>
        <w:tc>
          <w:tcPr>
            <w:tcW w:type="dxa" w:w="1440"/>
            <w:shd w:fill="C6EFCE" w:val="clear"/>
          </w:tcPr>
          <w:p>
            <w:r>
              <w:rPr>
                <w:sz w:val="17"/>
              </w:rPr>
              <w:t>J+6  ⭐</w:t>
            </w:r>
          </w:p>
        </w:tc>
        <w:tc>
          <w:tcPr>
            <w:tcW w:type="dxa" w:w="1440"/>
            <w:shd w:fill="C6EFCE" w:val="clear"/>
          </w:tcPr>
          <w:p>
            <w:r>
              <w:rPr>
                <w:sz w:val="17"/>
              </w:rPr>
              <w:t>2026-10-28</w:t>
            </w:r>
          </w:p>
        </w:tc>
        <w:tc>
          <w:tcPr>
            <w:tcW w:type="dxa" w:w="1440"/>
            <w:shd w:fill="C6EFCE" w:val="clear"/>
          </w:tcPr>
          <w:p>
            <w:r>
              <w:rPr>
                <w:sz w:val="17"/>
              </w:rPr>
              <w:t>3,193</w:t>
            </w:r>
          </w:p>
        </w:tc>
        <w:tc>
          <w:tcPr>
            <w:tcW w:type="dxa" w:w="1440"/>
            <w:shd w:fill="C6EFCE" w:val="clear"/>
          </w:tcPr>
          <w:p>
            <w:r>
              <w:rPr>
                <w:b/>
                <w:sz w:val="17"/>
              </w:rPr>
              <w:t>3,526</w:t>
            </w:r>
          </w:p>
        </w:tc>
        <w:tc>
          <w:tcPr>
            <w:tcW w:type="dxa" w:w="1440"/>
            <w:shd w:fill="C6EFCE" w:val="clear"/>
          </w:tcPr>
          <w:p>
            <w:r>
              <w:rPr>
                <w:sz w:val="17"/>
              </w:rPr>
              <w:t>3,859</w:t>
            </w:r>
          </w:p>
        </w:tc>
        <w:tc>
          <w:tcPr>
            <w:tcW w:type="dxa" w:w="1440"/>
            <w:shd w:fill="C6EFCE" w:val="clear"/>
          </w:tcPr>
          <w:p>
            <w:r>
              <w:rPr>
                <w:b/>
                <w:color w:val="008000"/>
                <w:sz w:val="17"/>
              </w:rPr>
              <w:t>+2.2%</w:t>
            </w:r>
          </w:p>
        </w:tc>
      </w:tr>
      <w:tr>
        <w:tc>
          <w:tcPr>
            <w:tcW w:type="dxa" w:w="1440"/>
            <w:shd w:fill="C6EFCE" w:val="clear"/>
          </w:tcPr>
          <w:p>
            <w:r>
              <w:rPr>
                <w:sz w:val="17"/>
              </w:rPr>
              <w:t>J+7  ⭐</w:t>
            </w:r>
          </w:p>
        </w:tc>
        <w:tc>
          <w:tcPr>
            <w:tcW w:type="dxa" w:w="1440"/>
            <w:shd w:fill="C6EFCE" w:val="clear"/>
          </w:tcPr>
          <w:p>
            <w:r>
              <w:rPr>
                <w:sz w:val="17"/>
              </w:rPr>
              <w:t>2026-10-29</w:t>
            </w:r>
          </w:p>
        </w:tc>
        <w:tc>
          <w:tcPr>
            <w:tcW w:type="dxa" w:w="1440"/>
            <w:shd w:fill="C6EFCE" w:val="clear"/>
          </w:tcPr>
          <w:p>
            <w:r>
              <w:rPr>
                <w:sz w:val="17"/>
              </w:rPr>
              <w:t>3,163</w:t>
            </w:r>
          </w:p>
        </w:tc>
        <w:tc>
          <w:tcPr>
            <w:tcW w:type="dxa" w:w="1440"/>
            <w:shd w:fill="C6EFCE" w:val="clear"/>
          </w:tcPr>
          <w:p>
            <w:r>
              <w:rPr>
                <w:b/>
                <w:sz w:val="17"/>
              </w:rPr>
              <w:t>3,523</w:t>
            </w:r>
          </w:p>
        </w:tc>
        <w:tc>
          <w:tcPr>
            <w:tcW w:type="dxa" w:w="1440"/>
            <w:shd w:fill="C6EFCE" w:val="clear"/>
          </w:tcPr>
          <w:p>
            <w:r>
              <w:rPr>
                <w:sz w:val="17"/>
              </w:rPr>
              <w:t>3,882</w:t>
            </w:r>
          </w:p>
        </w:tc>
        <w:tc>
          <w:tcPr>
            <w:tcW w:type="dxa" w:w="1440"/>
            <w:shd w:fill="C6EFCE" w:val="clear"/>
          </w:tcPr>
          <w:p>
            <w:r>
              <w:rPr>
                <w:b/>
                <w:color w:val="008000"/>
                <w:sz w:val="17"/>
              </w:rPr>
              <w:t>+2.1%</w:t>
            </w:r>
          </w:p>
        </w:tc>
      </w:tr>
      <w:tr>
        <w:tc>
          <w:tcPr>
            <w:tcW w:type="dxa" w:w="1440"/>
            <w:shd w:fill="C6EFCE" w:val="clear"/>
          </w:tcPr>
          <w:p>
            <w:r>
              <w:rPr>
                <w:sz w:val="17"/>
              </w:rPr>
              <w:t>J+8  ⭐</w:t>
            </w:r>
          </w:p>
        </w:tc>
        <w:tc>
          <w:tcPr>
            <w:tcW w:type="dxa" w:w="1440"/>
            <w:shd w:fill="C6EFCE" w:val="clear"/>
          </w:tcPr>
          <w:p>
            <w:r>
              <w:rPr>
                <w:sz w:val="17"/>
              </w:rPr>
              <w:t>2026-10-30</w:t>
            </w:r>
          </w:p>
        </w:tc>
        <w:tc>
          <w:tcPr>
            <w:tcW w:type="dxa" w:w="1440"/>
            <w:shd w:fill="C6EFCE" w:val="clear"/>
          </w:tcPr>
          <w:p>
            <w:r>
              <w:rPr>
                <w:sz w:val="17"/>
              </w:rPr>
              <w:t>3,135</w:t>
            </w:r>
          </w:p>
        </w:tc>
        <w:tc>
          <w:tcPr>
            <w:tcW w:type="dxa" w:w="1440"/>
            <w:shd w:fill="C6EFCE" w:val="clear"/>
          </w:tcPr>
          <w:p>
            <w:r>
              <w:rPr>
                <w:b/>
                <w:sz w:val="17"/>
              </w:rPr>
              <w:t>3,519</w:t>
            </w:r>
          </w:p>
        </w:tc>
        <w:tc>
          <w:tcPr>
            <w:tcW w:type="dxa" w:w="1440"/>
            <w:shd w:fill="C6EFCE" w:val="clear"/>
          </w:tcPr>
          <w:p>
            <w:r>
              <w:rPr>
                <w:sz w:val="17"/>
              </w:rPr>
              <w:t>3,903</w:t>
            </w:r>
          </w:p>
        </w:tc>
        <w:tc>
          <w:tcPr>
            <w:tcW w:type="dxa" w:w="1440"/>
            <w:shd w:fill="C6EFCE" w:val="clear"/>
          </w:tcPr>
          <w:p>
            <w:r>
              <w:rPr>
                <w:b/>
                <w:color w:val="008000"/>
                <w:sz w:val="17"/>
              </w:rPr>
              <w:t>+2.0%</w:t>
            </w:r>
          </w:p>
        </w:tc>
      </w:tr>
      <w:tr>
        <w:tc>
          <w:tcPr>
            <w:tcW w:type="dxa" w:w="1440"/>
            <w:shd w:fill="FAFAFA" w:val="clear"/>
          </w:tcPr>
          <w:p>
            <w:r>
              <w:rPr>
                <w:sz w:val="17"/>
              </w:rPr>
              <w:t>J+9  ⭐</w:t>
            </w:r>
          </w:p>
        </w:tc>
        <w:tc>
          <w:tcPr>
            <w:tcW w:type="dxa" w:w="1440"/>
            <w:shd w:fill="FAFAFA" w:val="clear"/>
          </w:tcPr>
          <w:p>
            <w:r>
              <w:rPr>
                <w:sz w:val="17"/>
              </w:rPr>
              <w:t>2026-11-02</w:t>
            </w:r>
          </w:p>
        </w:tc>
        <w:tc>
          <w:tcPr>
            <w:tcW w:type="dxa" w:w="1440"/>
            <w:shd w:fill="FAFAFA" w:val="clear"/>
          </w:tcPr>
          <w:p>
            <w:r>
              <w:rPr>
                <w:sz w:val="17"/>
              </w:rPr>
              <w:t>3,109</w:t>
            </w:r>
          </w:p>
        </w:tc>
        <w:tc>
          <w:tcPr>
            <w:tcW w:type="dxa" w:w="1440"/>
            <w:shd w:fill="FAFAFA" w:val="clear"/>
          </w:tcPr>
          <w:p>
            <w:r>
              <w:rPr>
                <w:b/>
                <w:sz w:val="17"/>
              </w:rPr>
              <w:t>3,516</w:t>
            </w:r>
          </w:p>
        </w:tc>
        <w:tc>
          <w:tcPr>
            <w:tcW w:type="dxa" w:w="1440"/>
            <w:shd w:fill="FAFAFA" w:val="clear"/>
          </w:tcPr>
          <w:p>
            <w:r>
              <w:rPr>
                <w:sz w:val="17"/>
              </w:rPr>
              <w:t>3,923</w:t>
            </w:r>
          </w:p>
        </w:tc>
        <w:tc>
          <w:tcPr>
            <w:tcW w:type="dxa" w:w="1440"/>
            <w:shd w:fill="FAFAFA" w:val="clear"/>
          </w:tcPr>
          <w:p>
            <w:r>
              <w:rPr>
                <w:b/>
                <w:color w:val="008000"/>
                <w:sz w:val="17"/>
              </w:rPr>
              <w:t>+1.9%</w:t>
            </w:r>
          </w:p>
        </w:tc>
      </w:tr>
      <w:tr>
        <w:tc>
          <w:tcPr>
            <w:tcW w:type="dxa" w:w="1440"/>
            <w:shd w:fill="FAFAFA" w:val="clear"/>
          </w:tcPr>
          <w:p>
            <w:r>
              <w:rPr>
                <w:sz w:val="17"/>
              </w:rPr>
              <w:t>J+10  ⭐</w:t>
            </w:r>
          </w:p>
        </w:tc>
        <w:tc>
          <w:tcPr>
            <w:tcW w:type="dxa" w:w="1440"/>
            <w:shd w:fill="FAFAFA" w:val="clear"/>
          </w:tcPr>
          <w:p>
            <w:r>
              <w:rPr>
                <w:sz w:val="17"/>
              </w:rPr>
              <w:t>2026-11-03</w:t>
            </w:r>
          </w:p>
        </w:tc>
        <w:tc>
          <w:tcPr>
            <w:tcW w:type="dxa" w:w="1440"/>
            <w:shd w:fill="FAFAFA" w:val="clear"/>
          </w:tcPr>
          <w:p>
            <w:r>
              <w:rPr>
                <w:sz w:val="17"/>
              </w:rPr>
              <w:t>3,084</w:t>
            </w:r>
          </w:p>
        </w:tc>
        <w:tc>
          <w:tcPr>
            <w:tcW w:type="dxa" w:w="1440"/>
            <w:shd w:fill="FAFAFA" w:val="clear"/>
          </w:tcPr>
          <w:p>
            <w:r>
              <w:rPr>
                <w:b/>
                <w:sz w:val="17"/>
              </w:rPr>
              <w:t>3,512</w:t>
            </w:r>
          </w:p>
        </w:tc>
        <w:tc>
          <w:tcPr>
            <w:tcW w:type="dxa" w:w="1440"/>
            <w:shd w:fill="FAFAFA" w:val="clear"/>
          </w:tcPr>
          <w:p>
            <w:r>
              <w:rPr>
                <w:sz w:val="17"/>
              </w:rPr>
              <w:t>3,941</w:t>
            </w:r>
          </w:p>
        </w:tc>
        <w:tc>
          <w:tcPr>
            <w:tcW w:type="dxa" w:w="1440"/>
            <w:shd w:fill="FAFAFA" w:val="clear"/>
          </w:tcPr>
          <w:p>
            <w:r>
              <w:rPr>
                <w:b/>
                <w:color w:val="008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RAPPORT D'ANALYSE FINANCIÈRE — TTLS (TotalEnergies Marketing Sénégal)</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TTLS s'établit à **112,39 milliards FCFA**, un niveau significatif à l'échelle de la BRVM qui place la valeur parmi les capitalisations de premier plan du compartiment énergétique régional. Le BPA de **208 FCFA/action** traduit un bénéfice unitaire modeste, cohérent avec la structure de marge très fine du secteur de distribution pétrolière. Le PER de **16,6x** se situe nettement au-dessus de la moyenne BRVM (8-12x), signalant que les investisseurs paient une prime pour la qualité du dossier (leader, actionnariat TotalEnergies à 69,1%, rendement du dividende) plutôt qu'une valorisation bon marché. Le P/B de **3,98x** confirme cette prime de croissance : le marché valorise l'action près de quatre fois sa valeur comptable, reflet de la confiance dans la capacité bénéficiaire future malgré des fonds propres limités (28,2 Mds FCFA). Enfin, l'EV/EBITDA de **7,0x** demeure raisonnable dans la fourchette 5-10x, indiquant que la valeur d'entreprise reste cohérente avec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TTLS affiche une **variation totale de +2,99%**, mais la dernière séance a été marquée par une chute brutale de **-5,48%**, ramenant le cours à **3 450 FCFA**. Le range de trading s'est établi entre un plus haut de **4 500 FCFA** et un plus bas de **3 350 FCFA**, soit une amplitude de 34% qui traduit une réelle nervosité. La tendance générale est baissière depuis le pic, le cours évoluant désormais sous sa moyenne (3 730 FCFA) et sa médiane (3 700 FCFA) — l'écart entre moyenne et médiane, couplé à un mode à 3 800 FCFA, confirme une distribution asymétrique avec concentration des séances sous la moyenne. L'écart-type de **244 FCFA** et le coefficient de variation de **6,5%** indiquent une dispersion modérée du cours autour de sa tendance. Le kurtosis de **0,688** (mésokurtique) suggère un comportement proche d'une distribution normale, sans risque extrême de pics ; en revanche, le skewness de **0,814** (asymétrie positive) signale davantage de journées sous la moyenne, donc un biais baissier persistant. La **volatilité annualisée de 43,0%** classe le titre dans la catégorie des valeurs à volatilité élevée (&gt;30%), ce qui appelle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(3 671 FCFA) et la MM50 (3 750 FCFA) se situent toutes deux au-dessus du cours actuel (3 450 FCFA), configuration baissière caractéristique d'un titre sous ses supports mobiles. La MM20 étant inférieure à la MM50, la tendance de court terme s'affaiblit davantage, justifiant la décision **Vente**.</w:t>
      </w:r>
    </w:p>
    <w:p>
      <w:pPr>
        <w:spacing w:after="120" w:line="276" w:lineRule="auto"/>
      </w:pPr>
      <w:r>
        <w:t>**Bandes de Bollinger** — Le cours (3 450 FCFA) évolue sous la borne inférieure (3 484 FCFA), situation de survente extrême qui suggère un potentiel de rebond technique. La largeur des bandes (supérieure 3 858 / inférieure 3 484) reflète une volatilité encore élevée, mais la décision affichée est **Achat** sur ce signal de retour à la moyenne.</w:t>
      </w:r>
    </w:p>
    <w:p>
      <w:pPr>
        <w:spacing w:after="120" w:line="276" w:lineRule="auto"/>
      </w:pPr>
      <w:r>
        <w:t>**MACD** — Le MACD (-54,541) est inférieur à son signal (-44,51), confirmant un momentum baissier avec divergence négative persistante. La dynamique de court terme reste clairement vendeuse, justifiant la décision **Vente**.</w:t>
      </w:r>
    </w:p>
    <w:p>
      <w:pPr>
        <w:spacing w:after="120" w:line="276" w:lineRule="auto"/>
      </w:pPr>
      <w:r>
        <w:t>**RSI** — À **41,451**, le RSI se situe en zone neutre (30-70), sans signal de surachat ni de survente marquée. Le titre n'est ni épuisé ni en excès haussier, ce qui justifie la décision **Neutre** et invite à attendre une confirmation directionnelle.</w:t>
      </w:r>
    </w:p>
    <w:p>
      <w:pPr>
        <w:spacing w:after="120" w:line="276" w:lineRule="auto"/>
      </w:pPr>
      <w:r>
        <w:t>**Stochastique** — Le %K à **0,0** et le %D à **16,667** placent l'indicateur en zone de survente profonde, avec un %K au plancher qui précède souvent un croisement haussier. Cette configuration extrême justifie la décision **Achat** sur anticipation d'un rebond technique.</w:t>
      </w:r>
    </w:p>
    <w:p>
      <w:pPr>
        <w:spacing w:after="120" w:line="276" w:lineRule="auto"/>
      </w:pPr>
      <w:r>
        <w:t>**Conclusion technique** — Les indicateurs sont **divergents** : les moyennes mobiles et le MACD confirment une tendance baissière de fond, tandis que les Bandes de Bollinger et le stochastique signalent une survente extrême propice à un rebond. Le RSI neutre arbitre en faveur d'une phase d'attente. La convergence partielle vers un rebond technique à court terme existe, mais elle reste fragile face à la pression vendeuse structurelle.</w:t>
      </w:r>
    </w:p>
    <w:p>
      <w:pPr>
        <w:spacing w:after="120" w:line="276" w:lineRule="auto"/>
      </w:pPr>
      <w:r>
        <w:t>---</w:t>
      </w:r>
    </w:p>
    <w:p>
      <w:pPr>
        <w:spacing w:after="120" w:line="276" w:lineRule="auto"/>
      </w:pPr>
      <w:r>
        <w:t>## PARTIE 3 : ANALYSE FONDAMENTALE</w:t>
      </w:r>
    </w:p>
    <w:p>
      <w:pPr>
        <w:spacing w:after="120" w:line="276" w:lineRule="auto"/>
      </w:pPr>
      <w:r>
        <w:t>En **2025**, TTLS a réalisé un chiffre d'affaires de **455,209 milliards FCFA**, en baisse de **-6,1%** sur un an, et un résultat net de **6,779 milliards FCFA** (marge nette de 1,49%). Le ROE ressort à un excellent **24,0%** (bien supérieur au seuil de 15%), tandis que le ROA de **3,95%** reflète la faible intensité capitalistique d'un distributeur. La structure financière est solide : autonomie financière de 16,4%, capacité de remboursement de 0,94 an (dette financière/CAF) et couverture des intérêts de 486%, tandis que le **BFR négatif de -36,9 Mds FCFA** constitue un atout de trésorerie majeur (financement par les fournisseurs, délai fournisseurs de 97,8 jours contre 47,4 jours clients). Le free cash flow de **17,483 Mds FCFA** et la trésorerie nette positive de 13,941 Mds FCFA confirment la robustesse du modèle. Selon le rapport annuel 2025 (analysé le 04/05/2026), la baisse du CA s'explique par l'arrêt stratégique du fuel lourd (39,5 Mds FCFA de CA en 2024) et la baisse des dividendes des participations (-1,019 Md FCFA), tandis que le résultat d'exploitation reste stable à 8,7 Mds FCFA. Le rapport du **T1 2026** (analysé le 04/05/2026) confirme la résilience : malgré un CA en repli de 10% à 99,9 Mds FCFA (effet de la révision réglementaire des prix à la pompe), le résultat d'exploitation progresse de **+28%** à 2,623 Mds FCFA et le résultat net de **+5%** à 1,585 Md FCFA, grâce à l'amélioration des marges sur les lubrifiants. **On estime** donc que l'exercice 2026 devrait maintenir un résultat net autour de 6,5-7 Mds FCFA, avec une qualité de bénéfices en amélioration (mix produit plus rentable). La politique de dividende reste généreuse (7,691 Mds FCFA versés en 2025, soit un rendement estimé à ~6-7%), mais le taux de distribution supérieur à 100% du résultat net constitue un point de vigilance. **Recommandation fondamentale : CONSERVER**, avec un profil défensif de qualité, des risques réglementaires (prix administrés) et de concentration géographique, mais des perspectives favorables liées à Sangomar/GTA et à la diversification GPL/lubrifiants.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dossier **contrasté mais globalement défensif**. Sur le plan de la **valorisation (Partie 0)**, le PER de 16,6x et le P/B de 3,98x traduisent une prime certaine par rapport à la moyenne BRVM, tempérée par un EV/EBITDA raisonnable de 7,0x — le titre n'est ni une affaire ni une aberration. Le **comportement du cours (Partie 1)** est préoccupant à court terme : chute de -5,48% en J-1, cours sous les moyennes, skewness positif (biais baissier) et volatilité élevée de 43%, même si le kurtosis mésokurtique limite le risque de krach. Les **signaux techniques (Partie 2)** sont divergents : MACD et MM baissiers contre Bollinger et stochastique en survente extrême, le RSI neutre plaidant pour l'attente — une configuration de rebond technique fragile. Les **fondamentaux (Partie 3)** demeurent le point d'ancrage : ROE de 24%, BFR négatif, FCF de 17,5 Mds FCFA, trésorerie nette positive et résilience opérationnelle confirmée par le T1 2026 (+28% de résultat d'exploitation). Les **prédictions IA (J+1 à J+10)** anticipent une stabilisation autour de 3 530-3 535 FCFA, soit un léger rebond depuis 3 450 FCFA, cohérent avec la thèse de survente technique sans retournement majeur. **Recommandation finale : CONSERVER**, avec un **niveau de confiance Moyen** et un **risque global Moyen** (volatilité élevée compensée par la solidité fondamentale). L'horizon optimal est le **moyen terme (3-12 mois)**, le temps que les marges lubrifiants et la normalisation des prix réglementés se matérialisent dans les résultats semestriels 2026 ; un achat spéculatif à court terme serait prématuré tant que la pression vendeuse technique n'est pas résorbée.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414.26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45,110 FCFA</w:t>
            </w:r>
          </w:p>
          <w:p>
            <w:r>
              <w:rPr>
                <w:b/>
                <w:color w:val="503200"/>
                <w:sz w:val="16"/>
              </w:rPr>
              <w:t xml:space="preserve">Var. 100 jours : </w:t>
            </w:r>
            <w:r>
              <w:rPr>
                <w:b/>
                <w:color w:val="B40000"/>
                <w:sz w:val="17"/>
              </w:rPr>
              <w:t>-23.54%</w:t>
            </w:r>
          </w:p>
          <w:p>
            <w:r>
              <w:rPr>
                <w:b/>
                <w:color w:val="503200"/>
                <w:sz w:val="16"/>
              </w:rPr>
              <w:t xml:space="preserve">Plus haut 100j : </w:t>
            </w:r>
            <w:r>
              <w:rPr>
                <w:color w:val="000000"/>
                <w:sz w:val="17"/>
              </w:rPr>
              <w:t>59,750 FCFA</w:t>
            </w:r>
          </w:p>
          <w:p>
            <w:r>
              <w:rPr>
                <w:b/>
                <w:color w:val="503200"/>
                <w:sz w:val="16"/>
              </w:rPr>
              <w:t xml:space="preserve">Plus bas 100j : </w:t>
            </w:r>
            <w:r>
              <w:rPr>
                <w:color w:val="000000"/>
                <w:sz w:val="17"/>
              </w:rPr>
              <w:t>44,410 FCFA</w:t>
            </w:r>
          </w:p>
          <w:p>
            <w:r>
              <w:rPr>
                <w:b/>
                <w:color w:val="503200"/>
                <w:sz w:val="16"/>
              </w:rPr>
              <w:t xml:space="preserve">Volatilité ann. : </w:t>
            </w:r>
            <w:r>
              <w:rPr>
                <w:color w:val="000000"/>
                <w:sz w:val="17"/>
              </w:rPr>
              <w:t>55.8%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6.79% (Moyenne) — μ=53,263 FCFA, σ=3,617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β=0.6409 (Défensif) — Cov=0.000050, Var(idx)=0.000078, ρ=0.160,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σ_j=3.52%/j (Modérée) — Vol. annualisée≈55.8%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0906"/>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2026-10-21</w:t>
            </w:r>
          </w:p>
        </w:tc>
        <w:tc>
          <w:tcPr>
            <w:tcW w:type="dxa" w:w="1440"/>
            <w:shd w:fill="FAFAFA" w:val="clear"/>
          </w:tcPr>
          <w:p>
            <w:r>
              <w:rPr>
                <w:sz w:val="17"/>
              </w:rPr>
              <w:t>42,311</w:t>
            </w:r>
          </w:p>
        </w:tc>
        <w:tc>
          <w:tcPr>
            <w:tcW w:type="dxa" w:w="1440"/>
            <w:shd w:fill="FAFAFA" w:val="clear"/>
          </w:tcPr>
          <w:p>
            <w:r>
              <w:rPr>
                <w:b/>
                <w:sz w:val="17"/>
              </w:rPr>
              <w:t>44,998</w:t>
            </w:r>
          </w:p>
        </w:tc>
        <w:tc>
          <w:tcPr>
            <w:tcW w:type="dxa" w:w="1440"/>
            <w:shd w:fill="FAFAFA" w:val="clear"/>
          </w:tcPr>
          <w:p>
            <w:r>
              <w:rPr>
                <w:sz w:val="17"/>
              </w:rPr>
              <w:t>47,684</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2026-10-22</w:t>
            </w:r>
          </w:p>
        </w:tc>
        <w:tc>
          <w:tcPr>
            <w:tcW w:type="dxa" w:w="1440"/>
            <w:shd w:fill="FAFAFA" w:val="clear"/>
          </w:tcPr>
          <w:p>
            <w:r>
              <w:rPr>
                <w:sz w:val="17"/>
              </w:rPr>
              <w:t>41,233</w:t>
            </w:r>
          </w:p>
        </w:tc>
        <w:tc>
          <w:tcPr>
            <w:tcW w:type="dxa" w:w="1440"/>
            <w:shd w:fill="FAFAFA" w:val="clear"/>
          </w:tcPr>
          <w:p>
            <w:r>
              <w:rPr>
                <w:b/>
                <w:sz w:val="17"/>
              </w:rPr>
              <w:t>45,036</w:t>
            </w:r>
          </w:p>
        </w:tc>
        <w:tc>
          <w:tcPr>
            <w:tcW w:type="dxa" w:w="1440"/>
            <w:shd w:fill="FAFAFA" w:val="clear"/>
          </w:tcPr>
          <w:p>
            <w:r>
              <w:rPr>
                <w:sz w:val="17"/>
              </w:rPr>
              <w:t>48,839</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2026-10-23</w:t>
            </w:r>
          </w:p>
        </w:tc>
        <w:tc>
          <w:tcPr>
            <w:tcW w:type="dxa" w:w="1440"/>
            <w:shd w:fill="FAFAFA" w:val="clear"/>
          </w:tcPr>
          <w:p>
            <w:r>
              <w:rPr>
                <w:sz w:val="17"/>
              </w:rPr>
              <w:t>40,414</w:t>
            </w:r>
          </w:p>
        </w:tc>
        <w:tc>
          <w:tcPr>
            <w:tcW w:type="dxa" w:w="1440"/>
            <w:shd w:fill="FAFAFA" w:val="clear"/>
          </w:tcPr>
          <w:p>
            <w:r>
              <w:rPr>
                <w:b/>
                <w:sz w:val="17"/>
              </w:rPr>
              <w:t>45,077</w:t>
            </w:r>
          </w:p>
        </w:tc>
        <w:tc>
          <w:tcPr>
            <w:tcW w:type="dxa" w:w="1440"/>
            <w:shd w:fill="FAFAFA" w:val="clear"/>
          </w:tcPr>
          <w:p>
            <w:r>
              <w:rPr>
                <w:sz w:val="17"/>
              </w:rPr>
              <w:t>49,739</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39,733</w:t>
            </w:r>
          </w:p>
        </w:tc>
        <w:tc>
          <w:tcPr>
            <w:tcW w:type="dxa" w:w="1440"/>
            <w:shd w:fill="FAFAFA" w:val="clear"/>
          </w:tcPr>
          <w:p>
            <w:r>
              <w:rPr>
                <w:b/>
                <w:sz w:val="17"/>
              </w:rPr>
              <w:t>45,122</w:t>
            </w:r>
          </w:p>
        </w:tc>
        <w:tc>
          <w:tcPr>
            <w:tcW w:type="dxa" w:w="1440"/>
            <w:shd w:fill="FAFAFA" w:val="clear"/>
          </w:tcPr>
          <w:p>
            <w:r>
              <w:rPr>
                <w:sz w:val="17"/>
              </w:rPr>
              <w:t>50,511</w:t>
            </w:r>
          </w:p>
        </w:tc>
        <w:tc>
          <w:tcPr>
            <w:tcW w:type="dxa" w:w="1440"/>
            <w:shd w:fill="FAFAFA" w:val="clear"/>
          </w:tcPr>
          <w:p>
            <w:r>
              <w:rPr>
                <w:b/>
                <w:color w:val="008000"/>
                <w:sz w:val="17"/>
              </w:rPr>
              <w:t>+0.0%</w:t>
            </w:r>
          </w:p>
        </w:tc>
      </w:tr>
      <w:tr>
        <w:tc>
          <w:tcPr>
            <w:tcW w:type="dxa" w:w="1440"/>
            <w:shd w:fill="FAFAFA" w:val="clear"/>
          </w:tcPr>
          <w:p>
            <w:r>
              <w:rPr>
                <w:sz w:val="17"/>
              </w:rPr>
              <w:t>J+5  ⭐</w:t>
            </w:r>
          </w:p>
        </w:tc>
        <w:tc>
          <w:tcPr>
            <w:tcW w:type="dxa" w:w="1440"/>
            <w:shd w:fill="FAFAFA" w:val="clear"/>
          </w:tcPr>
          <w:p>
            <w:r>
              <w:rPr>
                <w:sz w:val="17"/>
              </w:rPr>
              <w:t>2026-10-27</w:t>
            </w:r>
          </w:p>
        </w:tc>
        <w:tc>
          <w:tcPr>
            <w:tcW w:type="dxa" w:w="1440"/>
            <w:shd w:fill="FAFAFA" w:val="clear"/>
          </w:tcPr>
          <w:p>
            <w:r>
              <w:rPr>
                <w:sz w:val="17"/>
              </w:rPr>
              <w:t>39,139</w:t>
            </w:r>
          </w:p>
        </w:tc>
        <w:tc>
          <w:tcPr>
            <w:tcW w:type="dxa" w:w="1440"/>
            <w:shd w:fill="FAFAFA" w:val="clear"/>
          </w:tcPr>
          <w:p>
            <w:r>
              <w:rPr>
                <w:b/>
                <w:sz w:val="17"/>
              </w:rPr>
              <w:t>45,170</w:t>
            </w:r>
          </w:p>
        </w:tc>
        <w:tc>
          <w:tcPr>
            <w:tcW w:type="dxa" w:w="1440"/>
            <w:shd w:fill="FAFAFA" w:val="clear"/>
          </w:tcPr>
          <w:p>
            <w:r>
              <w:rPr>
                <w:sz w:val="17"/>
              </w:rPr>
              <w:t>51,201</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2026-10-28</w:t>
            </w:r>
          </w:p>
        </w:tc>
        <w:tc>
          <w:tcPr>
            <w:tcW w:type="dxa" w:w="1440"/>
            <w:shd w:fill="FAFAFA" w:val="clear"/>
          </w:tcPr>
          <w:p>
            <w:r>
              <w:rPr>
                <w:sz w:val="17"/>
              </w:rPr>
              <w:t>38,606</w:t>
            </w:r>
          </w:p>
        </w:tc>
        <w:tc>
          <w:tcPr>
            <w:tcW w:type="dxa" w:w="1440"/>
            <w:shd w:fill="FAFAFA" w:val="clear"/>
          </w:tcPr>
          <w:p>
            <w:r>
              <w:rPr>
                <w:b/>
                <w:sz w:val="17"/>
              </w:rPr>
              <w:t>45,220</w:t>
            </w:r>
          </w:p>
        </w:tc>
        <w:tc>
          <w:tcPr>
            <w:tcW w:type="dxa" w:w="1440"/>
            <w:shd w:fill="FAFAFA" w:val="clear"/>
          </w:tcPr>
          <w:p>
            <w:r>
              <w:rPr>
                <w:sz w:val="17"/>
              </w:rPr>
              <w:t>51,834</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2026-10-29</w:t>
            </w:r>
          </w:p>
        </w:tc>
        <w:tc>
          <w:tcPr>
            <w:tcW w:type="dxa" w:w="1440"/>
            <w:shd w:fill="FAFAFA" w:val="clear"/>
          </w:tcPr>
          <w:p>
            <w:r>
              <w:rPr>
                <w:sz w:val="17"/>
              </w:rPr>
              <w:t>38,118</w:t>
            </w:r>
          </w:p>
        </w:tc>
        <w:tc>
          <w:tcPr>
            <w:tcW w:type="dxa" w:w="1440"/>
            <w:shd w:fill="FAFAFA" w:val="clear"/>
          </w:tcPr>
          <w:p>
            <w:r>
              <w:rPr>
                <w:b/>
                <w:sz w:val="17"/>
              </w:rPr>
              <w:t>45,271</w:t>
            </w:r>
          </w:p>
        </w:tc>
        <w:tc>
          <w:tcPr>
            <w:tcW w:type="dxa" w:w="1440"/>
            <w:shd w:fill="FAFAFA" w:val="clear"/>
          </w:tcPr>
          <w:p>
            <w:r>
              <w:rPr>
                <w:sz w:val="17"/>
              </w:rPr>
              <w:t>52,423</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2026-10-30</w:t>
            </w:r>
          </w:p>
        </w:tc>
        <w:tc>
          <w:tcPr>
            <w:tcW w:type="dxa" w:w="1440"/>
            <w:shd w:fill="FAFAFA" w:val="clear"/>
          </w:tcPr>
          <w:p>
            <w:r>
              <w:rPr>
                <w:sz w:val="17"/>
              </w:rPr>
              <w:t>37,667</w:t>
            </w:r>
          </w:p>
        </w:tc>
        <w:tc>
          <w:tcPr>
            <w:tcW w:type="dxa" w:w="1440"/>
            <w:shd w:fill="FAFAFA" w:val="clear"/>
          </w:tcPr>
          <w:p>
            <w:r>
              <w:rPr>
                <w:b/>
                <w:sz w:val="17"/>
              </w:rPr>
              <w:t>45,322</w:t>
            </w:r>
          </w:p>
        </w:tc>
        <w:tc>
          <w:tcPr>
            <w:tcW w:type="dxa" w:w="1440"/>
            <w:shd w:fill="FAFAFA" w:val="clear"/>
          </w:tcPr>
          <w:p>
            <w:r>
              <w:rPr>
                <w:sz w:val="17"/>
              </w:rPr>
              <w:t>52,976</w:t>
            </w:r>
          </w:p>
        </w:tc>
        <w:tc>
          <w:tcPr>
            <w:tcW w:type="dxa" w:w="1440"/>
            <w:shd w:fill="FAFAFA" w:val="clear"/>
          </w:tcPr>
          <w:p>
            <w:r>
              <w:rPr>
                <w:b/>
                <w:color w:val="008000"/>
                <w:sz w:val="17"/>
              </w:rPr>
              <w:t>+0.5%</w:t>
            </w:r>
          </w:p>
        </w:tc>
      </w:tr>
      <w:tr>
        <w:tc>
          <w:tcPr>
            <w:tcW w:type="dxa" w:w="1440"/>
            <w:shd w:fill="FAFAFA" w:val="clear"/>
          </w:tcPr>
          <w:p>
            <w:r>
              <w:rPr>
                <w:sz w:val="17"/>
              </w:rPr>
              <w:t>J+9  ⭐</w:t>
            </w:r>
          </w:p>
        </w:tc>
        <w:tc>
          <w:tcPr>
            <w:tcW w:type="dxa" w:w="1440"/>
            <w:shd w:fill="FAFAFA" w:val="clear"/>
          </w:tcPr>
          <w:p>
            <w:r>
              <w:rPr>
                <w:sz w:val="17"/>
              </w:rPr>
              <w:t>2026-11-02</w:t>
            </w:r>
          </w:p>
        </w:tc>
        <w:tc>
          <w:tcPr>
            <w:tcW w:type="dxa" w:w="1440"/>
            <w:shd w:fill="FAFAFA" w:val="clear"/>
          </w:tcPr>
          <w:p>
            <w:r>
              <w:rPr>
                <w:sz w:val="17"/>
              </w:rPr>
              <w:t>37,244</w:t>
            </w:r>
          </w:p>
        </w:tc>
        <w:tc>
          <w:tcPr>
            <w:tcW w:type="dxa" w:w="1440"/>
            <w:shd w:fill="FAFAFA" w:val="clear"/>
          </w:tcPr>
          <w:p>
            <w:r>
              <w:rPr>
                <w:b/>
                <w:sz w:val="17"/>
              </w:rPr>
              <w:t>45,372</w:t>
            </w:r>
          </w:p>
        </w:tc>
        <w:tc>
          <w:tcPr>
            <w:tcW w:type="dxa" w:w="1440"/>
            <w:shd w:fill="FAFAFA" w:val="clear"/>
          </w:tcPr>
          <w:p>
            <w:r>
              <w:rPr>
                <w:sz w:val="17"/>
              </w:rPr>
              <w:t>53,500</w:t>
            </w:r>
          </w:p>
        </w:tc>
        <w:tc>
          <w:tcPr>
            <w:tcW w:type="dxa" w:w="1440"/>
            <w:shd w:fill="FAFAFA" w:val="clear"/>
          </w:tcPr>
          <w:p>
            <w:r>
              <w:rPr>
                <w:b/>
                <w:color w:val="008000"/>
                <w:sz w:val="17"/>
              </w:rPr>
              <w:t>+0.6%</w:t>
            </w:r>
          </w:p>
        </w:tc>
      </w:tr>
      <w:tr>
        <w:tc>
          <w:tcPr>
            <w:tcW w:type="dxa" w:w="1440"/>
            <w:shd w:fill="FAFAFA" w:val="clear"/>
          </w:tcPr>
          <w:p>
            <w:r>
              <w:rPr>
                <w:sz w:val="17"/>
              </w:rPr>
              <w:t>J+10  ⭐</w:t>
            </w:r>
          </w:p>
        </w:tc>
        <w:tc>
          <w:tcPr>
            <w:tcW w:type="dxa" w:w="1440"/>
            <w:shd w:fill="FAFAFA" w:val="clear"/>
          </w:tcPr>
          <w:p>
            <w:r>
              <w:rPr>
                <w:sz w:val="17"/>
              </w:rPr>
              <w:t>2026-11-03</w:t>
            </w:r>
          </w:p>
        </w:tc>
        <w:tc>
          <w:tcPr>
            <w:tcW w:type="dxa" w:w="1440"/>
            <w:shd w:fill="FAFAFA" w:val="clear"/>
          </w:tcPr>
          <w:p>
            <w:r>
              <w:rPr>
                <w:sz w:val="17"/>
              </w:rPr>
              <w:t>36,845</w:t>
            </w:r>
          </w:p>
        </w:tc>
        <w:tc>
          <w:tcPr>
            <w:tcW w:type="dxa" w:w="1440"/>
            <w:shd w:fill="FAFAFA" w:val="clear"/>
          </w:tcPr>
          <w:p>
            <w:r>
              <w:rPr>
                <w:b/>
                <w:sz w:val="17"/>
              </w:rPr>
              <w:t>45,422</w:t>
            </w:r>
          </w:p>
        </w:tc>
        <w:tc>
          <w:tcPr>
            <w:tcW w:type="dxa" w:w="1440"/>
            <w:shd w:fill="FAFAFA" w:val="clear"/>
          </w:tcPr>
          <w:p>
            <w:r>
              <w:rPr>
                <w:sz w:val="17"/>
              </w:rPr>
              <w:t>54,000</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UNILEVER CÔTE D'IVOIRE (UNLC)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**414,26 milliards FCFA**, un niveau qui la place parmi les capitalisations significatives de la cote BRVM, bien que très en retrait des poids lourds comme SONATEL. Les ratios de valorisation classiques (BPA, PER, P/B, EV/EBITDA) ne sont pas calculables en l'absence de données financières structurées exploitables dans la base — situation cohérente avec le profil de la société, dont les capitaux propres sont négatifs et le résultat net très faible, rendant le BPA et le P/B non significatifs (un P/B négatif n'a pas de sens économique). En l'absence de PER calculable, on ne peut conclure à une sous- ou surévaluation par les bénéfices ; le marché valorise donc UNLC essentiellement sur sa **valeur d'actif de marque** (portefeuille Unilever : Blue Band, Omo, etc.) et sur des anticipations de redressement, plutôt que sur des fondamentaux de rentabilité actuels. Cette opacité valorielle constitue en soi un facteur de risque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UNLC affiche une **variation totale de -23,54%**, une dégradation lourde, tandis que la dernière séance (J-1) marque une quasi-stabilisation avec **+0,13%**. Le cours actuel de **45 110 FCFA** évolue dans un range de trading de **44 410 FCFA (plus bas) à 59 750 FCFA (plus haut)**, soit un amplitude de plus de 34% — le titre se situe aujourd'hui tout près de son plancher, signe d'une tendance clairement **baissière** sur la période. Les statistiques descriptives révèlent une distribution asymétrique : la **moyenne (53 263 FCFA)** est inférieure à la **médiane (53 868 FCFA)**, confirmant un skewness négatif de **-0,512** — le commentaire fourni indique « plus de journées au-dessus de la moyenne », ce qui traduit une pression vendeuse concentrée sur quelques séances fortes ayant tiré le cours vers le bas. L'**écart-type de 3 636 FCFA (CV = 6,8%)** indique une dispersion modérée en niveau relatif, mais le **kurtosis de -0,236 (mésokurtique)** suggère une distribution proche de la normale, sans pics extrêmes marqués — le risque de chocs brutaux est donc limité, mais la dérive baissière est régulière et persistante. Enfin, la **volatilité annualisée de 55,8%** classe UNLC dans la catégorie des titres à **volatilité élevée (&gt;30%)**, ce qui exige une tolérance au risque importante et justifie une prime de risque dans toute décision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(47 957 FCFA) et la MM50 (51 483,6 FCFA) se situent toutes deux **au-dessus du cours actuel** (45 110 FCFA), configuration baissière par excellence où le prix évolue sous ses moyennes. La MM20 sous la MM50 confirme la tendance descendante de court terme, justifiant la décision **Vente**.</w:t>
      </w:r>
    </w:p>
    <w:p>
      <w:pPr>
        <w:spacing w:after="120" w:line="276" w:lineRule="auto"/>
      </w:pPr>
      <w:r>
        <w:t>**Bandes de Bollinger** : Le cours (45 110 FCFA) se situe dans la moitié basse de la bande, entre la borne inférieure (43 238 FCFA) et la borne supérieure (52 676 FCFA), sans franchissement des extrêmes. La volatilité reste contenue dans le canal, et la décision **Neutre** traduit l'absence de signal de retournement ou d'accélération.</w:t>
      </w:r>
    </w:p>
    <w:p>
      <w:pPr>
        <w:spacing w:after="120" w:line="276" w:lineRule="auto"/>
      </w:pPr>
      <w:r>
        <w:t>**MACD** : Le MACD (-1 857,2) est **inférieur à son signal** (-1 627,0), avec un histogramme négatif — le momentum reste baissier et la divergence négative persiste. La décision **Vente** est cohérente avec cette configuration de pression vendeuse continue.</w:t>
      </w:r>
    </w:p>
    <w:p>
      <w:pPr>
        <w:spacing w:after="120" w:line="276" w:lineRule="auto"/>
      </w:pPr>
      <w:r>
        <w:t>**RSI** : À **40,99**, le RSI se situe en zone neutre (entre 30 et 70), sans signal de survente (&lt;30) ni de surachat (&gt;70). La décision **Neutre** reflète un marché sans excès, laissant la porte ouverte à une poursuite de la baisse sans rebond technique imminent.</w:t>
      </w:r>
    </w:p>
    <w:p>
      <w:pPr>
        <w:spacing w:after="120" w:line="276" w:lineRule="auto"/>
      </w:pPr>
      <w:r>
        <w:t>**Stochastique** : Le %K (10,62) et le %D (9,76) sont tous deux en **zone de survente profonde (&lt;20)**, avec un %K légèrement au-dessus du %D — configuration de possible amorce de rebond technique. La décision **Achat** contraste avec les autres indicateurs et signale un potentiel d'essoufflement de la baisse à très court terme.</w:t>
      </w:r>
    </w:p>
    <w:p>
      <w:pPr>
        <w:spacing w:after="120" w:line="276" w:lineRule="auto"/>
      </w:pPr>
      <w:r>
        <w:t>**Conclusion technique** : Les indicateurs sont majoritairement **baissiers** (MM, MACD) avec un RSI neutre et des Bollinger neutres, mais le Stochastique en survente extrême suggère un **rebond technique possible à court terme**. La convergence n'est pas totale : la tendance de fond reste négative, mais le stochastique offre une fenêtre d'entrée spéculative. Le signal global est donc **baissier avec potentiel de rebond tactique**, nécessitant confirmation par les volumes (moyenne faible de 21 titres/jour, à surveiller).</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officielles les plus récentes disponibles proviennent du **rapport annuel clos le 31 décembre 2023** (analysé le 15 mars 2026) : UNLC y affiche un **chiffre d'affaires de 24 336 010 000 FCFA**, strictement **stable par rapport à 2022**, traduisant une absence de croissance organique. Le **résultat net 2023 s'établit à 640 334 855 FCFA**, un retour à la profitabilité après la **perte massive de 6 908 362 002 FCFA en 2022**, mais avec une **marge nette de seulement 2,63%**, très en dessous de la moyenne sectorielle FMCG (5-10%). Le **résultat d'exploitation (XD) repasse positif à +3 340 M FCFA** (contre -6 258 M FCFA en 2022), porté par la réduction des charges et la hausse des produits accessoires (+147 M FCFA). Cependant, la structure financière reste **très fragile** : les **capitaux propres sont négatifs à -10 658 M FCFA**, le **report à nouveau négatif atteint -35 635 M FCFA**, et les **dettes financières progressent à 4 379 M FCFA** (contre 3 827 M FCFA en 2022). Le **ROE n'est pas calculable** (capitaux propres négatifs) et le **ROA reste marginal** au regard d'un actif économique dégradé. La **politique de dividende est nulle en 2023** (comme en 2022), la priorité étant la reconstitution des fonds propres. Les rapports antérieurs confirment la trajectoire chaotique : **2022** (rapport du 31/12/2022) affichait une **perte nette de -6 382,6 M FCFA** avec un CA en **baisse de 21,5% à 36 174,6 M FCFA** (sortie de l'activité Thé/Lipton) ; **2021** (rapport du 31/12/2021) montrait un **bénéfice de 6 090,8 M FCFA** (marge 25%) tiré par la cession de Lipton, mais un **endettement net/EBE de 2,96x**. La tendance 2021→2023 est donc celle d'un **redressement lent et incomplet** : retour à un bénéfice modeste en 2023, mais capitaux propres toujours négatifs, endettement croissant et absence de dividende. **Recommandation fondamentale : prudence — la solidité financière n'est pas rétablie, les risques de liquidité et de structure bilancielle demeurent, et les perspectives de croissance restent atones.**</w:t>
      </w:r>
    </w:p>
    <w:p>
      <w:pPr>
        <w:spacing w:after="120" w:line="276" w:lineRule="auto"/>
      </w:pPr>
      <w:r>
        <w:t>---</w:t>
      </w:r>
    </w:p>
    <w:p>
      <w:pPr>
        <w:spacing w:after="120" w:line="276" w:lineRule="auto"/>
      </w:pPr>
      <w:r>
        <w:t>## PARTIE 4 : CONCLUSION D'INVESTISSEMENT</w:t>
      </w:r>
    </w:p>
    <w:p>
      <w:pPr>
        <w:spacing w:after="120" w:line="276" w:lineRule="auto"/>
      </w:pPr>
      <w:r>
        <w:t>La **valorisation (Partie 0)** est opaque : faute de PER/P/B/EV-EBITDA calculables, le marché price UNLC sur la marque et l'espoir de redressement, sans ancrage sur les bénéfices — un facteur d'incertitude majeur. Le **comportement du cours (Partie 1)** est clairement défavorable : -23,54% sur 100 jours, cours collé au plancher (45 110 vs 44 410 FCFA), skewness négatif (-0,512) et volatilité élevée (55,8%), malgré un kurtosis mésokurtique rassurant sur l'absence de chocs extrêmes. Les **signaux techniques (Partie 2)** sont majoritairement baissiers (MM20/MM50 au-dessus du cours, MACD négatif sous son signal), avec un RSI neutre (40,99) et un **Stochastique en survente extrême (10,6)** qui n'offre qu'un rebond tactique fragile — la convergence penche vers la poursuite de la tendance descendante. Les **fondamentaux (Partie 3)** confirment la fragilité : CA stagnant à 24,3 Mds FCFA en 2023, marge nette de 2,63%, capitaux propres négatifs (-10,7 Mds FCFA), endettement en hausse et dividende nul — le redressement de 2023 reste insuffisant pour restaurer la solidité. Les **prédictions IA (J+1 à J+10)** projettent une trajectoire quasi-plate de 44 998 à 45 170 FCFA, soit une **stabilisation sans rebond significatif**, ce qui **contredit** l'hypothèse d'un rebond stochastique et **confirme** la tendance baissière de fond. **Recommandation finale : VENTE** (ou **CONSERVER avec vigilance** pour les porteurs de longue date), avec un **niveau de confiance Moyen** — la convergence entre technique baissière, fondamentaux fragiles et prédictions plates est cohérente, mais le Stochastique en survente et la proximité du plancher introduisent une incertitude sur le timing. Le **niveau de risque global est Élevé** (volatilité 55,8%, capitaux propres négatifs, absence de dividende, faible liquidité avec 21 titres/jour). **Horizon optimal : court terme (&lt;3 mois)** pour un éventuel trade tactique sur rebond stochastique, mais **éviter le long terme** tant que les capitaux propres ne sont pas redevenus positifs et qu'une croissance du CA ne s'est pas matérialisée.</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43.58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13,278 titres</w:t>
            </w:r>
          </w:p>
        </w:tc>
        <w:tc>
          <w:tcPr>
            <w:tcW w:type="dxa" w:w="2268"/>
            <w:shd w:fill="FFF2CC" w:val="clear"/>
          </w:tcPr>
          <w:p>
            <w:r>
              <w:rPr>
                <w:b/>
                <w:color w:val="503200"/>
                <w:sz w:val="16"/>
              </w:rPr>
              <w:t xml:space="preserve">Cours actuel : </w:t>
            </w:r>
            <w:r>
              <w:rPr>
                <w:color w:val="000000"/>
                <w:sz w:val="17"/>
              </w:rPr>
              <w:t>2,100 FCFA</w:t>
            </w:r>
          </w:p>
          <w:p>
            <w:r>
              <w:rPr>
                <w:b/>
                <w:color w:val="503200"/>
                <w:sz w:val="16"/>
              </w:rPr>
              <w:t xml:space="preserve">Var. 100 jours : </w:t>
            </w:r>
            <w:r>
              <w:rPr>
                <w:b/>
                <w:color w:val="007800"/>
                <w:sz w:val="17"/>
              </w:rPr>
              <w:t>+17.32%</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18.6/100 → Faible</w:t>
      </w:r>
    </w:p>
    <w:p>
      <w:pPr>
        <w:spacing w:before="40" w:after="80"/>
      </w:pPr>
      <w:r>
        <w:rPr>
          <w:rFonts w:ascii="Courier New" w:hAnsi="Courier New"/>
          <w:color w:val="006400"/>
          <w:sz w:val="18"/>
        </w:rPr>
        <w:t>███░░░░░░░░░░░░░░░░░  18.6/100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14.67% (Moyenne) — μ=2,049 FCFA, σ=301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β=0.7045 (Défensif) — Cov=0.000055, Var(idx)=0.000078, ρ=0.195,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13,278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2026-10-21</w:t>
            </w:r>
          </w:p>
        </w:tc>
        <w:tc>
          <w:tcPr>
            <w:tcW w:type="dxa" w:w="1440"/>
            <w:shd w:fill="FAFAFA" w:val="clear"/>
          </w:tcPr>
          <w:p>
            <w:r>
              <w:rPr>
                <w:sz w:val="17"/>
              </w:rPr>
              <w:t>2,019</w:t>
            </w:r>
          </w:p>
        </w:tc>
        <w:tc>
          <w:tcPr>
            <w:tcW w:type="dxa" w:w="1440"/>
            <w:shd w:fill="FAFAFA" w:val="clear"/>
          </w:tcPr>
          <w:p>
            <w:r>
              <w:rPr>
                <w:b/>
                <w:sz w:val="17"/>
              </w:rPr>
              <w:t>2,092</w:t>
            </w:r>
          </w:p>
        </w:tc>
        <w:tc>
          <w:tcPr>
            <w:tcW w:type="dxa" w:w="1440"/>
            <w:shd w:fill="FAFAFA" w:val="clear"/>
          </w:tcPr>
          <w:p>
            <w:r>
              <w:rPr>
                <w:sz w:val="17"/>
              </w:rPr>
              <w:t>2,164</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2026-10-22</w:t>
            </w:r>
          </w:p>
        </w:tc>
        <w:tc>
          <w:tcPr>
            <w:tcW w:type="dxa" w:w="1440"/>
            <w:shd w:fill="FAFAFA" w:val="clear"/>
          </w:tcPr>
          <w:p>
            <w:r>
              <w:rPr>
                <w:sz w:val="17"/>
              </w:rPr>
              <w:t>1,978</w:t>
            </w:r>
          </w:p>
        </w:tc>
        <w:tc>
          <w:tcPr>
            <w:tcW w:type="dxa" w:w="1440"/>
            <w:shd w:fill="FAFAFA" w:val="clear"/>
          </w:tcPr>
          <w:p>
            <w:r>
              <w:rPr>
                <w:b/>
                <w:sz w:val="17"/>
              </w:rPr>
              <w:t>2,080</w:t>
            </w:r>
          </w:p>
        </w:tc>
        <w:tc>
          <w:tcPr>
            <w:tcW w:type="dxa" w:w="1440"/>
            <w:shd w:fill="FAFAFA" w:val="clear"/>
          </w:tcPr>
          <w:p>
            <w:r>
              <w:rPr>
                <w:sz w:val="17"/>
              </w:rPr>
              <w:t>2,182</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2026-10-23</w:t>
            </w:r>
          </w:p>
        </w:tc>
        <w:tc>
          <w:tcPr>
            <w:tcW w:type="dxa" w:w="1440"/>
            <w:shd w:fill="FAFAFA" w:val="clear"/>
          </w:tcPr>
          <w:p>
            <w:r>
              <w:rPr>
                <w:sz w:val="17"/>
              </w:rPr>
              <w:t>1,945</w:t>
            </w:r>
          </w:p>
        </w:tc>
        <w:tc>
          <w:tcPr>
            <w:tcW w:type="dxa" w:w="1440"/>
            <w:shd w:fill="FAFAFA" w:val="clear"/>
          </w:tcPr>
          <w:p>
            <w:r>
              <w:rPr>
                <w:b/>
                <w:sz w:val="17"/>
              </w:rPr>
              <w:t>2,069</w:t>
            </w:r>
          </w:p>
        </w:tc>
        <w:tc>
          <w:tcPr>
            <w:tcW w:type="dxa" w:w="1440"/>
            <w:shd w:fill="FAFAFA" w:val="clear"/>
          </w:tcPr>
          <w:p>
            <w:r>
              <w:rPr>
                <w:sz w:val="17"/>
              </w:rPr>
              <w:t>2,193</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2026-10-26</w:t>
            </w:r>
          </w:p>
        </w:tc>
        <w:tc>
          <w:tcPr>
            <w:tcW w:type="dxa" w:w="1440"/>
            <w:shd w:fill="FAFAFA" w:val="clear"/>
          </w:tcPr>
          <w:p>
            <w:r>
              <w:rPr>
                <w:sz w:val="17"/>
              </w:rPr>
              <w:t>1,916</w:t>
            </w:r>
          </w:p>
        </w:tc>
        <w:tc>
          <w:tcPr>
            <w:tcW w:type="dxa" w:w="1440"/>
            <w:shd w:fill="FAFAFA" w:val="clear"/>
          </w:tcPr>
          <w:p>
            <w:r>
              <w:rPr>
                <w:b/>
                <w:sz w:val="17"/>
              </w:rPr>
              <w:t>2,059</w:t>
            </w:r>
          </w:p>
        </w:tc>
        <w:tc>
          <w:tcPr>
            <w:tcW w:type="dxa" w:w="1440"/>
            <w:shd w:fill="FAFAFA" w:val="clear"/>
          </w:tcPr>
          <w:p>
            <w:r>
              <w:rPr>
                <w:sz w:val="17"/>
              </w:rPr>
              <w:t>2,202</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2026-10-27</w:t>
            </w:r>
          </w:p>
        </w:tc>
        <w:tc>
          <w:tcPr>
            <w:tcW w:type="dxa" w:w="1440"/>
            <w:shd w:fill="FFDCE0" w:val="clear"/>
          </w:tcPr>
          <w:p>
            <w:r>
              <w:rPr>
                <w:sz w:val="17"/>
              </w:rPr>
              <w:t>1,890</w:t>
            </w:r>
          </w:p>
        </w:tc>
        <w:tc>
          <w:tcPr>
            <w:tcW w:type="dxa" w:w="1440"/>
            <w:shd w:fill="FFDCE0" w:val="clear"/>
          </w:tcPr>
          <w:p>
            <w:r>
              <w:rPr>
                <w:b/>
                <w:sz w:val="17"/>
              </w:rPr>
              <w:t>2,049</w:t>
            </w:r>
          </w:p>
        </w:tc>
        <w:tc>
          <w:tcPr>
            <w:tcW w:type="dxa" w:w="1440"/>
            <w:shd w:fill="FFDCE0" w:val="clear"/>
          </w:tcPr>
          <w:p>
            <w:r>
              <w:rPr>
                <w:sz w:val="17"/>
              </w:rPr>
              <w:t>2,208</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2026-10-28</w:t>
            </w:r>
          </w:p>
        </w:tc>
        <w:tc>
          <w:tcPr>
            <w:tcW w:type="dxa" w:w="1440"/>
            <w:shd w:fill="FFDCE0" w:val="clear"/>
          </w:tcPr>
          <w:p>
            <w:r>
              <w:rPr>
                <w:sz w:val="17"/>
              </w:rPr>
              <w:t>1,866</w:t>
            </w:r>
          </w:p>
        </w:tc>
        <w:tc>
          <w:tcPr>
            <w:tcW w:type="dxa" w:w="1440"/>
            <w:shd w:fill="FFDCE0" w:val="clear"/>
          </w:tcPr>
          <w:p>
            <w:r>
              <w:rPr>
                <w:b/>
                <w:sz w:val="17"/>
              </w:rPr>
              <w:t>2,039</w:t>
            </w:r>
          </w:p>
        </w:tc>
        <w:tc>
          <w:tcPr>
            <w:tcW w:type="dxa" w:w="1440"/>
            <w:shd w:fill="FFDCE0" w:val="clear"/>
          </w:tcPr>
          <w:p>
            <w:r>
              <w:rPr>
                <w:sz w:val="17"/>
              </w:rPr>
              <w:t>2,213</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2026-10-29</w:t>
            </w:r>
          </w:p>
        </w:tc>
        <w:tc>
          <w:tcPr>
            <w:tcW w:type="dxa" w:w="1440"/>
            <w:shd w:fill="FFDCE0" w:val="clear"/>
          </w:tcPr>
          <w:p>
            <w:r>
              <w:rPr>
                <w:sz w:val="17"/>
              </w:rPr>
              <w:t>1,844</w:t>
            </w:r>
          </w:p>
        </w:tc>
        <w:tc>
          <w:tcPr>
            <w:tcW w:type="dxa" w:w="1440"/>
            <w:shd w:fill="FFDCE0" w:val="clear"/>
          </w:tcPr>
          <w:p>
            <w:r>
              <w:rPr>
                <w:b/>
                <w:sz w:val="17"/>
              </w:rPr>
              <w:t>2,030</w:t>
            </w:r>
          </w:p>
        </w:tc>
        <w:tc>
          <w:tcPr>
            <w:tcW w:type="dxa" w:w="1440"/>
            <w:shd w:fill="FFDCE0" w:val="clear"/>
          </w:tcPr>
          <w:p>
            <w:r>
              <w:rPr>
                <w:sz w:val="17"/>
              </w:rPr>
              <w:t>2,216</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2026-10-30</w:t>
            </w:r>
          </w:p>
        </w:tc>
        <w:tc>
          <w:tcPr>
            <w:tcW w:type="dxa" w:w="1440"/>
            <w:shd w:fill="FFDCE0" w:val="clear"/>
          </w:tcPr>
          <w:p>
            <w:r>
              <w:rPr>
                <w:sz w:val="17"/>
              </w:rPr>
              <w:t>1,823</w:t>
            </w:r>
          </w:p>
        </w:tc>
        <w:tc>
          <w:tcPr>
            <w:tcW w:type="dxa" w:w="1440"/>
            <w:shd w:fill="FFDCE0" w:val="clear"/>
          </w:tcPr>
          <w:p>
            <w:r>
              <w:rPr>
                <w:b/>
                <w:sz w:val="17"/>
              </w:rPr>
              <w:t>2,021</w:t>
            </w:r>
          </w:p>
        </w:tc>
        <w:tc>
          <w:tcPr>
            <w:tcW w:type="dxa" w:w="1440"/>
            <w:shd w:fill="FFDCE0" w:val="clear"/>
          </w:tcPr>
          <w:p>
            <w:r>
              <w:rPr>
                <w:sz w:val="17"/>
              </w:rPr>
              <w:t>2,219</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2026-11-02</w:t>
            </w:r>
          </w:p>
        </w:tc>
        <w:tc>
          <w:tcPr>
            <w:tcW w:type="dxa" w:w="1440"/>
            <w:shd w:fill="FFDCE0" w:val="clear"/>
          </w:tcPr>
          <w:p>
            <w:r>
              <w:rPr>
                <w:sz w:val="17"/>
              </w:rPr>
              <w:t>1,803</w:t>
            </w:r>
          </w:p>
        </w:tc>
        <w:tc>
          <w:tcPr>
            <w:tcW w:type="dxa" w:w="1440"/>
            <w:shd w:fill="FFDCE0" w:val="clear"/>
          </w:tcPr>
          <w:p>
            <w:r>
              <w:rPr>
                <w:b/>
                <w:sz w:val="17"/>
              </w:rPr>
              <w:t>2,012</w:t>
            </w:r>
          </w:p>
        </w:tc>
        <w:tc>
          <w:tcPr>
            <w:tcW w:type="dxa" w:w="1440"/>
            <w:shd w:fill="FFDCE0" w:val="clear"/>
          </w:tcPr>
          <w:p>
            <w:r>
              <w:rPr>
                <w:sz w:val="17"/>
              </w:rPr>
              <w:t>2,221</w:t>
            </w:r>
          </w:p>
        </w:tc>
        <w:tc>
          <w:tcPr>
            <w:tcW w:type="dxa" w:w="1440"/>
            <w:shd w:fill="FFDCE0" w:val="clear"/>
          </w:tcPr>
          <w:p>
            <w:r>
              <w:rPr>
                <w:b/>
                <w:color w:val="C00000"/>
                <w:sz w:val="17"/>
              </w:rPr>
              <w:t>-4.2%</w:t>
            </w:r>
          </w:p>
        </w:tc>
      </w:tr>
      <w:tr>
        <w:tc>
          <w:tcPr>
            <w:tcW w:type="dxa" w:w="1440"/>
            <w:shd w:fill="FFDCE0" w:val="clear"/>
          </w:tcPr>
          <w:p>
            <w:r>
              <w:rPr>
                <w:sz w:val="17"/>
              </w:rPr>
              <w:t>J+10  ⭐</w:t>
            </w:r>
          </w:p>
        </w:tc>
        <w:tc>
          <w:tcPr>
            <w:tcW w:type="dxa" w:w="1440"/>
            <w:shd w:fill="FFDCE0" w:val="clear"/>
          </w:tcPr>
          <w:p>
            <w:r>
              <w:rPr>
                <w:sz w:val="17"/>
              </w:rPr>
              <w:t>2026-11-03</w:t>
            </w:r>
          </w:p>
        </w:tc>
        <w:tc>
          <w:tcPr>
            <w:tcW w:type="dxa" w:w="1440"/>
            <w:shd w:fill="FFDCE0" w:val="clear"/>
          </w:tcPr>
          <w:p>
            <w:r>
              <w:rPr>
                <w:sz w:val="17"/>
              </w:rPr>
              <w:t>1,784</w:t>
            </w:r>
          </w:p>
        </w:tc>
        <w:tc>
          <w:tcPr>
            <w:tcW w:type="dxa" w:w="1440"/>
            <w:shd w:fill="FFDCE0" w:val="clear"/>
          </w:tcPr>
          <w:p>
            <w:r>
              <w:rPr>
                <w:b/>
                <w:sz w:val="17"/>
              </w:rPr>
              <w:t>2,004</w:t>
            </w:r>
          </w:p>
        </w:tc>
        <w:tc>
          <w:tcPr>
            <w:tcW w:type="dxa" w:w="1440"/>
            <w:shd w:fill="FFDCE0" w:val="clear"/>
          </w:tcPr>
          <w:p>
            <w:r>
              <w:rPr>
                <w:sz w:val="17"/>
              </w:rPr>
              <w:t>2,223</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 RAPPORT D'ANALYSE FINANCIÈRE — UNIWAX (UNXC)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43,58 milliards FCFA, UNXC se situe dans la moyenne des capitalisations de la BRVM, sans toutefois figurer parmi les poids lourds de la cote. Le BPA ressort à -30 FCFA/action, traduisant une société encore déficitaire sur l'exercice 2025, ce qui rend le PER inopérant (-69,8x) et signale qu'aucun bénéfice positif ne peut être capitalisé à ce stade. Le P/B de 1,77x indique que le marché valorise le titre à environ 1,8 fois sa valeur comptable — un niveau raisonnable (fourchette 1-2x) qui n'intègre ni prime spéculative excessive ni décote de détresse. En revanche, l'EV/EBITDA de 35,6x apparaît très exigeant (&gt;15x), signifiant que la valeur d'entreprise représente plus de 35 fois la capacité opérationnelle dégagée : le marché anticipe donc fortement le redressement de l'EBITDA (redevenu positif à 1,13 Md FCFA en 2025) plutôt qu'il ne le constate. Ces ratios traduisent une valorisation tendue sur la capacité bénéficiaire actuelle, mais cohérente avec un titre en phase de retournement.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UNXC affiche une progression totale de +17,32%, avec un cours actuel de 2 100 FCFA et une légère contraction de -0,24% sur la dernière séance, signe d'une pause dans la dynamique haussière. Le range de trading est particulièrement large, du plus bas de 1 250 FCFA au plus haut de 2 495 FCFA, soit un écart de près de 100% entre les extrêmes — révélateur d'une forte amplitude de cotation. La moyenne (2 049 FCFA) se situe au-dessus de la médiane (1 970 FCFA) et du mode (1 970 FCFA), indiquant une distribution légèrement tirée vers le haut par les pics de cotation. L'écart-type de 302 FCFA avec un coefficient de variation de 14,7% traduit une dispersion modérée du cours autour de sa moyenne. Le kurtosis de -0,286 (mésokurtique) suggère un comportement proche d'une distribution normale, sans risque de pics extrêmes marqué, tandis que le skewness de -0,479 (distribution symétrique selon l'interprétation fournie) indique une légère asymétrie vers les valeurs basses. Enfin, la volatilité annualisée de 50,2% positionne clairement le titre dans la catégorie des valeurs à volatilité élevée (&gt;30%), ce qui est cohérent avec un profil de valeur de retournement.</w:t>
      </w:r>
    </w:p>
    <w:p>
      <w:pPr>
        <w:spacing w:after="120" w:line="276" w:lineRule="auto"/>
      </w:pPr>
      <w:r>
        <w:t>---</w:t>
      </w:r>
    </w:p>
    <w:p>
      <w:pPr>
        <w:spacing w:after="120" w:line="276" w:lineRule="auto"/>
      </w:pPr>
      <w:r>
        <w:t>## PARTIE 2 : ANALYSE TECHNIQUE DÉTAILLÉE</w:t>
      </w:r>
    </w:p>
    <w:p>
      <w:pPr>
        <w:spacing w:after="120" w:line="276" w:lineRule="auto"/>
      </w:pPr>
      <w:r>
        <w:t>**Moyennes Mobiles** : La MM20 (2 264 FCFA) et la MM50 (2 291,2 FCFA) se situent toutes deux au-dessus du cours actuel (2 100 FCFA), configurant une pression baissière de court et moyen terme. La MM20 étant légèrement sous la MM50, la structure reste baissière, ce qui justifie la décision technique de **Vente** : le cours évolue sous ses références mobiles, signal classique de faiblesse tant que la reconquête de ces niveaux n'est pas effective.</w:t>
      </w:r>
    </w:p>
    <w:p>
      <w:pPr>
        <w:spacing w:after="120" w:line="276" w:lineRule="auto"/>
      </w:pPr>
      <w:r>
        <w:t>**Bandes de Bollinger** : Le cours (2 100 FCFA) se situe dans la partie basse de la bande, entre la borne inférieure (2 057,23 FCFA) et la borne supérieure (2 470,77 FCFA), sans en franchir les limites. Cette position proche de la borne basse traduit une pression vendeuse récente mais sans excès, la décision **Neutre** reflétant l'absence de signal de rupture : le cours n'est ni en survente extrême sur les bandes, ni en phase d'expansion.</w:t>
      </w:r>
    </w:p>
    <w:p>
      <w:pPr>
        <w:spacing w:after="120" w:line="276" w:lineRule="auto"/>
      </w:pPr>
      <w:r>
        <w:t>**MACD** : La valeur du MACD (-45,01) est inférieure à sa ligne de signal (-17,42), confirmant un momentum négatif et une divergence baissière persistante. Cet écartement négatif entre MACD et signal valide la décision de **Vente** : la dynamique de court terme reste orientée à la baisse, sans amorce de retournement visible sur cet indicateur.</w:t>
      </w:r>
    </w:p>
    <w:p>
      <w:pPr>
        <w:spacing w:after="120" w:line="276" w:lineRule="auto"/>
      </w:pPr>
      <w:r>
        <w:t>**RSI** : À 13,684, le RSI se situe très largement sous le seuil de survente de 30, ce qui constitue un signal de **Achat** technique : le titre est en zone de survente extrême, configuration qui précède souvent un rebond technique, bien qu'elle puisse persister dans un contexte baissier fort.</w:t>
      </w:r>
    </w:p>
    <w:p>
      <w:pPr>
        <w:spacing w:after="120" w:line="276" w:lineRule="auto"/>
      </w:pPr>
      <w:r>
        <w:t>**Stochastique** : Avec %K et %D tous deux à 0,0, l'indicateur est bloqué en zone de survente absolue, générant également une décision de **Achat**. Ce niveau plancher signale un épuisement des vendeurs à très court terme, mais l'absence de croisement haussier (%K au-dessus de %D) invite à la prudence avant de valider un retournement.</w:t>
      </w:r>
    </w:p>
    <w:p>
      <w:pPr>
        <w:spacing w:after="120" w:line="276" w:lineRule="auto"/>
      </w:pPr>
      <w:r>
        <w:t>**Conclusion technique** : Les indicateurs présentent une divergence marquée : les moyennes mobiles et le MACD confirment une tendance baissière de fond (décisions Vente), tandis que le RSI et le stochastique signalent une survente extrême propice à un rebond technique (décisions Achat). Les Bandes de Bollinger restent neutres. Cette configuration suggère un titre en fin de correction, où le potentiel de rebond existe mais nécessite une confirmation par le franchissement des moyennes mobiles. La prudence domine à court terme, avec un signal d'achat tactique contre-tendance mais risqué.</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UNIWAX a réalisé un chiffre d'affaires de 29,032 milliards FCFA, en croissance de 6,21% (taux de croissance CA), avec un EBE redevenu positif à 1,127 Md FCFA contre -0,35 Md en 2024. Le résultat net reste toutefois négatif à -624,11 M FCFA (marge nette -2,15%), contre -2,19 Md en 2024, soit une perte divisée par environ 3,5. Le ROE s'établit à -2,54% et le ROA à -1,97%, confirmant l'absence de rentabilité des fonds propres et des actifs sur l'exercice. La structure financière demeure très solide : autonomie financière de 77,58%, ratio d'endettement de seulement 1,50%, liquidité générale de 346% et trésorerie nette positive de 3,813 Md FCFA. **Spécificités du secteur entreprise** : le BFR ressort à 11,187 Md FCFA (qualifié de favorable dans les données), le délai clients est de 45,8 jours (risque de trésorerie modéré), le délai fournisseurs de 102,43 jours (favorable à la trésorerie) et la durée de stockage atteint 324,99 jours — un niveau très élevé qui immobilise massivement du capital dans les stocks (12,179 Md FCFA). Le flux opérationnel est négatif à -8,124 Md FCFA, le redressement ayant été financé par des cessions d'immobilisations (+9,399 Md FCFA).</w:t>
      </w:r>
    </w:p>
    <w:p>
      <w:pPr>
        <w:spacing w:after="120" w:line="276" w:lineRule="auto"/>
      </w:pPr>
      <w:r>
        <w:t>**Estimations à partir des rapports narratifs** : Le rapport du **S1 2026** (publié en 2026) constitue le signal le plus encourageant : le CA s'établit à 15,752 Md FCFA (+0,3% seulement, croissance qui marque le pas), mais surtout le **résultat d'exploitation redevient positif à 771 M FCFA** contre -314 M au S1 2025, et le résultat net atteint 771 M FCFA (marge nette 4,9%) — hors plus-value exceptionnelle de 2025. On estime donc que l'exercice 2026 pourrait marquer le retour à une rentabilité opérationnelle structurelle, confirmant l'inflexion annoncée dès le rapport du **T3 2025** (30/09/2025), qui soulignait déjà l'absence de perte au T3 hors activités ordinaires. Le rapport annuel **2025** (exercice clos 31/12/2025) confirme le redressement (EBE positif, perte divisée par 3,5), tandis que les rapports antérieurs (**S1 2025**, **T1 2025**) montraient une profitabilité artificielle portée par la cession-bail du terrain (+9,994 Md FCFA de produit exceptionnel). Historiquement, le rapport **2024** affichait un CA de 27,33 Md FCFA et un résultat net de 4,19 Md FCFA, mais avec une valeur ajoutée en baisse de 14,8% et des dotations en forte hausse.</w:t>
      </w:r>
    </w:p>
    <w:p>
      <w:pPr>
        <w:spacing w:after="120" w:line="276" w:lineRule="auto"/>
      </w:pPr>
      <w:r>
        <w:t>**Recommandation fondamentale** : La société présente une solidité bilancielle remarquable (capitaux propres de 24,62 Md FCFA, endettement quasi nul) et un redressement opérationnel désormais confirmé par le S1 2026 (résultat d'exploitation positif). Les risques résiduels portent sur la faible croissance du CA au S1 2026 (+0,3%), la durée de stockage excessive (325 jours) et la dépendance aux marchés d'export (Nigeria, Guinée). La dynamique est néanmoins favorable, avec une trajectoire crédible vers un retour durable à l'équilibre — recommandation fondamentale : **CONSERVER avec biais positif**, en attendant la confirmation de la rentabilité sur l'exercice complet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**Sur la valorisation (Partie 0)**, le P/B de 1,77x reste raisonnable, mais le PER négatif et l'EV/EBITDA de 35,6x traduisent une valorisation exigeante qui anticipe le redressement plutôt qu'elle ne le constate — ni franche sous-évaluation, ni surévaluation manifeste. **Sur le comportement du cours (Partie 1)**, la hausse de +17,32% sur 100 jours et la volatilité élevée (50,2%) avec un kurtosis proche de la normale et un skewness symétrique dessinent un titre dynamique mais risqué, dont la distribution ne présente pas de risque de pics extrêmes. **Sur le plan technique (Partie 2)**, la divergence est nette : MM et MACD baissiers (Vente) contre RSI (13,7) et stochastique (0,0) en survente extrême (Achat) — configuration de rebond tactique possible mais non confirmée. **Sur les fondamentaux (Partie 3)**, le redressement est réel et documenté (EBE positif en 2025, résultat d'exploitation positif au S1 2026 à 771 M FCFA), porté par une structure financière très saine, malgré une croissance qui ralentit et des stocks élevés. **Les prédictions IA (J+1 à J+10)** projettent une trajectoire légèrement baissière de 2 092 à 2 049 FCFA, cohérente avec la pression des moyennes mobiles et le MACD, mais en contradiction avec le signal de survente extrême du RSI.</w:t>
      </w:r>
    </w:p>
    <w:p>
      <w:pPr>
        <w:spacing w:after="120" w:line="276" w:lineRule="auto"/>
      </w:pPr>
      <w:r>
        <w:t>**Recommandation finale : CONSERVER** — avec un niveau de confiance **Moyen** et un risque global **Élevé**. La convergence est partielle : les fondamentaux en amélioration et la valorisation raisonnable (P/B) soutiennent le titre à moyen terme, tandis que la technique de court terme reste baissière et que les prédictions IA confirment une pression descendante immédiate. Le signal d'achat du RSI/stochastique reste tactique et non confirmé. **Horizon optimal : moyen terme (3-12 mois)**, le temps que la rentabilité opérationnelle du S1 2026 se confirme sur l'exercice complet et que le cours reconquière ses moyennes mobiles (MM20 à 2 264 FCFA, MM50 à 2 291 FCFA) — un franchissement de ces niveaux constituerait le déclencheur d'un passage à l'ACHAT.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