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20/08/2026 à 04:57</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HAUSSIER 📈</w:t>
      </w:r>
    </w:p>
    <w:p>
      <w:pPr>
        <w:spacing w:before="20" w:after="20"/>
        <w:ind w:left="360" w:right="360"/>
        <w:shd w:val="clear" w:color="auto" w:fill="EBF5FB"/>
      </w:pPr>
      <w:r>
        <w:rPr>
          <w:b/>
          <w:sz w:val="19"/>
        </w:rPr>
        <w:t xml:space="preserve">Signaux :  </w:t>
      </w:r>
      <w:r>
        <w:rPr>
          <w:color w:val="0050A0"/>
          <w:sz w:val="19"/>
        </w:rPr>
        <w:t>45 ACHAT  |  2 NEUTRE  |  0 VENTE  (sur 47 sociétés)</w:t>
      </w:r>
    </w:p>
    <w:p>
      <w:pPr>
        <w:spacing w:before="20" w:after="20"/>
        <w:ind w:left="360" w:right="360"/>
        <w:shd w:val="clear" w:color="auto" w:fill="EBF5FB"/>
      </w:pPr>
      <w:r>
        <w:rPr>
          <w:b/>
          <w:sz w:val="19"/>
        </w:rPr>
        <w:t xml:space="preserve">Top opportunité :  </w:t>
      </w:r>
      <w:r>
        <w:rPr>
          <w:color w:val="008000"/>
          <w:sz w:val="19"/>
        </w:rPr>
        <w:t>BOAC  (score 76/100)</w:t>
      </w:r>
    </w:p>
    <w:p>
      <w:pPr>
        <w:spacing w:before="20" w:after="20"/>
        <w:ind w:left="360" w:right="360"/>
        <w:shd w:val="clear" w:color="auto" w:fill="EBF5FB"/>
      </w:pPr>
      <w:r>
        <w:rPr>
          <w:b/>
          <w:sz w:val="19"/>
        </w:rPr>
        <w:t xml:space="preserve">Secteur surperformant :  </w:t>
      </w:r>
      <w:r>
        <w:rPr>
          <w:color w:val="008000"/>
          <w:sz w:val="19"/>
        </w:rPr>
        <w:t>SERVICES PUBLICS  (+87.8%)</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15 sociétés — vérifier avant d'investir</w:t>
      </w:r>
    </w:p>
    <w:p>
      <w:pPr>
        <w:spacing w:before="20" w:after="20"/>
        <w:ind w:left="360" w:right="360"/>
        <w:shd w:val="clear" w:color="auto" w:fill="EBF5FB"/>
      </w:pPr>
      <w:r>
        <w:rPr>
          <w:b/>
          <w:sz w:val="19"/>
        </w:rPr>
        <w:t xml:space="preserve">⚠️ Liquidité réduite :  </w:t>
      </w:r>
      <w:r>
        <w:rPr>
          <w:color w:val="C00000"/>
          <w:sz w:val="19"/>
        </w:rPr>
        <w:t>10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515.72 points </w:t>
      </w:r>
      <w:r>
        <w:rPr>
          <w:color w:val="008000"/>
        </w:rPr>
        <w:t>(+1.69%)</w:t>
      </w:r>
      <w:r>
        <w:t xml:space="preserve"> sur la séance. </w:t>
      </w:r>
      <w:r>
        <w:t>La capitalisation globale du marché atteint 19 886,911 milliards FCFA.</w:t>
      </w:r>
    </w:p>
    <w:p/>
    <w:p>
      <w:pPr>
        <w:pStyle w:val="Heading3"/>
      </w:pPr>
      <w:r>
        <w:t>📊 Évolution de l'indice BRVM Composite (100 derniers jours)</w:t>
      </w:r>
    </w:p>
    <w:p>
      <w:r>
        <w:rPr>
          <w:b/>
        </w:rPr>
        <w:t xml:space="preserve">BRVM Composite — </w:t>
      </w:r>
      <w:r>
        <w:t xml:space="preserve">Sur les 100 derniers jours de cotation (2026-03-25 au 2026-08-19), l'indice BRVM Composite a évolué de </w:t>
      </w:r>
      <w:r>
        <w:rPr>
          <w:b/>
          <w:color w:val="008000"/>
        </w:rPr>
        <w:t>+28.94%</w:t>
      </w:r>
      <w:r>
        <w:t>, passant de 399.96 pts à 515.72 pts. Le plus haut atteint est 515.72 pts et le plus bas 397.33 pts. Sur l'ensemble de la période, la moyenne de l'indice s'établit à 440.31 pts, la médiane à 436.54 pts et le mode à 403.36 pts</w:t>
      </w:r>
      <w:r>
        <w:t xml:space="preserve"> (asymétrie positive — plus de jours sous la moyenne). </w:t>
      </w:r>
      <w:r>
        <w:t xml:space="preserve">L'écart-type de 34.02 pts (CV=7.7%) traduit une modérée dispersion des cotations. Le kurtosis de -1.26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+28.96%</w:t>
      </w:r>
      <w:r>
        <w:t xml:space="preserve"> sur la période, passant de 15 420,618 Mds FCFA à 19 886,911 Mds FCFA. Le pic de capitalisation observé est de 19 886,911 Mds FCFA et le plancher de 15 319,235 Mds FCFA. La moyenne de la capitalisation sur la période s'établit à 16 969,496 Mds FCFA, la médiane à 16 816,942 Mds FCFA et le mode à 15 319,235 Mds FCFA</w:t>
      </w:r>
      <w:r>
        <w:t xml:space="preserve"> (asymétrie positive). </w:t>
      </w:r>
      <w:r>
        <w:t>L'écart-type de 1 307,553 Mds FCFA (CV=7.7%) reflète une modérée variabilité de la valorisation du marché. Le kurtosis de -1.24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ABJC - ABJC - SERVAIR ABIDJAN CI</w:t>
      </w:r>
      <w:r>
        <w:t xml:space="preserve"> | Prix: 3385 FCFA | </w:t>
      </w:r>
      <w:r>
        <w:rPr>
          <w:b/>
          <w:color w:val="008000"/>
        </w:rPr>
        <w:t>ACHAT FORT</w:t>
      </w:r>
      <w:r>
        <w:t xml:space="preserve"> | Confiance: Faible | Risque: Faible</w:t>
      </w:r>
    </w:p>
    <w:p>
      <w:pPr>
        <w:pStyle w:val="ListNumber"/>
      </w:pPr>
      <w:r>
        <w:rPr>
          <w:b/>
        </w:rPr>
        <w:t>BICB - BIIC BN - Banque internationale pour le commerce du benin</w:t>
      </w:r>
      <w:r>
        <w:t xml:space="preserve"> | Prix: 8405 FCFA | </w:t>
      </w:r>
      <w:r>
        <w:rPr>
          <w:b/>
          <w:color w:val="008000"/>
        </w:rPr>
        <w:t>ACHAT</w:t>
      </w:r>
      <w:r>
        <w:t xml:space="preserve"> | Confiance: Moyen | Risque: Moyen</w:t>
      </w:r>
    </w:p>
    <w:p>
      <w:pPr>
        <w:pStyle w:val="ListNumber"/>
      </w:pPr>
      <w:r>
        <w:rPr>
          <w:b/>
        </w:rPr>
        <w:t>BICC - BICI CI - Banque internationale pour le commerce et l'industrie de la Côte d'Ivoire</w:t>
      </w:r>
      <w:r>
        <w:t xml:space="preserve"> | Prix: 29200 FCFA | </w:t>
      </w:r>
      <w:r>
        <w:rPr>
          <w:b/>
          <w:color w:val="008000"/>
        </w:rPr>
        <w:t>ACHAT</w:t>
      </w:r>
      <w:r>
        <w:t xml:space="preserve"> | Confiance: Élevée | Risque: Moyen</w:t>
      </w:r>
    </w:p>
    <w:p>
      <w:pPr>
        <w:pStyle w:val="ListNumber"/>
      </w:pPr>
      <w:r>
        <w:rPr>
          <w:b/>
        </w:rPr>
        <w:t>BNBC - BNBC - BERNABE CI</w:t>
      </w:r>
      <w:r>
        <w:t xml:space="preserve"> | Prix: 1990 FCFA | </w:t>
      </w:r>
      <w:r>
        <w:rPr>
          <w:b/>
          <w:color w:val="008000"/>
        </w:rPr>
        <w:t>ACHAT</w:t>
      </w:r>
      <w:r>
        <w:t xml:space="preserve"> | Confiance: Moyen | Risque: Moyen</w:t>
      </w:r>
    </w:p>
    <w:p>
      <w:pPr>
        <w:pStyle w:val="ListNumber"/>
      </w:pPr>
      <w:r>
        <w:rPr>
          <w:b/>
        </w:rPr>
        <w:t>BOAB - BANK OF AFRICA BENIN</w:t>
      </w:r>
      <w:r>
        <w:t xml:space="preserve"> | Prix: 9100 FCFA | </w:t>
      </w:r>
      <w:r>
        <w:rPr>
          <w:b/>
          <w:color w:val="008000"/>
        </w:rPr>
        <w:t>ACHAT</w:t>
      </w:r>
      <w:r>
        <w:t xml:space="preserve"> | Confiance: Moyen | Risque: Moyen</w:t>
      </w:r>
    </w:p>
    <w:p>
      <w:pPr>
        <w:pStyle w:val="ListNumber"/>
      </w:pPr>
      <w:r>
        <w:rPr>
          <w:b/>
        </w:rPr>
        <w:t>BOABF - BANK OF AFRICA BURKINA FASO</w:t>
      </w:r>
      <w:r>
        <w:t xml:space="preserve"> | Prix: 7300 FCFA | </w:t>
      </w:r>
      <w:r>
        <w:rPr>
          <w:b/>
          <w:color w:val="008000"/>
        </w:rPr>
        <w:t>ACHAT</w:t>
      </w:r>
      <w:r>
        <w:t xml:space="preserve"> | Confiance: Moyen | Risque: Faible</w:t>
      </w:r>
    </w:p>
    <w:p>
      <w:pPr>
        <w:pStyle w:val="ListNumber"/>
      </w:pPr>
      <w:r>
        <w:rPr>
          <w:b/>
        </w:rPr>
        <w:t>BOAC - BANK OF AFRICA COTE D'IVOIRE</w:t>
      </w:r>
      <w:r>
        <w:t xml:space="preserve"> | Prix: 13300 FCFA | </w:t>
      </w:r>
      <w:r>
        <w:rPr>
          <w:b/>
          <w:color w:val="008000"/>
        </w:rPr>
        <w:t>ACHAT</w:t>
      </w:r>
      <w:r>
        <w:t xml:space="preserve"> | Confiance: Moyen | Risque: Faible</w:t>
      </w:r>
    </w:p>
    <w:p>
      <w:pPr>
        <w:pStyle w:val="ListNumber"/>
      </w:pPr>
      <w:r>
        <w:rPr>
          <w:b/>
        </w:rPr>
        <w:t>BOAM - BANK OF AFRICA MALI</w:t>
      </w:r>
      <w:r>
        <w:t xml:space="preserve"> | Prix: 6290 FCFA | </w:t>
      </w:r>
      <w:r>
        <w:rPr>
          <w:b/>
          <w:color w:val="008000"/>
        </w:rPr>
        <w:t>ACHAT</w:t>
      </w:r>
      <w:r>
        <w:t xml:space="preserve"> | Confiance: Moyen | Risque: Faible</w:t>
      </w:r>
    </w:p>
    <w:p>
      <w:pPr>
        <w:pStyle w:val="ListNumber"/>
      </w:pPr>
      <w:r>
        <w:rPr>
          <w:b/>
        </w:rPr>
        <w:t>BOAN - BANK OF AFRICA NIGER</w:t>
      </w:r>
      <w:r>
        <w:t xml:space="preserve"> | Prix: 5150 FCFA | </w:t>
      </w:r>
      <w:r>
        <w:rPr>
          <w:b/>
          <w:color w:val="008000"/>
        </w:rPr>
        <w:t>ACHAT</w:t>
      </w:r>
      <w:r>
        <w:t xml:space="preserve"> | Confiance: Moyen | Risque: Moyen</w:t>
      </w:r>
    </w:p>
    <w:p>
      <w:pPr>
        <w:pStyle w:val="ListNumber"/>
      </w:pPr>
      <w:r>
        <w:rPr>
          <w:b/>
        </w:rPr>
        <w:t>BOAS - BANK OF AFRICA SENEGAL</w:t>
      </w:r>
      <w:r>
        <w:t xml:space="preserve"> | Prix: 7800 FCFA | </w:t>
      </w:r>
      <w:r>
        <w:rPr>
          <w:b/>
          <w:color w:val="008000"/>
        </w:rPr>
        <w:t>ACHAT</w:t>
      </w:r>
      <w:r>
        <w:t xml:space="preserve"> | Confiance: Faible | Risque: Faible</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NEIC - NEIC - NEI-CEDA CI</w:t>
      </w:r>
      <w:r>
        <w:t xml:space="preserve"> | Prix: 2195 FCFA | </w:t>
      </w:r>
      <w:r>
        <w:rPr>
          <w:b/>
          <w:color w:val="C00000"/>
        </w:rPr>
        <w:t>CONSERVER</w:t>
      </w:r>
      <w:r>
        <w:t xml:space="preserve"> | Confiance: Moyen | Risque: Moyen</w:t>
      </w:r>
    </w:p>
    <w:p>
      <w:pPr>
        <w:pStyle w:val="ListNumber"/>
      </w:pPr>
      <w:r>
        <w:rPr>
          <w:b/>
        </w:rPr>
        <w:t>CABC - CABC - SICABLE COTE D'IVOIRE</w:t>
      </w:r>
      <w:r>
        <w:t xml:space="preserve"> | Prix: 3690 FCFA | </w:t>
      </w:r>
      <w:r>
        <w:rPr>
          <w:b/>
          <w:color w:val="C00000"/>
        </w:rPr>
        <w:t>CONSERVER ⚠️</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87.76%</w:t>
      </w:r>
      <w:r>
        <w:t xml:space="preserve">  |  </w:t>
      </w:r>
      <w:r>
        <w:rPr>
          <w:b/>
        </w:rPr>
        <w:t xml:space="preserve">vs BRVM Composite: </w:t>
      </w:r>
      <w:r>
        <w:rPr>
          <w:b/>
          <w:color w:val="008000"/>
        </w:rPr>
        <w:t>+58.82%  🟢 Surperformance</w:t>
      </w:r>
      <w:r>
        <w:br/>
      </w:r>
      <w:r>
        <w:rPr>
          <w:b/>
        </w:rPr>
        <w:t xml:space="preserve">Sentiment général: </w:t>
      </w:r>
      <w:r>
        <w:t xml:space="preserve">ACHAT  |  </w:t>
      </w:r>
      <w:r>
        <w:rPr>
          <w:b/>
        </w:rPr>
        <w:t xml:space="preserve">Risque moyen: </w:t>
      </w:r>
      <w:r>
        <w:t xml:space="preserve">Moyen  |  </w:t>
      </w:r>
      <w:r>
        <w:rPr>
          <w:b/>
        </w:rPr>
        <w:t xml:space="preserve">Prix moyen: </w:t>
      </w:r>
      <w:r>
        <w:t>9490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40.77%</w:t>
      </w:r>
      <w:r>
        <w:t xml:space="preserve">  |  </w:t>
      </w:r>
      <w:r>
        <w:rPr>
          <w:b/>
        </w:rPr>
        <w:t xml:space="preserve">vs BRVM Composite: </w:t>
      </w:r>
      <w:r>
        <w:rPr>
          <w:b/>
          <w:color w:val="008000"/>
        </w:rPr>
        <w:t>+11.83%  🟢 Surperformance</w:t>
      </w:r>
      <w:r>
        <w:br/>
      </w:r>
      <w:r>
        <w:rPr>
          <w:b/>
        </w:rPr>
        <w:t xml:space="preserve">Sentiment général: </w:t>
      </w:r>
      <w:r>
        <w:t xml:space="preserve">ACHAT  |  </w:t>
      </w:r>
      <w:r>
        <w:rPr>
          <w:b/>
        </w:rPr>
        <w:t xml:space="preserve">Risque moyen: </w:t>
      </w:r>
      <w:r>
        <w:t xml:space="preserve">Moyen  |  </w:t>
      </w:r>
      <w:r>
        <w:rPr>
          <w:b/>
        </w:rPr>
        <w:t xml:space="preserve">Prix moyen: </w:t>
      </w:r>
      <w:r>
        <w:t>13256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39.64%</w:t>
      </w:r>
      <w:r>
        <w:t xml:space="preserve">  |  </w:t>
      </w:r>
      <w:r>
        <w:rPr>
          <w:b/>
        </w:rPr>
        <w:t xml:space="preserve">vs BRVM Composite: </w:t>
      </w:r>
      <w:r>
        <w:rPr>
          <w:b/>
          <w:color w:val="008000"/>
        </w:rPr>
        <w:t>+10.69%  🟢 Surperformance</w:t>
      </w:r>
      <w:r>
        <w:br/>
      </w:r>
      <w:r>
        <w:rPr>
          <w:b/>
        </w:rPr>
        <w:t xml:space="preserve">Sentiment général: </w:t>
      </w:r>
      <w:r>
        <w:t xml:space="preserve">ACHAT  |  </w:t>
      </w:r>
      <w:r>
        <w:rPr>
          <w:b/>
        </w:rPr>
        <w:t xml:space="preserve">Risque moyen: </w:t>
      </w:r>
      <w:r>
        <w:t xml:space="preserve">Moyen  |  </w:t>
      </w:r>
      <w:r>
        <w:rPr>
          <w:b/>
        </w:rPr>
        <w:t xml:space="preserve">Prix moyen: </w:t>
      </w:r>
      <w:r>
        <w:t>19169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18.63%</w:t>
      </w:r>
      <w:r>
        <w:t xml:space="preserve">  |  </w:t>
      </w:r>
      <w:r>
        <w:rPr>
          <w:b/>
        </w:rPr>
        <w:t xml:space="preserve">vs BRVM Composite: </w:t>
      </w:r>
      <w:r>
        <w:rPr>
          <w:b/>
          <w:color w:val="C00000"/>
        </w:rPr>
        <w:t>-10.32%  🔴 Sous-performance</w:t>
      </w:r>
      <w:r>
        <w:br/>
      </w:r>
      <w:r>
        <w:rPr>
          <w:b/>
        </w:rPr>
        <w:t xml:space="preserve">Sentiment général: </w:t>
      </w:r>
      <w:r>
        <w:t xml:space="preserve">ACHAT  |  </w:t>
      </w:r>
      <w:r>
        <w:rPr>
          <w:b/>
        </w:rPr>
        <w:t xml:space="preserve">Risque moyen: </w:t>
      </w:r>
      <w:r>
        <w:t xml:space="preserve">Faible  |  </w:t>
      </w:r>
      <w:r>
        <w:rPr>
          <w:b/>
        </w:rPr>
        <w:t xml:space="preserve">Prix moyen: </w:t>
      </w:r>
      <w:r>
        <w:t>18952 FCFA</w:t>
        <w:br/>
      </w:r>
      <w:r>
        <w:rPr>
          <w:b/>
        </w:rPr>
        <w:br/>
        <w:t xml:space="preserve">Sociétés: </w:t>
      </w:r>
      <w:r>
        <w:t>ONTBF (ONTBF - ONATEL BURKINA FASO), ORAC (ORAC - ORANGE COTE D'IVOIRE), SNTS (SNTS - SONATEL SN)</w:t>
      </w:r>
    </w:p>
    <w:p/>
    <w:p>
      <w:pPr>
        <w:pStyle w:val="Heading3"/>
      </w:pPr>
      <w:r>
        <w:t>Secteur: ENERGIE</w:t>
      </w:r>
    </w:p>
    <w:p>
      <w:r>
        <w:rPr>
          <w:b/>
        </w:rPr>
        <w:t xml:space="preserve">Nombre de sociétés: </w:t>
      </w:r>
      <w:r>
        <w:t xml:space="preserve">4  |  </w:t>
      </w:r>
      <w:r>
        <w:rPr>
          <w:b/>
        </w:rPr>
        <w:t xml:space="preserve">Performance moyenne (100j): </w:t>
      </w:r>
      <w:r>
        <w:rPr>
          <w:color w:val="008000"/>
        </w:rPr>
        <w:t>18.38%</w:t>
      </w:r>
      <w:r>
        <w:t xml:space="preserve">  |  </w:t>
      </w:r>
      <w:r>
        <w:rPr>
          <w:b/>
        </w:rPr>
        <w:t xml:space="preserve">vs BRVM Composite: </w:t>
      </w:r>
      <w:r>
        <w:rPr>
          <w:b/>
          <w:color w:val="C00000"/>
        </w:rPr>
        <w:t>-10.56%  🔴 Sous-performance</w:t>
      </w:r>
      <w:r>
        <w:br/>
      </w:r>
      <w:r>
        <w:rPr>
          <w:b/>
        </w:rPr>
        <w:t xml:space="preserve">Sentiment général: </w:t>
      </w:r>
      <w:r>
        <w:t xml:space="preserve">ACHAT  |  </w:t>
      </w:r>
      <w:r>
        <w:rPr>
          <w:b/>
        </w:rPr>
        <w:t xml:space="preserve">Risque moyen: </w:t>
      </w:r>
      <w:r>
        <w:t xml:space="preserve">Moyen  |  </w:t>
      </w:r>
      <w:r>
        <w:rPr>
          <w:b/>
        </w:rPr>
        <w:t xml:space="preserve">Prix moyen: </w:t>
      </w:r>
      <w:r>
        <w:t>6458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16.11%</w:t>
      </w:r>
      <w:r>
        <w:t xml:space="preserve">  |  </w:t>
      </w:r>
      <w:r>
        <w:rPr>
          <w:b/>
        </w:rPr>
        <w:t xml:space="preserve">vs BRVM Composite: </w:t>
      </w:r>
      <w:r>
        <w:rPr>
          <w:b/>
          <w:color w:val="C00000"/>
        </w:rPr>
        <w:t>-12.84%  🔴 Sous-performance</w:t>
      </w:r>
      <w:r>
        <w:br/>
      </w:r>
      <w:r>
        <w:rPr>
          <w:b/>
        </w:rPr>
        <w:t xml:space="preserve">Sentiment général: </w:t>
      </w:r>
      <w:r>
        <w:t xml:space="preserve">ACHAT  |  </w:t>
      </w:r>
      <w:r>
        <w:rPr>
          <w:b/>
        </w:rPr>
        <w:t xml:space="preserve">Risque moyen: </w:t>
      </w:r>
      <w:r>
        <w:t xml:space="preserve">Moyen  |  </w:t>
      </w:r>
      <w:r>
        <w:rPr>
          <w:b/>
        </w:rPr>
        <w:t xml:space="preserve">Prix moyen: </w:t>
      </w:r>
      <w:r>
        <w:t>2887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008000"/>
        </w:rPr>
        <w:t>0.71%</w:t>
      </w:r>
      <w:r>
        <w:t xml:space="preserve">  |  </w:t>
      </w:r>
      <w:r>
        <w:rPr>
          <w:b/>
        </w:rPr>
        <w:t xml:space="preserve">vs BRVM Composite: </w:t>
      </w:r>
      <w:r>
        <w:rPr>
          <w:b/>
          <w:color w:val="C00000"/>
        </w:rPr>
        <w:t>-28.24%  🔴 Sous-performance</w:t>
      </w:r>
      <w:r>
        <w:br/>
      </w:r>
      <w:r>
        <w:rPr>
          <w:b/>
        </w:rPr>
        <w:t xml:space="preserve">Sentiment général: </w:t>
      </w:r>
      <w:r>
        <w:t xml:space="preserve">ACHAT  |  </w:t>
      </w:r>
      <w:r>
        <w:rPr>
          <w:b/>
        </w:rPr>
        <w:t xml:space="preserve">Risque moyen: </w:t>
      </w:r>
      <w:r>
        <w:t xml:space="preserve">Moyen  |  </w:t>
      </w:r>
      <w:r>
        <w:rPr>
          <w:b/>
        </w:rPr>
        <w:t xml:space="preserve">Prix moyen: </w:t>
      </w:r>
      <w:r>
        <w:t>2502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BICC, NSBC, PRSC, SAFC, SCRC, TTLC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BICB, BNBC, BOAB, BOABF, BOAC, BOAM, BOAN, CBIBF, CFAC, ECOC, ETIT, LNBB, NTLC, ONTBF, ORGT, PALC, SDSC, SHEC, SIBC, SICC, SIVC, SLBC, STAC, STBC, TTLS, UNLC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ABJC, BOAS, CIEC, FTSC, ORAC, SDCC, SEMC, SGBC, SMBC, SNTS, SOGC, SPHC, UNXC</w:t>
            </w:r>
          </w:p>
        </w:tc>
        <w:tc>
          <w:tcPr>
            <w:tcW w:type="dxa" w:w="2160"/>
            <w:shd w:fill="FFC7CE" w:val="clear"/>
          </w:tcPr>
          <w:p>
            <w:pPr>
              <w:spacing w:before="40" w:after="40"/>
            </w:pPr>
            <w:r/>
            <w:r>
              <w:rPr>
                <w:b w:val="0"/>
                <w:sz w:val="16"/>
              </w:rPr>
              <w:t>CABC, NEIC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2089978</w:t>
            </w:r>
          </w:p>
        </w:tc>
        <w:tc>
          <w:tcPr>
            <w:tcW w:type="dxa" w:w="1728"/>
          </w:tcPr>
          <w:p>
            <w:r>
              <w:t>138463683 FCFA</w:t>
            </w:r>
          </w:p>
        </w:tc>
        <w:tc>
          <w:tcPr>
            <w:tcW w:type="dxa" w:w="1728"/>
          </w:tcPr>
          <w:p>
            <w:r>
              <w:t>112.50%</w:t>
            </w:r>
          </w:p>
        </w:tc>
        <w:tc>
          <w:tcPr>
            <w:tcW w:type="dxa" w:w="1728"/>
          </w:tcPr>
          <w:p>
            <w:r>
              <w:t>ACHAT</w:t>
            </w:r>
          </w:p>
        </w:tc>
      </w:tr>
      <w:tr>
        <w:tc>
          <w:tcPr>
            <w:tcW w:type="dxa" w:w="1728"/>
          </w:tcPr>
          <w:p>
            <w:r>
              <w:t>BICB (BIIC BN - Banque internationale pour le commerce du benin)</w:t>
            </w:r>
          </w:p>
        </w:tc>
        <w:tc>
          <w:tcPr>
            <w:tcW w:type="dxa" w:w="1728"/>
          </w:tcPr>
          <w:p>
            <w:r>
              <w:t>19209</w:t>
            </w:r>
          </w:p>
        </w:tc>
        <w:tc>
          <w:tcPr>
            <w:tcW w:type="dxa" w:w="1728"/>
          </w:tcPr>
          <w:p>
            <w:r>
              <w:t>153214171 FCFA</w:t>
            </w:r>
          </w:p>
        </w:tc>
        <w:tc>
          <w:tcPr>
            <w:tcW w:type="dxa" w:w="1728"/>
          </w:tcPr>
          <w:p>
            <w:r>
              <w:t>68.10%</w:t>
            </w:r>
          </w:p>
        </w:tc>
        <w:tc>
          <w:tcPr>
            <w:tcW w:type="dxa" w:w="1728"/>
          </w:tcPr>
          <w:p>
            <w:r>
              <w:t>ACHAT</w:t>
            </w:r>
          </w:p>
        </w:tc>
      </w:tr>
      <w:tr>
        <w:tc>
          <w:tcPr>
            <w:tcW w:type="dxa" w:w="1728"/>
          </w:tcPr>
          <w:p>
            <w:r>
              <w:t>SDSC (SDSC - AFRICA GLOBAL LOGISTICS CI)</w:t>
            </w:r>
          </w:p>
        </w:tc>
        <w:tc>
          <w:tcPr>
            <w:tcW w:type="dxa" w:w="1728"/>
          </w:tcPr>
          <w:p>
            <w:r>
              <w:t>15704</w:t>
            </w:r>
          </w:p>
        </w:tc>
        <w:tc>
          <w:tcPr>
            <w:tcW w:type="dxa" w:w="1728"/>
          </w:tcPr>
          <w:p>
            <w:r>
              <w:t>40254657 FCFA</w:t>
            </w:r>
          </w:p>
        </w:tc>
        <w:tc>
          <w:tcPr>
            <w:tcW w:type="dxa" w:w="1728"/>
          </w:tcPr>
          <w:p>
            <w:r>
              <w:t>30.83%</w:t>
            </w:r>
          </w:p>
        </w:tc>
        <w:tc>
          <w:tcPr>
            <w:tcW w:type="dxa" w:w="1728"/>
          </w:tcPr>
          <w:p>
            <w:r>
              <w:t>ACHAT</w:t>
            </w:r>
          </w:p>
        </w:tc>
      </w:tr>
      <w:tr>
        <w:tc>
          <w:tcPr>
            <w:tcW w:type="dxa" w:w="1728"/>
          </w:tcPr>
          <w:p>
            <w:r>
              <w:t>UNXC (UNXC - UNIWAX COTE D'IVOIRE)</w:t>
            </w:r>
          </w:p>
        </w:tc>
        <w:tc>
          <w:tcPr>
            <w:tcW w:type="dxa" w:w="1728"/>
          </w:tcPr>
          <w:p>
            <w:r>
              <w:t>12095</w:t>
            </w:r>
          </w:p>
        </w:tc>
        <w:tc>
          <w:tcPr>
            <w:tcW w:type="dxa" w:w="1728"/>
          </w:tcPr>
          <w:p>
            <w:r>
              <w:t>24357641 FCFA</w:t>
            </w:r>
          </w:p>
        </w:tc>
        <w:tc>
          <w:tcPr>
            <w:tcW w:type="dxa" w:w="1728"/>
          </w:tcPr>
          <w:p>
            <w:r>
              <w:t>16.87%</w:t>
            </w:r>
          </w:p>
        </w:tc>
        <w:tc>
          <w:tcPr>
            <w:tcW w:type="dxa" w:w="1728"/>
          </w:tcPr>
          <w:p>
            <w:r>
              <w:t>ACHAT</w:t>
            </w:r>
          </w:p>
        </w:tc>
      </w:tr>
      <w:tr>
        <w:tc>
          <w:tcPr>
            <w:tcW w:type="dxa" w:w="1728"/>
          </w:tcPr>
          <w:p>
            <w:r>
              <w:t>SNTS (SNTS - SONATEL SN)</w:t>
            </w:r>
          </w:p>
        </w:tc>
        <w:tc>
          <w:tcPr>
            <w:tcW w:type="dxa" w:w="1728"/>
          </w:tcPr>
          <w:p>
            <w:r>
              <w:t>11139</w:t>
            </w:r>
          </w:p>
        </w:tc>
        <w:tc>
          <w:tcPr>
            <w:tcW w:type="dxa" w:w="1728"/>
          </w:tcPr>
          <w:p>
            <w:r>
              <w:t>347360871 FCFA</w:t>
            </w:r>
          </w:p>
        </w:tc>
        <w:tc>
          <w:tcPr>
            <w:tcW w:type="dxa" w:w="1728"/>
          </w:tcPr>
          <w:p>
            <w:r>
              <w:t>22.84%</w:t>
            </w:r>
          </w:p>
        </w:tc>
        <w:tc>
          <w:tcPr>
            <w:tcW w:type="dxa" w:w="1728"/>
          </w:tcPr>
          <w:p>
            <w:r>
              <w:t>ACHAT</w:t>
            </w:r>
          </w:p>
        </w:tc>
      </w:tr>
      <w:tr>
        <w:tc>
          <w:tcPr>
            <w:tcW w:type="dxa" w:w="1728"/>
          </w:tcPr>
          <w:p>
            <w:r>
              <w:t>SOGC (SOGC - Société des caoutchoucs de Grand-Béréby)</w:t>
            </w:r>
          </w:p>
        </w:tc>
        <w:tc>
          <w:tcPr>
            <w:tcW w:type="dxa" w:w="1728"/>
          </w:tcPr>
          <w:p>
            <w:r>
              <w:t>10452</w:t>
            </w:r>
          </w:p>
        </w:tc>
        <w:tc>
          <w:tcPr>
            <w:tcW w:type="dxa" w:w="1728"/>
          </w:tcPr>
          <w:p>
            <w:r>
              <w:t>78657940 FCFA</w:t>
            </w:r>
          </w:p>
        </w:tc>
        <w:tc>
          <w:tcPr>
            <w:tcW w:type="dxa" w:w="1728"/>
          </w:tcPr>
          <w:p>
            <w:r>
              <w:t>7.66%</w:t>
            </w:r>
          </w:p>
        </w:tc>
        <w:tc>
          <w:tcPr>
            <w:tcW w:type="dxa" w:w="1728"/>
          </w:tcPr>
          <w:p>
            <w:r>
              <w:t>ACHAT</w:t>
            </w:r>
          </w:p>
        </w:tc>
      </w:tr>
      <w:tr>
        <w:tc>
          <w:tcPr>
            <w:tcW w:type="dxa" w:w="1728"/>
          </w:tcPr>
          <w:p>
            <w:r>
              <w:t>BOAS (BANK OF AFRICA SENEGAL)</w:t>
            </w:r>
          </w:p>
        </w:tc>
        <w:tc>
          <w:tcPr>
            <w:tcW w:type="dxa" w:w="1728"/>
          </w:tcPr>
          <w:p>
            <w:r>
              <w:t>8699</w:t>
            </w:r>
          </w:p>
        </w:tc>
        <w:tc>
          <w:tcPr>
            <w:tcW w:type="dxa" w:w="1728"/>
          </w:tcPr>
          <w:p>
            <w:r>
              <w:t>67015680 FCFA</w:t>
            </w:r>
          </w:p>
        </w:tc>
        <w:tc>
          <w:tcPr>
            <w:tcW w:type="dxa" w:w="1728"/>
          </w:tcPr>
          <w:p>
            <w:r>
              <w:t>21.88%</w:t>
            </w:r>
          </w:p>
        </w:tc>
        <w:tc>
          <w:tcPr>
            <w:tcW w:type="dxa" w:w="1728"/>
          </w:tcPr>
          <w:p>
            <w:r>
              <w:t>ACHAT</w:t>
            </w:r>
          </w:p>
        </w:tc>
      </w:tr>
      <w:tr>
        <w:tc>
          <w:tcPr>
            <w:tcW w:type="dxa" w:w="1728"/>
          </w:tcPr>
          <w:p>
            <w:r>
              <w:t>ONTBF (ONTBF - ONATEL BURKINA FASO)</w:t>
            </w:r>
          </w:p>
        </w:tc>
        <w:tc>
          <w:tcPr>
            <w:tcW w:type="dxa" w:w="1728"/>
          </w:tcPr>
          <w:p>
            <w:r>
              <w:t>8387</w:t>
            </w:r>
          </w:p>
        </w:tc>
        <w:tc>
          <w:tcPr>
            <w:tcW w:type="dxa" w:w="1728"/>
          </w:tcPr>
          <w:p>
            <w:r>
              <w:t>23321172 FCFA</w:t>
            </w:r>
          </w:p>
        </w:tc>
        <w:tc>
          <w:tcPr>
            <w:tcW w:type="dxa" w:w="1728"/>
          </w:tcPr>
          <w:p>
            <w:r>
              <w:t>-1.51%</w:t>
            </w:r>
          </w:p>
        </w:tc>
        <w:tc>
          <w:tcPr>
            <w:tcW w:type="dxa" w:w="1728"/>
          </w:tcPr>
          <w:p>
            <w:r>
              <w:t>ACHAT</w:t>
            </w:r>
          </w:p>
        </w:tc>
      </w:tr>
      <w:tr>
        <w:tc>
          <w:tcPr>
            <w:tcW w:type="dxa" w:w="1728"/>
          </w:tcPr>
          <w:p>
            <w:r>
              <w:t>SIBC (SIBC - SOCIETE IVOIRIENNE DE BANQUE)</w:t>
            </w:r>
          </w:p>
        </w:tc>
        <w:tc>
          <w:tcPr>
            <w:tcW w:type="dxa" w:w="1728"/>
          </w:tcPr>
          <w:p>
            <w:r>
              <w:t>8183</w:t>
            </w:r>
          </w:p>
        </w:tc>
        <w:tc>
          <w:tcPr>
            <w:tcW w:type="dxa" w:w="1728"/>
          </w:tcPr>
          <w:p>
            <w:r>
              <w:t>74448885 FCFA</w:t>
            </w:r>
          </w:p>
        </w:tc>
        <w:tc>
          <w:tcPr>
            <w:tcW w:type="dxa" w:w="1728"/>
          </w:tcPr>
          <w:p>
            <w:r>
              <w:t>33.33%</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STBC (STBC - SITAB COTE D'IVOIRE)</w:t>
            </w:r>
          </w:p>
        </w:tc>
        <w:tc>
          <w:tcPr>
            <w:tcW w:type="dxa" w:w="1728"/>
          </w:tcPr>
          <w:p>
            <w:r>
              <w:t>3590</w:t>
            </w:r>
          </w:p>
        </w:tc>
        <w:tc>
          <w:tcPr>
            <w:tcW w:type="dxa" w:w="1728"/>
          </w:tcPr>
          <w:p>
            <w:r>
              <w:t>85290645 FCFA</w:t>
            </w:r>
          </w:p>
        </w:tc>
        <w:tc>
          <w:tcPr>
            <w:tcW w:type="dxa" w:w="1728"/>
          </w:tcPr>
          <w:p>
            <w:r>
              <w:t>7.44%</w:t>
            </w:r>
          </w:p>
        </w:tc>
        <w:tc>
          <w:tcPr>
            <w:tcW w:type="dxa" w:w="1728"/>
          </w:tcPr>
          <w:p>
            <w:r>
              <w:t>ACHAT</w:t>
            </w:r>
          </w:p>
        </w:tc>
      </w:tr>
      <w:tr>
        <w:tc>
          <w:tcPr>
            <w:tcW w:type="dxa" w:w="1728"/>
          </w:tcPr>
          <w:p>
            <w:r>
              <w:t>ABJC (ABJC - SERVAIR ABIDJAN CI)</w:t>
            </w:r>
          </w:p>
        </w:tc>
        <w:tc>
          <w:tcPr>
            <w:tcW w:type="dxa" w:w="1728"/>
          </w:tcPr>
          <w:p>
            <w:r>
              <w:t>3231</w:t>
            </w:r>
          </w:p>
        </w:tc>
        <w:tc>
          <w:tcPr>
            <w:tcW w:type="dxa" w:w="1728"/>
          </w:tcPr>
          <w:p>
            <w:r>
              <w:t>9945405 FCFA</w:t>
            </w:r>
          </w:p>
        </w:tc>
        <w:tc>
          <w:tcPr>
            <w:tcW w:type="dxa" w:w="1728"/>
          </w:tcPr>
          <w:p>
            <w:r>
              <w:t>-2.31%</w:t>
            </w:r>
          </w:p>
        </w:tc>
        <w:tc>
          <w:tcPr>
            <w:tcW w:type="dxa" w:w="1728"/>
          </w:tcPr>
          <w:p>
            <w:r>
              <w:t>ACHAT FORT</w:t>
            </w:r>
          </w:p>
        </w:tc>
      </w:tr>
      <w:tr>
        <w:tc>
          <w:tcPr>
            <w:tcW w:type="dxa" w:w="1728"/>
          </w:tcPr>
          <w:p>
            <w:r>
              <w:t>TTLS (TTLS - TOTAL ENERGIES MARKETING SENEGAL)</w:t>
            </w:r>
          </w:p>
        </w:tc>
        <w:tc>
          <w:tcPr>
            <w:tcW w:type="dxa" w:w="1728"/>
          </w:tcPr>
          <w:p>
            <w:r>
              <w:t>2698</w:t>
            </w:r>
          </w:p>
        </w:tc>
        <w:tc>
          <w:tcPr>
            <w:tcW w:type="dxa" w:w="1728"/>
          </w:tcPr>
          <w:p>
            <w:r>
              <w:t>9873151 FCFA</w:t>
            </w:r>
          </w:p>
        </w:tc>
        <w:tc>
          <w:tcPr>
            <w:tcW w:type="dxa" w:w="1728"/>
          </w:tcPr>
          <w:p>
            <w:r>
              <w:t>22.72%</w:t>
            </w:r>
          </w:p>
        </w:tc>
        <w:tc>
          <w:tcPr>
            <w:tcW w:type="dxa" w:w="1728"/>
          </w:tcPr>
          <w:p>
            <w:r>
              <w:t>ACHAT</w:t>
            </w:r>
          </w:p>
        </w:tc>
      </w:tr>
      <w:tr>
        <w:tc>
          <w:tcPr>
            <w:tcW w:type="dxa" w:w="1728"/>
          </w:tcPr>
          <w:p>
            <w:r>
              <w:t>CFAC (CFAC - CFAO MOTORS CI)</w:t>
            </w:r>
          </w:p>
        </w:tc>
        <w:tc>
          <w:tcPr>
            <w:tcW w:type="dxa" w:w="1728"/>
          </w:tcPr>
          <w:p>
            <w:r>
              <w:t>2673</w:t>
            </w:r>
          </w:p>
        </w:tc>
        <w:tc>
          <w:tcPr>
            <w:tcW w:type="dxa" w:w="1728"/>
          </w:tcPr>
          <w:p>
            <w:r>
              <w:t>4431180 FCFA</w:t>
            </w:r>
          </w:p>
        </w:tc>
        <w:tc>
          <w:tcPr>
            <w:tcW w:type="dxa" w:w="1728"/>
          </w:tcPr>
          <w:p>
            <w:r>
              <w:t>0.00%</w:t>
            </w:r>
          </w:p>
        </w:tc>
        <w:tc>
          <w:tcPr>
            <w:tcW w:type="dxa" w:w="1728"/>
          </w:tcPr>
          <w:p>
            <w:r>
              <w:t>ACHAT</w:t>
            </w:r>
          </w:p>
        </w:tc>
      </w:tr>
      <w:tr>
        <w:tc>
          <w:tcPr>
            <w:tcW w:type="dxa" w:w="1728"/>
          </w:tcPr>
          <w:p>
            <w:r>
              <w:t>PALC (PALC - PALM COTE D'IVOIRE)</w:t>
            </w:r>
          </w:p>
        </w:tc>
        <w:tc>
          <w:tcPr>
            <w:tcW w:type="dxa" w:w="1728"/>
          </w:tcPr>
          <w:p>
            <w:r>
              <w:t>2658</w:t>
            </w:r>
          </w:p>
        </w:tc>
        <w:tc>
          <w:tcPr>
            <w:tcW w:type="dxa" w:w="1728"/>
          </w:tcPr>
          <w:p>
            <w:r>
              <w:t>23913565 FCFA</w:t>
            </w:r>
          </w:p>
        </w:tc>
        <w:tc>
          <w:tcPr>
            <w:tcW w:type="dxa" w:w="1728"/>
          </w:tcPr>
          <w:p>
            <w:r>
              <w:t>19.33%</w:t>
            </w:r>
          </w:p>
        </w:tc>
        <w:tc>
          <w:tcPr>
            <w:tcW w:type="dxa" w:w="1728"/>
          </w:tcPr>
          <w:p>
            <w:r>
              <w:t>ACHAT</w:t>
            </w:r>
          </w:p>
        </w:tc>
      </w:tr>
      <w:tr>
        <w:tc>
          <w:tcPr>
            <w:tcW w:type="dxa" w:w="1728"/>
          </w:tcPr>
          <w:p>
            <w:r>
              <w:t>CABC (CABC - SICABLE COTE D'IVOIRE)</w:t>
            </w:r>
          </w:p>
        </w:tc>
        <w:tc>
          <w:tcPr>
            <w:tcW w:type="dxa" w:w="1728"/>
          </w:tcPr>
          <w:p>
            <w:r>
              <w:t>2525</w:t>
            </w:r>
          </w:p>
        </w:tc>
        <w:tc>
          <w:tcPr>
            <w:tcW w:type="dxa" w:w="1728"/>
          </w:tcPr>
          <w:p>
            <w:r>
              <w:t>8983276 FCFA</w:t>
            </w:r>
          </w:p>
        </w:tc>
        <w:tc>
          <w:tcPr>
            <w:tcW w:type="dxa" w:w="1728"/>
          </w:tcPr>
          <w:p>
            <w:r>
              <w:t>16.59%</w:t>
            </w:r>
          </w:p>
        </w:tc>
        <w:tc>
          <w:tcPr>
            <w:tcW w:type="dxa" w:w="1728"/>
          </w:tcPr>
          <w:p>
            <w:r>
              <w:t>CONSERVER ⚠️</w:t>
            </w:r>
          </w:p>
        </w:tc>
      </w:tr>
      <w:tr>
        <w:tc>
          <w:tcPr>
            <w:tcW w:type="dxa" w:w="1728"/>
          </w:tcPr>
          <w:p>
            <w:r>
              <w:t>SLBC (SLBC - SOLIBRA COTE D'IVOIRE)</w:t>
            </w:r>
          </w:p>
        </w:tc>
        <w:tc>
          <w:tcPr>
            <w:tcW w:type="dxa" w:w="1728"/>
          </w:tcPr>
          <w:p>
            <w:r>
              <w:t>2285</w:t>
            </w:r>
          </w:p>
        </w:tc>
        <w:tc>
          <w:tcPr>
            <w:tcW w:type="dxa" w:w="1728"/>
          </w:tcPr>
          <w:p>
            <w:r>
              <w:t>88021823 FCFA</w:t>
            </w:r>
          </w:p>
        </w:tc>
        <w:tc>
          <w:tcPr>
            <w:tcW w:type="dxa" w:w="1728"/>
          </w:tcPr>
          <w:p>
            <w:r>
              <w:t>-2.44%</w:t>
            </w:r>
          </w:p>
        </w:tc>
        <w:tc>
          <w:tcPr>
            <w:tcW w:type="dxa" w:w="1728"/>
          </w:tcPr>
          <w:p>
            <w:r>
              <w:t>ACHAT</w:t>
            </w:r>
          </w:p>
        </w:tc>
      </w:tr>
      <w:tr>
        <w:tc>
          <w:tcPr>
            <w:tcW w:type="dxa" w:w="1728"/>
          </w:tcPr>
          <w:p>
            <w:r>
              <w:t>SMBC (SMBC - Société Multinationale de Bitumes COTE D'IVOIRE)</w:t>
            </w:r>
          </w:p>
        </w:tc>
        <w:tc>
          <w:tcPr>
            <w:tcW w:type="dxa" w:w="1728"/>
          </w:tcPr>
          <w:p>
            <w:r>
              <w:t>1826</w:t>
            </w:r>
          </w:p>
        </w:tc>
        <w:tc>
          <w:tcPr>
            <w:tcW w:type="dxa" w:w="1728"/>
          </w:tcPr>
          <w:p>
            <w:r>
              <w:t>29165630 FCFA</w:t>
            </w:r>
          </w:p>
        </w:tc>
        <w:tc>
          <w:tcPr>
            <w:tcW w:type="dxa" w:w="1728"/>
          </w:tcPr>
          <w:p>
            <w:r>
              <w:t>26.97%</w:t>
            </w:r>
          </w:p>
        </w:tc>
        <w:tc>
          <w:tcPr>
            <w:tcW w:type="dxa" w:w="1728"/>
          </w:tcPr>
          <w:p>
            <w:r>
              <w:t>ACHAT</w:t>
            </w:r>
          </w:p>
        </w:tc>
      </w:tr>
      <w:tr>
        <w:tc>
          <w:tcPr>
            <w:tcW w:type="dxa" w:w="1728"/>
          </w:tcPr>
          <w:p>
            <w:r>
              <w:t>NSBC (NSBC - NSIA BANQUE COTE D'IVOIRE)</w:t>
            </w:r>
          </w:p>
        </w:tc>
        <w:tc>
          <w:tcPr>
            <w:tcW w:type="dxa" w:w="1728"/>
          </w:tcPr>
          <w:p>
            <w:r>
              <w:t>1726</w:t>
            </w:r>
          </w:p>
        </w:tc>
        <w:tc>
          <w:tcPr>
            <w:tcW w:type="dxa" w:w="1728"/>
          </w:tcPr>
          <w:p>
            <w:r>
              <w:t>40239163 FCFA</w:t>
            </w:r>
          </w:p>
        </w:tc>
        <w:tc>
          <w:tcPr>
            <w:tcW w:type="dxa" w:w="1728"/>
          </w:tcPr>
          <w:p>
            <w:r>
              <w:t>64.29%</w:t>
            </w:r>
          </w:p>
        </w:tc>
        <w:tc>
          <w:tcPr>
            <w:tcW w:type="dxa" w:w="1728"/>
          </w:tcPr>
          <w:p>
            <w:r>
              <w:t>ACHAT</w:t>
            </w:r>
          </w:p>
        </w:tc>
      </w:tr>
      <w:tr>
        <w:tc>
          <w:tcPr>
            <w:tcW w:type="dxa" w:w="1728"/>
          </w:tcPr>
          <w:p>
            <w:r>
              <w:t>BNBC (BNBC - BERNABE CI)</w:t>
            </w:r>
          </w:p>
        </w:tc>
        <w:tc>
          <w:tcPr>
            <w:tcW w:type="dxa" w:w="1728"/>
          </w:tcPr>
          <w:p>
            <w:r>
              <w:t>1690</w:t>
            </w:r>
          </w:p>
        </w:tc>
        <w:tc>
          <w:tcPr>
            <w:tcW w:type="dxa" w:w="1728"/>
          </w:tcPr>
          <w:p>
            <w:r>
              <w:t>3283499 FCFA</w:t>
            </w:r>
          </w:p>
        </w:tc>
        <w:tc>
          <w:tcPr>
            <w:tcW w:type="dxa" w:w="1728"/>
          </w:tcPr>
          <w:p>
            <w:r>
              <w:t>24.38%</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SEMC - SEMC - EVIOSYS PACKAGING SIEM CI</w:t>
      </w:r>
    </w:p>
    <w:p>
      <w:r>
        <w:rPr>
          <w:b/>
        </w:rPr>
        <w:t xml:space="preserve">Score de divergence: </w:t>
      </w:r>
      <w:r>
        <w:t>6/8</w:t>
        <w:br/>
      </w:r>
      <w:r>
        <w:rPr>
          <w:b/>
        </w:rPr>
        <w:t xml:space="preserve">Description: </w:t>
      </w:r>
      <w:r>
        <w:t>Signaux d'achat: MACD | Signaux de vente: MM, Bollinger, RSI, Stochastique | Recommandation finale: ACHAT</w:t>
        <w:br/>
      </w:r>
    </w:p>
    <w:p/>
    <w:p>
      <w:pPr>
        <w:pStyle w:val="Heading3"/>
      </w:pPr>
      <w:r>
        <w:t>2. ABJC - ABJC - SERVAIR ABIDJAN CI</w:t>
      </w:r>
    </w:p>
    <w:p>
      <w:r>
        <w:rPr>
          <w:b/>
        </w:rPr>
        <w:t xml:space="preserve">Score de divergence: </w:t>
      </w:r>
      <w:r>
        <w:t>5/8</w:t>
        <w:br/>
      </w:r>
      <w:r>
        <w:rPr>
          <w:b/>
        </w:rPr>
        <w:t xml:space="preserve">Description: </w:t>
      </w:r>
      <w:r>
        <w:t>Signaux d'achat: MACD | Signaux de vente: MM, RSI, Stochastique | Recommandation finale: ACHAT FORT</w:t>
        <w:br/>
      </w:r>
    </w:p>
    <w:p/>
    <w:p>
      <w:pPr>
        <w:pStyle w:val="Heading3"/>
      </w:pPr>
      <w:r>
        <w:t>3. SGBC - SGBC - SOCIETE GENERALE COTE D'IVOIRE</w:t>
      </w:r>
    </w:p>
    <w:p>
      <w:r>
        <w:rPr>
          <w:b/>
        </w:rPr>
        <w:t xml:space="preserve">Score de divergence: </w:t>
      </w:r>
      <w:r>
        <w:t>5/8</w:t>
        <w:br/>
      </w:r>
      <w:r>
        <w:rPr>
          <w:b/>
        </w:rPr>
        <w:t xml:space="preserve">Description: </w:t>
      </w:r>
      <w:r>
        <w:t>Signaux d'achat: MACD | Signaux de vente: MM, RSI, Stochastique | Recommandation finale: ACHAT</w:t>
        <w:br/>
      </w:r>
    </w:p>
    <w:p/>
    <w:p>
      <w:pPr>
        <w:pStyle w:val="Heading3"/>
      </w:pPr>
      <w:r>
        <w:t>4. BOAS - BANK OF AFRICA SENEGAL</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5. CIEC - CIEC - Compagnie Ivoirienne d'Electricité</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6. FTSC - FTSC - FILTISAC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7. ORAC - ORAC - ORANGE COTE D'IVOIRE</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8. SDCC - SDCC - Société de Distribution d'Eau de Côte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9. SMBC - SMBC - Société Multinationale de Bitumes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10. SNTS - SNTS - SONATEL SN</w:t>
      </w:r>
    </w:p>
    <w:p>
      <w:r>
        <w:rPr>
          <w:b/>
        </w:rPr>
        <w:t xml:space="preserve">Score de divergence: </w:t>
      </w:r>
      <w:r>
        <w:t>4/8</w:t>
        <w:br/>
      </w:r>
      <w:r>
        <w:rPr>
          <w:b/>
        </w:rPr>
        <w:t xml:space="preserve">Description: </w:t>
      </w:r>
      <w:r>
        <w:t>Signaux d'achat: MM, MACD | Signaux de vente: Bollinger, RSI,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21</w:t>
            </w:r>
          </w:p>
        </w:tc>
        <w:tc>
          <w:tcPr>
            <w:tcW w:type="dxa" w:w="2160"/>
          </w:tcPr>
          <w:p>
            <w:r>
              <w:t>0</w:t>
            </w:r>
          </w:p>
        </w:tc>
      </w:tr>
      <w:tr>
        <w:tc>
          <w:tcPr>
            <w:tcW w:type="dxa" w:w="2160"/>
          </w:tcPr>
          <w:p>
            <w:r>
              <w:t>Risque Moyen</w:t>
            </w:r>
          </w:p>
        </w:tc>
        <w:tc>
          <w:tcPr>
            <w:tcW w:type="dxa" w:w="2160"/>
          </w:tcPr>
          <w:p>
            <w:r>
              <w:t>0</w:t>
            </w:r>
          </w:p>
        </w:tc>
        <w:tc>
          <w:tcPr>
            <w:tcW w:type="dxa" w:w="2160"/>
          </w:tcPr>
          <w:p>
            <w:r>
              <w:t>26</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SGBC (SGBC - SOCIETE GENERALE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SNTS (SNTS - SONATEL SN)</w:t>
      </w:r>
    </w:p>
    <w:p>
      <w:pPr>
        <w:pStyle w:val="ListBullet"/>
      </w:pPr>
      <w:r>
        <w:t>• SOGC (SOGC - Société des caoutchoucs de Grand-Béréby)</w:t>
      </w:r>
    </w:p>
    <w:p>
      <w:pPr>
        <w:pStyle w:val="ListBullet"/>
      </w:pPr>
      <w:r>
        <w:t>• SPHC (SPHC - Société Africaine de Plantation d'Hévéas de Côte d'Ivoire)</w:t>
      </w:r>
    </w:p>
    <w:p>
      <w:pPr>
        <w:pStyle w:val="ListBullet"/>
      </w:pPr>
      <w:r>
        <w:t>• TTLC (TTLC - TOTAL ENERGIES MARKETING COTE D'IVOIRE)</w:t>
      </w:r>
    </w:p>
    <w:p>
      <w:pPr>
        <w:pStyle w:val="ListBullet"/>
      </w:pPr>
      <w:r>
        <w:t>• TTLS (TTLS - TOTAL ENERGIES MARKETING SENEGAL)</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BNBC (BNBC - BERNABE CI)</w:t>
      </w:r>
    </w:p>
    <w:p>
      <w:pPr>
        <w:pStyle w:val="ListBullet"/>
      </w:pPr>
      <w:r>
        <w:t>• BOAB (BANK OF AFRICA BENIN)</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SHEC (SHEC - VIVO ENERGY COTE D'IVOIRE)</w:t>
      </w:r>
    </w:p>
    <w:p>
      <w:pPr>
        <w:pStyle w:val="ListBullet"/>
      </w:pPr>
      <w:r>
        <w:t>• SICC (SICC - SICOR COTE D'IVOIRE)</w:t>
      </w:r>
    </w:p>
    <w:p>
      <w:pPr>
        <w:pStyle w:val="ListBullet"/>
      </w:pPr>
      <w:r>
        <w:t>• SMBC (SMBC - Société Multinationale de Bitumes COTE D'IVOIRE)</w:t>
      </w:r>
    </w:p>
    <w:p>
      <w:pPr>
        <w:pStyle w:val="ListBullet"/>
      </w:pPr>
      <w:r>
        <w:t>• STAC (STAC - SETAO COTE D'IVOIRE)</w:t>
      </w:r>
    </w:p>
    <w:p>
      <w:pPr>
        <w:pStyle w:val="ListBullet"/>
      </w:pPr>
      <w:r>
        <w:t>• STBC (STBC - SITAB COTE D'IVOIRE)</w:t>
      </w:r>
    </w:p>
    <w:p>
      <w:pPr>
        <w:pStyle w:val="ListBullet"/>
      </w:pPr>
      <w:r>
        <w:t>• UNLC (UNLC - UNILEVER COTE D'IVOIRE)</w:t>
      </w:r>
    </w:p>
    <w:p>
      <w:pPr>
        <w:pStyle w:val="ListBullet"/>
      </w:pPr>
      <w:r>
        <w:t>• UNXC (UNXC - UNIWAX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spacing w:before="20" w:after="40"/>
        <w:ind w:left="0"/>
      </w:pPr>
      <w:r>
        <w:rPr>
          <w:sz w:val="18"/>
        </w:rPr>
        <w:t>**RAPPORT D'ANALYSE MACRO-ÉCONOMIQUE ET FINANCIÈRE – BRVM**</w:t>
      </w:r>
    </w:p>
    <w:p>
      <w:pPr>
        <w:spacing w:before="20" w:after="40"/>
        <w:ind w:left="0"/>
      </w:pPr>
      <w:r>
        <w:rPr>
          <w:sz w:val="18"/>
        </w:rPr>
        <w:t>**Date du rapport : 19 août 2026**</w:t>
      </w:r>
    </w:p>
    <w:p>
      <w:pPr>
        <w:spacing w:before="20" w:after="40"/>
        <w:ind w:left="0"/>
      </w:pPr>
      <w:r>
        <w:rPr>
          <w:sz w:val="18"/>
        </w:rPr>
        <w:t>**Indice BRVM Composite : 515.72 points**</w:t>
      </w:r>
    </w:p>
    <w:p>
      <w:pPr>
        <w:spacing w:before="20" w:after="40"/>
        <w:ind w:left="0"/>
      </w:pPr>
      <w:r>
        <w:rPr>
          <w:sz w:val="18"/>
        </w:rPr>
        <w:t>---</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1.  **Correction boursière tech (BCE) :** La BCE prévient qu'une correction sur le secteur technologique mondial est "inévitable", ce qui pourrait entraîner une aversion au risque sur les marchés émergents.</w:t>
      </w:r>
    </w:p>
    <w:p>
      <w:pPr>
        <w:spacing w:before="20" w:after="40"/>
        <w:ind w:left="0"/>
      </w:pPr>
      <w:r>
        <w:rPr>
          <w:sz w:val="18"/>
        </w:rPr>
        <w:t>2.  **Sanctions américaines contre la CPI :** Décision politique majeure créant de l'incertitude géopolitique, pouvant renforcer la préférence pour les actifs refuges.</w:t>
      </w:r>
    </w:p>
    <w:p>
      <w:pPr>
        <w:spacing w:before="20" w:after="40"/>
        <w:ind w:left="0"/>
      </w:pPr>
      <w:r>
        <w:rPr>
          <w:sz w:val="18"/>
        </w:rPr>
        <w:t>3.  **Wall Street et la Blockchain :** Projet de mise de la Bourse sur la blockchain, signalant une modernisation des infrastructures financières mondiales (effet positif à long terme sur la fintech).</w:t>
      </w:r>
    </w:p>
    <w:p>
      <w:pPr>
        <w:pStyle w:val="Heading3"/>
      </w:pPr>
      <w:r>
        <w:rPr>
          <w:color w:val="500050"/>
        </w:rPr>
        <w:t>⚡ Impact estimé sur la BRVM</w:t>
      </w:r>
    </w:p>
    <w:p>
      <w:pPr>
        <w:spacing w:before="20" w:after="40"/>
        <w:ind w:left="280"/>
      </w:pPr>
      <w:r>
        <w:rPr>
          <w:i/>
          <w:sz w:val="18"/>
        </w:rPr>
        <w:t>Une correction des marchés tech mondiaux pourrait réduire l'appétit pour le risque des investisseurs internationaux, les poussant à se détourner temporairement des actifs africains. Cependant, la BRVM, peu exposée à la tech, pourrait être perçue comme une valeur refuge régionale. Les secteurs défensifs comme **SCRC** (Consommation de base) et **CIEC** (Services publics) pourraient bénéficier de ces flux de report.</w:t>
      </w:r>
    </w:p>
    <w:p>
      <w:pPr>
        <w:pStyle w:val="Heading2"/>
      </w:pPr>
      <w:r>
        <w:rPr>
          <w:color w:val="006E32"/>
        </w:rPr>
        <w:t>🌍 Plan Africain</w:t>
      </w:r>
    </w:p>
    <w:p>
      <w:pPr>
        <w:spacing w:before="20" w:after="40"/>
        <w:ind w:left="0"/>
      </w:pPr>
      <w:r>
        <w:rPr>
          <w:sz w:val="18"/>
        </w:rPr>
        <w:t>1.  **Secteurs porteurs (Bpifrance) :** Identification des infrastructures, de l'agro-industrie et des énergies renouvelables comme moteurs de croissance continentale.</w:t>
      </w:r>
    </w:p>
    <w:p>
      <w:pPr>
        <w:spacing w:before="20" w:after="40"/>
        <w:ind w:left="0"/>
      </w:pPr>
      <w:r>
        <w:rPr>
          <w:sz w:val="18"/>
        </w:rPr>
        <w:t>2.  **Économie des soins (Sénégal) :** L'investissement dans ce secteur est présenté comme un levier de croissance stratégique pour la sous-région.</w:t>
      </w:r>
    </w:p>
    <w:p>
      <w:pPr>
        <w:spacing w:before="20" w:after="40"/>
        <w:ind w:left="0"/>
      </w:pPr>
      <w:r>
        <w:rPr>
          <w:sz w:val="18"/>
        </w:rPr>
        <w:t>3.  **Dette verte (Senelec) :** Succès de l'émission de 108 milliards FCFA de dette verte au Luxembourg, démontrant l'appétit des investisseurs internationaux pour les projets africains durables.</w:t>
      </w:r>
    </w:p>
    <w:p>
      <w:pPr>
        <w:pStyle w:val="Heading3"/>
      </w:pPr>
      <w:r>
        <w:rPr>
          <w:color w:val="500050"/>
        </w:rPr>
        <w:t>⚡ Impact estimé sur la BRVM</w:t>
      </w:r>
    </w:p>
    <w:p>
      <w:pPr>
        <w:spacing w:before="20" w:after="40"/>
        <w:ind w:left="280"/>
      </w:pPr>
      <w:r>
        <w:rPr>
          <w:i/>
          <w:sz w:val="18"/>
        </w:rPr>
        <w:t>Les secteurs identifiés par Bpifrance (infrastructures, agro-industrie) sont directement représentés à la BRVM. Les entreprises comme **STAC** (Industriels) et **PALC** (Consommation de base) sont bien positionnées pour capter ces investissements. Le succès de Senelec valide la capacité d'absorption du marché obligataire régional, un signal positif pour les émetteurs corporatifs futurs.</w:t>
      </w:r>
    </w:p>
    <w:p>
      <w:pPr>
        <w:pStyle w:val="Heading2"/>
      </w:pPr>
      <w:r>
        <w:rPr>
          <w:color w:val="145A28"/>
        </w:rPr>
        <w:t>🌍 Plan Afrique de l'Ouest</w:t>
      </w:r>
    </w:p>
    <w:p>
      <w:pPr>
        <w:spacing w:before="20" w:after="40"/>
        <w:ind w:left="0"/>
      </w:pPr>
      <w:r>
        <w:rPr>
          <w:sz w:val="18"/>
        </w:rPr>
        <w:t>1.  **Coopération Russie-CEDEAO :** Annonce d'un mémorandum de coopération, ouvrant potentiellement de nouvelles opportunités commerciales et diplomatiques pour la région.</w:t>
      </w:r>
    </w:p>
    <w:p>
      <w:pPr>
        <w:spacing w:before="20" w:after="40"/>
        <w:ind w:left="0"/>
      </w:pPr>
      <w:r>
        <w:rPr>
          <w:sz w:val="18"/>
        </w:rPr>
        <w:t>2.  **Statistiques migratoires (CEDEAO) :** Initiative pour fiabiliser les données, améliorant la gouvernance régionale et la planification économique.</w:t>
      </w:r>
    </w:p>
    <w:p>
      <w:pPr>
        <w:pStyle w:val="Heading3"/>
      </w:pPr>
      <w:r>
        <w:rPr>
          <w:color w:val="500050"/>
        </w:rPr>
        <w:t>⚡ Impact estimé sur la BRVM</w:t>
      </w:r>
    </w:p>
    <w:p>
      <w:pPr>
        <w:spacing w:before="20" w:after="40"/>
        <w:ind w:left="280"/>
      </w:pPr>
      <w:r>
        <w:rPr>
          <w:i/>
          <w:sz w:val="18"/>
        </w:rPr>
        <w:t>Le renforcement des liens avec la Russie pourrait ouvrir de nouveaux marchés pour les entreprises de la zone, notamment dans les secteurs des ressources et de l'agroalimentaire. L'amélioration des données économiques régionales renforce l'attractivité de la place financière pour les investisseurs institutionnels, bénéficiant à l'ensemble des valeurs comme **BOAC** et **NSBC**.</w:t>
      </w:r>
    </w:p>
    <w:p>
      <w:pPr>
        <w:pStyle w:val="Heading2"/>
      </w:pPr>
      <w:r>
        <w:rPr>
          <w:color w:val="8C4600"/>
        </w:rPr>
        <w:t>🏦 Plan UEMOA / Zone Franc</w:t>
      </w:r>
    </w:p>
    <w:p>
      <w:pPr>
        <w:spacing w:before="20" w:after="40"/>
        <w:ind w:left="0"/>
      </w:pPr>
      <w:r>
        <w:rPr>
          <w:sz w:val="18"/>
        </w:rPr>
        <w:t>1.  **Référendum au Sénégal :** Le projet de réforme de la déclaration de patrimoine par référendum est un événement politique majeur dans un pays clé de l'UEMOA, source d'incertitude à court terme.</w:t>
      </w:r>
    </w:p>
    <w:p>
      <w:pPr>
        <w:spacing w:before="20" w:after="40"/>
        <w:ind w:left="0"/>
      </w:pPr>
      <w:r>
        <w:rPr>
          <w:sz w:val="18"/>
        </w:rPr>
        <w:t>2.  **Sécurité au Mali :** Poursuite des opérations militaires contre les groupes jihadistes, maintenant un risque sécuritaire dans la région.</w:t>
      </w:r>
    </w:p>
    <w:p>
      <w:pPr>
        <w:pStyle w:val="Heading3"/>
      </w:pPr>
      <w:r>
        <w:rPr>
          <w:color w:val="500050"/>
        </w:rPr>
        <w:t>⚡ Impact estimé sur la BRVM</w:t>
      </w:r>
    </w:p>
    <w:p>
      <w:pPr>
        <w:spacing w:before="20" w:after="40"/>
        <w:ind w:left="280"/>
      </w:pPr>
      <w:r>
        <w:rPr>
          <w:i/>
          <w:sz w:val="18"/>
        </w:rPr>
        <w:t>L'incertitude politique au Sénégal pourrait temporairement peser sur les valeurs sénégalaises comme **SNTS** et **BOAM**. Le maintien de l'instabilité sécuritaire au Sahel (Mali, Burkina) continue de freiner le développement des activités bancaires et industrielles dans ces zones, impactant les banques régionales présentes sur place.</w:t>
      </w:r>
    </w:p>
    <w:p>
      <w:pPr>
        <w:pStyle w:val="Heading2"/>
      </w:pPr>
      <w:r>
        <w:rPr>
          <w:color w:val="003366"/>
        </w:rPr>
        <w:t>📈 Plan BRVM</w:t>
      </w:r>
    </w:p>
    <w:p>
      <w:pPr>
        <w:spacing w:before="20" w:after="40"/>
        <w:ind w:left="0"/>
      </w:pPr>
      <w:r>
        <w:rPr>
          <w:sz w:val="18"/>
        </w:rPr>
        <w:t>1.  **Résultats encourageants (Juin 2026) :** Les sociétés cotées ivoiriennes ont publié des résultats positifs au premier semestre, soutenant la tendance haussière de l'indice.</w:t>
      </w:r>
    </w:p>
    <w:p>
      <w:pPr>
        <w:pStyle w:val="Heading3"/>
      </w:pPr>
      <w:r>
        <w:rPr>
          <w:color w:val="500050"/>
        </w:rPr>
        <w:t>⚡ Impact estimé sur la BRVM</w:t>
      </w:r>
    </w:p>
    <w:p>
      <w:pPr>
        <w:spacing w:before="20" w:after="40"/>
        <w:ind w:left="280"/>
      </w:pPr>
      <w:r>
        <w:rPr>
          <w:i/>
          <w:sz w:val="18"/>
        </w:rPr>
        <w:t>La solidité des fondamentaux des sociétés ivoiriennes est le principal moteur du marché. Cela confirme la bonne santé des secteurs bancaires (**SGBC**, **BICB**) et de la consommation. L'indice à 515.72 points reflète cette dynamique positive. Les investisseurs devraient continuer à privilégier les valeurs de qualité comme **PALC** et **ETIT** pour leur visibilité.</w:t>
      </w:r>
    </w:p>
    <w:p>
      <w:pPr>
        <w:spacing w:before="20" w:after="40"/>
        <w:ind w:left="280"/>
      </w:pPr>
      <w:r>
        <w:rPr>
          <w:i/>
          <w:sz w:val="18"/>
        </w:rPr>
        <w:t>---</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1.  **Sanctions US contre la CPI :** Décision unilatérale des États-Unis créant des tensions diplomatiques mondiales.</w:t>
      </w:r>
    </w:p>
    <w:p>
      <w:pPr>
        <w:spacing w:before="20" w:after="40"/>
        <w:ind w:left="0"/>
      </w:pPr>
      <w:r>
        <w:rPr>
          <w:sz w:val="18"/>
        </w:rPr>
        <w:t>2.  **Avertissement de la BCE :** Position ferme de la BCE sur la surévaluation des actifs tech, influençant les politiques monétaires mondiales.</w:t>
      </w:r>
    </w:p>
    <w:p>
      <w:pPr>
        <w:pStyle w:val="Heading3"/>
      </w:pPr>
      <w:r>
        <w:rPr>
          <w:color w:val="500050"/>
        </w:rPr>
        <w:t>⚡ Impact estimé sur la BRVM</w:t>
      </w:r>
    </w:p>
    <w:p>
      <w:pPr>
        <w:spacing w:before="20" w:after="40"/>
        <w:ind w:left="280"/>
      </w:pPr>
      <w:r>
        <w:rPr>
          <w:i/>
          <w:sz w:val="18"/>
        </w:rPr>
        <w:t>L'incertitude géopolitique mondiale (sanctions, tensions commerciales) renforce la volatilité sur les marchés. Pour la BRVM, cela se traduit par une possible prudence des investisseurs étrangers à court terme, mais une stabilité relative grâce à un marché principalement domestique.</w:t>
      </w:r>
    </w:p>
    <w:p>
      <w:pPr>
        <w:pStyle w:val="Heading2"/>
      </w:pPr>
      <w:r>
        <w:rPr>
          <w:color w:val="006E32"/>
        </w:rPr>
        <w:t>🌍 Plan Africain</w:t>
      </w:r>
    </w:p>
    <w:p>
      <w:pPr>
        <w:spacing w:before="20" w:after="40"/>
        <w:ind w:left="0"/>
      </w:pPr>
      <w:r>
        <w:rPr>
          <w:sz w:val="18"/>
        </w:rPr>
        <w:t>1.  **Tensions géopolitiques :** Les sanctions contre la CPI et les avertissements de la BCE sont les principaux sujets, mais leur impact direct sur l'Afrique est limité.</w:t>
      </w:r>
    </w:p>
    <w:p>
      <w:pPr>
        <w:spacing w:before="20" w:after="40"/>
        <w:ind w:left="0"/>
      </w:pPr>
      <w:r>
        <w:rPr>
          <w:sz w:val="18"/>
        </w:rPr>
        <w:t>2.  **Coopération Russie-CEDEAO :** Signal d'un rééquilibrage des alliances diplomatiques en Afrique de l'Ouest.</w:t>
      </w:r>
    </w:p>
    <w:p>
      <w:pPr>
        <w:pStyle w:val="Heading3"/>
      </w:pPr>
      <w:r>
        <w:rPr>
          <w:color w:val="500050"/>
        </w:rPr>
        <w:t>⚡ Impact estimé sur la BRVM</w:t>
      </w:r>
    </w:p>
    <w:p>
      <w:pPr>
        <w:spacing w:before="20" w:after="40"/>
        <w:ind w:left="280"/>
      </w:pPr>
      <w:r>
        <w:rPr>
          <w:i/>
          <w:sz w:val="18"/>
        </w:rPr>
        <w:t>La diversification des partenariats internationaux de la CEDEAO est positive pour la région. Elle pourrait attirer de nouveaux investissements russes dans les infrastructures et l'énergie, bénéficiant à des sociétés comme **TTLC** et **SHEC** à long terme.</w:t>
      </w:r>
    </w:p>
    <w:p>
      <w:pPr>
        <w:pStyle w:val="Heading2"/>
      </w:pPr>
      <w:r>
        <w:rPr>
          <w:color w:val="145A28"/>
        </w:rPr>
        <w:t>🌍 Plan Afrique de l'Ouest</w:t>
      </w:r>
    </w:p>
    <w:p>
      <w:pPr>
        <w:spacing w:before="20" w:after="40"/>
        <w:ind w:left="0"/>
      </w:pPr>
      <w:r>
        <w:rPr>
          <w:sz w:val="18"/>
        </w:rPr>
        <w:t>1.  **Coopération Russie-CEDEAO :** Mémorandum annoncé, renforçant la souveraineté régionale.</w:t>
      </w:r>
    </w:p>
    <w:p>
      <w:pPr>
        <w:spacing w:before="20" w:after="40"/>
        <w:ind w:left="0"/>
      </w:pPr>
      <w:r>
        <w:rPr>
          <w:sz w:val="18"/>
        </w:rPr>
        <w:t>2.  **Sécurité au Mali :** Les frappes des FAMa contre JNIM-FLA montrent une intensification des opérations militaires.</w:t>
      </w:r>
    </w:p>
    <w:p>
      <w:pPr>
        <w:pStyle w:val="Heading3"/>
      </w:pPr>
      <w:r>
        <w:rPr>
          <w:color w:val="500050"/>
        </w:rPr>
        <w:t>⚡ Impact estimé sur la BRVM</w:t>
      </w:r>
    </w:p>
    <w:p>
      <w:pPr>
        <w:spacing w:before="20" w:after="40"/>
        <w:ind w:left="280"/>
      </w:pPr>
      <w:r>
        <w:rPr>
          <w:i/>
          <w:sz w:val="18"/>
        </w:rPr>
        <w:t>La coopération avec la Russie pourrait stabiliser la région sur le long terme. Cependant, l'intensification des conflits au Sahel maintient un risque pays élevé, dissuadant les investissements directs dans les zones concernées. Les banques comme **BOAM** doivent intégrer ce risque dans leur provisionnement.</w:t>
      </w:r>
    </w:p>
    <w:p>
      <w:pPr>
        <w:pStyle w:val="Heading2"/>
      </w:pPr>
      <w:r>
        <w:rPr>
          <w:color w:val="8C4600"/>
        </w:rPr>
        <w:t>🏦 Plan UEMOA / Zone Franc</w:t>
      </w:r>
    </w:p>
    <w:p>
      <w:pPr>
        <w:spacing w:before="20" w:after="40"/>
        <w:ind w:left="0"/>
      </w:pPr>
      <w:r>
        <w:rPr>
          <w:sz w:val="18"/>
        </w:rPr>
        <w:t>1.  **Référendum au Sénégal :** Incertitude politique dans un pays stable, pouvant affecter la confiance des investisseurs.</w:t>
      </w:r>
    </w:p>
    <w:p>
      <w:pPr>
        <w:spacing w:before="20" w:after="40"/>
        <w:ind w:left="0"/>
      </w:pPr>
      <w:r>
        <w:rPr>
          <w:sz w:val="18"/>
        </w:rPr>
        <w:t>2.  **Déclaration de patrimoine :** Réforme institutionnelle majeure.</w:t>
      </w:r>
    </w:p>
    <w:p>
      <w:pPr>
        <w:pStyle w:val="Heading3"/>
      </w:pPr>
      <w:r>
        <w:rPr>
          <w:color w:val="500050"/>
        </w:rPr>
        <w:t>⚡ Impact estimé sur la BRVM</w:t>
      </w:r>
    </w:p>
    <w:p>
      <w:pPr>
        <w:spacing w:before="20" w:after="40"/>
        <w:ind w:left="280"/>
      </w:pPr>
      <w:r>
        <w:rPr>
          <w:i/>
          <w:sz w:val="18"/>
        </w:rPr>
        <w:t>Le référendum sénégalais est un facteur de risque politique à surveiller. Il pourrait entraîner une légère sous-performance des valeurs sénégalaises à court terme. La stabilité politique de la Côte d'Ivoire reste le principal contrepoids pour l'indice.</w:t>
      </w:r>
    </w:p>
    <w:p>
      <w:pPr>
        <w:pStyle w:val="Heading2"/>
      </w:pPr>
      <w:r>
        <w:rPr>
          <w:color w:val="003366"/>
        </w:rPr>
        <w:t>📈 Plan BRVM</w:t>
      </w:r>
    </w:p>
    <w:p>
      <w:pPr>
        <w:spacing w:before="20" w:after="40"/>
        <w:ind w:left="0"/>
      </w:pPr>
      <w:r>
        <w:rPr>
          <w:sz w:val="18"/>
        </w:rPr>
        <w:t>1.  **Réglementation :** Pas de nouvelles annonces réglementaires majeures dans les actualités collectées.</w:t>
      </w:r>
    </w:p>
    <w:p>
      <w:pPr>
        <w:pStyle w:val="Heading3"/>
      </w:pPr>
      <w:r>
        <w:rPr>
          <w:color w:val="500050"/>
        </w:rPr>
        <w:t>⚡ Impact estimé sur la BRVM</w:t>
      </w:r>
    </w:p>
    <w:p>
      <w:pPr>
        <w:spacing w:before="20" w:after="40"/>
        <w:ind w:left="280"/>
      </w:pPr>
      <w:r>
        <w:rPr>
          <w:i/>
          <w:sz w:val="18"/>
        </w:rPr>
        <w:t>Données insuffisantes pour analyser l'impact réglementaire. La stabilité réglementaire actuelle est un facteur de soutien pour le marché.</w:t>
      </w:r>
    </w:p>
    <w:p>
      <w:pPr>
        <w:spacing w:before="20" w:after="40"/>
        <w:ind w:left="280"/>
      </w:pPr>
      <w:r>
        <w:rPr>
          <w:i/>
          <w:sz w:val="18"/>
        </w:rPr>
        <w:t>---</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1.  **Correction boursière tech :** Risque de contagion aux marchés émergents.</w:t>
      </w:r>
    </w:p>
    <w:p>
      <w:pPr>
        <w:spacing w:before="20" w:after="40"/>
        <w:ind w:left="0"/>
      </w:pPr>
      <w:r>
        <w:rPr>
          <w:sz w:val="18"/>
        </w:rPr>
        <w:t>2.  **Blockchain à Wall Street :** Modernisation des marchés financiers.</w:t>
      </w:r>
    </w:p>
    <w:p>
      <w:pPr>
        <w:spacing w:before="20" w:after="40"/>
        <w:ind w:left="0"/>
      </w:pPr>
      <w:r>
        <w:rPr>
          <w:sz w:val="18"/>
        </w:rPr>
        <w:t>3.  **Sanctions CPI :** Impact limité sur les flux financiers directs.</w:t>
      </w:r>
    </w:p>
    <w:p>
      <w:pPr>
        <w:pStyle w:val="Heading3"/>
      </w:pPr>
      <w:r>
        <w:rPr>
          <w:color w:val="500050"/>
        </w:rPr>
        <w:t>⚡ Impact estimé sur la BRVM</w:t>
      </w:r>
    </w:p>
    <w:p>
      <w:pPr>
        <w:spacing w:before="20" w:after="40"/>
        <w:ind w:left="280"/>
      </w:pPr>
      <w:r>
        <w:rPr>
          <w:i/>
          <w:sz w:val="18"/>
        </w:rPr>
        <w:t>La BRVM est faiblement corrélée aux marchés tech mondiaux. Une correction sur ces marchés pourrait paradoxalement renforcer l'attractivité de la BRVM comme alternative stable. La tendance à la digitalisation (blockchain) pourrait à terme moderniser les infrastructures de la BRVM.</w:t>
      </w:r>
    </w:p>
    <w:p>
      <w:pPr>
        <w:pStyle w:val="Heading2"/>
      </w:pPr>
      <w:r>
        <w:rPr>
          <w:color w:val="006E32"/>
        </w:rPr>
        <w:t>🌍 Plan Africain</w:t>
      </w:r>
    </w:p>
    <w:p>
      <w:pPr>
        <w:spacing w:before="20" w:after="40"/>
        <w:ind w:left="0"/>
      </w:pPr>
      <w:r>
        <w:rPr>
          <w:sz w:val="18"/>
        </w:rPr>
        <w:t>1.  **Dette verte (Senelec) :** Succès d'une émission obligataire africaine sur le marché international.</w:t>
      </w:r>
    </w:p>
    <w:p>
      <w:pPr>
        <w:pStyle w:val="Heading3"/>
      </w:pPr>
      <w:r>
        <w:rPr>
          <w:color w:val="500050"/>
        </w:rPr>
        <w:t>⚡ Impact estimé sur la BRVM</w:t>
      </w:r>
    </w:p>
    <w:p>
      <w:pPr>
        <w:spacing w:before="20" w:after="40"/>
        <w:ind w:left="280"/>
      </w:pPr>
      <w:r>
        <w:rPr>
          <w:i/>
          <w:sz w:val="18"/>
        </w:rPr>
        <w:t>Le succès de Senelec démontre la capacité des émetteurs de la zone à lever des fonds à l'international. Cela réduit la pression sur le marché domestique et ouvre des perspectives pour d'autres émetteurs comme **CIEC** ou **ONPC**.</w:t>
      </w:r>
    </w:p>
    <w:p>
      <w:pPr>
        <w:pStyle w:val="Heading2"/>
      </w:pPr>
      <w:r>
        <w:rPr>
          <w:color w:val="145A28"/>
        </w:rPr>
        <w:t>🌍 Plan Afrique de l'Ouest</w:t>
      </w:r>
    </w:p>
    <w:p>
      <w:pPr>
        <w:spacing w:before="20" w:after="40"/>
        <w:ind w:left="0"/>
      </w:pPr>
      <w:r>
        <w:rPr>
          <w:sz w:val="18"/>
        </w:rPr>
        <w:t>1.  **Aucune actualité spécifique sur les bourses concurrentes dans les données fournies.**</w:t>
      </w:r>
    </w:p>
    <w:p>
      <w:pPr>
        <w:pStyle w:val="Heading3"/>
      </w:pPr>
      <w:r>
        <w:rPr>
          <w:color w:val="500050"/>
        </w:rPr>
        <w:t>⚡ Impact estimé sur la BRVM</w:t>
      </w:r>
    </w:p>
    <w:p>
      <w:pPr>
        <w:spacing w:before="20" w:after="40"/>
        <w:ind w:left="280"/>
      </w:pPr>
      <w:r>
        <w:rPr>
          <w:i/>
          <w:sz w:val="18"/>
        </w:rPr>
        <w:t>Données insuffisantes. La BRVM reste la principale place financière de la région, avec un avantage concurrentiel grâce à sa liquidité et sa diversité sectorielle.</w:t>
      </w:r>
    </w:p>
    <w:p>
      <w:pPr>
        <w:pStyle w:val="Heading2"/>
      </w:pPr>
      <w:r>
        <w:rPr>
          <w:color w:val="8C4600"/>
        </w:rPr>
        <w:t>🏦 Plan UEMOA / Zone Franc</w:t>
      </w:r>
    </w:p>
    <w:p>
      <w:pPr>
        <w:spacing w:before="20" w:after="40"/>
        <w:ind w:left="0"/>
      </w:pPr>
      <w:r>
        <w:rPr>
          <w:sz w:val="18"/>
        </w:rPr>
        <w:t>1.  **Liquidité :** Pas de données spécifiques sur les taux interbancaires ou les émissions de titres publics dans les actualités fournies.</w:t>
      </w:r>
    </w:p>
    <w:p>
      <w:pPr>
        <w:pStyle w:val="Heading3"/>
      </w:pPr>
      <w:r>
        <w:rPr>
          <w:color w:val="500050"/>
        </w:rPr>
        <w:t>⚡ Impact estimé sur la BRVM</w:t>
      </w:r>
    </w:p>
    <w:p>
      <w:pPr>
        <w:spacing w:before="20" w:after="40"/>
        <w:ind w:left="280"/>
      </w:pPr>
      <w:r>
        <w:rPr>
          <w:i/>
          <w:sz w:val="18"/>
        </w:rPr>
        <w:t>Données insuffisantes. L'arbitrage entre titres publics et actions reste un facteur clé, mais aucune information récente ne permet d'analyser les mouvements de taux.</w:t>
      </w:r>
    </w:p>
    <w:p>
      <w:pPr>
        <w:pStyle w:val="Heading2"/>
      </w:pPr>
      <w:r>
        <w:rPr>
          <w:color w:val="003366"/>
        </w:rPr>
        <w:t>📈 Plan BRVM</w:t>
      </w:r>
    </w:p>
    <w:p>
      <w:pPr>
        <w:spacing w:before="20" w:after="40"/>
        <w:ind w:left="0"/>
      </w:pPr>
      <w:r>
        <w:rPr>
          <w:sz w:val="18"/>
        </w:rPr>
        <w:t>1.  **Performance :** L'indice est à 515.72 points, soutenu par les bons résultats semestriels des sociétés ivoiriennes.</w:t>
      </w:r>
    </w:p>
    <w:p>
      <w:pPr>
        <w:pStyle w:val="Heading3"/>
      </w:pPr>
      <w:r>
        <w:rPr>
          <w:color w:val="500050"/>
        </w:rPr>
        <w:t>⚡ Impact estimé sur la BRVM</w:t>
      </w:r>
    </w:p>
    <w:p>
      <w:pPr>
        <w:spacing w:before="20" w:after="40"/>
        <w:ind w:left="280"/>
      </w:pPr>
      <w:r>
        <w:rPr>
          <w:i/>
          <w:sz w:val="18"/>
        </w:rPr>
        <w:t>**Recommandations :**</w:t>
      </w:r>
    </w:p>
    <w:p>
      <w:pPr>
        <w:pStyle w:val="ListBullet"/>
        <w:spacing w:before="20" w:after="20"/>
        <w:ind w:left="560"/>
      </w:pPr>
      <w:r>
        <w:rPr>
          <w:color w:val="500050"/>
          <w:sz w:val="18"/>
        </w:rPr>
        <w:t>**Achat / Conserver (Points solides) :** **SGBC**, **BICB** (Secteur bancaire dynamique), **PALC** (Consommation de base résiliente), **ETIT** (Agro-industrie).</w:t>
      </w:r>
    </w:p>
    <w:p>
      <w:pPr>
        <w:pStyle w:val="ListBullet"/>
        <w:spacing w:before="20" w:after="20"/>
        <w:ind w:left="560"/>
      </w:pPr>
      <w:r>
        <w:rPr>
          <w:color w:val="500050"/>
          <w:sz w:val="18"/>
        </w:rPr>
        <w:t>**Surveillance (Incertitude politique) :** **SNTS**, **BOAM** (Exposition Sénégal).</w:t>
      </w:r>
    </w:p>
    <w:p>
      <w:pPr>
        <w:pStyle w:val="ListBullet"/>
        <w:spacing w:before="20" w:after="20"/>
        <w:ind w:left="560"/>
      </w:pPr>
      <w:r>
        <w:rPr>
          <w:color w:val="500050"/>
          <w:sz w:val="18"/>
        </w:rPr>
        <w:t>**Potentiel (Énergie) :** **TTLC**, **SHEC** (Bénéficiaires potentiels des investissements dans les énergies renouvelables).</w:t>
      </w:r>
    </w:p>
    <w:p>
      <w:pPr>
        <w:spacing w:before="20" w:after="40"/>
        <w:ind w:left="280"/>
      </w:pPr>
      <w:r>
        <w:rPr>
          <w:i/>
          <w:sz w:val="18"/>
        </w:rPr>
        <w:t>---</w:t>
      </w:r>
    </w:p>
    <w:p>
      <w:pPr>
        <w:pStyle w:val="Heading1"/>
      </w:pPr>
      <w:r>
        <w:rPr>
          <w:color w:val="003366"/>
        </w:rPr>
        <w:t>🎯 SYNTHÈSE &amp; RECOMMANDATION FINALE</w:t>
      </w:r>
    </w:p>
    <w:p>
      <w:pPr>
        <w:spacing w:before="120"/>
      </w:pPr>
      <w:r>
        <w:rPr>
          <w:b/>
          <w:color w:val="008000"/>
          <w:sz w:val="22"/>
        </w:rPr>
        <w:t>**Niveau d'alerte global pour un investisseur BRVM : VERT**</w:t>
      </w:r>
    </w:p>
    <w:p>
      <w:pPr>
        <w:spacing w:before="20" w:after="40"/>
        <w:ind w:left="0"/>
      </w:pPr>
      <w:r>
        <w:rPr>
          <w:sz w:val="18"/>
        </w:rPr>
        <w:t>L'environnement macro-économique et financier de la BRVM reste favorable, porté par la solidité des résultats des sociétés cotées ivoiriennes et une dynamique sectorielle positive (agro-industrie, énergie). Les risques identifiés (correction tech mondiale, incertitude politique au Sénégal) sont principalement exogènes et ont un impact limité sur les fondamentaux du marché régional. La BRVM conserve son statut de valeur refuge régionale.</w:t>
      </w:r>
    </w:p>
    <w:p>
      <w:pPr>
        <w:spacing w:before="20" w:after="40"/>
        <w:ind w:left="0"/>
      </w:pPr>
      <w:r>
        <w:rPr>
          <w:sz w:val="18"/>
        </w:rPr>
        <w:t>**Recommandation concrète :** Maintenir une exposition aux valeurs de qualité (secteurs bancaires et consommation de base) et profiter des éventuelles faiblesses à court terme liées à l'incertitude politique sénégalaise pour renforcer les positions sur les valeurs à forte visibilité comme **SGBC**, **PALC** et **ETIT**. Surveiller de près l'évolution du conflit au Sahel et les décisions de la BCEAO concernant la liquidité.</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2026-08-19</w:t>
            </w:r>
          </w:p>
        </w:tc>
        <w:tc>
          <w:tcPr>
            <w:tcW w:type="dxa" w:w="1728"/>
          </w:tcPr>
          <w:p>
            <w:r>
              <w:rPr>
                <w:sz w:val="14"/>
              </w:rPr>
              <w:t>Justice internationale en péril : les États-Unis déclarent la guerre à</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2026-08-19</w:t>
            </w:r>
          </w:p>
        </w:tc>
        <w:tc>
          <w:tcPr>
            <w:tcW w:type="dxa" w:w="1728"/>
          </w:tcPr>
          <w:p>
            <w:r>
              <w:rPr>
                <w:sz w:val="14"/>
              </w:rPr>
              <w:t>« Il faut s'y attendre et s'y préparer » : une correction boursière su</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2026-08-18</w:t>
            </w:r>
          </w:p>
        </w:tc>
        <w:tc>
          <w:tcPr>
            <w:tcW w:type="dxa" w:w="1728"/>
          </w:tcPr>
          <w:p>
            <w:r>
              <w:rPr>
                <w:sz w:val="14"/>
              </w:rPr>
              <w:t>Wall Street veut mettre la Bourse sur la blockchain - Zonebourse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2026-08-18</w:t>
            </w:r>
          </w:p>
        </w:tc>
        <w:tc>
          <w:tcPr>
            <w:tcW w:type="dxa" w:w="1728"/>
          </w:tcPr>
          <w:p>
            <w:r>
              <w:rPr>
                <w:sz w:val="14"/>
              </w:rPr>
              <w:t>Les prix des matières premières de mardi - KOHA.net</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2026-08-17</w:t>
            </w:r>
          </w:p>
        </w:tc>
        <w:tc>
          <w:tcPr>
            <w:tcW w:type="dxa" w:w="1728"/>
          </w:tcPr>
          <w:p>
            <w:r>
              <w:rPr>
                <w:sz w:val="14"/>
              </w:rPr>
              <w:t>La Bourse de Toronto et les marchés américains clôturent en baisse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2026-08-17</w:t>
            </w:r>
          </w:p>
        </w:tc>
        <w:tc>
          <w:tcPr>
            <w:tcW w:type="dxa" w:w="1728"/>
          </w:tcPr>
          <w:p>
            <w:r>
              <w:rPr>
                <w:sz w:val="14"/>
              </w:rPr>
              <w:t>La forte pression à la demande a fait grimper les prix du pétrole brut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2026-08-11</w:t>
            </w:r>
          </w:p>
        </w:tc>
        <w:tc>
          <w:tcPr>
            <w:tcW w:type="dxa" w:w="1728"/>
          </w:tcPr>
          <w:p>
            <w:r>
              <w:rPr>
                <w:sz w:val="14"/>
              </w:rPr>
              <w:t>Les secteurs porteurs en Afrique : où investir ? - Bpifrance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2026-07-14</w:t>
            </w:r>
          </w:p>
        </w:tc>
        <w:tc>
          <w:tcPr>
            <w:tcW w:type="dxa" w:w="1728"/>
          </w:tcPr>
          <w:p>
            <w:r>
              <w:rPr>
                <w:sz w:val="14"/>
              </w:rPr>
              <w:t xml:space="preserve">Sénégal : Senelec cote ses premières obligations durables à la Bourse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2026-08-19</w:t>
            </w:r>
          </w:p>
        </w:tc>
        <w:tc>
          <w:tcPr>
            <w:tcW w:type="dxa" w:w="1728"/>
          </w:tcPr>
          <w:p>
            <w:r>
              <w:rPr>
                <w:sz w:val="14"/>
              </w:rPr>
              <w:t>Migration en Afrique de l’Ouest: la CEDEAO engage ses États membres ve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2026-08-18</w:t>
            </w:r>
          </w:p>
        </w:tc>
        <w:tc>
          <w:tcPr>
            <w:tcW w:type="dxa" w:w="1728"/>
          </w:tcPr>
          <w:p>
            <w:r>
              <w:rPr>
                <w:sz w:val="14"/>
              </w:rPr>
              <w:t>Russie-CEDEAO : Lavrov annonce un mémorandum de coopération - Yeni Şaf</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2026-08-18</w:t>
            </w:r>
          </w:p>
        </w:tc>
        <w:tc>
          <w:tcPr>
            <w:tcW w:type="dxa" w:w="1728"/>
          </w:tcPr>
          <w:p>
            <w:r>
              <w:rPr>
                <w:sz w:val="14"/>
              </w:rPr>
              <w:t>Renforcement de la production des données migratoires en Afrique de l’</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2026-08-19</w:t>
            </w:r>
          </w:p>
        </w:tc>
        <w:tc>
          <w:tcPr>
            <w:tcW w:type="dxa" w:w="1728"/>
          </w:tcPr>
          <w:p>
            <w:r>
              <w:rPr>
                <w:sz w:val="14"/>
              </w:rPr>
              <w:t>Russie-CEDEAO : après les ruptures au Sahel, avec qui l’Afrique de l’O</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2026-08-17</w:t>
            </w:r>
          </w:p>
        </w:tc>
        <w:tc>
          <w:tcPr>
            <w:tcW w:type="dxa" w:w="1728"/>
          </w:tcPr>
          <w:p>
            <w:r>
              <w:rPr>
                <w:sz w:val="14"/>
              </w:rPr>
              <w:t>Fibre optique : quatre pays ouest-africains dominent le haut débit - 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2026-08-18</w:t>
            </w:r>
          </w:p>
        </w:tc>
        <w:tc>
          <w:tcPr>
            <w:tcW w:type="dxa" w:w="1728"/>
          </w:tcPr>
          <w:p>
            <w:r>
              <w:rPr>
                <w:sz w:val="14"/>
              </w:rPr>
              <w:t>Déclaration de patrimoine : vers un référendum au Sénégal - DW.com</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2026-08-19</w:t>
            </w:r>
          </w:p>
        </w:tc>
        <w:tc>
          <w:tcPr>
            <w:tcW w:type="dxa" w:w="1728"/>
          </w:tcPr>
          <w:p>
            <w:r>
              <w:rPr>
                <w:sz w:val="14"/>
              </w:rPr>
              <w:t>Mali : Les FAMa annoncent plusieurs frappes contre la coalition JNIM-F</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2026-08-19</w:t>
            </w:r>
          </w:p>
        </w:tc>
        <w:tc>
          <w:tcPr>
            <w:tcW w:type="dxa" w:w="1728"/>
          </w:tcPr>
          <w:p>
            <w:r>
              <w:rPr>
                <w:sz w:val="14"/>
              </w:rPr>
              <w:t>Au Sénégal, l’urgence pour le peuple souverain n’est pas politique (Pa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2026-08-19</w:t>
            </w:r>
          </w:p>
        </w:tc>
        <w:tc>
          <w:tcPr>
            <w:tcW w:type="dxa" w:w="1728"/>
          </w:tcPr>
          <w:p>
            <w:r>
              <w:rPr>
                <w:sz w:val="14"/>
              </w:rPr>
              <w:t>Arrestation de deux réalisateurs français au Togo : Faure Gnassingbé 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2026-08-18</w:t>
            </w:r>
          </w:p>
        </w:tc>
        <w:tc>
          <w:tcPr>
            <w:tcW w:type="dxa" w:w="1728"/>
          </w:tcPr>
          <w:p>
            <w:r>
              <w:rPr>
                <w:sz w:val="14"/>
              </w:rPr>
              <w:t xml:space="preserve">Au Sénégal, l’Assemblée nationale adopte la loi sur la déclaration de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2026-08-19</w:t>
            </w:r>
          </w:p>
        </w:tc>
        <w:tc>
          <w:tcPr>
            <w:tcW w:type="dxa" w:w="1728"/>
          </w:tcPr>
          <w:p>
            <w:r>
              <w:rPr>
                <w:sz w:val="14"/>
              </w:rPr>
              <w:t>Togo : Faure Gnassingbé remanie le haut commandement militaire - Afric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2026-08-19</w:t>
            </w:r>
          </w:p>
        </w:tc>
        <w:tc>
          <w:tcPr>
            <w:tcW w:type="dxa" w:w="1728"/>
          </w:tcPr>
          <w:p>
            <w:r>
              <w:rPr>
                <w:sz w:val="14"/>
              </w:rPr>
              <w:t>Justice internationale en péril : les États-Unis déclarent la guerre à</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2026-08-19</w:t>
            </w:r>
          </w:p>
        </w:tc>
        <w:tc>
          <w:tcPr>
            <w:tcW w:type="dxa" w:w="1728"/>
          </w:tcPr>
          <w:p>
            <w:r>
              <w:rPr>
                <w:sz w:val="14"/>
              </w:rPr>
              <w:t>« Il faut s'y attendre et s'y préparer » : une correction boursière su</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2026-08-18</w:t>
            </w:r>
          </w:p>
        </w:tc>
        <w:tc>
          <w:tcPr>
            <w:tcW w:type="dxa" w:w="1728"/>
          </w:tcPr>
          <w:p>
            <w:r>
              <w:rPr>
                <w:sz w:val="14"/>
              </w:rPr>
              <w:t>Déclaration de patrimoine : vers un référendum au Sénégal - DW.com</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2026-08-19</w:t>
            </w:r>
          </w:p>
        </w:tc>
        <w:tc>
          <w:tcPr>
            <w:tcW w:type="dxa" w:w="1728"/>
          </w:tcPr>
          <w:p>
            <w:r>
              <w:rPr>
                <w:sz w:val="14"/>
              </w:rPr>
              <w:t>Au Sénégal, l’urgence pour le peuple souverain n’est pas politique (Pa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2026-08-19</w:t>
            </w:r>
          </w:p>
        </w:tc>
        <w:tc>
          <w:tcPr>
            <w:tcW w:type="dxa" w:w="1728"/>
          </w:tcPr>
          <w:p>
            <w:r>
              <w:rPr>
                <w:sz w:val="14"/>
              </w:rPr>
              <w:t>Arrestation de deux réalisateurs français au Togo : Faure Gnassingbé 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2026-08-19</w:t>
            </w:r>
          </w:p>
        </w:tc>
        <w:tc>
          <w:tcPr>
            <w:tcW w:type="dxa" w:w="1728"/>
          </w:tcPr>
          <w:p>
            <w:r>
              <w:rPr>
                <w:sz w:val="14"/>
              </w:rPr>
              <w:t>Justice internationale en péril : les États-Unis déclarent la guerre à</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2026-08-19</w:t>
            </w:r>
          </w:p>
        </w:tc>
        <w:tc>
          <w:tcPr>
            <w:tcW w:type="dxa" w:w="1728"/>
          </w:tcPr>
          <w:p>
            <w:r>
              <w:rPr>
                <w:sz w:val="14"/>
              </w:rPr>
              <w:t>« Il faut s'y attendre et s'y préparer » : une correction boursière su</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2026-08-19</w:t>
            </w:r>
          </w:p>
        </w:tc>
        <w:tc>
          <w:tcPr>
            <w:tcW w:type="dxa" w:w="1728"/>
          </w:tcPr>
          <w:p>
            <w:r>
              <w:rPr>
                <w:sz w:val="14"/>
              </w:rPr>
              <w:t>Migration en Afrique de l’Ouest: la CEDEAO engage ses États membres ve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2026-08-18</w:t>
            </w:r>
          </w:p>
        </w:tc>
        <w:tc>
          <w:tcPr>
            <w:tcW w:type="dxa" w:w="1728"/>
          </w:tcPr>
          <w:p>
            <w:r>
              <w:rPr>
                <w:sz w:val="14"/>
              </w:rPr>
              <w:t>Déclaration de patrimoine : vers un référendum au Sénégal - DW.com</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2026-08-19</w:t>
            </w:r>
          </w:p>
        </w:tc>
        <w:tc>
          <w:tcPr>
            <w:tcW w:type="dxa" w:w="1728"/>
          </w:tcPr>
          <w:p>
            <w:r>
              <w:rPr>
                <w:sz w:val="14"/>
              </w:rPr>
              <w:t>Au Sénégal, l’urgence pour le peuple souverain n’est pas politique (Pa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2026-08-19</w:t>
            </w:r>
          </w:p>
        </w:tc>
        <w:tc>
          <w:tcPr>
            <w:tcW w:type="dxa" w:w="1728"/>
          </w:tcPr>
          <w:p>
            <w:r>
              <w:rPr>
                <w:sz w:val="14"/>
              </w:rPr>
              <w:t>Justice internationale en péril : les États-Unis déclarent la guerre à</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2026-08-19</w:t>
            </w:r>
          </w:p>
        </w:tc>
        <w:tc>
          <w:tcPr>
            <w:tcW w:type="dxa" w:w="1728"/>
          </w:tcPr>
          <w:p>
            <w:r>
              <w:rPr>
                <w:sz w:val="14"/>
              </w:rPr>
              <w:t>« Il faut s'y attendre et s'y préparer » : une correction boursière su</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2026-08-19</w:t>
            </w:r>
          </w:p>
        </w:tc>
        <w:tc>
          <w:tcPr>
            <w:tcW w:type="dxa" w:w="1728"/>
          </w:tcPr>
          <w:p>
            <w:r>
              <w:rPr>
                <w:sz w:val="14"/>
              </w:rPr>
              <w:t>Migration en Afrique de l’Ouest: la CEDEAO engage ses États membres ve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2026-08-18</w:t>
            </w:r>
          </w:p>
        </w:tc>
        <w:tc>
          <w:tcPr>
            <w:tcW w:type="dxa" w:w="1728"/>
          </w:tcPr>
          <w:p>
            <w:r>
              <w:rPr>
                <w:sz w:val="14"/>
              </w:rPr>
              <w:t>Déclaration de patrimoine : vers un référendum au Sénégal - DW.com</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2026-08-19</w:t>
            </w:r>
          </w:p>
        </w:tc>
        <w:tc>
          <w:tcPr>
            <w:tcW w:type="dxa" w:w="1728"/>
          </w:tcPr>
          <w:p>
            <w:r>
              <w:rPr>
                <w:sz w:val="14"/>
              </w:rPr>
              <w:t>Au Sénégal, l’urgence pour le peuple souverain n’est pas politique (Pa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2026-08-19</w:t>
            </w:r>
          </w:p>
        </w:tc>
        <w:tc>
          <w:tcPr>
            <w:tcW w:type="dxa" w:w="1728"/>
          </w:tcPr>
          <w:p>
            <w:r>
              <w:rPr>
                <w:sz w:val="14"/>
              </w:rPr>
              <w:t>Justice internationale en péril : les États-Unis déclarent la guerre à</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2026-08-19</w:t>
            </w:r>
          </w:p>
        </w:tc>
        <w:tc>
          <w:tcPr>
            <w:tcW w:type="dxa" w:w="1728"/>
          </w:tcPr>
          <w:p>
            <w:r>
              <w:rPr>
                <w:sz w:val="14"/>
              </w:rPr>
              <w:t>« Il faut s'y attendre et s'y préparer » : une correction boursière su</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2026-08-18</w:t>
            </w:r>
          </w:p>
        </w:tc>
        <w:tc>
          <w:tcPr>
            <w:tcW w:type="dxa" w:w="1728"/>
          </w:tcPr>
          <w:p>
            <w:r>
              <w:rPr>
                <w:sz w:val="14"/>
              </w:rPr>
              <w:t>Déclaration de patrimoine : vers un référendum au Sénégal - DW.com</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2026-08-19</w:t>
            </w:r>
          </w:p>
        </w:tc>
        <w:tc>
          <w:tcPr>
            <w:tcW w:type="dxa" w:w="1728"/>
          </w:tcPr>
          <w:p>
            <w:r>
              <w:rPr>
                <w:sz w:val="14"/>
              </w:rPr>
              <w:t>Mali : Les FAMa annoncent plusieurs frappes contre la coalition JNIM-F</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2026-08-19</w:t>
            </w:r>
          </w:p>
        </w:tc>
        <w:tc>
          <w:tcPr>
            <w:tcW w:type="dxa" w:w="1728"/>
          </w:tcPr>
          <w:p>
            <w:r>
              <w:rPr>
                <w:sz w:val="14"/>
              </w:rPr>
              <w:t>Au Sénégal, l’urgence pour le peuple souverain n’est pas politique (Pa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2026-08-19</w:t>
            </w:r>
          </w:p>
        </w:tc>
        <w:tc>
          <w:tcPr>
            <w:tcW w:type="dxa" w:w="1728"/>
          </w:tcPr>
          <w:p>
            <w:r>
              <w:rPr>
                <w:sz w:val="14"/>
              </w:rPr>
              <w:t>Justice internationale en péril : les États-Unis déclarent la guerre à</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2026-08-19</w:t>
            </w:r>
          </w:p>
        </w:tc>
        <w:tc>
          <w:tcPr>
            <w:tcW w:type="dxa" w:w="1728"/>
          </w:tcPr>
          <w:p>
            <w:r>
              <w:rPr>
                <w:sz w:val="14"/>
              </w:rPr>
              <w:t>« Il faut s'y attendre et s'y préparer » : une correction boursière su</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2026-08-18</w:t>
            </w:r>
          </w:p>
        </w:tc>
        <w:tc>
          <w:tcPr>
            <w:tcW w:type="dxa" w:w="1728"/>
          </w:tcPr>
          <w:p>
            <w:r>
              <w:rPr>
                <w:sz w:val="14"/>
              </w:rPr>
              <w:t>Déclaration de patrimoine : vers un référendum au Sénégal - DW.com</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2026-08-19</w:t>
            </w:r>
          </w:p>
        </w:tc>
        <w:tc>
          <w:tcPr>
            <w:tcW w:type="dxa" w:w="1728"/>
          </w:tcPr>
          <w:p>
            <w:r>
              <w:rPr>
                <w:sz w:val="14"/>
              </w:rPr>
              <w:t>Au Sénégal, l’urgence pour le peuple souverain n’est pas politique (Pa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2026-08-19</w:t>
            </w:r>
          </w:p>
        </w:tc>
        <w:tc>
          <w:tcPr>
            <w:tcW w:type="dxa" w:w="1728"/>
          </w:tcPr>
          <w:p>
            <w:r>
              <w:rPr>
                <w:sz w:val="14"/>
              </w:rPr>
              <w:t>Arrestation de deux réalisateurs français au Togo : Faure Gnassingbé 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2026-08-19</w:t>
            </w:r>
          </w:p>
        </w:tc>
        <w:tc>
          <w:tcPr>
            <w:tcW w:type="dxa" w:w="1728"/>
          </w:tcPr>
          <w:p>
            <w:r>
              <w:rPr>
                <w:sz w:val="14"/>
              </w:rPr>
              <w:t>Justice internationale en péril : les États-Unis déclarent la guerre à</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2026-08-19</w:t>
            </w:r>
          </w:p>
        </w:tc>
        <w:tc>
          <w:tcPr>
            <w:tcW w:type="dxa" w:w="1728"/>
          </w:tcPr>
          <w:p>
            <w:r>
              <w:rPr>
                <w:sz w:val="14"/>
              </w:rPr>
              <w:t>« Il faut s'y attendre et s'y préparer » : une correction boursière su</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2026-08-18</w:t>
            </w:r>
          </w:p>
        </w:tc>
        <w:tc>
          <w:tcPr>
            <w:tcW w:type="dxa" w:w="1728"/>
          </w:tcPr>
          <w:p>
            <w:r>
              <w:rPr>
                <w:sz w:val="14"/>
              </w:rPr>
              <w:t>Déclaration de patrimoine : vers un référendum au Sénégal - DW.com</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2026-08-18</w:t>
            </w:r>
          </w:p>
        </w:tc>
        <w:tc>
          <w:tcPr>
            <w:tcW w:type="dxa" w:w="1728"/>
          </w:tcPr>
          <w:p>
            <w:r>
              <w:rPr>
                <w:sz w:val="14"/>
              </w:rPr>
              <w:t>Wall Street veut mettre la Bourse sur la blockchain - Zonebourse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2026-08-18</w:t>
            </w:r>
          </w:p>
        </w:tc>
        <w:tc>
          <w:tcPr>
            <w:tcW w:type="dxa" w:w="1728"/>
          </w:tcPr>
          <w:p>
            <w:r>
              <w:rPr>
                <w:sz w:val="14"/>
              </w:rPr>
              <w:t>Les prix des matières premières de mardi - KOHA.net</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2026-08-19</w:t>
            </w:r>
          </w:p>
        </w:tc>
        <w:tc>
          <w:tcPr>
            <w:tcW w:type="dxa" w:w="1728"/>
          </w:tcPr>
          <w:p>
            <w:r>
              <w:rPr>
                <w:sz w:val="14"/>
              </w:rPr>
              <w:t>Justice internationale en péril : les États-Unis déclarent la guerre à</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2026-08-19</w:t>
            </w:r>
          </w:p>
        </w:tc>
        <w:tc>
          <w:tcPr>
            <w:tcW w:type="dxa" w:w="1728"/>
          </w:tcPr>
          <w:p>
            <w:r>
              <w:rPr>
                <w:sz w:val="14"/>
              </w:rPr>
              <w:t>« Il faut s'y attendre et s'y préparer » : une correction boursière su</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2026-08-19</w:t>
            </w:r>
          </w:p>
        </w:tc>
        <w:tc>
          <w:tcPr>
            <w:tcW w:type="dxa" w:w="1728"/>
          </w:tcPr>
          <w:p>
            <w:r>
              <w:rPr>
                <w:sz w:val="14"/>
              </w:rPr>
              <w:t>Migration en Afrique de l’Ouest: la CEDEAO engage ses États membres ve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2026-08-18</w:t>
            </w:r>
          </w:p>
        </w:tc>
        <w:tc>
          <w:tcPr>
            <w:tcW w:type="dxa" w:w="1728"/>
          </w:tcPr>
          <w:p>
            <w:r>
              <w:rPr>
                <w:sz w:val="14"/>
              </w:rPr>
              <w:t>Déclaration de patrimoine : vers un référendum au Sénégal - DW.com</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2026-08-18</w:t>
            </w:r>
          </w:p>
        </w:tc>
        <w:tc>
          <w:tcPr>
            <w:tcW w:type="dxa" w:w="1728"/>
          </w:tcPr>
          <w:p>
            <w:r>
              <w:rPr>
                <w:sz w:val="14"/>
              </w:rPr>
              <w:t>Wall Street veut mettre la Bourse sur la blockchain - Zonebourse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2026-08-19</w:t>
            </w:r>
          </w:p>
        </w:tc>
        <w:tc>
          <w:tcPr>
            <w:tcW w:type="dxa" w:w="1728"/>
          </w:tcPr>
          <w:p>
            <w:r>
              <w:rPr>
                <w:sz w:val="14"/>
              </w:rPr>
              <w:t>Justice internationale en péril : les États-Unis déclarent la guerre à</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2026-08-19</w:t>
            </w:r>
          </w:p>
        </w:tc>
        <w:tc>
          <w:tcPr>
            <w:tcW w:type="dxa" w:w="1728"/>
          </w:tcPr>
          <w:p>
            <w:r>
              <w:rPr>
                <w:sz w:val="14"/>
              </w:rPr>
              <w:t>« Il faut s'y attendre et s'y préparer » : une correction boursière su</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2026-08-19</w:t>
            </w:r>
          </w:p>
        </w:tc>
        <w:tc>
          <w:tcPr>
            <w:tcW w:type="dxa" w:w="1728"/>
          </w:tcPr>
          <w:p>
            <w:r>
              <w:rPr>
                <w:sz w:val="14"/>
              </w:rPr>
              <w:t>Migration en Afrique de l’Ouest: la CEDEAO engage ses États membres ve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2026-08-18</w:t>
            </w:r>
          </w:p>
        </w:tc>
        <w:tc>
          <w:tcPr>
            <w:tcW w:type="dxa" w:w="1728"/>
          </w:tcPr>
          <w:p>
            <w:r>
              <w:rPr>
                <w:sz w:val="14"/>
              </w:rPr>
              <w:t>Déclaration de patrimoine : vers un référendum au Sénégal - DW.com</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2026-08-18</w:t>
            </w:r>
          </w:p>
        </w:tc>
        <w:tc>
          <w:tcPr>
            <w:tcW w:type="dxa" w:w="1728"/>
          </w:tcPr>
          <w:p>
            <w:r>
              <w:rPr>
                <w:sz w:val="14"/>
              </w:rPr>
              <w:t>Wall Street veut mettre la Bourse sur la blockchain - Zonebourse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2026-08-19</w:t>
            </w:r>
          </w:p>
        </w:tc>
        <w:tc>
          <w:tcPr>
            <w:tcW w:type="dxa" w:w="1728"/>
          </w:tcPr>
          <w:p>
            <w:r>
              <w:rPr>
                <w:sz w:val="14"/>
              </w:rPr>
              <w:t>Justice internationale en péril : les États-Unis déclarent la guerre à</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2026-08-19</w:t>
            </w:r>
          </w:p>
        </w:tc>
        <w:tc>
          <w:tcPr>
            <w:tcW w:type="dxa" w:w="1728"/>
          </w:tcPr>
          <w:p>
            <w:r>
              <w:rPr>
                <w:sz w:val="14"/>
              </w:rPr>
              <w:t>« Il faut s'y attendre et s'y préparer » : une correction boursière su</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2026-08-18</w:t>
            </w:r>
          </w:p>
        </w:tc>
        <w:tc>
          <w:tcPr>
            <w:tcW w:type="dxa" w:w="1728"/>
          </w:tcPr>
          <w:p>
            <w:r>
              <w:rPr>
                <w:sz w:val="14"/>
              </w:rPr>
              <w:t>Déclaration de patrimoine : vers un référendum au Sénégal - DW.com</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2026-08-19</w:t>
            </w:r>
          </w:p>
        </w:tc>
        <w:tc>
          <w:tcPr>
            <w:tcW w:type="dxa" w:w="1728"/>
          </w:tcPr>
          <w:p>
            <w:r>
              <w:rPr>
                <w:sz w:val="14"/>
              </w:rPr>
              <w:t>Mali : Les FAMa annoncent plusieurs frappes contre la coalition JNIM-F</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2026-08-19</w:t>
            </w:r>
          </w:p>
        </w:tc>
        <w:tc>
          <w:tcPr>
            <w:tcW w:type="dxa" w:w="1728"/>
          </w:tcPr>
          <w:p>
            <w:r>
              <w:rPr>
                <w:sz w:val="14"/>
              </w:rPr>
              <w:t>Au Sénégal, l’urgence pour le peuple souverain n’est pas politique (Pa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2026-08-19</w:t>
            </w:r>
          </w:p>
        </w:tc>
        <w:tc>
          <w:tcPr>
            <w:tcW w:type="dxa" w:w="1728"/>
          </w:tcPr>
          <w:p>
            <w:r>
              <w:rPr>
                <w:sz w:val="14"/>
              </w:rPr>
              <w:t>Justice internationale en péril : les États-Unis déclarent la guerre à</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2026-08-19</w:t>
            </w:r>
          </w:p>
        </w:tc>
        <w:tc>
          <w:tcPr>
            <w:tcW w:type="dxa" w:w="1728"/>
          </w:tcPr>
          <w:p>
            <w:r>
              <w:rPr>
                <w:sz w:val="14"/>
              </w:rPr>
              <w:t>« Il faut s'y attendre et s'y préparer » : une correction boursière su</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2026-08-18</w:t>
            </w:r>
          </w:p>
        </w:tc>
        <w:tc>
          <w:tcPr>
            <w:tcW w:type="dxa" w:w="1728"/>
          </w:tcPr>
          <w:p>
            <w:r>
              <w:rPr>
                <w:sz w:val="14"/>
              </w:rPr>
              <w:t>Déclaration de patrimoine : vers un référendum au Sénégal - DW.com</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2026-08-18</w:t>
            </w:r>
          </w:p>
        </w:tc>
        <w:tc>
          <w:tcPr>
            <w:tcW w:type="dxa" w:w="1728"/>
          </w:tcPr>
          <w:p>
            <w:r>
              <w:rPr>
                <w:sz w:val="14"/>
              </w:rPr>
              <w:t>Wall Street veut mettre la Bourse sur la blockchain - Zonebourse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2026-08-18</w:t>
            </w:r>
          </w:p>
        </w:tc>
        <w:tc>
          <w:tcPr>
            <w:tcW w:type="dxa" w:w="1728"/>
          </w:tcPr>
          <w:p>
            <w:r>
              <w:rPr>
                <w:sz w:val="14"/>
              </w:rPr>
              <w:t>Les prix des matières premières de mardi - KOHA.net</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(12 alerte(s))</w:t>
      </w:r>
    </w:p>
    <w:p>
      <w:pPr>
        <w:spacing w:before="40" w:after="40"/>
        <w:ind w:left="360"/>
      </w:pPr>
      <w:r>
        <w:rPr>
          <w:color w:val="646464"/>
          <w:sz w:val="17"/>
        </w:rPr>
        <w:t xml:space="preserve">[19/08/2026] 🔴  </w:t>
      </w:r>
      <w:r>
        <w:rPr>
          <w:b/>
          <w:color w:val="C00000"/>
          <w:sz w:val="18"/>
        </w:rPr>
        <w:t>Arrestation de deux réalisateurs français au Togo : Faure Gnassingbé et son chantage de mauvais goût - Afrik</w:t>
      </w:r>
      <w:r>
        <w:rPr>
          <w:color w:val="787878"/>
          <w:sz w:val="15"/>
        </w:rPr>
        <w:t xml:space="preserve">  [politique]</w:t>
      </w:r>
      <w:r>
        <w:rPr>
          <w:color w:val="B47800"/>
          <w:sz w:val="16"/>
        </w:rPr>
        <w:t xml:space="preserve">  ★ 50/10</w:t>
      </w:r>
    </w:p>
    <w:p>
      <w:pPr>
        <w:spacing w:before="0" w:after="20"/>
        <w:ind w:left="600"/>
      </w:pPr>
      <w:r>
        <w:rPr>
          <w:color w:val="323232"/>
          <w:sz w:val="17"/>
        </w:rPr>
        <w:t>Deux réalisateurs français ont été arrêtés au Togo, et le président Faure Gnassingbé est accusé de chantage dans cette affaire. L'article dénonce une instrumentalisation politique de la justice et un climat de répression. Cette situation pourrait affecter la perception des risques politiques dans la zone UEMOA.</w:t>
      </w:r>
    </w:p>
    <w:p>
      <w:pPr>
        <w:spacing w:before="0" w:after="40"/>
        <w:ind w:left="600"/>
      </w:pPr>
      <w:r>
        <w:rPr>
          <w:color w:val="00643C"/>
          <w:sz w:val="16"/>
        </w:rPr>
        <w:t>Points clés : Arrestation de deux réalisateurs français au Togo  •  Accusation de chantage contre le président Faure Gnassingbé  •  Tensions politiques et atteinte à la liberté de la presse</w:t>
      </w:r>
    </w:p>
    <w:p>
      <w:pPr>
        <w:spacing w:before="0" w:after="60"/>
        <w:ind w:left="600"/>
      </w:pPr>
      <w:r>
        <w:rPr>
          <w:color w:val="0064B4"/>
          <w:sz w:val="15"/>
        </w:rPr>
        <w:t>Source : https://news.google.com/rss/articles/CBMivAFBVV95cUxOa2xZcTk5MkNGYk5jUlpoRXdpUDB</w:t>
      </w:r>
    </w:p>
    <w:p>
      <w:pPr>
        <w:spacing w:before="40" w:after="40"/>
        <w:ind w:left="360"/>
      </w:pPr>
      <w:r>
        <w:rPr>
          <w:color w:val="646464"/>
          <w:sz w:val="17"/>
        </w:rPr>
        <w:t xml:space="preserve">[19/08/2026] ⚪  </w:t>
      </w:r>
      <w:r>
        <w:rPr>
          <w:b/>
          <w:color w:val="505050"/>
          <w:sz w:val="18"/>
        </w:rPr>
        <w:t>Au Sénégal, l’urgence pour le peuple souverain n’est pas politique (Par Babacar Drame) - pressafrik.com</w:t>
      </w:r>
      <w:r>
        <w:rPr>
          <w:color w:val="787878"/>
          <w:sz w:val="15"/>
        </w:rPr>
        <w:t xml:space="preserve">  [politique]</w:t>
      </w:r>
      <w:r>
        <w:rPr>
          <w:color w:val="B47800"/>
          <w:sz w:val="16"/>
        </w:rPr>
        <w:t xml:space="preserve">  ★ 50/10</w:t>
      </w:r>
    </w:p>
    <w:p>
      <w:pPr>
        <w:spacing w:before="0" w:after="20"/>
        <w:ind w:left="600"/>
      </w:pPr>
      <w:r>
        <w:rPr>
          <w:color w:val="323232"/>
          <w:sz w:val="17"/>
        </w:rPr>
        <w:t>L'article de Babacar Drame, publié sur Pressafrik, affirme qu'au Sénégal, l'urgence pour le peuple souverain n'est pas politique, mais plutôt économique et sociale. L'auteur semble critiquer la focalisation sur les débats politiques alors que les préoccupations majeures des citoyens sont liées à leur quotidien. Le texte suggère que les priorités de</w:t>
      </w:r>
    </w:p>
    <w:p>
      <w:pPr>
        <w:spacing w:before="0" w:after="40"/>
        <w:ind w:left="600"/>
      </w:pPr>
      <w:r>
        <w:rPr>
          <w:color w:val="00643C"/>
          <w:sz w:val="16"/>
        </w:rPr>
        <w:t>Points clés : L'urgence au Sénégal est économique et sociale, non politique.  •  Le peuple souverain attend des actions concrètes pour améliorer son quotidien.</w:t>
      </w:r>
    </w:p>
    <w:p>
      <w:pPr>
        <w:spacing w:before="0" w:after="60"/>
        <w:ind w:left="600"/>
      </w:pPr>
      <w:r>
        <w:rPr>
          <w:color w:val="0064B4"/>
          <w:sz w:val="15"/>
        </w:rPr>
        <w:t>Source : https://news.google.com/rss/articles/CBMiwAFBVV95cUxQeGZMbEo3OThqaGk2ZmgyNHU1azV</w:t>
      </w:r>
    </w:p>
    <w:p>
      <w:pPr>
        <w:spacing w:before="40" w:after="40"/>
        <w:ind w:left="360"/>
      </w:pPr>
      <w:r>
        <w:rPr>
          <w:color w:val="646464"/>
          <w:sz w:val="17"/>
        </w:rPr>
        <w:t xml:space="preserve">[19/08/2026] ⚪  </w:t>
      </w:r>
      <w:r>
        <w:rPr>
          <w:b/>
          <w:color w:val="505050"/>
          <w:sz w:val="18"/>
        </w:rPr>
        <w:t>Mali : Les FAMa annoncent plusieurs frappes contre la coalition JNIM-FLA - koaci.com</w:t>
      </w:r>
      <w:r>
        <w:rPr>
          <w:color w:val="787878"/>
          <w:sz w:val="15"/>
        </w:rPr>
        <w:t xml:space="preserve">  [politique]</w:t>
      </w:r>
      <w:r>
        <w:rPr>
          <w:color w:val="B47800"/>
          <w:sz w:val="16"/>
        </w:rPr>
        <w:t xml:space="preserve">  ★ 50/10</w:t>
      </w:r>
    </w:p>
    <w:p>
      <w:pPr>
        <w:spacing w:before="0" w:after="20"/>
        <w:ind w:left="600"/>
      </w:pPr>
      <w:r>
        <w:rPr>
          <w:color w:val="323232"/>
          <w:sz w:val="17"/>
        </w:rPr>
        <w:t>Les Forces armées maliennes (FAMa) ont annoncé avoir mené plusieurs frappes contre la coalition jihadiste JNIM-FLA dans le nord du Mali. Ces opérations s'inscrivent dans le cadre de la lutte contre le terrorisme dans la région. L'annonce intervient dans un contexte sécuritaire tendu, mais sans impact direct sur les marchés financiers de l'UEMOA.</w:t>
      </w:r>
    </w:p>
    <w:p>
      <w:pPr>
        <w:spacing w:before="0" w:after="40"/>
        <w:ind w:left="600"/>
      </w:pPr>
      <w:r>
        <w:rPr>
          <w:color w:val="00643C"/>
          <w:sz w:val="16"/>
        </w:rPr>
        <w:t>Points clés : Frappes des FAMa contre la coalition JNIM-FLA au Mali.  •  Contexte sécuritaire régional toujours instable.  •  Pas d'impact direct sur les activités économiques de la zone UEMOA.</w:t>
      </w:r>
    </w:p>
    <w:p>
      <w:pPr>
        <w:spacing w:before="0" w:after="60"/>
        <w:ind w:left="600"/>
      </w:pPr>
      <w:r>
        <w:rPr>
          <w:color w:val="0064B4"/>
          <w:sz w:val="15"/>
        </w:rPr>
        <w:t>Source : https://news.google.com/rss/articles/CBMi1AFBVV95cUxQejVkNi1xNnZTRHJab0FYYUFvdmM</w:t>
      </w:r>
    </w:p>
    <w:p>
      <w:pPr>
        <w:spacing w:before="40" w:after="40"/>
        <w:ind w:left="360"/>
      </w:pPr>
      <w:r>
        <w:rPr>
          <w:color w:val="646464"/>
          <w:sz w:val="17"/>
        </w:rPr>
        <w:t xml:space="preserve">[19/08/2026] ⚪  </w:t>
      </w:r>
      <w:r>
        <w:rPr>
          <w:b/>
          <w:color w:val="505050"/>
          <w:sz w:val="18"/>
        </w:rPr>
        <w:t>VIDÉO. Sénégal : Patrick Vieira nommé sélectionneur de l’équipe nationale de football - tv5monde</w:t>
      </w:r>
      <w:r>
        <w:rPr>
          <w:color w:val="787878"/>
          <w:sz w:val="15"/>
        </w:rPr>
        <w:t xml:space="preserve">  [politique]</w:t>
      </w:r>
      <w:r>
        <w:rPr>
          <w:color w:val="B47800"/>
          <w:sz w:val="16"/>
        </w:rPr>
        <w:t xml:space="preserve">  ★ 50/10</w:t>
      </w:r>
    </w:p>
    <w:p>
      <w:pPr>
        <w:spacing w:before="0" w:after="20"/>
        <w:ind w:left="600"/>
      </w:pPr>
      <w:r>
        <w:rPr>
          <w:color w:val="323232"/>
          <w:sz w:val="17"/>
        </w:rPr>
        <w:t>Patrick Vieira a été nommé sélectionneur de l'équipe nationale de football du Sénégal, une annonce qui renforce l'attractivité sportive du pays. Cette nomination intervient dans un contexte de préparation pour les prochaines compétitions internationales. L'événement est principalement sportif et n'a pas de lien direct avec les fondamentaux économiq</w:t>
      </w:r>
    </w:p>
    <w:p>
      <w:pPr>
        <w:spacing w:before="0" w:after="40"/>
        <w:ind w:left="600"/>
      </w:pPr>
      <w:r>
        <w:rPr>
          <w:color w:val="00643C"/>
          <w:sz w:val="16"/>
        </w:rPr>
        <w:t>Points clés : Nomination de Patrick Vieira comme sélectionneur du Sénégal  •  Événement sportif majeur pour le pays  •  Aucun impact direct sur les marchés financiers</w:t>
      </w:r>
    </w:p>
    <w:p>
      <w:pPr>
        <w:spacing w:before="0" w:after="60"/>
        <w:ind w:left="600"/>
      </w:pPr>
      <w:r>
        <w:rPr>
          <w:color w:val="0064B4"/>
          <w:sz w:val="15"/>
        </w:rPr>
        <w:t>Source : https://news.google.com/rss/articles/CBMiygFBVV95cUxPY0RjTjd0TzA1dkZfTUhtUmdTX2k</w:t>
      </w:r>
    </w:p>
    <w:p>
      <w:pPr>
        <w:spacing w:before="40" w:after="40"/>
        <w:ind w:left="360"/>
      </w:pPr>
      <w:r>
        <w:rPr>
          <w:color w:val="646464"/>
          <w:sz w:val="17"/>
        </w:rPr>
        <w:t xml:space="preserve">[19/08/2026] ⚪  </w:t>
      </w:r>
      <w:r>
        <w:rPr>
          <w:b/>
          <w:color w:val="505050"/>
          <w:sz w:val="18"/>
        </w:rPr>
        <w:t>Togo : Faure Gnassingbé remanie le haut commandement militaire - Africtelegraph</w:t>
      </w:r>
      <w:r>
        <w:rPr>
          <w:color w:val="787878"/>
          <w:sz w:val="15"/>
        </w:rPr>
        <w:t xml:space="preserve">  [politique]</w:t>
      </w:r>
      <w:r>
        <w:rPr>
          <w:color w:val="B47800"/>
          <w:sz w:val="16"/>
        </w:rPr>
        <w:t xml:space="preserve">  ★ 50/10</w:t>
      </w:r>
    </w:p>
    <w:p>
      <w:pPr>
        <w:spacing w:before="0" w:after="20"/>
        <w:ind w:left="600"/>
      </w:pPr>
      <w:r>
        <w:rPr>
          <w:color w:val="323232"/>
          <w:sz w:val="17"/>
        </w:rPr>
        <w:t>Le président togolais Faure Gnassingbé a procédé à un remaniement du haut commandement militaire, une décision qui s'inscrit dans un contexte de consolidation du pouvoir et de réorganisation des forces armées. Ce changement intervient alors que le Togo, membre de l'UEMOA, fait face à des défis sécuritaires dans la région. L'impact direct sur les ma</w:t>
      </w:r>
    </w:p>
    <w:p>
      <w:pPr>
        <w:spacing w:before="0" w:after="40"/>
        <w:ind w:left="600"/>
      </w:pPr>
      <w:r>
        <w:rPr>
          <w:color w:val="00643C"/>
          <w:sz w:val="16"/>
        </w:rPr>
        <w:t>Points clés : Remaniement du haut commandement militaire au Togo.  •  Décision politique interne, sans effet direct sur l'économie.  •  Contexte sécuritaire régional tendu (Sahel, golfe de Guinée).  •  Aucun impact attendu sur les entreprises cotées à la BRVM.</w:t>
      </w:r>
    </w:p>
    <w:p>
      <w:pPr>
        <w:spacing w:before="0" w:after="60"/>
        <w:ind w:left="600"/>
      </w:pPr>
      <w:r>
        <w:rPr>
          <w:color w:val="0064B4"/>
          <w:sz w:val="15"/>
        </w:rPr>
        <w:t>Source : https://news.google.com/rss/articles/CBMimAFBVV95cUxQUTh1NF9iLTFvMkhvekpmRjM0dFF</w:t>
      </w:r>
    </w:p>
    <w:p>
      <w:pPr>
        <w:spacing w:before="120" w:after="40"/>
      </w:pPr>
      <w:r>
        <w:rPr>
          <w:b/>
          <w:color w:val="00467F"/>
          <w:sz w:val="20"/>
        </w:rPr>
        <w:t>🔑 économique  (4 alerte(s))</w:t>
      </w:r>
    </w:p>
    <w:p>
      <w:pPr>
        <w:spacing w:before="40" w:after="40"/>
        <w:ind w:left="360"/>
      </w:pPr>
      <w:r>
        <w:rPr>
          <w:color w:val="646464"/>
          <w:sz w:val="17"/>
        </w:rPr>
        <w:t xml:space="preserve">[19/08/2026] 🟢  </w:t>
      </w:r>
      <w:r>
        <w:rPr>
          <w:b/>
          <w:color w:val="008000"/>
          <w:sz w:val="18"/>
        </w:rPr>
        <w:t xml:space="preserve">Migration en Afrique de l’Ouest: la CEDEAO engage ses États membres vers des statistiques plus fiables et harmonisées - </w:t>
      </w:r>
      <w:r>
        <w:rPr>
          <w:color w:val="787878"/>
          <w:sz w:val="15"/>
        </w:rPr>
        <w:t xml:space="preserve">  [économique]</w:t>
      </w:r>
      <w:r>
        <w:rPr>
          <w:color w:val="B47800"/>
          <w:sz w:val="16"/>
        </w:rPr>
        <w:t xml:space="preserve">  ★ 50/10</w:t>
      </w:r>
    </w:p>
    <w:p>
      <w:pPr>
        <w:spacing w:before="0" w:after="20"/>
        <w:ind w:left="600"/>
      </w:pPr>
      <w:r>
        <w:rPr>
          <w:color w:val="323232"/>
          <w:sz w:val="17"/>
        </w:rPr>
        <w:t>La CEDEAO lance une initiative visant à harmoniser et fiabiliser les statistiques migratoires dans ses États membres, afin de mieux comprendre et gérer les flux migratoires en Afrique de l'Ouest. Cette démarche devrait améliorer la planification économique et sociale, et renforcer la coopération régionale. Pour les investisseurs, des données plus p</w:t>
      </w:r>
    </w:p>
    <w:p>
      <w:pPr>
        <w:spacing w:before="0" w:after="40"/>
        <w:ind w:left="600"/>
      </w:pPr>
      <w:r>
        <w:rPr>
          <w:color w:val="00643C"/>
          <w:sz w:val="16"/>
        </w:rPr>
        <w:t>Points clés : Harmonisation des statistiques migratoires dans les pays membres de la CEDEAO.  •  Amélioration de la fiabilité des données pour une meilleure gestion des flux migratoires.  •  Renforcement de la coopération régionale et de la planification économique.</w:t>
      </w:r>
    </w:p>
    <w:p>
      <w:pPr>
        <w:spacing w:before="0" w:after="60"/>
        <w:ind w:left="600"/>
      </w:pPr>
      <w:r>
        <w:rPr>
          <w:color w:val="0064B4"/>
          <w:sz w:val="15"/>
        </w:rPr>
        <w:t>Source : https://news.google.com/rss/articles/CBMiTkFVX3lxTE5lb3RZRG4waDB0azB1NDFoSFlJbHh</w:t>
      </w:r>
    </w:p>
    <w:p>
      <w:pPr>
        <w:spacing w:before="40" w:after="40"/>
        <w:ind w:left="360"/>
      </w:pPr>
      <w:r>
        <w:rPr>
          <w:color w:val="646464"/>
          <w:sz w:val="17"/>
        </w:rPr>
        <w:t xml:space="preserve">[19/08/2026] ⚪  </w:t>
      </w:r>
      <w:r>
        <w:rPr>
          <w:b/>
          <w:color w:val="505050"/>
          <w:sz w:val="18"/>
        </w:rPr>
        <w:t>Russie-CEDEAO : après les ruptures au Sahel, avec qui l’Afrique de l’Ouest construit-elle ses nouvelles alliances ? - af</w:t>
      </w:r>
      <w:r>
        <w:rPr>
          <w:color w:val="787878"/>
          <w:sz w:val="15"/>
        </w:rPr>
        <w:t xml:space="preserve">  [économique]</w:t>
      </w:r>
      <w:r>
        <w:rPr>
          <w:color w:val="B47800"/>
          <w:sz w:val="16"/>
        </w:rPr>
        <w:t xml:space="preserve">  ★ 50/10</w:t>
      </w:r>
    </w:p>
    <w:p>
      <w:pPr>
        <w:spacing w:before="0" w:after="20"/>
        <w:ind w:left="600"/>
      </w:pPr>
      <w:r>
        <w:rPr>
          <w:color w:val="323232"/>
          <w:sz w:val="17"/>
        </w:rPr>
        <w:t>L'article examine les nouvelles alliances géopolitiques et économiques de l'Afrique de l'Ouest après les ruptures entre la Russie et la CEDEAO, notamment suite aux coups d'État au Sahel. Il analyse les partenariats émergents avec d'autres puissances (comme la Chine, la Turquie ou les Émirats) et leurs implications pour la région. La question centra</w:t>
      </w:r>
    </w:p>
    <w:p>
      <w:pPr>
        <w:spacing w:before="0" w:after="40"/>
        <w:ind w:left="600"/>
      </w:pPr>
      <w:r>
        <w:rPr>
          <w:color w:val="00643C"/>
          <w:sz w:val="16"/>
        </w:rPr>
        <w:t>Points clés : Ruptures entre la Russie et la CEDEAO après les changements de régime au Sahel.  •  Recherche de nouvelles alliances économiques et sécuritaires par les pays ouest-africains.  •  Impact potentiel sur les flux commerciaux et les investissements dans la région.  •  Incertitude géopolitique pour les marchés financiers régionaux.</w:t>
      </w:r>
    </w:p>
    <w:p>
      <w:pPr>
        <w:spacing w:before="0" w:after="60"/>
        <w:ind w:left="600"/>
      </w:pPr>
      <w:r>
        <w:rPr>
          <w:color w:val="0064B4"/>
          <w:sz w:val="15"/>
        </w:rPr>
        <w:t>Source : https://news.google.com/rss/articles/CBMi6wFBVV95cUxPemxJS05jUmJDRE5XQVRTSkFLd19</w:t>
      </w:r>
    </w:p>
    <w:p>
      <w:pPr>
        <w:spacing w:before="40" w:after="40"/>
        <w:ind w:left="360"/>
      </w:pPr>
      <w:r>
        <w:rPr>
          <w:color w:val="646464"/>
          <w:sz w:val="17"/>
        </w:rPr>
        <w:t xml:space="preserve">[18/08/2026] ⚪  </w:t>
      </w:r>
      <w:r>
        <w:rPr>
          <w:b/>
          <w:color w:val="505050"/>
          <w:sz w:val="18"/>
        </w:rPr>
        <w:t>Renforcement de la production des données migratoires en Afrique de l’ouest : des experts de la CEDEAO réfléchissent à l</w:t>
      </w:r>
      <w:r>
        <w:rPr>
          <w:color w:val="787878"/>
          <w:sz w:val="15"/>
        </w:rPr>
        <w:t xml:space="preserve">  [économique]</w:t>
      </w:r>
      <w:r>
        <w:rPr>
          <w:color w:val="B47800"/>
          <w:sz w:val="16"/>
        </w:rPr>
        <w:t xml:space="preserve">  ★ 50/10</w:t>
      </w:r>
    </w:p>
    <w:p>
      <w:pPr>
        <w:spacing w:before="0" w:after="20"/>
        <w:ind w:left="600"/>
      </w:pPr>
      <w:r>
        <w:rPr>
          <w:color w:val="323232"/>
          <w:sz w:val="17"/>
        </w:rPr>
        <w:t>Des experts de la CEDEAO se réunissent pour finaliser le 3e rapport régional sur les données migratoires en Afrique de l'Ouest, visant à renforcer la production et l'harmonisation de ces données. Cette initiative s'inscrit dans un cadre économique et politique régional, avec des implications potentielles pour la mobilité des travailleurs et les pol</w:t>
      </w:r>
    </w:p>
    <w:p>
      <w:pPr>
        <w:spacing w:before="0" w:after="40"/>
        <w:ind w:left="600"/>
      </w:pPr>
      <w:r>
        <w:rPr>
          <w:color w:val="00643C"/>
          <w:sz w:val="16"/>
        </w:rPr>
        <w:t>Points clés : Finalisation du 3e rapport régional sur les données migratoires en Afrique de l'Ouest  •  Renforcement de la production et de l'harmonisation des données migratoires dans la région CEDEAO</w:t>
      </w:r>
    </w:p>
    <w:p>
      <w:pPr>
        <w:spacing w:before="0" w:after="60"/>
        <w:ind w:left="600"/>
      </w:pPr>
      <w:r>
        <w:rPr>
          <w:color w:val="0064B4"/>
          <w:sz w:val="15"/>
        </w:rPr>
        <w:t>Source : https://news.google.com/rss/articles/CBMingJBVV95cUxNTWJzeG9LWTk3YlNFaExENzI0VDd</w:t>
      </w:r>
    </w:p>
    <w:p>
      <w:pPr>
        <w:spacing w:before="40" w:after="40"/>
        <w:ind w:left="360"/>
      </w:pPr>
      <w:r>
        <w:rPr>
          <w:color w:val="646464"/>
          <w:sz w:val="17"/>
        </w:rPr>
        <w:t xml:space="preserve">[18/08/2026] 🟢  </w:t>
      </w:r>
      <w:r>
        <w:rPr>
          <w:b/>
          <w:color w:val="008000"/>
          <w:sz w:val="18"/>
        </w:rPr>
        <w:t>Russie-CEDEAO : Lavrov annonce un mémorandum de coopération - Yeni Şafak</w:t>
      </w:r>
      <w:r>
        <w:rPr>
          <w:color w:val="787878"/>
          <w:sz w:val="15"/>
        </w:rPr>
        <w:t xml:space="preserve">  [économique]</w:t>
      </w:r>
      <w:r>
        <w:rPr>
          <w:color w:val="B47800"/>
          <w:sz w:val="16"/>
        </w:rPr>
        <w:t xml:space="preserve">  ★ 50/10</w:t>
      </w:r>
    </w:p>
    <w:p>
      <w:pPr>
        <w:spacing w:before="0" w:after="20"/>
        <w:ind w:left="600"/>
      </w:pPr>
      <w:r>
        <w:rPr>
          <w:color w:val="323232"/>
          <w:sz w:val="17"/>
        </w:rPr>
        <w:t xml:space="preserve">Le ministre russe des Affaires étrangères, Sergueï Lavrov, a annoncé la signature prochaine d'un mémorandum de coopération entre la Russie et la CEDEAO. Cette annonce intervient dans un contexte de renforcement des liens économiques et diplomatiques entre Moscou et l'Afrique de l'Ouest. Le mémorandum pourrait ouvrir la voie à des partenariats dans </w:t>
      </w:r>
    </w:p>
    <w:p>
      <w:pPr>
        <w:spacing w:before="0" w:after="40"/>
        <w:ind w:left="600"/>
      </w:pPr>
      <w:r>
        <w:rPr>
          <w:color w:val="00643C"/>
          <w:sz w:val="16"/>
        </w:rPr>
        <w:t>Points clés : Signature d'un mémorandum de coopération Russie-CEDEAO annoncée par Lavrov.  •  Potentiel de partenariats économiques et sécuritaires renforcés avec la Russie.  •  Contexte de diversification des partenaires internationaux pour la CEDEAO.</w:t>
      </w:r>
    </w:p>
    <w:p>
      <w:pPr>
        <w:spacing w:before="0" w:after="60"/>
        <w:ind w:left="600"/>
      </w:pPr>
      <w:r>
        <w:rPr>
          <w:color w:val="0064B4"/>
          <w:sz w:val="15"/>
        </w:rPr>
        <w:t>Source : https://news.google.com/rss/articles/CBMiqgFBVV95cUxOWDBkTF9FLWxPT1hnOEhqOGZjSzd</w:t>
      </w:r>
    </w:p>
    <w:p>
      <w:pPr>
        <w:spacing w:before="120" w:after="40"/>
      </w:pPr>
      <w:r>
        <w:rPr>
          <w:b/>
          <w:color w:val="00467F"/>
          <w:sz w:val="20"/>
        </w:rPr>
        <w:t>🔑 geopolitique  (1 alerte(s))</w:t>
      </w:r>
    </w:p>
    <w:p>
      <w:pPr>
        <w:spacing w:before="40" w:after="40"/>
        <w:ind w:left="360"/>
      </w:pPr>
      <w:r>
        <w:rPr>
          <w:color w:val="646464"/>
          <w:sz w:val="17"/>
        </w:rPr>
        <w:t xml:space="preserve">[19/08/2026] 🔴  </w:t>
      </w:r>
      <w:r>
        <w:rPr>
          <w:b/>
          <w:color w:val="C00000"/>
          <w:sz w:val="18"/>
        </w:rPr>
        <w:t>Justice internationale en péril : les États-Unis déclarent la guerre à la Cour pénale internationale - Mali Actu</w:t>
      </w:r>
      <w:r>
        <w:rPr>
          <w:color w:val="787878"/>
          <w:sz w:val="15"/>
        </w:rPr>
        <w:t xml:space="preserve">  [geopolitique]</w:t>
      </w:r>
      <w:r>
        <w:rPr>
          <w:color w:val="B47800"/>
          <w:sz w:val="16"/>
        </w:rPr>
        <w:t xml:space="preserve">  ★ 50/10</w:t>
      </w:r>
    </w:p>
    <w:p>
      <w:pPr>
        <w:spacing w:before="0" w:after="20"/>
        <w:ind w:left="600"/>
      </w:pPr>
      <w:r>
        <w:rPr>
          <w:color w:val="323232"/>
          <w:sz w:val="17"/>
        </w:rPr>
        <w:t>Les États-Unis ont annoncé des sanctions contre la Cour pénale internationale (CPI), menaçant la justice internationale. Cette décision intervient après que la CPI a émis des mandats d'arrêt contre des responsables américains et israéliens. Elle affaiblit la crédibilité de la CPI et crée des tensions diplomatiques majeures. L'impact sur les marchés</w:t>
      </w:r>
    </w:p>
    <w:p>
      <w:pPr>
        <w:spacing w:before="0" w:after="40"/>
        <w:ind w:left="600"/>
      </w:pPr>
      <w:r>
        <w:rPr>
          <w:color w:val="00643C"/>
          <w:sz w:val="16"/>
        </w:rPr>
        <w:t>Points clés : Sanctions américaines contre la CPI  •  Menace sur la justice internationale  •  Tensions diplomatiques accrues  •  Impact indirect sur les marchés africains</w:t>
      </w:r>
    </w:p>
    <w:p>
      <w:pPr>
        <w:spacing w:before="0" w:after="60"/>
        <w:ind w:left="600"/>
      </w:pPr>
      <w:r>
        <w:rPr>
          <w:color w:val="0064B4"/>
          <w:sz w:val="15"/>
        </w:rPr>
        <w:t>Source : https://news.google.com/rss/articles/CBMib0FVX3lxTE9RUi1ERHhURXBGZlhscFVIcDNhakd</w:t>
      </w:r>
    </w:p>
    <w:p>
      <w:pPr>
        <w:spacing w:before="120" w:after="40"/>
      </w:pPr>
      <w:r>
        <w:rPr>
          <w:b/>
          <w:color w:val="00467F"/>
          <w:sz w:val="20"/>
        </w:rPr>
        <w:t>🔑 politique_monetaire  (1 alerte(s))</w:t>
      </w:r>
    </w:p>
    <w:p>
      <w:pPr>
        <w:spacing w:before="40" w:after="40"/>
        <w:ind w:left="360"/>
      </w:pPr>
      <w:r>
        <w:rPr>
          <w:color w:val="646464"/>
          <w:sz w:val="17"/>
        </w:rPr>
        <w:t xml:space="preserve">[19/08/2026] 🔴  </w:t>
      </w:r>
      <w:r>
        <w:rPr>
          <w:b/>
          <w:color w:val="C00000"/>
          <w:sz w:val="18"/>
        </w:rPr>
        <w:t>« Il faut s'y attendre et s'y préparer » : une correction boursière sur la tech est inévitable et l'Europe en pâtira, pr</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prévient qu'une correction boursière sur le secteur technologique est inévitable et que l'Europe en subira les conséquences. Cette mise en garde souligne la nécessité de se préparer à un tel scénario, qui pourrait affecter les marchés financiers mondiaux. L'Europe, étant dépendante des valeurs technologiques amér</w:t>
      </w:r>
    </w:p>
    <w:p>
      <w:pPr>
        <w:spacing w:before="0" w:after="40"/>
        <w:ind w:left="600"/>
      </w:pPr>
      <w:r>
        <w:rPr>
          <w:color w:val="00643C"/>
          <w:sz w:val="16"/>
        </w:rPr>
        <w:t>Points clés : La BCE estime qu'une correction boursière sur la tech est inévitable.  •  L'Europe sera particulièrement affectée par cette correction.  •  Les investisseurs doivent se préparer à ce scénario.  •  Les valorisations élevées et la politique monétaire restrictive sont des facteurs de risque.</w:t>
      </w:r>
    </w:p>
    <w:p>
      <w:pPr>
        <w:spacing w:before="0" w:after="60"/>
        <w:ind w:left="600"/>
      </w:pPr>
      <w:r>
        <w:rPr>
          <w:color w:val="0064B4"/>
          <w:sz w:val="15"/>
        </w:rPr>
        <w:t>Source : https://news.google.com/rss/articles/CBMimgJBVV95cUxNMW1tNHF3ZjBxSDg0V3dhUkd0bnB</w:t>
      </w:r>
    </w:p>
    <w:p>
      <w:pPr>
        <w:spacing w:before="120" w:after="40"/>
      </w:pPr>
      <w:r>
        <w:rPr>
          <w:b/>
          <w:color w:val="00467F"/>
          <w:sz w:val="20"/>
        </w:rPr>
        <w:t>🔑 marche_financier  (1 alerte(s))</w:t>
      </w:r>
    </w:p>
    <w:p>
      <w:pPr>
        <w:spacing w:before="40" w:after="40"/>
        <w:ind w:left="360"/>
      </w:pPr>
      <w:r>
        <w:rPr>
          <w:color w:val="646464"/>
          <w:sz w:val="17"/>
        </w:rPr>
        <w:t xml:space="preserve">[18/08/2026] 🟢  </w:t>
      </w:r>
      <w:r>
        <w:rPr>
          <w:b/>
          <w:color w:val="008000"/>
          <w:sz w:val="18"/>
        </w:rPr>
        <w:t>Wall Street veut mettre la Bourse sur la blockchain - Zonebourse</w:t>
      </w:r>
      <w:r>
        <w:rPr>
          <w:color w:val="787878"/>
          <w:sz w:val="15"/>
        </w:rPr>
        <w:t xml:space="preserve">  [marche_financier]</w:t>
      </w:r>
      <w:r>
        <w:rPr>
          <w:color w:val="B47800"/>
          <w:sz w:val="16"/>
        </w:rPr>
        <w:t xml:space="preserve">  ★ 50/10</w:t>
      </w:r>
    </w:p>
    <w:p>
      <w:pPr>
        <w:spacing w:before="0" w:after="20"/>
        <w:ind w:left="600"/>
      </w:pPr>
      <w:r>
        <w:rPr>
          <w:color w:val="323232"/>
          <w:sz w:val="17"/>
        </w:rPr>
        <w:t>L'article de Zonebourse rapporte que Wall Street envisage de mettre la Bourse sur la blockchain, une technologie de registre distribué. Cette initiative vise à moderniser les infrastructures de marché, réduire les coûts et accroître la transparence des transactions. Le projet est encore à un stade exploratoire mais pourrait transformer les échanges</w:t>
      </w:r>
    </w:p>
    <w:p>
      <w:pPr>
        <w:spacing w:before="0" w:after="40"/>
        <w:ind w:left="600"/>
      </w:pPr>
      <w:r>
        <w:rPr>
          <w:color w:val="00643C"/>
          <w:sz w:val="16"/>
        </w:rPr>
        <w:t>Points clés : Adoption potentielle de la blockchain par les marchés boursiers américains.  •  Objectifs : réduction des coûts, amélioration de l'efficacité et de la transparence.  •  Projet encore en phase de test ou de discussion, pas de mise en œuvre immédiate.</w:t>
      </w:r>
    </w:p>
    <w:p>
      <w:pPr>
        <w:spacing w:before="0" w:after="60"/>
        <w:ind w:left="600"/>
      </w:pPr>
      <w:r>
        <w:rPr>
          <w:color w:val="0064B4"/>
          <w:sz w:val="15"/>
        </w:rPr>
        <w:t>Source : https://news.google.com/rss/articles/CBMisgFBVV95cUxNVEk4d2Zvejk4bU8xMndqZUlVNzh</w:t>
      </w:r>
    </w:p>
    <w:p>
      <w:pPr>
        <w:spacing w:before="120" w:after="40"/>
      </w:pPr>
      <w:r>
        <w:rPr>
          <w:b/>
          <w:color w:val="00467F"/>
          <w:sz w:val="20"/>
        </w:rPr>
        <w:t>🔑 matieres_premieres  (1 alerte(s))</w:t>
      </w:r>
    </w:p>
    <w:p>
      <w:pPr>
        <w:spacing w:before="40" w:after="40"/>
        <w:ind w:left="360"/>
      </w:pPr>
      <w:r>
        <w:rPr>
          <w:color w:val="646464"/>
          <w:sz w:val="17"/>
        </w:rPr>
        <w:t xml:space="preserve">[18/08/2026] ⚪  </w:t>
      </w:r>
      <w:r>
        <w:rPr>
          <w:b/>
          <w:color w:val="505050"/>
          <w:sz w:val="18"/>
        </w:rPr>
        <w:t>Les prix des matières premières de mardi - KOHA.net</w:t>
      </w:r>
      <w:r>
        <w:rPr>
          <w:color w:val="787878"/>
          <w:sz w:val="15"/>
        </w:rPr>
        <w:t xml:space="preserve">  [matieres_premieres]</w:t>
      </w:r>
      <w:r>
        <w:rPr>
          <w:color w:val="B47800"/>
          <w:sz w:val="16"/>
        </w:rPr>
        <w:t xml:space="preserve">  ★ 50/10</w:t>
      </w:r>
    </w:p>
    <w:p>
      <w:pPr>
        <w:spacing w:before="0" w:after="20"/>
        <w:ind w:left="600"/>
      </w:pPr>
      <w:r>
        <w:rPr>
          <w:color w:val="323232"/>
          <w:sz w:val="17"/>
        </w:rPr>
        <w:t>L'article ne fournit aucun détail sur les prix des matières premières, se limitant à un titre générique et à une source. Il ne contient aucune donnée chiffrée ni analyse des tendances. Par conséquent, il est impossible d'en tirer une information utile pour les investisseurs. L'impact sur la BRVM ne peut être évalué.</w:t>
      </w:r>
    </w:p>
    <w:p>
      <w:pPr>
        <w:spacing w:before="0" w:after="40"/>
        <w:ind w:left="600"/>
      </w:pPr>
      <w:r>
        <w:rPr>
          <w:color w:val="00643C"/>
          <w:sz w:val="16"/>
        </w:rPr>
        <w:t>Points clés : Aucune donnée sur les prix des matières premières n'est fournie.  •  L'article est vide de contenu analytique ou chiffré.</w:t>
      </w:r>
    </w:p>
    <w:p>
      <w:pPr>
        <w:spacing w:before="0" w:after="60"/>
        <w:ind w:left="600"/>
      </w:pPr>
      <w:r>
        <w:rPr>
          <w:color w:val="0064B4"/>
          <w:sz w:val="15"/>
        </w:rPr>
        <w:t>Source : https://news.google.com/rss/articles/CBMibEFVX3lxTE1paDhRenZwb1dNcWlWTlFiUnJwb0x</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13,300</w:t>
            </w:r>
          </w:p>
        </w:tc>
        <w:tc>
          <w:tcPr>
            <w:tcW w:type="dxa" w:w="1080"/>
            <w:shd w:fill="C6EFCE" w:val="clear"/>
          </w:tcPr>
          <w:p>
            <w:r>
              <w:rPr>
                <w:b/>
                <w:sz w:val="16"/>
              </w:rPr>
              <w:t>76/100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2,425</w:t>
            </w:r>
          </w:p>
        </w:tc>
        <w:tc>
          <w:tcPr>
            <w:tcW w:type="dxa" w:w="1080"/>
            <w:shd w:fill="C6EFCE" w:val="clear"/>
          </w:tcPr>
          <w:p>
            <w:r>
              <w:rPr>
                <w:b/>
                <w:sz w:val="16"/>
              </w:rPr>
              <w:t>75/100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8,405</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3,230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3,495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1,990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6,290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9,600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2,400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34,400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9,660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19,510</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2,530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6,835</w:t>
            </w:r>
          </w:p>
        </w:tc>
        <w:tc>
          <w:tcPr>
            <w:tcW w:type="dxa" w:w="1080"/>
            <w:shd w:fill="C6EFCE" w:val="clear"/>
          </w:tcPr>
          <w:p>
            <w:r>
              <w:rPr>
                <w:b/>
                <w:sz w:val="16"/>
              </w:rPr>
              <w:t>70/100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23,000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5,700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17</w:t>
            </w:r>
          </w:p>
        </w:tc>
        <w:tc>
          <w:tcPr>
            <w:tcW w:type="dxa" w:w="1080"/>
            <w:shd w:fill="EBF5FB" w:val="clear"/>
          </w:tcPr>
          <w:p>
            <w:r>
              <w:rPr>
                <w:sz w:val="16"/>
              </w:rPr>
              <w:t>ABJC</w:t>
            </w:r>
          </w:p>
        </w:tc>
        <w:tc>
          <w:tcPr>
            <w:tcW w:type="dxa" w:w="1080"/>
            <w:shd w:fill="EBF5FB" w:val="clear"/>
          </w:tcPr>
          <w:p>
            <w:r>
              <w:rPr>
                <w:sz w:val="16"/>
              </w:rPr>
              <w:t>CONSOMMATION DISCR</w:t>
            </w:r>
          </w:p>
        </w:tc>
        <w:tc>
          <w:tcPr>
            <w:tcW w:type="dxa" w:w="1080"/>
            <w:shd w:fill="EBF5FB" w:val="clear"/>
          </w:tcPr>
          <w:p>
            <w:r>
              <w:rPr>
                <w:sz w:val="16"/>
              </w:rPr>
              <w:t>3,385</w:t>
            </w:r>
          </w:p>
        </w:tc>
        <w:tc>
          <w:tcPr>
            <w:tcW w:type="dxa" w:w="1080"/>
            <w:shd w:fill="EBF5FB" w:val="clear"/>
          </w:tcPr>
          <w:p>
            <w:r>
              <w:rPr>
                <w:b/>
                <w:sz w:val="16"/>
              </w:rPr>
              <w:t>69/100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18</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5,150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16,500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2,945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2,695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38,000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8,290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29,200</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7,300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BOAS</w:t>
            </w:r>
          </w:p>
        </w:tc>
        <w:tc>
          <w:tcPr>
            <w:tcW w:type="dxa" w:w="1080"/>
            <w:shd w:fill="EBF5FB" w:val="clear"/>
          </w:tcPr>
          <w:p>
            <w:r>
              <w:rPr>
                <w:sz w:val="16"/>
              </w:rPr>
              <w:t>SERVICES FINANCIER</w:t>
            </w:r>
          </w:p>
        </w:tc>
        <w:tc>
          <w:tcPr>
            <w:tcW w:type="dxa" w:w="1080"/>
            <w:shd w:fill="EBF5FB" w:val="clear"/>
          </w:tcPr>
          <w:p>
            <w:r>
              <w:rPr>
                <w:sz w:val="16"/>
              </w:rPr>
              <w:t>7,800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4,180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17,000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3,090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SIBC</w:t>
            </w:r>
          </w:p>
        </w:tc>
        <w:tc>
          <w:tcPr>
            <w:tcW w:type="dxa" w:w="1080"/>
            <w:shd w:fill="EBF5FB" w:val="clear"/>
          </w:tcPr>
          <w:p>
            <w:r>
              <w:rPr>
                <w:sz w:val="16"/>
              </w:rPr>
              <w:t>SERVICES FINANCIER</w:t>
            </w:r>
          </w:p>
        </w:tc>
        <w:tc>
          <w:tcPr>
            <w:tcW w:type="dxa" w:w="1080"/>
            <w:shd w:fill="EBF5FB" w:val="clear"/>
          </w:tcPr>
          <w:p>
            <w:r>
              <w:rPr>
                <w:sz w:val="16"/>
              </w:rPr>
              <w:t>9,200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9,100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1,630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68</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2,150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4,405</w:t>
            </w:r>
          </w:p>
        </w:tc>
        <w:tc>
          <w:tcPr>
            <w:tcW w:type="dxa" w:w="1080"/>
            <w:shd w:fill="EBF5FB" w:val="clear"/>
          </w:tcPr>
          <w:p>
            <w:r>
              <w:rPr>
                <w:b/>
                <w:sz w:val="16"/>
              </w:rPr>
              <w:t>66/100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2,350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16,500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23,100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3,700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28,700</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12,145</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9,380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39,300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1,600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45</w:t>
            </w:r>
          </w:p>
        </w:tc>
        <w:tc>
          <w:tcPr>
            <w:tcW w:type="dxa" w:w="1080"/>
            <w:shd w:fill="FEFEFE" w:val="clear"/>
          </w:tcPr>
          <w:p>
            <w:r>
              <w:rPr>
                <w:sz w:val="16"/>
              </w:rPr>
              <w:t>CABC</w:t>
            </w:r>
          </w:p>
        </w:tc>
        <w:tc>
          <w:tcPr>
            <w:tcW w:type="dxa" w:w="1080"/>
            <w:shd w:fill="FEFEFE" w:val="clear"/>
          </w:tcPr>
          <w:p>
            <w:r>
              <w:rPr>
                <w:sz w:val="16"/>
              </w:rPr>
              <w:t>INDUSTRIELS</w:t>
            </w:r>
          </w:p>
        </w:tc>
        <w:tc>
          <w:tcPr>
            <w:tcW w:type="dxa" w:w="1080"/>
            <w:shd w:fill="FEFEFE" w:val="clear"/>
          </w:tcPr>
          <w:p>
            <w:r>
              <w:rPr>
                <w:sz w:val="16"/>
              </w:rPr>
              <w:t>3,690</w:t>
            </w:r>
          </w:p>
        </w:tc>
        <w:tc>
          <w:tcPr>
            <w:tcW w:type="dxa" w:w="1080"/>
            <w:shd w:fill="FEFEFE" w:val="clear"/>
          </w:tcPr>
          <w:p>
            <w:r>
              <w:rPr>
                <w:b/>
                <w:sz w:val="16"/>
              </w:rPr>
              <w:t>54/100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 ⚠️</w:t>
            </w:r>
          </w:p>
        </w:tc>
      </w:tr>
      <w:tr>
        <w:tc>
          <w:tcPr>
            <w:tcW w:type="dxa" w:w="1080"/>
            <w:shd w:fill="FEFEFE" w:val="clear"/>
          </w:tcPr>
          <w:p>
            <w:r>
              <w:rPr>
                <w:sz w:val="16"/>
              </w:rPr>
              <w:t>46</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54,000</w:t>
            </w:r>
          </w:p>
        </w:tc>
        <w:tc>
          <w:tcPr>
            <w:tcW w:type="dxa" w:w="1080"/>
            <w:shd w:fill="FEFEFE" w:val="clear"/>
          </w:tcPr>
          <w:p>
            <w:r>
              <w:rPr>
                <w:b/>
                <w:sz w:val="16"/>
              </w:rPr>
              <w:t>54/100  (Moyen)</w:t>
            </w:r>
          </w:p>
        </w:tc>
        <w:tc>
          <w:tcPr>
            <w:tcW w:type="dxa" w:w="1080"/>
            <w:shd w:fill="FEFEFE" w:val="clear"/>
          </w:tcPr>
          <w:p>
            <w:r>
              <w:rPr>
                <w:sz w:val="16"/>
              </w:rPr>
              <w:t>NEUTRE</w:t>
            </w:r>
          </w:p>
        </w:tc>
        <w:tc>
          <w:tcPr>
            <w:tcW w:type="dxa" w:w="1080"/>
            <w:shd w:fill="FEFEFE" w:val="clear"/>
          </w:tcPr>
          <w:p>
            <w:r>
              <w:rPr>
                <w:sz w:val="16"/>
              </w:rPr>
              <w:t>ACHAT</w:t>
            </w:r>
          </w:p>
        </w:tc>
        <w:tc>
          <w:tcPr>
            <w:tcW w:type="dxa" w:w="1080"/>
            <w:shd w:fill="FEFEFE" w:val="clear"/>
          </w:tcPr>
          <w:p>
            <w:r>
              <w:rPr>
                <w:color w:val="008000"/>
                <w:sz w:val="16"/>
              </w:rPr>
              <w:t>ACHAT</w:t>
            </w:r>
          </w:p>
        </w:tc>
      </w:tr>
      <w:tr>
        <w:tc>
          <w:tcPr>
            <w:tcW w:type="dxa" w:w="1080"/>
            <w:shd w:fill="FEFEFE" w:val="clear"/>
          </w:tcPr>
          <w:p>
            <w:r>
              <w:rPr>
                <w:sz w:val="16"/>
              </w:rPr>
              <w:t>47</w:t>
            </w:r>
          </w:p>
        </w:tc>
        <w:tc>
          <w:tcPr>
            <w:tcW w:type="dxa" w:w="1080"/>
            <w:shd w:fill="FEFEFE" w:val="clear"/>
          </w:tcPr>
          <w:p>
            <w:r>
              <w:rPr>
                <w:sz w:val="16"/>
              </w:rPr>
              <w:t>NEIC</w:t>
            </w:r>
          </w:p>
        </w:tc>
        <w:tc>
          <w:tcPr>
            <w:tcW w:type="dxa" w:w="1080"/>
            <w:shd w:fill="FEFEFE" w:val="clear"/>
          </w:tcPr>
          <w:p>
            <w:r>
              <w:rPr>
                <w:sz w:val="16"/>
              </w:rPr>
              <w:t>CONSOMMATION DISCR</w:t>
            </w:r>
          </w:p>
        </w:tc>
        <w:tc>
          <w:tcPr>
            <w:tcW w:type="dxa" w:w="1080"/>
            <w:shd w:fill="FEFEFE" w:val="clear"/>
          </w:tcPr>
          <w:p>
            <w:r>
              <w:rPr>
                <w:sz w:val="16"/>
              </w:rPr>
              <w:t>2,195</w:t>
            </w:r>
          </w:p>
        </w:tc>
        <w:tc>
          <w:tcPr>
            <w:tcW w:type="dxa" w:w="1080"/>
            <w:shd w:fill="FEFEFE" w:val="clear"/>
          </w:tcPr>
          <w:p>
            <w:r>
              <w:rPr>
                <w:b/>
                <w:sz w:val="16"/>
              </w:rPr>
              <w:t>46/100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BOAC</w:t>
            </w:r>
          </w:p>
        </w:tc>
        <w:tc>
          <w:tcPr>
            <w:tcW w:type="dxa" w:w="1728"/>
            <w:shd w:fill="DEEAF1" w:val="clear"/>
          </w:tcPr>
          <w:p>
            <w:r>
              <w:rPr>
                <w:sz w:val="17"/>
              </w:rPr>
              <w:t>BANK OF AFRICA COTE D'IVOIRE</w:t>
            </w:r>
          </w:p>
        </w:tc>
        <w:tc>
          <w:tcPr>
            <w:tcW w:type="dxa" w:w="1728"/>
            <w:shd w:fill="DEEAF1" w:val="clear"/>
          </w:tcPr>
          <w:p>
            <w:r>
              <w:rPr>
                <w:sz w:val="17"/>
              </w:rPr>
              <w:t>13,300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TTLC</w:t>
            </w:r>
          </w:p>
        </w:tc>
        <w:tc>
          <w:tcPr>
            <w:tcW w:type="dxa" w:w="1728"/>
            <w:shd w:fill="DEEAF1" w:val="clear"/>
          </w:tcPr>
          <w:p>
            <w:r>
              <w:rPr>
                <w:sz w:val="17"/>
              </w:rPr>
              <w:t>TTLC - TOTAL ENERGIES MARKET</w:t>
            </w:r>
          </w:p>
        </w:tc>
        <w:tc>
          <w:tcPr>
            <w:tcW w:type="dxa" w:w="1728"/>
            <w:shd w:fill="DEEAF1" w:val="clear"/>
          </w:tcPr>
          <w:p>
            <w:r>
              <w:rPr>
                <w:sz w:val="17"/>
              </w:rPr>
              <w:t>3,230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BOAM</w:t>
            </w:r>
          </w:p>
        </w:tc>
        <w:tc>
          <w:tcPr>
            <w:tcW w:type="dxa" w:w="1728"/>
            <w:shd w:fill="DEEAF1" w:val="clear"/>
          </w:tcPr>
          <w:p>
            <w:r>
              <w:rPr>
                <w:sz w:val="17"/>
              </w:rPr>
              <w:t>BANK OF AFRICA MALI</w:t>
            </w:r>
          </w:p>
        </w:tc>
        <w:tc>
          <w:tcPr>
            <w:tcW w:type="dxa" w:w="1728"/>
            <w:shd w:fill="DEEAF1" w:val="clear"/>
          </w:tcPr>
          <w:p>
            <w:r>
              <w:rPr>
                <w:sz w:val="17"/>
              </w:rPr>
              <w:t>6,290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SNTS</w:t>
            </w:r>
          </w:p>
        </w:tc>
        <w:tc>
          <w:tcPr>
            <w:tcW w:type="dxa" w:w="1728"/>
            <w:shd w:fill="DEEAF1" w:val="clear"/>
          </w:tcPr>
          <w:p>
            <w:r>
              <w:rPr>
                <w:sz w:val="17"/>
              </w:rPr>
              <w:t>SNTS - SONATEL SN</w:t>
            </w:r>
          </w:p>
        </w:tc>
        <w:tc>
          <w:tcPr>
            <w:tcW w:type="dxa" w:w="1728"/>
            <w:shd w:fill="DEEAF1" w:val="clear"/>
          </w:tcPr>
          <w:p>
            <w:r>
              <w:rPr>
                <w:sz w:val="17"/>
              </w:rPr>
              <w:t>34,400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SPHC</w:t>
            </w:r>
          </w:p>
        </w:tc>
        <w:tc>
          <w:tcPr>
            <w:tcW w:type="dxa" w:w="1728"/>
            <w:shd w:fill="DEEAF1" w:val="clear"/>
          </w:tcPr>
          <w:p>
            <w:r>
              <w:rPr>
                <w:sz w:val="17"/>
              </w:rPr>
              <w:t xml:space="preserve">SPHC - Société Africaine de </w:t>
            </w:r>
          </w:p>
        </w:tc>
        <w:tc>
          <w:tcPr>
            <w:tcW w:type="dxa" w:w="1728"/>
            <w:shd w:fill="DEEAF1" w:val="clear"/>
          </w:tcPr>
          <w:p>
            <w:r>
              <w:rPr>
                <w:sz w:val="17"/>
              </w:rPr>
              <w:t>9,660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ABJC</w:t>
            </w:r>
          </w:p>
        </w:tc>
        <w:tc>
          <w:tcPr>
            <w:tcW w:type="dxa" w:w="1728"/>
            <w:shd w:fill="DEEAF1" w:val="clear"/>
          </w:tcPr>
          <w:p>
            <w:r>
              <w:rPr>
                <w:sz w:val="17"/>
              </w:rPr>
              <w:t>ABJC - SERVAIR ABIDJAN CI</w:t>
            </w:r>
          </w:p>
        </w:tc>
        <w:tc>
          <w:tcPr>
            <w:tcW w:type="dxa" w:w="1728"/>
            <w:shd w:fill="DEEAF1" w:val="clear"/>
          </w:tcPr>
          <w:p>
            <w:r>
              <w:rPr>
                <w:sz w:val="17"/>
              </w:rPr>
              <w:t>3,385</w:t>
            </w:r>
          </w:p>
        </w:tc>
        <w:tc>
          <w:tcPr>
            <w:tcW w:type="dxa" w:w="1728"/>
            <w:shd w:fill="DEEAF1" w:val="clear"/>
          </w:tcPr>
          <w:p>
            <w:r>
              <w:rPr>
                <w:sz w:val="17"/>
              </w:rPr>
              <w:t>69/100</w:t>
            </w:r>
          </w:p>
        </w:tc>
        <w:tc>
          <w:tcPr>
            <w:tcW w:type="dxa" w:w="1728"/>
            <w:shd w:fill="DEEAF1" w:val="clear"/>
          </w:tcPr>
          <w:p>
            <w:r>
              <w:rPr>
                <w:sz w:val="17"/>
              </w:rPr>
              <w:t>10.6%</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16,500</w:t>
            </w:r>
          </w:p>
        </w:tc>
        <w:tc>
          <w:tcPr>
            <w:tcW w:type="dxa" w:w="1728"/>
            <w:shd w:fill="DEEAF1" w:val="clear"/>
          </w:tcPr>
          <w:p>
            <w:r>
              <w:rPr>
                <w:sz w:val="17"/>
              </w:rPr>
              <w:t>68/100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2,945</w:t>
            </w:r>
          </w:p>
        </w:tc>
        <w:tc>
          <w:tcPr>
            <w:tcW w:type="dxa" w:w="1728"/>
            <w:shd w:fill="DEEAF1" w:val="clear"/>
          </w:tcPr>
          <w:p>
            <w:r>
              <w:rPr>
                <w:sz w:val="17"/>
              </w:rPr>
              <w:t>68/100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13,300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2,425</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8,405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TTLC</w:t>
            </w:r>
          </w:p>
        </w:tc>
        <w:tc>
          <w:tcPr>
            <w:tcW w:type="dxa" w:w="1728"/>
            <w:shd w:fill="E2EFDA" w:val="clear"/>
          </w:tcPr>
          <w:p>
            <w:r>
              <w:rPr>
                <w:sz w:val="17"/>
              </w:rPr>
              <w:t>TTLC - TOTAL ENERGIES MARKET</w:t>
            </w:r>
          </w:p>
        </w:tc>
        <w:tc>
          <w:tcPr>
            <w:tcW w:type="dxa" w:w="1728"/>
            <w:shd w:fill="E2EFDA" w:val="clear"/>
          </w:tcPr>
          <w:p>
            <w:r>
              <w:rPr>
                <w:sz w:val="17"/>
              </w:rPr>
              <w:t>3,230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3,495</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BNBC</w:t>
            </w:r>
          </w:p>
        </w:tc>
        <w:tc>
          <w:tcPr>
            <w:tcW w:type="dxa" w:w="1728"/>
            <w:shd w:fill="E2EFDA" w:val="clear"/>
          </w:tcPr>
          <w:p>
            <w:r>
              <w:rPr>
                <w:sz w:val="17"/>
              </w:rPr>
              <w:t>BNBC - BERNABE CI</w:t>
            </w:r>
          </w:p>
        </w:tc>
        <w:tc>
          <w:tcPr>
            <w:tcW w:type="dxa" w:w="1728"/>
            <w:shd w:fill="E2EFDA" w:val="clear"/>
          </w:tcPr>
          <w:p>
            <w:r>
              <w:rPr>
                <w:sz w:val="17"/>
              </w:rPr>
              <w:t>1,990</w:t>
            </w:r>
          </w:p>
        </w:tc>
        <w:tc>
          <w:tcPr>
            <w:tcW w:type="dxa" w:w="1728"/>
            <w:shd w:fill="E2EFDA" w:val="clear"/>
          </w:tcPr>
          <w:p>
            <w:r>
              <w:rPr>
                <w:sz w:val="17"/>
              </w:rPr>
              <w:t>72/100</w:t>
            </w:r>
          </w:p>
        </w:tc>
        <w:tc>
          <w:tcPr>
            <w:tcW w:type="dxa" w:w="1728"/>
            <w:shd w:fill="E2EFDA" w:val="clear"/>
          </w:tcPr>
          <w:p>
            <w:r>
              <w:rPr>
                <w:sz w:val="17"/>
              </w:rPr>
              <w:t>11.2%</w:t>
            </w:r>
          </w:p>
        </w:tc>
      </w:tr>
      <w:tr>
        <w:tc>
          <w:tcPr>
            <w:tcW w:type="dxa" w:w="1728"/>
            <w:shd w:fill="E2EFDA" w:val="clear"/>
          </w:tcPr>
          <w:p>
            <w:r>
              <w:rPr>
                <w:sz w:val="17"/>
              </w:rPr>
              <w:t>BOAM</w:t>
            </w:r>
          </w:p>
        </w:tc>
        <w:tc>
          <w:tcPr>
            <w:tcW w:type="dxa" w:w="1728"/>
            <w:shd w:fill="E2EFDA" w:val="clear"/>
          </w:tcPr>
          <w:p>
            <w:r>
              <w:rPr>
                <w:sz w:val="17"/>
              </w:rPr>
              <w:t>BANK OF AFRICA MALI</w:t>
            </w:r>
          </w:p>
        </w:tc>
        <w:tc>
          <w:tcPr>
            <w:tcW w:type="dxa" w:w="1728"/>
            <w:shd w:fill="E2EFDA" w:val="clear"/>
          </w:tcPr>
          <w:p>
            <w:r>
              <w:rPr>
                <w:sz w:val="17"/>
              </w:rPr>
              <w:t>6,290</w:t>
            </w:r>
          </w:p>
        </w:tc>
        <w:tc>
          <w:tcPr>
            <w:tcW w:type="dxa" w:w="1728"/>
            <w:shd w:fill="E2EFDA" w:val="clear"/>
          </w:tcPr>
          <w:p>
            <w:r>
              <w:rPr>
                <w:sz w:val="17"/>
              </w:rPr>
              <w:t>72/100</w:t>
            </w:r>
          </w:p>
        </w:tc>
        <w:tc>
          <w:tcPr>
            <w:tcW w:type="dxa" w:w="1728"/>
            <w:shd w:fill="E2EFDA" w:val="clear"/>
          </w:tcPr>
          <w:p>
            <w:r>
              <w:rPr>
                <w:sz w:val="17"/>
              </w:rPr>
              <w:t>11.2%</w:t>
            </w:r>
          </w:p>
        </w:tc>
      </w:tr>
      <w:tr>
        <w:tc>
          <w:tcPr>
            <w:tcW w:type="dxa" w:w="1728"/>
            <w:shd w:fill="E2EFDA" w:val="clear"/>
          </w:tcPr>
          <w:p>
            <w:r>
              <w:rPr>
                <w:sz w:val="17"/>
              </w:rPr>
              <w:t>PALC</w:t>
            </w:r>
          </w:p>
        </w:tc>
        <w:tc>
          <w:tcPr>
            <w:tcW w:type="dxa" w:w="1728"/>
            <w:shd w:fill="E2EFDA" w:val="clear"/>
          </w:tcPr>
          <w:p>
            <w:r>
              <w:rPr>
                <w:sz w:val="17"/>
              </w:rPr>
              <w:t>PALC - PALM COTE D'IVOIRE</w:t>
            </w:r>
          </w:p>
        </w:tc>
        <w:tc>
          <w:tcPr>
            <w:tcW w:type="dxa" w:w="1728"/>
            <w:shd w:fill="E2EFDA" w:val="clear"/>
          </w:tcPr>
          <w:p>
            <w:r>
              <w:rPr>
                <w:sz w:val="17"/>
              </w:rPr>
              <w:t>9,600</w:t>
            </w:r>
          </w:p>
        </w:tc>
        <w:tc>
          <w:tcPr>
            <w:tcW w:type="dxa" w:w="1728"/>
            <w:shd w:fill="E2EFDA" w:val="clear"/>
          </w:tcPr>
          <w:p>
            <w:r>
              <w:rPr>
                <w:sz w:val="17"/>
              </w:rPr>
              <w:t>72/100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13,300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2,425</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8,405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TTLC</w:t>
            </w:r>
          </w:p>
        </w:tc>
        <w:tc>
          <w:tcPr>
            <w:tcW w:type="dxa" w:w="1728"/>
            <w:shd w:fill="FCE4D6" w:val="clear"/>
          </w:tcPr>
          <w:p>
            <w:r>
              <w:rPr>
                <w:sz w:val="17"/>
              </w:rPr>
              <w:t>TTLC - TOTAL ENERGIES MARKET</w:t>
            </w:r>
          </w:p>
        </w:tc>
        <w:tc>
          <w:tcPr>
            <w:tcW w:type="dxa" w:w="1728"/>
            <w:shd w:fill="FCE4D6" w:val="clear"/>
          </w:tcPr>
          <w:p>
            <w:r>
              <w:rPr>
                <w:sz w:val="17"/>
              </w:rPr>
              <w:t>3,230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3,495</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BNBC</w:t>
            </w:r>
          </w:p>
        </w:tc>
        <w:tc>
          <w:tcPr>
            <w:tcW w:type="dxa" w:w="1728"/>
            <w:shd w:fill="FCE4D6" w:val="clear"/>
          </w:tcPr>
          <w:p>
            <w:r>
              <w:rPr>
                <w:sz w:val="17"/>
              </w:rPr>
              <w:t>BNBC - BERNABE CI</w:t>
            </w:r>
          </w:p>
        </w:tc>
        <w:tc>
          <w:tcPr>
            <w:tcW w:type="dxa" w:w="1728"/>
            <w:shd w:fill="FCE4D6" w:val="clear"/>
          </w:tcPr>
          <w:p>
            <w:r>
              <w:rPr>
                <w:sz w:val="17"/>
              </w:rPr>
              <w:t>1,990</w:t>
            </w:r>
          </w:p>
        </w:tc>
        <w:tc>
          <w:tcPr>
            <w:tcW w:type="dxa" w:w="1728"/>
            <w:shd w:fill="FCE4D6" w:val="clear"/>
          </w:tcPr>
          <w:p>
            <w:r>
              <w:rPr>
                <w:sz w:val="17"/>
              </w:rPr>
              <w:t>72/100</w:t>
            </w:r>
          </w:p>
        </w:tc>
        <w:tc>
          <w:tcPr>
            <w:tcW w:type="dxa" w:w="1728"/>
            <w:shd w:fill="FCE4D6" w:val="clear"/>
          </w:tcPr>
          <w:p>
            <w:r>
              <w:rPr>
                <w:sz w:val="17"/>
              </w:rPr>
              <w:t>11.9%</w:t>
            </w:r>
          </w:p>
        </w:tc>
      </w:tr>
      <w:tr>
        <w:tc>
          <w:tcPr>
            <w:tcW w:type="dxa" w:w="1728"/>
            <w:shd w:fill="FCE4D6" w:val="clear"/>
          </w:tcPr>
          <w:p>
            <w:r>
              <w:rPr>
                <w:sz w:val="17"/>
              </w:rPr>
              <w:t>BOAM</w:t>
            </w:r>
          </w:p>
        </w:tc>
        <w:tc>
          <w:tcPr>
            <w:tcW w:type="dxa" w:w="1728"/>
            <w:shd w:fill="FCE4D6" w:val="clear"/>
          </w:tcPr>
          <w:p>
            <w:r>
              <w:rPr>
                <w:sz w:val="17"/>
              </w:rPr>
              <w:t>BANK OF AFRICA MALI</w:t>
            </w:r>
          </w:p>
        </w:tc>
        <w:tc>
          <w:tcPr>
            <w:tcW w:type="dxa" w:w="1728"/>
            <w:shd w:fill="FCE4D6" w:val="clear"/>
          </w:tcPr>
          <w:p>
            <w:r>
              <w:rPr>
                <w:sz w:val="17"/>
              </w:rPr>
              <w:t>6,290</w:t>
            </w:r>
          </w:p>
        </w:tc>
        <w:tc>
          <w:tcPr>
            <w:tcW w:type="dxa" w:w="1728"/>
            <w:shd w:fill="FCE4D6" w:val="clear"/>
          </w:tcPr>
          <w:p>
            <w:r>
              <w:rPr>
                <w:sz w:val="17"/>
              </w:rPr>
              <w:t>72/100</w:t>
            </w:r>
          </w:p>
        </w:tc>
        <w:tc>
          <w:tcPr>
            <w:tcW w:type="dxa" w:w="1728"/>
            <w:shd w:fill="FCE4D6" w:val="clear"/>
          </w:tcPr>
          <w:p>
            <w:r>
              <w:rPr>
                <w:sz w:val="17"/>
              </w:rPr>
              <w:t>11.9%</w:t>
            </w:r>
          </w:p>
        </w:tc>
      </w:tr>
      <w:tr>
        <w:tc>
          <w:tcPr>
            <w:tcW w:type="dxa" w:w="1728"/>
            <w:shd w:fill="FCE4D6" w:val="clear"/>
          </w:tcPr>
          <w:p>
            <w:r>
              <w:rPr>
                <w:sz w:val="17"/>
              </w:rPr>
              <w:t>PALC</w:t>
            </w:r>
          </w:p>
        </w:tc>
        <w:tc>
          <w:tcPr>
            <w:tcW w:type="dxa" w:w="1728"/>
            <w:shd w:fill="FCE4D6" w:val="clear"/>
          </w:tcPr>
          <w:p>
            <w:r>
              <w:rPr>
                <w:sz w:val="17"/>
              </w:rPr>
              <w:t>PALC - PALM COTE D'IVOIRE</w:t>
            </w:r>
          </w:p>
        </w:tc>
        <w:tc>
          <w:tcPr>
            <w:tcW w:type="dxa" w:w="1728"/>
            <w:shd w:fill="FCE4D6" w:val="clear"/>
          </w:tcPr>
          <w:p>
            <w:r>
              <w:rPr>
                <w:sz w:val="17"/>
              </w:rPr>
              <w:t>9,600</w:t>
            </w:r>
          </w:p>
        </w:tc>
        <w:tc>
          <w:tcPr>
            <w:tcW w:type="dxa" w:w="1728"/>
            <w:shd w:fill="FCE4D6" w:val="clear"/>
          </w:tcPr>
          <w:p>
            <w:r>
              <w:rPr>
                <w:sz w:val="17"/>
              </w:rPr>
              <w:t>72/100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CIEC — CIEC - Compagnie Ivoirienne d'Electricité</w:t>
      </w:r>
    </w:p>
    <w:p>
      <w:pPr>
        <w:pStyle w:val="ListBullet"/>
        <w:spacing w:before="20"/>
        <w:ind w:left="400"/>
      </w:pPr>
      <w:r>
        <w:rPr>
          <w:sz w:val="18"/>
        </w:rPr>
        <w:t>🔴 RSI surachat (90.0 &gt; 70) — risque de correction</w:t>
      </w:r>
    </w:p>
    <w:p>
      <w:pPr>
        <w:pStyle w:val="ListBullet"/>
        <w:spacing w:before="20"/>
        <w:ind w:left="400"/>
      </w:pPr>
      <w:r>
        <w:rPr>
          <w:sz w:val="18"/>
        </w:rPr>
        <w:t>⚠️ Cours à 0.0% du plus haut 100j (6,835 FCFA)</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RSI surachat (94.4 &gt; 70) — risque de correction</w:t>
      </w:r>
    </w:p>
    <w:p>
      <w:pPr>
        <w:pStyle w:val="ListBullet"/>
        <w:spacing w:before="20"/>
        <w:ind w:left="400"/>
      </w:pPr>
      <w:r>
        <w:rPr>
          <w:sz w:val="18"/>
        </w:rPr>
        <w:t>⚠️ Cours à 0.0% du plus haut 100j (19,510 FCFA)</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RSI surachat (70.9 &gt; 70) — risque de correction</w:t>
      </w:r>
    </w:p>
    <w:p>
      <w:pPr>
        <w:pStyle w:val="ListBullet"/>
        <w:spacing w:before="20"/>
        <w:ind w:left="400"/>
      </w:pPr>
      <w:r>
        <w:rPr>
          <w:sz w:val="18"/>
        </w:rPr>
        <w:t>⚠️ Cours à 0.0% du plus haut 100j (39,300 FCFA)</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RSI surachat (78.3 &gt; 70) — risque de correction</w:t>
      </w:r>
    </w:p>
    <w:p>
      <w:pPr>
        <w:pStyle w:val="ListBullet"/>
        <w:spacing w:before="20"/>
        <w:ind w:left="400"/>
      </w:pPr>
      <w:r>
        <w:rPr>
          <w:sz w:val="18"/>
        </w:rPr>
        <w:t>⚠️ Cours à 0.0% du plus haut 100j (34,400 FCFA)</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RSI surachat (95.8 &gt; 70) — risque de correction</w:t>
      </w:r>
    </w:p>
    <w:p>
      <w:pPr>
        <w:pStyle w:val="ListBullet"/>
        <w:spacing w:before="20"/>
        <w:ind w:left="400"/>
      </w:pPr>
      <w:r>
        <w:rPr>
          <w:sz w:val="18"/>
        </w:rPr>
        <w:t>⚠️ Cours à 0.0% du plus haut 100j (9,660 FCFA)</w:t>
      </w:r>
    </w:p>
    <w:p>
      <w:pPr>
        <w:pStyle w:val="ListBullet"/>
        <w:spacing w:before="20"/>
        <w:ind w:left="400"/>
      </w:pPr>
      <w:r>
        <w:rPr>
          <w:sz w:val="18"/>
        </w:rPr>
        <w:t>🟠 Divergence tech(VENTE) / fond(ACHAT) — recommandation ajustée à ACHAT</w:t>
      </w:r>
    </w:p>
    <w:p>
      <w:pPr>
        <w:spacing w:before="120"/>
      </w:pPr>
      <w:r>
        <w:rPr>
          <w:b/>
          <w:color w:val="0050A0"/>
          <w:sz w:val="20"/>
        </w:rPr>
        <w:t>UNXC — UNXC - UNIWAX COTE D'IVOIRE</w:t>
      </w:r>
    </w:p>
    <w:p>
      <w:pPr>
        <w:pStyle w:val="ListBullet"/>
        <w:spacing w:before="20"/>
        <w:ind w:left="400"/>
      </w:pPr>
      <w:r>
        <w:rPr>
          <w:sz w:val="18"/>
        </w:rPr>
        <w:t>🔴 RSI surachat (86.6 &gt; 70) — risque de correction</w:t>
      </w:r>
    </w:p>
    <w:p>
      <w:pPr>
        <w:pStyle w:val="ListBullet"/>
        <w:spacing w:before="20"/>
        <w:ind w:left="400"/>
      </w:pPr>
      <w:r>
        <w:rPr>
          <w:sz w:val="18"/>
        </w:rPr>
        <w:t>⚠️ Cours à 0.0% du plus haut 100j (2,425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surachat (71.1 &gt; 70) — risque de correction</w:t>
      </w:r>
    </w:p>
    <w:p>
      <w:pPr>
        <w:pStyle w:val="ListBullet"/>
        <w:spacing w:before="20"/>
        <w:ind w:left="400"/>
      </w:pPr>
      <w:r>
        <w:rPr>
          <w:sz w:val="18"/>
        </w:rPr>
        <w:t>🟠 Divergence tech(VENTE) / fond(ACHAT) — recommandation ajustée à ACHAT FORT</w:t>
      </w:r>
    </w:p>
    <w:p>
      <w:pPr>
        <w:spacing w:before="120"/>
      </w:pPr>
      <w:r>
        <w:rPr>
          <w:b/>
          <w:color w:val="0050A0"/>
          <w:sz w:val="20"/>
        </w:rPr>
        <w:t>BICB — BIIC BN - Banque internationale pour le commerce du benin</w:t>
      </w:r>
    </w:p>
    <w:p>
      <w:pPr>
        <w:pStyle w:val="ListBullet"/>
        <w:spacing w:before="20"/>
        <w:ind w:left="400"/>
      </w:pPr>
      <w:r>
        <w:rPr>
          <w:sz w:val="18"/>
        </w:rPr>
        <w:t>🔴 RSI surachat (76.9 &gt; 70) — risque de correction</w:t>
      </w:r>
    </w:p>
    <w:p>
      <w:pPr>
        <w:pStyle w:val="ListBullet"/>
        <w:spacing w:before="20"/>
        <w:ind w:left="400"/>
      </w:pPr>
      <w:r>
        <w:rPr>
          <w:sz w:val="18"/>
        </w:rPr>
        <w:t>⚠️ Cours à 1.1% du plus haut 100j (8,500 FCFA)</w:t>
      </w:r>
    </w:p>
    <w:p>
      <w:pPr>
        <w:spacing w:before="120"/>
      </w:pPr>
      <w:r>
        <w:rPr>
          <w:b/>
          <w:color w:val="0050A0"/>
          <w:sz w:val="20"/>
        </w:rPr>
        <w:t>BOAC — BANK OF AFRICA COTE D'IVOIRE</w:t>
      </w:r>
    </w:p>
    <w:p>
      <w:pPr>
        <w:pStyle w:val="ListBullet"/>
        <w:spacing w:before="20"/>
        <w:ind w:left="400"/>
      </w:pPr>
      <w:r>
        <w:rPr>
          <w:sz w:val="18"/>
        </w:rPr>
        <w:t>🔴 RSI surachat (82.9 &gt; 70) — risque de correction</w:t>
      </w:r>
    </w:p>
    <w:p>
      <w:pPr>
        <w:pStyle w:val="ListBullet"/>
        <w:spacing w:before="20"/>
        <w:ind w:left="400"/>
      </w:pPr>
      <w:r>
        <w:rPr>
          <w:sz w:val="18"/>
        </w:rPr>
        <w:t>⚠️ Cours à 1.1% du plus haut 100j (13,450 FCFA)</w:t>
      </w:r>
    </w:p>
    <w:p>
      <w:pPr>
        <w:spacing w:before="120"/>
      </w:pPr>
      <w:r>
        <w:rPr>
          <w:b/>
          <w:color w:val="0050A0"/>
          <w:sz w:val="20"/>
        </w:rPr>
        <w:t>BOAM — BANK OF AFRICA MALI</w:t>
      </w:r>
    </w:p>
    <w:p>
      <w:pPr>
        <w:pStyle w:val="ListBullet"/>
        <w:spacing w:before="20"/>
        <w:ind w:left="400"/>
      </w:pPr>
      <w:r>
        <w:rPr>
          <w:sz w:val="18"/>
        </w:rPr>
        <w:t>🔴 RSI surachat (87.3 &gt; 70) — risque de correction</w:t>
      </w:r>
    </w:p>
    <w:p>
      <w:pPr>
        <w:pStyle w:val="ListBullet"/>
        <w:spacing w:before="20"/>
        <w:ind w:left="400"/>
      </w:pPr>
      <w:r>
        <w:rPr>
          <w:sz w:val="18"/>
        </w:rPr>
        <w:t>⚠️ Cours à 0.0% du plus haut 100j (6,290 FCFA)</w:t>
      </w:r>
    </w:p>
    <w:p>
      <w:pPr>
        <w:spacing w:before="120"/>
      </w:pPr>
      <w:r>
        <w:rPr>
          <w:b/>
          <w:color w:val="0050A0"/>
          <w:sz w:val="20"/>
        </w:rPr>
        <w:t>SDCC — SDCC - Société de Distribution d'Eau de Côte d'Ivoire</w:t>
      </w:r>
    </w:p>
    <w:p>
      <w:pPr>
        <w:pStyle w:val="ListBullet"/>
        <w:spacing w:before="20"/>
        <w:ind w:left="400"/>
      </w:pPr>
      <w:r>
        <w:rPr>
          <w:sz w:val="18"/>
        </w:rPr>
        <w:t>⚠️ Cours à 0.4% du plus haut 100j (12,195 FCFA)</w:t>
      </w:r>
    </w:p>
    <w:p>
      <w:pPr>
        <w:pStyle w:val="ListBullet"/>
        <w:spacing w:before="20"/>
        <w:ind w:left="400"/>
      </w:pPr>
      <w:r>
        <w:rPr>
          <w:sz w:val="18"/>
        </w:rPr>
        <w:t>🟠 Divergence tech(VENTE) / fond(ACHAT) — recommandation ajustée à ACHAT</w:t>
      </w:r>
    </w:p>
    <w:p>
      <w:pPr>
        <w:spacing w:before="120"/>
      </w:pPr>
      <w:r>
        <w:rPr>
          <w:b/>
          <w:color w:val="0050A0"/>
          <w:sz w:val="20"/>
        </w:rPr>
        <w:t>SEMC — SEMC - EVIOSYS PACKAGING SIEM CI</w:t>
      </w:r>
    </w:p>
    <w:p>
      <w:pPr>
        <w:pStyle w:val="ListBullet"/>
        <w:spacing w:before="20"/>
        <w:ind w:left="400"/>
      </w:pPr>
      <w:r>
        <w:rPr>
          <w:sz w:val="18"/>
        </w:rPr>
        <w:t>🔴 RSI surachat (76.1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SHEC — SHEC - VIVO ENERGY COTE D'IVOIRE</w:t>
      </w:r>
    </w:p>
    <w:p>
      <w:pPr>
        <w:pStyle w:val="ListBullet"/>
        <w:spacing w:before="20"/>
        <w:ind w:left="400"/>
      </w:pPr>
      <w:r>
        <w:rPr>
          <w:sz w:val="18"/>
        </w:rPr>
        <w:t>🔴 RSI surachat (72.5 &gt; 70) — risque de correction</w:t>
      </w:r>
    </w:p>
    <w:p>
      <w:pPr>
        <w:pStyle w:val="ListBullet"/>
        <w:spacing w:before="20"/>
        <w:ind w:left="400"/>
      </w:pPr>
      <w:r>
        <w:rPr>
          <w:sz w:val="18"/>
        </w:rPr>
        <w:t>⚠️ Cours à 0.0% du plus haut 100j (2,400 FCFA)</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1.0% du plus haut 100j (29,490 FCFA)</w:t>
      </w:r>
    </w:p>
    <w:p>
      <w:pPr>
        <w:spacing w:before="120"/>
      </w:pPr>
      <w:r>
        <w:rPr>
          <w:b/>
          <w:color w:val="0050A0"/>
          <w:sz w:val="20"/>
        </w:rPr>
        <w:t>BNBC — BNBC - BERNABE CI</w:t>
      </w:r>
    </w:p>
    <w:p>
      <w:pPr>
        <w:pStyle w:val="ListBullet"/>
        <w:spacing w:before="20"/>
        <w:ind w:left="400"/>
      </w:pPr>
      <w:r>
        <w:rPr>
          <w:sz w:val="18"/>
        </w:rPr>
        <w:t>🔴 RSI surachat (76.7 &gt; 70) — risque de correction</w:t>
      </w:r>
    </w:p>
    <w:p>
      <w:pPr>
        <w:spacing w:before="120"/>
      </w:pPr>
      <w:r>
        <w:rPr>
          <w:b/>
          <w:color w:val="0050A0"/>
          <w:sz w:val="20"/>
        </w:rPr>
        <w:t>BOABF — BANK OF AFRICA BURKINA FASO</w:t>
      </w:r>
    </w:p>
    <w:p>
      <w:pPr>
        <w:pStyle w:val="ListBullet"/>
        <w:spacing w:before="20"/>
        <w:ind w:left="400"/>
      </w:pPr>
      <w:r>
        <w:rPr>
          <w:sz w:val="18"/>
        </w:rPr>
        <w:t>⚠️ Cours à 0.7% du plus haut 100j (7,350 FCFA)</w:t>
      </w:r>
    </w:p>
    <w:p>
      <w:pPr>
        <w:spacing w:before="120"/>
      </w:pPr>
      <w:r>
        <w:rPr>
          <w:b/>
          <w:color w:val="0050A0"/>
          <w:sz w:val="20"/>
        </w:rPr>
        <w:t>BOAS — BANK OF AFRICA SENEGAL</w:t>
      </w:r>
    </w:p>
    <w:p>
      <w:pPr>
        <w:pStyle w:val="ListBullet"/>
        <w:spacing w:before="20"/>
        <w:ind w:left="400"/>
      </w:pPr>
      <w:r>
        <w:rPr>
          <w:sz w:val="18"/>
        </w:rPr>
        <w:t>🟠 Divergence tech(VENTE) / fond(ACHAT) — recommandation ajustée à ACHAT</w:t>
      </w:r>
    </w:p>
    <w:p>
      <w:pPr>
        <w:spacing w:before="120"/>
      </w:pPr>
      <w:r>
        <w:rPr>
          <w:b/>
          <w:color w:val="0050A0"/>
          <w:sz w:val="20"/>
        </w:rPr>
        <w:t>CABC — CABC - SICABLE COTE D'IVOIRE</w:t>
      </w:r>
    </w:p>
    <w:p>
      <w:pPr>
        <w:pStyle w:val="ListBullet"/>
        <w:spacing w:before="20"/>
        <w:ind w:left="400"/>
      </w:pPr>
      <w:r>
        <w:rPr>
          <w:sz w:val="18"/>
        </w:rPr>
        <w:t>🟠 Divergence tech(VENTE) / fond(NEUTRE) — recommandation ajustée à CONSERVER ⚠️</w:t>
      </w:r>
    </w:p>
    <w:p>
      <w:pPr>
        <w:spacing w:before="120"/>
      </w:pPr>
      <w:r>
        <w:rPr>
          <w:b/>
          <w:color w:val="0050A0"/>
          <w:sz w:val="20"/>
        </w:rPr>
        <w:t>FTSC — FTSC - FILTISAC COTE D'IVOIRE</w:t>
      </w:r>
    </w:p>
    <w:p>
      <w:pPr>
        <w:pStyle w:val="ListBullet"/>
        <w:spacing w:before="20"/>
        <w:ind w:left="400"/>
      </w:pPr>
      <w:r>
        <w:rPr>
          <w:sz w:val="18"/>
        </w:rPr>
        <w:t>🟠 Divergence tech(VENTE) / fond(ACHAT) — recommandation ajustée à ACHAT</w:t>
      </w:r>
    </w:p>
    <w:p>
      <w:pPr>
        <w:spacing w:before="120"/>
      </w:pPr>
      <w:r>
        <w:rPr>
          <w:b/>
          <w:color w:val="0050A0"/>
          <w:sz w:val="20"/>
        </w:rPr>
        <w:t>NTLC — NTLC - NESTLE COTE D'IVOIRE</w:t>
      </w:r>
    </w:p>
    <w:p>
      <w:pPr>
        <w:pStyle w:val="ListBullet"/>
        <w:spacing w:before="20"/>
        <w:ind w:left="400"/>
      </w:pPr>
      <w:r>
        <w:rPr>
          <w:sz w:val="18"/>
        </w:rPr>
        <w:t>⚠️ Cours à 2.6% du plus haut 100j (17,450 FCFA)</w:t>
      </w:r>
    </w:p>
    <w:p>
      <w:pPr>
        <w:spacing w:before="120"/>
      </w:pPr>
      <w:r>
        <w:rPr>
          <w:b/>
          <w:color w:val="0050A0"/>
          <w:sz w:val="20"/>
        </w:rPr>
        <w:t>PALC — PALC - PALM COTE D'IVOIRE</w:t>
      </w:r>
    </w:p>
    <w:p>
      <w:pPr>
        <w:pStyle w:val="ListBullet"/>
        <w:spacing w:before="20"/>
        <w:ind w:left="400"/>
      </w:pPr>
      <w:r>
        <w:rPr>
          <w:sz w:val="18"/>
        </w:rPr>
        <w:t>⚠️ Cours à 0.0% du plus haut 100j (9,600 FCFA)</w:t>
      </w:r>
    </w:p>
    <w:p>
      <w:pPr>
        <w:spacing w:before="120"/>
      </w:pPr>
      <w:r>
        <w:rPr>
          <w:b/>
          <w:color w:val="0050A0"/>
          <w:sz w:val="20"/>
        </w:rPr>
        <w:t>SICC — SICC - SICOR COTE D'IVOIRE</w:t>
      </w:r>
    </w:p>
    <w:p>
      <w:pPr>
        <w:pStyle w:val="ListBullet"/>
        <w:spacing w:before="20"/>
        <w:ind w:left="400"/>
      </w:pPr>
      <w:r>
        <w:rPr>
          <w:sz w:val="18"/>
        </w:rPr>
        <w:t>🔴 RSI surachat (78.0 &gt; 70) — risque de correction</w:t>
      </w:r>
    </w:p>
    <w:p>
      <w:pPr>
        <w:spacing w:before="120"/>
      </w:pPr>
      <w:r>
        <w:rPr>
          <w:b/>
          <w:color w:val="0050A0"/>
          <w:sz w:val="20"/>
        </w:rPr>
        <w:t>SMBC — SMBC - Société Multinationale de Bitumes COTE D'IVOIRE</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STAC — STAC - SETAO COTE D'IVOIRE</w:t>
      </w:r>
    </w:p>
    <w:p>
      <w:pPr>
        <w:pStyle w:val="ListBullet"/>
        <w:spacing w:before="20"/>
        <w:ind w:left="400"/>
      </w:pPr>
      <w:r>
        <w:rPr>
          <w:sz w:val="18"/>
        </w:rPr>
        <w:t>🟢 RSI survente (26.0 &lt; 30) — opportunité potentielle</w:t>
      </w:r>
    </w:p>
    <w:p>
      <w:pPr>
        <w:spacing w:before="120"/>
      </w:pPr>
      <w:r>
        <w:rPr>
          <w:b/>
          <w:color w:val="0050A0"/>
          <w:sz w:val="20"/>
        </w:rPr>
        <w:t>TTLC — TTLC - TOTAL ENERGIES MARKETING COTE D'IVOIRE</w:t>
      </w:r>
    </w:p>
    <w:p>
      <w:pPr>
        <w:pStyle w:val="ListBullet"/>
        <w:spacing w:before="20"/>
        <w:ind w:left="400"/>
      </w:pPr>
      <w:r>
        <w:rPr>
          <w:sz w:val="18"/>
        </w:rPr>
        <w:t>⚠️ Cours à 2.1% du plus haut 100j (3,300 FCFA)</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21 société(s) (45%)</w:t>
            </w:r>
          </w:p>
        </w:tc>
        <w:tc>
          <w:tcPr>
            <w:tcW w:type="dxa" w:w="1644"/>
            <w:shd w:fill="FFEB9C" w:val="clear"/>
          </w:tcPr>
          <w:p>
            <w:r>
              <w:rPr>
                <w:b/>
                <w:color w:val="825A00"/>
                <w:sz w:val="19"/>
              </w:rPr>
              <w:t>26 société(s) (55%)</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21.3/100</w:t>
            </w:r>
          </w:p>
        </w:tc>
        <w:tc>
          <w:tcPr>
            <w:tcW w:type="dxa" w:w="1644"/>
            <w:shd w:fill="DEEAF1" w:val="clear"/>
          </w:tcPr>
          <w:p>
            <w:r>
              <w:rPr>
                <w:b/>
                <w:color w:val="000000"/>
                <w:sz w:val="19"/>
              </w:rPr>
              <w:t>20.3/100</w:t>
            </w:r>
          </w:p>
        </w:tc>
      </w:tr>
    </w:tbl>
    <w:p/>
    <w:p>
      <w:r>
        <w:rPr>
          <w:i/>
          <w:color w:val="006400"/>
          <w:sz w:val="18"/>
        </w:rPr>
        <w:t>✅ Le marché BRVM présente globalement un profil de risque FAIBLE (score moyen 21.3/100).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32.6/100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CIEC</w:t>
            </w:r>
          </w:p>
        </w:tc>
        <w:tc>
          <w:tcPr>
            <w:tcW w:type="dxa" w:w="2268"/>
            <w:shd w:fill="FFFFFF" w:val="clear"/>
          </w:tcPr>
          <w:p>
            <w:r>
              <w:rPr>
                <w:sz w:val="16"/>
              </w:rPr>
              <w:t>CIEC - Compagnie Ivoirienne …</w:t>
            </w:r>
          </w:p>
        </w:tc>
        <w:tc>
          <w:tcPr>
            <w:tcW w:type="dxa" w:w="1701"/>
            <w:shd w:fill="FFFFFF" w:val="clear"/>
          </w:tcPr>
          <w:p>
            <w:r>
              <w:rPr>
                <w:sz w:val="16"/>
              </w:rPr>
              <w:t>SERVICES PUBLICS</w:t>
            </w:r>
          </w:p>
        </w:tc>
        <w:tc>
          <w:tcPr>
            <w:tcW w:type="dxa" w:w="1020"/>
            <w:shd w:fill="FFEB9C" w:val="clear"/>
          </w:tcPr>
          <w:p>
            <w:r>
              <w:rPr>
                <w:b/>
                <w:color w:val="B40000"/>
                <w:sz w:val="16"/>
              </w:rPr>
              <w:t>31.6/100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(32.6/100 — Moyen) : </w:t>
      </w:r>
      <w:r>
        <w:rPr>
          <w:sz w:val="17"/>
        </w:rPr>
        <w:t>Volatilité=Élevée | Bêta=Défensif | Liquidité=Faible | Divergence signaux=taux divergence=40% (Très divergent ❌) | Stabilité=Modérée</w:t>
      </w:r>
    </w:p>
    <w:p>
      <w:pPr>
        <w:pStyle w:val="ListBullet"/>
      </w:pPr>
      <w:r>
        <w:rPr>
          <w:b/>
          <w:color w:val="B40000"/>
          <w:sz w:val="18"/>
        </w:rPr>
        <w:t xml:space="preserve">#3 CIEC (31.6/100 — Moyen) : </w:t>
      </w:r>
      <w:r>
        <w:rPr>
          <w:sz w:val="17"/>
        </w:rPr>
        <w:t>Volatilité=Élevée | Bêta=Neutre  | Liquidité=Bonne | Divergence signaux=taux divergence=40% (Très divergent ❌) | Stabilité=Modérée</w:t>
      </w:r>
    </w:p>
    <w:p>
      <w:pPr>
        <w:pStyle w:val="ListBullet"/>
      </w:pPr>
      <w:r>
        <w:rPr>
          <w:b/>
          <w:color w:val="B40000"/>
          <w:sz w:val="18"/>
        </w:rPr>
        <w:t xml:space="preserve">#4 NSBC (31.3/100 — Moyen) : </w:t>
      </w:r>
      <w:r>
        <w:rPr>
          <w:sz w:val="17"/>
        </w:rPr>
        <w:t>Volatilité=Élevée | Bêta=Agressif | Liquidité=Bonne | Divergence signaux=taux divergence=20% (Mixte ⚠️) | Stabilité=Stable</w:t>
      </w:r>
    </w:p>
    <w:p>
      <w:pPr>
        <w:pStyle w:val="ListBullet"/>
      </w:pPr>
      <w:r>
        <w:rPr>
          <w:b/>
          <w:color w:val="B40000"/>
          <w:sz w:val="18"/>
        </w:rPr>
        <w:t xml:space="preserve">#5 SAFC (30.1/100 — Moyen) : </w:t>
      </w:r>
      <w:r>
        <w:rPr>
          <w:sz w:val="17"/>
        </w:rPr>
        <w:t>Volatilité=Élevée | Bêta=Défensif | Liquidité=Bonne | Divergence signaux=taux divergence=20% (Mixte ⚠️) | Stabilité=Instable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TTLC</w:t>
            </w:r>
          </w:p>
        </w:tc>
        <w:tc>
          <w:tcPr>
            <w:tcW w:type="dxa" w:w="2268"/>
            <w:shd w:fill="FFFFFF" w:val="clear"/>
          </w:tcPr>
          <w:p>
            <w:r>
              <w:rPr>
                <w:sz w:val="16"/>
              </w:rPr>
              <w:t>TTLC - TOTAL ENERGIES MARKET…</w:t>
            </w:r>
          </w:p>
        </w:tc>
        <w:tc>
          <w:tcPr>
            <w:tcW w:type="dxa" w:w="1701"/>
            <w:shd w:fill="FFFFFF" w:val="clear"/>
          </w:tcPr>
          <w:p>
            <w:r>
              <w:rPr>
                <w:sz w:val="16"/>
              </w:rPr>
              <w:t>ENERGIE</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SOGC</w:t>
            </w:r>
          </w:p>
        </w:tc>
        <w:tc>
          <w:tcPr>
            <w:tcW w:type="dxa" w:w="2268"/>
            <w:shd w:fill="FFFFFF" w:val="clear"/>
          </w:tcPr>
          <w:p>
            <w:r>
              <w:rPr>
                <w:sz w:val="16"/>
              </w:rPr>
              <w:t>SOGC - Société des caoutchou…</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32.6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Très divergent ❌ / Modérée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31.6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29.0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FFEB9C" w:val="clear"/>
          </w:tcPr>
          <w:p>
            <w:r>
              <w:rPr>
                <w:b/>
                <w:color w:val="825A00"/>
                <w:sz w:val="15"/>
              </w:rPr>
              <w:t>23.8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23.3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FFEB9C" w:val="clear"/>
          </w:tcPr>
          <w:p>
            <w:r>
              <w:rPr>
                <w:b/>
                <w:color w:val="825A00"/>
                <w:sz w:val="15"/>
              </w:rPr>
              <w:t>21.6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C6EFCE" w:val="clear"/>
          </w:tcPr>
          <w:p>
            <w:r>
              <w:rPr>
                <w:b/>
                <w:color w:val="006400"/>
                <w:sz w:val="15"/>
              </w:rPr>
              <w:t>18.1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17.1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-12.07%  |  Médiane : -10.17%</w:t>
            </w:r>
          </w:p>
        </w:tc>
      </w:tr>
      <w:tr>
        <w:tc>
          <w:tcPr>
            <w:tcW w:type="dxa" w:w="2835"/>
            <w:shd w:fill="DEEAF1" w:val="clear"/>
          </w:tcPr>
          <w:p>
            <w:r>
              <w:rPr>
                <w:b/>
                <w:sz w:val="18"/>
              </w:rPr>
              <w:t>Répartition</w:t>
            </w:r>
          </w:p>
        </w:tc>
        <w:tc>
          <w:tcPr>
            <w:tcW w:type="dxa" w:w="7370"/>
          </w:tcPr>
          <w:p>
            <w:r>
              <w:rPr>
                <w:b/>
                <w:sz w:val="18"/>
              </w:rPr>
              <w:t>📈 6 sociétés en hausse (&gt;+1%)   📉 39 en baisse (&lt;-1%)   ➡️ 2 neutres</w:t>
            </w:r>
          </w:p>
        </w:tc>
      </w:tr>
      <w:tr>
        <w:tc>
          <w:tcPr>
            <w:tcW w:type="dxa" w:w="2835"/>
            <w:shd w:fill="DEEAF1" w:val="clear"/>
          </w:tcPr>
          <w:p>
            <w:r>
              <w:rPr>
                <w:b/>
                <w:sz w:val="18"/>
              </w:rPr>
              <w:t>Confiance globale</w:t>
            </w:r>
          </w:p>
        </w:tc>
        <w:tc>
          <w:tcPr>
            <w:tcW w:type="dxa" w:w="7370"/>
          </w:tcPr>
          <w:p>
            <w:r>
              <w:rPr>
                <w:b/>
                <w:sz w:val="18"/>
              </w:rPr>
              <w:t>Élevée : 0 sociétés (0%)   Moyenne : 13   Faible : 34 (72%)   → Confiance dominante : Faible</w:t>
            </w:r>
          </w:p>
        </w:tc>
      </w:tr>
    </w:tbl>
    <w:p/>
    <w:p>
      <w:r>
        <w:rPr>
          <w:i/>
          <w:color w:val="282828"/>
          <w:sz w:val="18"/>
        </w:rPr>
        <w:t>📝 Analyse : Les modèles anticipent une correction généralisée. 39 sociétés sur 47 sont orientées à la baisse avec une variation moyenne de -12.07%.</w:t>
      </w:r>
    </w:p>
    <w:p>
      <w:r>
        <w:rPr>
          <w:i/>
          <w:color w:val="282828"/>
          <w:sz w:val="18"/>
        </w:rPr>
        <w:t>🎯 Fiabilité : ⚠️ La confiance est globalement FAIBLE (72%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3,690 FCFA</w:t>
            </w:r>
          </w:p>
        </w:tc>
        <w:tc>
          <w:tcPr>
            <w:tcW w:type="dxa" w:w="1417"/>
            <w:shd w:fill="FFFFFF" w:val="clear"/>
          </w:tcPr>
          <w:p>
            <w:r>
              <w:rPr>
                <w:sz w:val="16"/>
              </w:rPr>
              <w:t>6,693 FCFA</w:t>
            </w:r>
          </w:p>
        </w:tc>
        <w:tc>
          <w:tcPr>
            <w:tcW w:type="dxa" w:w="1134"/>
            <w:shd w:fill="C6EFCE" w:val="clear"/>
          </w:tcPr>
          <w:p>
            <w:r>
              <w:rPr>
                <w:b/>
                <w:color w:val="007800"/>
                <w:sz w:val="16"/>
              </w:rPr>
              <w:t>+81.39%</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23,000 FCFA</w:t>
            </w:r>
          </w:p>
        </w:tc>
        <w:tc>
          <w:tcPr>
            <w:tcW w:type="dxa" w:w="1417"/>
            <w:shd w:fill="FFFFFF" w:val="clear"/>
          </w:tcPr>
          <w:p>
            <w:r>
              <w:rPr>
                <w:sz w:val="16"/>
              </w:rPr>
              <w:t>27,151 FCFA</w:t>
            </w:r>
          </w:p>
        </w:tc>
        <w:tc>
          <w:tcPr>
            <w:tcW w:type="dxa" w:w="1134"/>
            <w:shd w:fill="C6EFCE" w:val="clear"/>
          </w:tcPr>
          <w:p>
            <w:r>
              <w:rPr>
                <w:b/>
                <w:color w:val="007800"/>
                <w:sz w:val="16"/>
              </w:rPr>
              <w:t>+18.05%</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54,000 FCFA</w:t>
            </w:r>
          </w:p>
        </w:tc>
        <w:tc>
          <w:tcPr>
            <w:tcW w:type="dxa" w:w="1417"/>
            <w:shd w:fill="FFFFFF" w:val="clear"/>
          </w:tcPr>
          <w:p>
            <w:r>
              <w:rPr>
                <w:sz w:val="16"/>
              </w:rPr>
              <w:t>61,629 FCFA</w:t>
            </w:r>
          </w:p>
        </w:tc>
        <w:tc>
          <w:tcPr>
            <w:tcW w:type="dxa" w:w="1134"/>
            <w:shd w:fill="C6EFCE" w:val="clear"/>
          </w:tcPr>
          <w:p>
            <w:r>
              <w:rPr>
                <w:b/>
                <w:color w:val="007800"/>
                <w:sz w:val="16"/>
              </w:rPr>
              <w:t>+14.13%</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23,100 FCFA</w:t>
            </w:r>
          </w:p>
        </w:tc>
        <w:tc>
          <w:tcPr>
            <w:tcW w:type="dxa" w:w="1417"/>
            <w:shd w:fill="FFFFFF" w:val="clear"/>
          </w:tcPr>
          <w:p>
            <w:r>
              <w:rPr>
                <w:sz w:val="16"/>
              </w:rPr>
              <w:t>25,438 FCFA</w:t>
            </w:r>
          </w:p>
        </w:tc>
        <w:tc>
          <w:tcPr>
            <w:tcW w:type="dxa" w:w="1134"/>
            <w:shd w:fill="C6EFCE" w:val="clear"/>
          </w:tcPr>
          <w:p>
            <w:r>
              <w:rPr>
                <w:b/>
                <w:color w:val="007800"/>
                <w:sz w:val="16"/>
              </w:rPr>
              <w:t>+10.12%</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2,150 FCFA</w:t>
            </w:r>
          </w:p>
        </w:tc>
        <w:tc>
          <w:tcPr>
            <w:tcW w:type="dxa" w:w="1417"/>
            <w:shd w:fill="FFFFFF" w:val="clear"/>
          </w:tcPr>
          <w:p>
            <w:r>
              <w:rPr>
                <w:sz w:val="16"/>
              </w:rPr>
              <w:t>2,246 FCFA</w:t>
            </w:r>
          </w:p>
        </w:tc>
        <w:tc>
          <w:tcPr>
            <w:tcW w:type="dxa" w:w="1134"/>
            <w:shd w:fill="C6EFCE" w:val="clear"/>
          </w:tcPr>
          <w:p>
            <w:r>
              <w:rPr>
                <w:b/>
                <w:color w:val="007800"/>
                <w:sz w:val="16"/>
              </w:rPr>
              <w:t>+4.46%</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(+81.4%) — signal potentiellement excessif, à croiser avec l'analyse technique. Trajectoire : 📈 Hausse continue. Cours actuel : 3,690 FCFA → prédit J+10 : 6,693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(+18.0%) — potentiel de revalorisation notable. Trajectoire : 📈 Hausse continue. Cours actuel : 23,000 FCFA → prédit J+10 : 27,151 FCFA. ⚠️ Confiance limitée — volatilité élevée ou données insuffisantes. Résultat indicatif uniquement.</w:t>
      </w:r>
    </w:p>
    <w:p>
      <w:pPr>
        <w:pStyle w:val="ListBullet"/>
      </w:pPr>
      <w:r>
        <w:rPr>
          <w:b/>
          <w:color w:val="006400"/>
          <w:sz w:val="18"/>
        </w:rPr>
        <w:t xml:space="preserve">#3 UNLC </w:t>
      </w:r>
      <w:r>
        <w:rPr>
          <w:sz w:val="17"/>
        </w:rPr>
        <w:t>(UNLC - UNILEVER COTE D'IVOIRE) — hausse significative (+14.1%) — potentiel de revalorisation notable. Trajectoire : 📈 Hausse continue. Cours actuel : 54,000 FCFA → prédit J+10 : 61,629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significative (+10.1%) — potentiel de revalorisation notable. Trajectoire : 📈 Hausse continue. Cours actuel : 23,100 FCFA → prédit J+10 : 25,438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(+4.5%) — progression graduelle attendue. Trajectoire : 📈 Hausse continue. Cours actuel : 2,150 FCFA → prédit J+10 : 2,246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68 FCFA</w:t>
            </w:r>
          </w:p>
        </w:tc>
        <w:tc>
          <w:tcPr>
            <w:tcW w:type="dxa" w:w="1417"/>
            <w:shd w:fill="FFFFFF" w:val="clear"/>
          </w:tcPr>
          <w:p>
            <w:r>
              <w:rPr>
                <w:sz w:val="16"/>
              </w:rPr>
              <w:t>31 FCFA</w:t>
            </w:r>
          </w:p>
        </w:tc>
        <w:tc>
          <w:tcPr>
            <w:tcW w:type="dxa" w:w="1134"/>
            <w:shd w:fill="FFC7CE" w:val="clear"/>
          </w:tcPr>
          <w:p>
            <w:r>
              <w:rPr>
                <w:b/>
                <w:color w:val="B40000"/>
                <w:sz w:val="16"/>
              </w:rPr>
              <w:t>-54.15%</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5,700 FCFA</w:t>
            </w:r>
          </w:p>
        </w:tc>
        <w:tc>
          <w:tcPr>
            <w:tcW w:type="dxa" w:w="1417"/>
            <w:shd w:fill="FFFFFF" w:val="clear"/>
          </w:tcPr>
          <w:p>
            <w:r>
              <w:rPr>
                <w:sz w:val="16"/>
              </w:rPr>
              <w:t>2,614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3,495 FCFA</w:t>
            </w:r>
          </w:p>
        </w:tc>
        <w:tc>
          <w:tcPr>
            <w:tcW w:type="dxa" w:w="1417"/>
            <w:shd w:fill="FFFFFF" w:val="clear"/>
          </w:tcPr>
          <w:p>
            <w:r>
              <w:rPr>
                <w:sz w:val="16"/>
              </w:rPr>
              <w:t>1,603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6,835 FCFA</w:t>
            </w:r>
          </w:p>
        </w:tc>
        <w:tc>
          <w:tcPr>
            <w:tcW w:type="dxa" w:w="1417"/>
            <w:shd w:fill="FFFFFF" w:val="clear"/>
          </w:tcPr>
          <w:p>
            <w:r>
              <w:rPr>
                <w:sz w:val="16"/>
              </w:rPr>
              <w:t>3,256 FCFA</w:t>
            </w:r>
          </w:p>
        </w:tc>
        <w:tc>
          <w:tcPr>
            <w:tcW w:type="dxa" w:w="1134"/>
            <w:shd w:fill="FFC7CE" w:val="clear"/>
          </w:tcPr>
          <w:p>
            <w:r>
              <w:rPr>
                <w:b/>
                <w:color w:val="B40000"/>
                <w:sz w:val="16"/>
              </w:rPr>
              <w:t>-52.36%</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28,700 FCFA</w:t>
            </w:r>
          </w:p>
        </w:tc>
        <w:tc>
          <w:tcPr>
            <w:tcW w:type="dxa" w:w="1417"/>
            <w:shd w:fill="FFFFFF" w:val="clear"/>
          </w:tcPr>
          <w:p>
            <w:r>
              <w:rPr>
                <w:sz w:val="16"/>
              </w:rPr>
              <w:t>17,390 FCFA</w:t>
            </w:r>
          </w:p>
        </w:tc>
        <w:tc>
          <w:tcPr>
            <w:tcW w:type="dxa" w:w="1134"/>
            <w:shd w:fill="FFC7CE" w:val="clear"/>
          </w:tcPr>
          <w:p>
            <w:r>
              <w:rPr>
                <w:b/>
                <w:color w:val="B40000"/>
                <w:sz w:val="16"/>
              </w:rPr>
              <w:t>-39.41%</w:t>
            </w:r>
          </w:p>
        </w:tc>
        <w:tc>
          <w:tcPr>
            <w:tcW w:type="dxa" w:w="1020"/>
            <w:shd w:fill="FFC7CE" w:val="clear"/>
          </w:tcPr>
          <w:p>
            <w:r>
              <w:rPr>
                <w:sz w:val="16"/>
              </w:rPr>
              <w:t>Faible</w:t>
            </w:r>
          </w:p>
        </w:tc>
      </w:tr>
    </w:tbl>
    <w:p/>
    <w:p>
      <w:pPr>
        <w:pStyle w:val="ListBullet"/>
      </w:pPr>
      <w:r>
        <w:rPr>
          <w:b/>
          <w:color w:val="B40000"/>
          <w:sz w:val="18"/>
        </w:rPr>
        <w:t xml:space="preserve">#1 ETIT </w:t>
      </w:r>
      <w:r>
        <w:rPr>
          <w:sz w:val="17"/>
        </w:rPr>
        <w:t>(ETIT - Ecobank Transnational Incorporate) — baisse très forte (-54.1%) — amplitude potentiellement surestimée par le modèle. Trajectoire : 📉 Baisse continue. Cours actuel : 68 FCFA → prédit J+10 : 31 FCFA. ⚠️ Confiance limitée — volatilité élevée. Ne pas agir sur ce seul signal.</w:t>
      </w:r>
    </w:p>
    <w:p>
      <w:pPr>
        <w:pStyle w:val="ListBullet"/>
      </w:pPr>
      <w:r>
        <w:rPr>
          <w:b/>
          <w:color w:val="B40000"/>
          <w:sz w:val="18"/>
        </w:rPr>
        <w:t xml:space="preserve">#2 SAFC </w:t>
      </w:r>
      <w:r>
        <w:rPr>
          <w:sz w:val="17"/>
        </w:rPr>
        <w:t>(SAFCA CI) — baisse très forte (-54.1%) — amplitude potentiellement surestimée par le modèle. Trajectoire : 📉 Baisse continue. Cours actuel : 5,700 FCFA → prédit J+10 : 2,614 FCFA. ⚠️ Confiance limitée — volatilité élevée. Ne pas agir sur ce seul signal.</w:t>
      </w:r>
    </w:p>
    <w:p>
      <w:pPr>
        <w:pStyle w:val="ListBullet"/>
      </w:pPr>
      <w:r>
        <w:rPr>
          <w:b/>
          <w:color w:val="B40000"/>
          <w:sz w:val="18"/>
        </w:rPr>
        <w:t xml:space="preserve">#3 SCRC </w:t>
      </w:r>
      <w:r>
        <w:rPr>
          <w:sz w:val="17"/>
        </w:rPr>
        <w:t>(SCRC - SUCRIVOIRE) — baisse très forte (-54.1%) — amplitude potentiellement surestimée par le modèle. Trajectoire : 📉 Baisse continue. Cours actuel : 3,495 FCFA → prédit J+10 : 1,603 FCFA. ⚠️ Confiance limitée — volatilité élevée. Ne pas agir sur ce seul signal.</w:t>
      </w:r>
    </w:p>
    <w:p>
      <w:pPr>
        <w:pStyle w:val="ListBullet"/>
      </w:pPr>
      <w:r>
        <w:rPr>
          <w:b/>
          <w:color w:val="B40000"/>
          <w:sz w:val="18"/>
        </w:rPr>
        <w:t xml:space="preserve">#4 CIEC </w:t>
      </w:r>
      <w:r>
        <w:rPr>
          <w:sz w:val="17"/>
        </w:rPr>
        <w:t>(CIEC - Compagnie Ivoirienne d'Electricit) — baisse très forte (-52.4%) — amplitude potentiellement surestimée par le modèle. Trajectoire : 📉 Baisse continue. Cours actuel : 6,835 FCFA → prédit J+10 : 3,256 FCFA. ⚠️ Confiance limitée — volatilité élevée. Ne pas agir sur ce seul signal.</w:t>
      </w:r>
    </w:p>
    <w:p>
      <w:pPr>
        <w:pStyle w:val="ListBullet"/>
      </w:pPr>
      <w:r>
        <w:rPr>
          <w:b/>
          <w:color w:val="B40000"/>
          <w:sz w:val="18"/>
        </w:rPr>
        <w:t xml:space="preserve">#5 CBIBF </w:t>
      </w:r>
      <w:r>
        <w:rPr>
          <w:sz w:val="17"/>
        </w:rPr>
        <w:t>(CBIBF - CORIS BANK INTERNATIONAL BURKINA) — baisse très forte (-39.4%) — amplitude potentiellement surestimée par le modèle. Trajectoire : 📉 Baisse continue. Cours actuel : 28,700 FCFA → prédit J+10 : 17,390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3,690</w:t>
            </w:r>
          </w:p>
        </w:tc>
        <w:tc>
          <w:tcPr>
            <w:tcW w:type="dxa" w:w="1417"/>
            <w:shd w:fill="FFFFFF" w:val="clear"/>
          </w:tcPr>
          <w:p>
            <w:r>
              <w:rPr>
                <w:sz w:val="16"/>
              </w:rPr>
              <w:t>6,693</w:t>
            </w:r>
          </w:p>
        </w:tc>
        <w:tc>
          <w:tcPr>
            <w:tcW w:type="dxa" w:w="1134"/>
            <w:shd w:fill="C6EFCE" w:val="clear"/>
          </w:tcPr>
          <w:p>
            <w:r>
              <w:rPr>
                <w:b/>
                <w:color w:val="007800"/>
                <w:sz w:val="16"/>
              </w:rPr>
              <w:t>+81.39%</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23,000</w:t>
            </w:r>
          </w:p>
        </w:tc>
        <w:tc>
          <w:tcPr>
            <w:tcW w:type="dxa" w:w="1417"/>
            <w:shd w:fill="FFFFFF" w:val="clear"/>
          </w:tcPr>
          <w:p>
            <w:r>
              <w:rPr>
                <w:sz w:val="16"/>
              </w:rPr>
              <w:t>27,151</w:t>
            </w:r>
          </w:p>
        </w:tc>
        <w:tc>
          <w:tcPr>
            <w:tcW w:type="dxa" w:w="1134"/>
            <w:shd w:fill="C6EFCE" w:val="clear"/>
          </w:tcPr>
          <w:p>
            <w:r>
              <w:rPr>
                <w:b/>
                <w:color w:val="007800"/>
                <w:sz w:val="16"/>
              </w:rPr>
              <w:t>+18.05%</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54,000</w:t>
            </w:r>
          </w:p>
        </w:tc>
        <w:tc>
          <w:tcPr>
            <w:tcW w:type="dxa" w:w="1417"/>
            <w:shd w:fill="FFFFFF" w:val="clear"/>
          </w:tcPr>
          <w:p>
            <w:r>
              <w:rPr>
                <w:sz w:val="16"/>
              </w:rPr>
              <w:t>61,629</w:t>
            </w:r>
          </w:p>
        </w:tc>
        <w:tc>
          <w:tcPr>
            <w:tcW w:type="dxa" w:w="1134"/>
            <w:shd w:fill="C6EFCE" w:val="clear"/>
          </w:tcPr>
          <w:p>
            <w:r>
              <w:rPr>
                <w:b/>
                <w:color w:val="007800"/>
                <w:sz w:val="16"/>
              </w:rPr>
              <w:t>+14.13%</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23,100</w:t>
            </w:r>
          </w:p>
        </w:tc>
        <w:tc>
          <w:tcPr>
            <w:tcW w:type="dxa" w:w="1417"/>
            <w:shd w:fill="FFFFFF" w:val="clear"/>
          </w:tcPr>
          <w:p>
            <w:r>
              <w:rPr>
                <w:sz w:val="16"/>
              </w:rPr>
              <w:t>25,438</w:t>
            </w:r>
          </w:p>
        </w:tc>
        <w:tc>
          <w:tcPr>
            <w:tcW w:type="dxa" w:w="1134"/>
            <w:shd w:fill="C6EFCE" w:val="clear"/>
          </w:tcPr>
          <w:p>
            <w:r>
              <w:rPr>
                <w:b/>
                <w:color w:val="007800"/>
                <w:sz w:val="16"/>
              </w:rPr>
              <w:t>+10.12%</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2,150</w:t>
            </w:r>
          </w:p>
        </w:tc>
        <w:tc>
          <w:tcPr>
            <w:tcW w:type="dxa" w:w="1417"/>
            <w:shd w:fill="FFFFFF" w:val="clear"/>
          </w:tcPr>
          <w:p>
            <w:r>
              <w:rPr>
                <w:sz w:val="16"/>
              </w:rPr>
              <w:t>2,246</w:t>
            </w:r>
          </w:p>
        </w:tc>
        <w:tc>
          <w:tcPr>
            <w:tcW w:type="dxa" w:w="1134"/>
            <w:shd w:fill="C6EFCE" w:val="clear"/>
          </w:tcPr>
          <w:p>
            <w:r>
              <w:rPr>
                <w:b/>
                <w:color w:val="007800"/>
                <w:sz w:val="16"/>
              </w:rPr>
              <w:t>+4.46%</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9,600</w:t>
            </w:r>
          </w:p>
        </w:tc>
        <w:tc>
          <w:tcPr>
            <w:tcW w:type="dxa" w:w="1417"/>
            <w:shd w:fill="FFFFFF" w:val="clear"/>
          </w:tcPr>
          <w:p>
            <w:r>
              <w:rPr>
                <w:sz w:val="16"/>
              </w:rPr>
              <w:t>9,763</w:t>
            </w:r>
          </w:p>
        </w:tc>
        <w:tc>
          <w:tcPr>
            <w:tcW w:type="dxa" w:w="1134"/>
            <w:shd w:fill="C6EFCE" w:val="clear"/>
          </w:tcPr>
          <w:p>
            <w:r>
              <w:rPr>
                <w:b/>
                <w:color w:val="007800"/>
                <w:sz w:val="16"/>
              </w:rPr>
              <w:t>+1.70%</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8,290</w:t>
            </w:r>
          </w:p>
        </w:tc>
        <w:tc>
          <w:tcPr>
            <w:tcW w:type="dxa" w:w="1417"/>
            <w:shd w:fill="FFFFFF" w:val="clear"/>
          </w:tcPr>
          <w:p>
            <w:r>
              <w:rPr>
                <w:sz w:val="16"/>
              </w:rPr>
              <w:t>8,227</w:t>
            </w:r>
          </w:p>
        </w:tc>
        <w:tc>
          <w:tcPr>
            <w:tcW w:type="dxa" w:w="1134"/>
            <w:shd w:fill="FFEB9C" w:val="clear"/>
          </w:tcPr>
          <w:p>
            <w:r>
              <w:rPr>
                <w:b/>
                <w:color w:val="646400"/>
                <w:sz w:val="16"/>
              </w:rPr>
              <w:t>-0.76%</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1,990</w:t>
            </w:r>
          </w:p>
        </w:tc>
        <w:tc>
          <w:tcPr>
            <w:tcW w:type="dxa" w:w="1417"/>
            <w:shd w:fill="FFFFFF" w:val="clear"/>
          </w:tcPr>
          <w:p>
            <w:r>
              <w:rPr>
                <w:sz w:val="16"/>
              </w:rPr>
              <w:t>1,974</w:t>
            </w:r>
          </w:p>
        </w:tc>
        <w:tc>
          <w:tcPr>
            <w:tcW w:type="dxa" w:w="1134"/>
            <w:shd w:fill="FFEB9C" w:val="clear"/>
          </w:tcPr>
          <w:p>
            <w:r>
              <w:rPr>
                <w:b/>
                <w:color w:val="646400"/>
                <w:sz w:val="16"/>
              </w:rPr>
              <w:t>-0.82%</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38,000</w:t>
            </w:r>
          </w:p>
        </w:tc>
        <w:tc>
          <w:tcPr>
            <w:tcW w:type="dxa" w:w="1417"/>
            <w:shd w:fill="FFFFFF" w:val="clear"/>
          </w:tcPr>
          <w:p>
            <w:r>
              <w:rPr>
                <w:sz w:val="16"/>
              </w:rPr>
              <w:t>37,462</w:t>
            </w:r>
          </w:p>
        </w:tc>
        <w:tc>
          <w:tcPr>
            <w:tcW w:type="dxa" w:w="1134"/>
            <w:shd w:fill="FFC7CE" w:val="clear"/>
          </w:tcPr>
          <w:p>
            <w:r>
              <w:rPr>
                <w:b/>
                <w:color w:val="B40000"/>
                <w:sz w:val="16"/>
              </w:rPr>
              <w:t>-1.41%</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3,090</w:t>
            </w:r>
          </w:p>
        </w:tc>
        <w:tc>
          <w:tcPr>
            <w:tcW w:type="dxa" w:w="1417"/>
            <w:shd w:fill="FFFFFF" w:val="clear"/>
          </w:tcPr>
          <w:p>
            <w:r>
              <w:rPr>
                <w:sz w:val="16"/>
              </w:rPr>
              <w:t>3,043</w:t>
            </w:r>
          </w:p>
        </w:tc>
        <w:tc>
          <w:tcPr>
            <w:tcW w:type="dxa" w:w="1134"/>
            <w:shd w:fill="FFC7CE" w:val="clear"/>
          </w:tcPr>
          <w:p>
            <w:r>
              <w:rPr>
                <w:b/>
                <w:color w:val="B40000"/>
                <w:sz w:val="16"/>
              </w:rPr>
              <w:t>-1.53%</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16,500</w:t>
            </w:r>
          </w:p>
        </w:tc>
        <w:tc>
          <w:tcPr>
            <w:tcW w:type="dxa" w:w="1417"/>
            <w:shd w:fill="FFFFFF" w:val="clear"/>
          </w:tcPr>
          <w:p>
            <w:r>
              <w:rPr>
                <w:sz w:val="16"/>
              </w:rPr>
              <w:t>16,242</w:t>
            </w:r>
          </w:p>
        </w:tc>
        <w:tc>
          <w:tcPr>
            <w:tcW w:type="dxa" w:w="1134"/>
            <w:shd w:fill="FFC7CE" w:val="clear"/>
          </w:tcPr>
          <w:p>
            <w:r>
              <w:rPr>
                <w:b/>
                <w:color w:val="B40000"/>
                <w:sz w:val="16"/>
              </w:rPr>
              <w:t>-1.56%</w:t>
            </w:r>
          </w:p>
        </w:tc>
        <w:tc>
          <w:tcPr>
            <w:tcW w:type="dxa" w:w="1134"/>
            <w:shd w:fill="FFEB9C" w:val="clear"/>
          </w:tcPr>
          <w:p>
            <w:r>
              <w:rPr>
                <w:sz w:val="16"/>
              </w:rPr>
              <w:t>Moyenne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5,150</w:t>
            </w:r>
          </w:p>
        </w:tc>
        <w:tc>
          <w:tcPr>
            <w:tcW w:type="dxa" w:w="1417"/>
            <w:shd w:fill="FFFFFF" w:val="clear"/>
          </w:tcPr>
          <w:p>
            <w:r>
              <w:rPr>
                <w:sz w:val="16"/>
              </w:rPr>
              <w:t>5,052</w:t>
            </w:r>
          </w:p>
        </w:tc>
        <w:tc>
          <w:tcPr>
            <w:tcW w:type="dxa" w:w="1134"/>
            <w:shd w:fill="FFC7CE" w:val="clear"/>
          </w:tcPr>
          <w:p>
            <w:r>
              <w:rPr>
                <w:b/>
                <w:color w:val="B40000"/>
                <w:sz w:val="16"/>
              </w:rPr>
              <w:t>-1.91%</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2,945</w:t>
            </w:r>
          </w:p>
        </w:tc>
        <w:tc>
          <w:tcPr>
            <w:tcW w:type="dxa" w:w="1417"/>
            <w:shd w:fill="FFFFFF" w:val="clear"/>
          </w:tcPr>
          <w:p>
            <w:r>
              <w:rPr>
                <w:sz w:val="16"/>
              </w:rPr>
              <w:t>2,864</w:t>
            </w:r>
          </w:p>
        </w:tc>
        <w:tc>
          <w:tcPr>
            <w:tcW w:type="dxa" w:w="1134"/>
            <w:shd w:fill="FFC7CE" w:val="clear"/>
          </w:tcPr>
          <w:p>
            <w:r>
              <w:rPr>
                <w:b/>
                <w:color w:val="B40000"/>
                <w:sz w:val="16"/>
              </w:rPr>
              <w:t>-2.76%</w:t>
            </w:r>
          </w:p>
        </w:tc>
        <w:tc>
          <w:tcPr>
            <w:tcW w:type="dxa" w:w="1134"/>
            <w:shd w:fill="FFEB9C" w:val="clear"/>
          </w:tcPr>
          <w:p>
            <w:r>
              <w:rPr>
                <w:sz w:val="16"/>
              </w:rPr>
              <w:t>Moyenne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17,000</w:t>
            </w:r>
          </w:p>
        </w:tc>
        <w:tc>
          <w:tcPr>
            <w:tcW w:type="dxa" w:w="1417"/>
            <w:shd w:fill="FFFFFF" w:val="clear"/>
          </w:tcPr>
          <w:p>
            <w:r>
              <w:rPr>
                <w:sz w:val="16"/>
              </w:rPr>
              <w:t>16,492</w:t>
            </w:r>
          </w:p>
        </w:tc>
        <w:tc>
          <w:tcPr>
            <w:tcW w:type="dxa" w:w="1134"/>
            <w:shd w:fill="FFC7CE" w:val="clear"/>
          </w:tcPr>
          <w:p>
            <w:r>
              <w:rPr>
                <w:b/>
                <w:color w:val="B40000"/>
                <w:sz w:val="16"/>
              </w:rPr>
              <w:t>-2.99%</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3,230</w:t>
            </w:r>
          </w:p>
        </w:tc>
        <w:tc>
          <w:tcPr>
            <w:tcW w:type="dxa" w:w="1417"/>
            <w:shd w:fill="FFFFFF" w:val="clear"/>
          </w:tcPr>
          <w:p>
            <w:r>
              <w:rPr>
                <w:sz w:val="16"/>
              </w:rPr>
              <w:t>3,121</w:t>
            </w:r>
          </w:p>
        </w:tc>
        <w:tc>
          <w:tcPr>
            <w:tcW w:type="dxa" w:w="1134"/>
            <w:shd w:fill="FFC7CE" w:val="clear"/>
          </w:tcPr>
          <w:p>
            <w:r>
              <w:rPr>
                <w:b/>
                <w:color w:val="B40000"/>
                <w:sz w:val="16"/>
              </w:rPr>
              <w:t>-3.38%</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39,300</w:t>
            </w:r>
          </w:p>
        </w:tc>
        <w:tc>
          <w:tcPr>
            <w:tcW w:type="dxa" w:w="1417"/>
            <w:shd w:fill="FFFFFF" w:val="clear"/>
          </w:tcPr>
          <w:p>
            <w:r>
              <w:rPr>
                <w:sz w:val="16"/>
              </w:rPr>
              <w:t>37,920</w:t>
            </w:r>
          </w:p>
        </w:tc>
        <w:tc>
          <w:tcPr>
            <w:tcW w:type="dxa" w:w="1134"/>
            <w:shd w:fill="FFC7CE" w:val="clear"/>
          </w:tcPr>
          <w:p>
            <w:r>
              <w:rPr>
                <w:b/>
                <w:color w:val="B40000"/>
                <w:sz w:val="16"/>
              </w:rPr>
              <w:t>-3.51%</w:t>
            </w:r>
          </w:p>
        </w:tc>
        <w:tc>
          <w:tcPr>
            <w:tcW w:type="dxa" w:w="1134"/>
            <w:shd w:fill="FFEB9C" w:val="clear"/>
          </w:tcPr>
          <w:p>
            <w:r>
              <w:rPr>
                <w:sz w:val="16"/>
              </w:rPr>
              <w:t>Moyenne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16,500</w:t>
            </w:r>
          </w:p>
        </w:tc>
        <w:tc>
          <w:tcPr>
            <w:tcW w:type="dxa" w:w="1417"/>
            <w:shd w:fill="FFFFFF" w:val="clear"/>
          </w:tcPr>
          <w:p>
            <w:r>
              <w:rPr>
                <w:sz w:val="16"/>
              </w:rPr>
              <w:t>15,851</w:t>
            </w:r>
          </w:p>
        </w:tc>
        <w:tc>
          <w:tcPr>
            <w:tcW w:type="dxa" w:w="1134"/>
            <w:shd w:fill="FFC7CE" w:val="clear"/>
          </w:tcPr>
          <w:p>
            <w:r>
              <w:rPr>
                <w:b/>
                <w:color w:val="B40000"/>
                <w:sz w:val="16"/>
              </w:rPr>
              <w:t>-3.94%</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4,405</w:t>
            </w:r>
          </w:p>
        </w:tc>
        <w:tc>
          <w:tcPr>
            <w:tcW w:type="dxa" w:w="1417"/>
            <w:shd w:fill="FFFFFF" w:val="clear"/>
          </w:tcPr>
          <w:p>
            <w:r>
              <w:rPr>
                <w:sz w:val="16"/>
              </w:rPr>
              <w:t>4,202</w:t>
            </w:r>
          </w:p>
        </w:tc>
        <w:tc>
          <w:tcPr>
            <w:tcW w:type="dxa" w:w="1134"/>
            <w:shd w:fill="FFC7CE" w:val="clear"/>
          </w:tcPr>
          <w:p>
            <w:r>
              <w:rPr>
                <w:b/>
                <w:color w:val="B40000"/>
                <w:sz w:val="16"/>
              </w:rPr>
              <w:t>-4.61%</w:t>
            </w:r>
          </w:p>
        </w:tc>
        <w:tc>
          <w:tcPr>
            <w:tcW w:type="dxa" w:w="1134"/>
            <w:shd w:fill="FFEB9C" w:val="clear"/>
          </w:tcPr>
          <w:p>
            <w:r>
              <w:rPr>
                <w:sz w:val="16"/>
              </w:rPr>
              <w:t>Moyenne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4,180</w:t>
            </w:r>
          </w:p>
        </w:tc>
        <w:tc>
          <w:tcPr>
            <w:tcW w:type="dxa" w:w="1417"/>
            <w:shd w:fill="FFFFFF" w:val="clear"/>
          </w:tcPr>
          <w:p>
            <w:r>
              <w:rPr>
                <w:sz w:val="16"/>
              </w:rPr>
              <w:t>3,937</w:t>
            </w:r>
          </w:p>
        </w:tc>
        <w:tc>
          <w:tcPr>
            <w:tcW w:type="dxa" w:w="1134"/>
            <w:shd w:fill="FFC7CE" w:val="clear"/>
          </w:tcPr>
          <w:p>
            <w:r>
              <w:rPr>
                <w:b/>
                <w:color w:val="B40000"/>
                <w:sz w:val="16"/>
              </w:rPr>
              <w:t>-5.80%</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34,400</w:t>
            </w:r>
          </w:p>
        </w:tc>
        <w:tc>
          <w:tcPr>
            <w:tcW w:type="dxa" w:w="1417"/>
            <w:shd w:fill="FFFFFF" w:val="clear"/>
          </w:tcPr>
          <w:p>
            <w:r>
              <w:rPr>
                <w:sz w:val="16"/>
              </w:rPr>
              <w:t>32,223</w:t>
            </w:r>
          </w:p>
        </w:tc>
        <w:tc>
          <w:tcPr>
            <w:tcW w:type="dxa" w:w="1134"/>
            <w:shd w:fill="FFC7CE" w:val="clear"/>
          </w:tcPr>
          <w:p>
            <w:r>
              <w:rPr>
                <w:b/>
                <w:color w:val="B40000"/>
                <w:sz w:val="16"/>
              </w:rPr>
              <w:t>-6.33%</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19,510</w:t>
            </w:r>
          </w:p>
        </w:tc>
        <w:tc>
          <w:tcPr>
            <w:tcW w:type="dxa" w:w="1417"/>
            <w:shd w:fill="FFFFFF" w:val="clear"/>
          </w:tcPr>
          <w:p>
            <w:r>
              <w:rPr>
                <w:sz w:val="16"/>
              </w:rPr>
              <w:t>18,125</w:t>
            </w:r>
          </w:p>
        </w:tc>
        <w:tc>
          <w:tcPr>
            <w:tcW w:type="dxa" w:w="1134"/>
            <w:shd w:fill="FFC7CE" w:val="clear"/>
          </w:tcPr>
          <w:p>
            <w:r>
              <w:rPr>
                <w:b/>
                <w:color w:val="B40000"/>
                <w:sz w:val="16"/>
              </w:rPr>
              <w:t>-7.10%</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2,695</w:t>
            </w:r>
          </w:p>
        </w:tc>
        <w:tc>
          <w:tcPr>
            <w:tcW w:type="dxa" w:w="1417"/>
            <w:shd w:fill="FFFFFF" w:val="clear"/>
          </w:tcPr>
          <w:p>
            <w:r>
              <w:rPr>
                <w:sz w:val="16"/>
              </w:rPr>
              <w:t>2,492</w:t>
            </w:r>
          </w:p>
        </w:tc>
        <w:tc>
          <w:tcPr>
            <w:tcW w:type="dxa" w:w="1134"/>
            <w:shd w:fill="FFC7CE" w:val="clear"/>
          </w:tcPr>
          <w:p>
            <w:r>
              <w:rPr>
                <w:b/>
                <w:color w:val="B40000"/>
                <w:sz w:val="16"/>
              </w:rPr>
              <w:t>-7.54%</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9,660</w:t>
            </w:r>
          </w:p>
        </w:tc>
        <w:tc>
          <w:tcPr>
            <w:tcW w:type="dxa" w:w="1417"/>
            <w:shd w:fill="FFFFFF" w:val="clear"/>
          </w:tcPr>
          <w:p>
            <w:r>
              <w:rPr>
                <w:sz w:val="16"/>
              </w:rPr>
              <w:t>8,708</w:t>
            </w:r>
          </w:p>
        </w:tc>
        <w:tc>
          <w:tcPr>
            <w:tcW w:type="dxa" w:w="1134"/>
            <w:shd w:fill="FFC7CE" w:val="clear"/>
          </w:tcPr>
          <w:p>
            <w:r>
              <w:rPr>
                <w:b/>
                <w:color w:val="B40000"/>
                <w:sz w:val="16"/>
              </w:rPr>
              <w:t>-9.85%</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29,200</w:t>
            </w:r>
          </w:p>
        </w:tc>
        <w:tc>
          <w:tcPr>
            <w:tcW w:type="dxa" w:w="1417"/>
            <w:shd w:fill="FFFFFF" w:val="clear"/>
          </w:tcPr>
          <w:p>
            <w:r>
              <w:rPr>
                <w:sz w:val="16"/>
              </w:rPr>
              <w:t>26,232</w:t>
            </w:r>
          </w:p>
        </w:tc>
        <w:tc>
          <w:tcPr>
            <w:tcW w:type="dxa" w:w="1134"/>
            <w:shd w:fill="FFC7CE" w:val="clear"/>
          </w:tcPr>
          <w:p>
            <w:r>
              <w:rPr>
                <w:b/>
                <w:color w:val="B40000"/>
                <w:sz w:val="16"/>
              </w:rPr>
              <w:t>-10.17%</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7,300</w:t>
            </w:r>
          </w:p>
        </w:tc>
        <w:tc>
          <w:tcPr>
            <w:tcW w:type="dxa" w:w="1417"/>
            <w:shd w:fill="FFFFFF" w:val="clear"/>
          </w:tcPr>
          <w:p>
            <w:r>
              <w:rPr>
                <w:sz w:val="16"/>
              </w:rPr>
              <w:t>6,544</w:t>
            </w:r>
          </w:p>
        </w:tc>
        <w:tc>
          <w:tcPr>
            <w:tcW w:type="dxa" w:w="1134"/>
            <w:shd w:fill="FFC7CE" w:val="clear"/>
          </w:tcPr>
          <w:p>
            <w:r>
              <w:rPr>
                <w:b/>
                <w:color w:val="B40000"/>
                <w:sz w:val="16"/>
              </w:rPr>
              <w:t>-10.36%</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12,145</w:t>
            </w:r>
          </w:p>
        </w:tc>
        <w:tc>
          <w:tcPr>
            <w:tcW w:type="dxa" w:w="1417"/>
            <w:shd w:fill="FFFFFF" w:val="clear"/>
          </w:tcPr>
          <w:p>
            <w:r>
              <w:rPr>
                <w:sz w:val="16"/>
              </w:rPr>
              <w:t>10,845</w:t>
            </w:r>
          </w:p>
        </w:tc>
        <w:tc>
          <w:tcPr>
            <w:tcW w:type="dxa" w:w="1134"/>
            <w:shd w:fill="FFC7CE" w:val="clear"/>
          </w:tcPr>
          <w:p>
            <w:r>
              <w:rPr>
                <w:b/>
                <w:color w:val="B40000"/>
                <w:sz w:val="16"/>
              </w:rPr>
              <w:t>-10.71%</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2,425</w:t>
            </w:r>
          </w:p>
        </w:tc>
        <w:tc>
          <w:tcPr>
            <w:tcW w:type="dxa" w:w="1417"/>
            <w:shd w:fill="FFFFFF" w:val="clear"/>
          </w:tcPr>
          <w:p>
            <w:r>
              <w:rPr>
                <w:sz w:val="16"/>
              </w:rPr>
              <w:t>2,124</w:t>
            </w:r>
          </w:p>
        </w:tc>
        <w:tc>
          <w:tcPr>
            <w:tcW w:type="dxa" w:w="1134"/>
            <w:shd w:fill="FFC7CE" w:val="clear"/>
          </w:tcPr>
          <w:p>
            <w:r>
              <w:rPr>
                <w:b/>
                <w:color w:val="B40000"/>
                <w:sz w:val="16"/>
              </w:rPr>
              <w:t>-12.43%</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3,700</w:t>
            </w:r>
          </w:p>
        </w:tc>
        <w:tc>
          <w:tcPr>
            <w:tcW w:type="dxa" w:w="1417"/>
            <w:shd w:fill="FFFFFF" w:val="clear"/>
          </w:tcPr>
          <w:p>
            <w:r>
              <w:rPr>
                <w:sz w:val="16"/>
              </w:rPr>
              <w:t>3,221</w:t>
            </w:r>
          </w:p>
        </w:tc>
        <w:tc>
          <w:tcPr>
            <w:tcW w:type="dxa" w:w="1134"/>
            <w:shd w:fill="FFC7CE" w:val="clear"/>
          </w:tcPr>
          <w:p>
            <w:r>
              <w:rPr>
                <w:b/>
                <w:color w:val="B40000"/>
                <w:sz w:val="16"/>
              </w:rPr>
              <w:t>-12.93%</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7,800</w:t>
            </w:r>
          </w:p>
        </w:tc>
        <w:tc>
          <w:tcPr>
            <w:tcW w:type="dxa" w:w="1417"/>
            <w:shd w:fill="FFFFFF" w:val="clear"/>
          </w:tcPr>
          <w:p>
            <w:r>
              <w:rPr>
                <w:sz w:val="16"/>
              </w:rPr>
              <w:t>6,771</w:t>
            </w:r>
          </w:p>
        </w:tc>
        <w:tc>
          <w:tcPr>
            <w:tcW w:type="dxa" w:w="1134"/>
            <w:shd w:fill="FFC7CE" w:val="clear"/>
          </w:tcPr>
          <w:p>
            <w:r>
              <w:rPr>
                <w:b/>
                <w:color w:val="B40000"/>
                <w:sz w:val="16"/>
              </w:rPr>
              <w:t>-13.20%</w:t>
            </w:r>
          </w:p>
        </w:tc>
        <w:tc>
          <w:tcPr>
            <w:tcW w:type="dxa" w:w="1134"/>
            <w:shd w:fill="FFEB9C" w:val="clear"/>
          </w:tcPr>
          <w:p>
            <w:r>
              <w:rPr>
                <w:sz w:val="16"/>
              </w:rPr>
              <w:t>Moyenne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9,100</w:t>
            </w:r>
          </w:p>
        </w:tc>
        <w:tc>
          <w:tcPr>
            <w:tcW w:type="dxa" w:w="1417"/>
            <w:shd w:fill="FFFFFF" w:val="clear"/>
          </w:tcPr>
          <w:p>
            <w:r>
              <w:rPr>
                <w:sz w:val="16"/>
              </w:rPr>
              <w:t>7,882</w:t>
            </w:r>
          </w:p>
        </w:tc>
        <w:tc>
          <w:tcPr>
            <w:tcW w:type="dxa" w:w="1134"/>
            <w:shd w:fill="FFC7CE" w:val="clear"/>
          </w:tcPr>
          <w:p>
            <w:r>
              <w:rPr>
                <w:b/>
                <w:color w:val="B40000"/>
                <w:sz w:val="16"/>
              </w:rPr>
              <w:t>-13.38%</w:t>
            </w:r>
          </w:p>
        </w:tc>
        <w:tc>
          <w:tcPr>
            <w:tcW w:type="dxa" w:w="1134"/>
            <w:shd w:fill="FFEB9C" w:val="clear"/>
          </w:tcPr>
          <w:p>
            <w:r>
              <w:rPr>
                <w:sz w:val="16"/>
              </w:rPr>
              <w:t>Moyenne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1,600</w:t>
            </w:r>
          </w:p>
        </w:tc>
        <w:tc>
          <w:tcPr>
            <w:tcW w:type="dxa" w:w="1417"/>
            <w:shd w:fill="FFFFFF" w:val="clear"/>
          </w:tcPr>
          <w:p>
            <w:r>
              <w:rPr>
                <w:sz w:val="16"/>
              </w:rPr>
              <w:t>1,384</w:t>
            </w:r>
          </w:p>
        </w:tc>
        <w:tc>
          <w:tcPr>
            <w:tcW w:type="dxa" w:w="1134"/>
            <w:shd w:fill="FFC7CE" w:val="clear"/>
          </w:tcPr>
          <w:p>
            <w:r>
              <w:rPr>
                <w:b/>
                <w:color w:val="B40000"/>
                <w:sz w:val="16"/>
              </w:rPr>
              <w:t>-13.52%</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3,385</w:t>
            </w:r>
          </w:p>
        </w:tc>
        <w:tc>
          <w:tcPr>
            <w:tcW w:type="dxa" w:w="1417"/>
            <w:shd w:fill="FFFFFF" w:val="clear"/>
          </w:tcPr>
          <w:p>
            <w:r>
              <w:rPr>
                <w:sz w:val="16"/>
              </w:rPr>
              <w:t>2,917</w:t>
            </w:r>
          </w:p>
        </w:tc>
        <w:tc>
          <w:tcPr>
            <w:tcW w:type="dxa" w:w="1134"/>
            <w:shd w:fill="FFC7CE" w:val="clear"/>
          </w:tcPr>
          <w:p>
            <w:r>
              <w:rPr>
                <w:b/>
                <w:color w:val="B40000"/>
                <w:sz w:val="16"/>
              </w:rPr>
              <w:t>-13.82%</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1,630</w:t>
            </w:r>
          </w:p>
        </w:tc>
        <w:tc>
          <w:tcPr>
            <w:tcW w:type="dxa" w:w="1417"/>
            <w:shd w:fill="FFFFFF" w:val="clear"/>
          </w:tcPr>
          <w:p>
            <w:r>
              <w:rPr>
                <w:sz w:val="16"/>
              </w:rPr>
              <w:t>1,396</w:t>
            </w:r>
          </w:p>
        </w:tc>
        <w:tc>
          <w:tcPr>
            <w:tcW w:type="dxa" w:w="1134"/>
            <w:shd w:fill="FFC7CE" w:val="clear"/>
          </w:tcPr>
          <w:p>
            <w:r>
              <w:rPr>
                <w:b/>
                <w:color w:val="B40000"/>
                <w:sz w:val="16"/>
              </w:rPr>
              <w:t>-14.33%</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6,290</w:t>
            </w:r>
          </w:p>
        </w:tc>
        <w:tc>
          <w:tcPr>
            <w:tcW w:type="dxa" w:w="1417"/>
            <w:shd w:fill="FFFFFF" w:val="clear"/>
          </w:tcPr>
          <w:p>
            <w:r>
              <w:rPr>
                <w:sz w:val="16"/>
              </w:rPr>
              <w:t>5,377</w:t>
            </w:r>
          </w:p>
        </w:tc>
        <w:tc>
          <w:tcPr>
            <w:tcW w:type="dxa" w:w="1134"/>
            <w:shd w:fill="FFC7CE" w:val="clear"/>
          </w:tcPr>
          <w:p>
            <w:r>
              <w:rPr>
                <w:b/>
                <w:color w:val="B40000"/>
                <w:sz w:val="16"/>
              </w:rPr>
              <w:t>-14.51%</w:t>
            </w:r>
          </w:p>
        </w:tc>
        <w:tc>
          <w:tcPr>
            <w:tcW w:type="dxa" w:w="1134"/>
            <w:shd w:fill="FFEB9C" w:val="clear"/>
          </w:tcPr>
          <w:p>
            <w:r>
              <w:rPr>
                <w:sz w:val="16"/>
              </w:rPr>
              <w:t>Moyenne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9,200</w:t>
            </w:r>
          </w:p>
        </w:tc>
        <w:tc>
          <w:tcPr>
            <w:tcW w:type="dxa" w:w="1417"/>
            <w:shd w:fill="FFFFFF" w:val="clear"/>
          </w:tcPr>
          <w:p>
            <w:r>
              <w:rPr>
                <w:sz w:val="16"/>
              </w:rPr>
              <w:t>7,209</w:t>
            </w:r>
          </w:p>
        </w:tc>
        <w:tc>
          <w:tcPr>
            <w:tcW w:type="dxa" w:w="1134"/>
            <w:shd w:fill="FFC7CE" w:val="clear"/>
          </w:tcPr>
          <w:p>
            <w:r>
              <w:rPr>
                <w:b/>
                <w:color w:val="B40000"/>
                <w:sz w:val="16"/>
              </w:rPr>
              <w:t>-21.64%</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2,350</w:t>
            </w:r>
          </w:p>
        </w:tc>
        <w:tc>
          <w:tcPr>
            <w:tcW w:type="dxa" w:w="1417"/>
            <w:shd w:fill="FFFFFF" w:val="clear"/>
          </w:tcPr>
          <w:p>
            <w:r>
              <w:rPr>
                <w:sz w:val="16"/>
              </w:rPr>
              <w:t>1,836</w:t>
            </w:r>
          </w:p>
        </w:tc>
        <w:tc>
          <w:tcPr>
            <w:tcW w:type="dxa" w:w="1134"/>
            <w:shd w:fill="FFC7CE" w:val="clear"/>
          </w:tcPr>
          <w:p>
            <w:r>
              <w:rPr>
                <w:b/>
                <w:color w:val="B40000"/>
                <w:sz w:val="16"/>
              </w:rPr>
              <w:t>-21.87%</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9,380</w:t>
            </w:r>
          </w:p>
        </w:tc>
        <w:tc>
          <w:tcPr>
            <w:tcW w:type="dxa" w:w="1417"/>
            <w:shd w:fill="FFFFFF" w:val="clear"/>
          </w:tcPr>
          <w:p>
            <w:r>
              <w:rPr>
                <w:sz w:val="16"/>
              </w:rPr>
              <w:t>7,305</w:t>
            </w:r>
          </w:p>
        </w:tc>
        <w:tc>
          <w:tcPr>
            <w:tcW w:type="dxa" w:w="1134"/>
            <w:shd w:fill="FFC7CE" w:val="clear"/>
          </w:tcPr>
          <w:p>
            <w:r>
              <w:rPr>
                <w:b/>
                <w:color w:val="B40000"/>
                <w:sz w:val="16"/>
              </w:rPr>
              <w:t>-22.12%</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2,400</w:t>
            </w:r>
          </w:p>
        </w:tc>
        <w:tc>
          <w:tcPr>
            <w:tcW w:type="dxa" w:w="1417"/>
            <w:shd w:fill="FFFFFF" w:val="clear"/>
          </w:tcPr>
          <w:p>
            <w:r>
              <w:rPr>
                <w:sz w:val="16"/>
              </w:rPr>
              <w:t>1,684</w:t>
            </w:r>
          </w:p>
        </w:tc>
        <w:tc>
          <w:tcPr>
            <w:tcW w:type="dxa" w:w="1134"/>
            <w:shd w:fill="FFC7CE" w:val="clear"/>
          </w:tcPr>
          <w:p>
            <w:r>
              <w:rPr>
                <w:b/>
                <w:color w:val="B40000"/>
                <w:sz w:val="16"/>
              </w:rPr>
              <w:t>-29.82%</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13,300</w:t>
            </w:r>
          </w:p>
        </w:tc>
        <w:tc>
          <w:tcPr>
            <w:tcW w:type="dxa" w:w="1417"/>
            <w:shd w:fill="FFFFFF" w:val="clear"/>
          </w:tcPr>
          <w:p>
            <w:r>
              <w:rPr>
                <w:sz w:val="16"/>
              </w:rPr>
              <w:t>8,914</w:t>
            </w:r>
          </w:p>
        </w:tc>
        <w:tc>
          <w:tcPr>
            <w:tcW w:type="dxa" w:w="1134"/>
            <w:shd w:fill="FFC7CE" w:val="clear"/>
          </w:tcPr>
          <w:p>
            <w:r>
              <w:rPr>
                <w:b/>
                <w:color w:val="B40000"/>
                <w:sz w:val="16"/>
              </w:rPr>
              <w:t>-32.98%</w:t>
            </w:r>
          </w:p>
        </w:tc>
        <w:tc>
          <w:tcPr>
            <w:tcW w:type="dxa" w:w="1134"/>
            <w:shd w:fill="FFEB9C" w:val="clear"/>
          </w:tcPr>
          <w:p>
            <w:r>
              <w:rPr>
                <w:sz w:val="16"/>
              </w:rPr>
              <w:t>Moyenne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8,405</w:t>
            </w:r>
          </w:p>
        </w:tc>
        <w:tc>
          <w:tcPr>
            <w:tcW w:type="dxa" w:w="1417"/>
            <w:shd w:fill="FFFFFF" w:val="clear"/>
          </w:tcPr>
          <w:p>
            <w:r>
              <w:rPr>
                <w:sz w:val="16"/>
              </w:rPr>
              <w:t>5,503</w:t>
            </w:r>
          </w:p>
        </w:tc>
        <w:tc>
          <w:tcPr>
            <w:tcW w:type="dxa" w:w="1134"/>
            <w:shd w:fill="FFC7CE" w:val="clear"/>
          </w:tcPr>
          <w:p>
            <w:r>
              <w:rPr>
                <w:b/>
                <w:color w:val="B40000"/>
                <w:sz w:val="16"/>
              </w:rPr>
              <w:t>-34.53%</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2,530</w:t>
            </w:r>
          </w:p>
        </w:tc>
        <w:tc>
          <w:tcPr>
            <w:tcW w:type="dxa" w:w="1417"/>
            <w:shd w:fill="FFFFFF" w:val="clear"/>
          </w:tcPr>
          <w:p>
            <w:r>
              <w:rPr>
                <w:sz w:val="16"/>
              </w:rPr>
              <w:t>1,591</w:t>
            </w:r>
          </w:p>
        </w:tc>
        <w:tc>
          <w:tcPr>
            <w:tcW w:type="dxa" w:w="1134"/>
            <w:shd w:fill="FFC7CE" w:val="clear"/>
          </w:tcPr>
          <w:p>
            <w:r>
              <w:rPr>
                <w:b/>
                <w:color w:val="B40000"/>
                <w:sz w:val="16"/>
              </w:rPr>
              <w:t>-37.13%</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2,195</w:t>
            </w:r>
          </w:p>
        </w:tc>
        <w:tc>
          <w:tcPr>
            <w:tcW w:type="dxa" w:w="1417"/>
            <w:shd w:fill="FFFFFF" w:val="clear"/>
          </w:tcPr>
          <w:p>
            <w:r>
              <w:rPr>
                <w:sz w:val="16"/>
              </w:rPr>
              <w:t>1,363</w:t>
            </w:r>
          </w:p>
        </w:tc>
        <w:tc>
          <w:tcPr>
            <w:tcW w:type="dxa" w:w="1134"/>
            <w:shd w:fill="FFC7CE" w:val="clear"/>
          </w:tcPr>
          <w:p>
            <w:r>
              <w:rPr>
                <w:b/>
                <w:color w:val="B40000"/>
                <w:sz w:val="16"/>
              </w:rPr>
              <w:t>-37.93%</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28,700</w:t>
            </w:r>
          </w:p>
        </w:tc>
        <w:tc>
          <w:tcPr>
            <w:tcW w:type="dxa" w:w="1417"/>
            <w:shd w:fill="FFFFFF" w:val="clear"/>
          </w:tcPr>
          <w:p>
            <w:r>
              <w:rPr>
                <w:sz w:val="16"/>
              </w:rPr>
              <w:t>17,390</w:t>
            </w:r>
          </w:p>
        </w:tc>
        <w:tc>
          <w:tcPr>
            <w:tcW w:type="dxa" w:w="1134"/>
            <w:shd w:fill="FFC7CE" w:val="clear"/>
          </w:tcPr>
          <w:p>
            <w:r>
              <w:rPr>
                <w:b/>
                <w:color w:val="B40000"/>
                <w:sz w:val="16"/>
              </w:rPr>
              <w:t>-39.41%</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6,835</w:t>
            </w:r>
          </w:p>
        </w:tc>
        <w:tc>
          <w:tcPr>
            <w:tcW w:type="dxa" w:w="1417"/>
            <w:shd w:fill="FFFFFF" w:val="clear"/>
          </w:tcPr>
          <w:p>
            <w:r>
              <w:rPr>
                <w:sz w:val="16"/>
              </w:rPr>
              <w:t>3,256</w:t>
            </w:r>
          </w:p>
        </w:tc>
        <w:tc>
          <w:tcPr>
            <w:tcW w:type="dxa" w:w="1134"/>
            <w:shd w:fill="FFC7CE" w:val="clear"/>
          </w:tcPr>
          <w:p>
            <w:r>
              <w:rPr>
                <w:b/>
                <w:color w:val="B40000"/>
                <w:sz w:val="16"/>
              </w:rPr>
              <w:t>-52.36%</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3,495</w:t>
            </w:r>
          </w:p>
        </w:tc>
        <w:tc>
          <w:tcPr>
            <w:tcW w:type="dxa" w:w="1417"/>
            <w:shd w:fill="FFFFFF" w:val="clear"/>
          </w:tcPr>
          <w:p>
            <w:r>
              <w:rPr>
                <w:sz w:val="16"/>
              </w:rPr>
              <w:t>1,603</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5,700</w:t>
            </w:r>
          </w:p>
        </w:tc>
        <w:tc>
          <w:tcPr>
            <w:tcW w:type="dxa" w:w="1417"/>
            <w:shd w:fill="FFFFFF" w:val="clear"/>
          </w:tcPr>
          <w:p>
            <w:r>
              <w:rPr>
                <w:sz w:val="16"/>
              </w:rPr>
              <w:t>2,614</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68</w:t>
            </w:r>
          </w:p>
        </w:tc>
        <w:tc>
          <w:tcPr>
            <w:tcW w:type="dxa" w:w="1417"/>
            <w:shd w:fill="FFFFFF" w:val="clear"/>
          </w:tcPr>
          <w:p>
            <w:r>
              <w:rPr>
                <w:sz w:val="16"/>
              </w:rPr>
              <w:t>31</w:t>
            </w:r>
          </w:p>
        </w:tc>
        <w:tc>
          <w:tcPr>
            <w:tcW w:type="dxa" w:w="1134"/>
            <w:shd w:fill="FFC7CE" w:val="clear"/>
          </w:tcPr>
          <w:p>
            <w:r>
              <w:rPr>
                <w:b/>
                <w:color w:val="B40000"/>
                <w:sz w:val="16"/>
              </w:rPr>
              <w:t>-54.15%</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36.94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3,170 titres</w:t>
            </w:r>
          </w:p>
        </w:tc>
        <w:tc>
          <w:tcPr>
            <w:tcW w:type="dxa" w:w="2268"/>
            <w:shd w:fill="FFF2CC" w:val="clear"/>
          </w:tcPr>
          <w:p>
            <w:r>
              <w:rPr>
                <w:b/>
                <w:color w:val="503200"/>
                <w:sz w:val="16"/>
              </w:rPr>
              <w:t xml:space="preserve">Cours actuel : </w:t>
            </w:r>
            <w:r>
              <w:rPr>
                <w:color w:val="000000"/>
                <w:sz w:val="17"/>
              </w:rPr>
              <w:t>3,385 FCFA</w:t>
            </w:r>
          </w:p>
          <w:p>
            <w:r>
              <w:rPr>
                <w:b/>
                <w:color w:val="503200"/>
                <w:sz w:val="16"/>
              </w:rPr>
              <w:t xml:space="preserve">Var. 100 jours : </w:t>
            </w:r>
            <w:r>
              <w:rPr>
                <w:b/>
                <w:color w:val="B40000"/>
                <w:sz w:val="17"/>
              </w:rPr>
              <w:t>-2.31%</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48.7%</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7.22% (Moyenne) — μ=3,210 FCFA, σ=232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β=0.2472 (Défensif) — Cov=0.000008, Var(idx)=0.000030, ρ=0.044,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3,170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σ_j=3.07%/j (Modérée) — Vol. annualisée≈48.7%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2026-08-20</w:t>
            </w:r>
          </w:p>
        </w:tc>
        <w:tc>
          <w:tcPr>
            <w:tcW w:type="dxa" w:w="1440"/>
            <w:shd w:fill="FFDCE0" w:val="clear"/>
          </w:tcPr>
          <w:p>
            <w:r>
              <w:rPr>
                <w:sz w:val="17"/>
              </w:rPr>
              <w:t>3,153</w:t>
            </w:r>
          </w:p>
        </w:tc>
        <w:tc>
          <w:tcPr>
            <w:tcW w:type="dxa" w:w="1440"/>
            <w:shd w:fill="FFDCE0" w:val="clear"/>
          </w:tcPr>
          <w:p>
            <w:r>
              <w:rPr>
                <w:b/>
                <w:sz w:val="17"/>
              </w:rPr>
              <w:t>3,311</w:t>
            </w:r>
          </w:p>
        </w:tc>
        <w:tc>
          <w:tcPr>
            <w:tcW w:type="dxa" w:w="1440"/>
            <w:shd w:fill="FFDCE0" w:val="clear"/>
          </w:tcPr>
          <w:p>
            <w:r>
              <w:rPr>
                <w:sz w:val="17"/>
              </w:rPr>
              <w:t>3,470</w:t>
            </w:r>
          </w:p>
        </w:tc>
        <w:tc>
          <w:tcPr>
            <w:tcW w:type="dxa" w:w="1440"/>
            <w:shd w:fill="FFDCE0" w:val="clear"/>
          </w:tcPr>
          <w:p>
            <w:r>
              <w:rPr>
                <w:b/>
                <w:color w:val="C00000"/>
                <w:sz w:val="17"/>
              </w:rPr>
              <w:t>-2.2%</w:t>
            </w:r>
          </w:p>
        </w:tc>
      </w:tr>
      <w:tr>
        <w:tc>
          <w:tcPr>
            <w:tcW w:type="dxa" w:w="1440"/>
            <w:shd w:fill="FFDCE0" w:val="clear"/>
          </w:tcPr>
          <w:p>
            <w:r>
              <w:rPr>
                <w:sz w:val="17"/>
              </w:rPr>
              <w:t>J+2  Moyenne</w:t>
            </w:r>
          </w:p>
        </w:tc>
        <w:tc>
          <w:tcPr>
            <w:tcW w:type="dxa" w:w="1440"/>
            <w:shd w:fill="FFDCE0" w:val="clear"/>
          </w:tcPr>
          <w:p>
            <w:r>
              <w:rPr>
                <w:sz w:val="17"/>
              </w:rPr>
              <w:t>2026-08-21</w:t>
            </w:r>
          </w:p>
        </w:tc>
        <w:tc>
          <w:tcPr>
            <w:tcW w:type="dxa" w:w="1440"/>
            <w:shd w:fill="FFDCE0" w:val="clear"/>
          </w:tcPr>
          <w:p>
            <w:r>
              <w:rPr>
                <w:sz w:val="17"/>
              </w:rPr>
              <w:t>3,033</w:t>
            </w:r>
          </w:p>
        </w:tc>
        <w:tc>
          <w:tcPr>
            <w:tcW w:type="dxa" w:w="1440"/>
            <w:shd w:fill="FFDCE0" w:val="clear"/>
          </w:tcPr>
          <w:p>
            <w:r>
              <w:rPr>
                <w:b/>
                <w:sz w:val="17"/>
              </w:rPr>
              <w:t>3,253</w:t>
            </w:r>
          </w:p>
        </w:tc>
        <w:tc>
          <w:tcPr>
            <w:tcW w:type="dxa" w:w="1440"/>
            <w:shd w:fill="FFDCE0" w:val="clear"/>
          </w:tcPr>
          <w:p>
            <w:r>
              <w:rPr>
                <w:sz w:val="17"/>
              </w:rPr>
              <w:t>3,473</w:t>
            </w:r>
          </w:p>
        </w:tc>
        <w:tc>
          <w:tcPr>
            <w:tcW w:type="dxa" w:w="1440"/>
            <w:shd w:fill="FFDCE0" w:val="clear"/>
          </w:tcPr>
          <w:p>
            <w:r>
              <w:rPr>
                <w:b/>
                <w:color w:val="C00000"/>
                <w:sz w:val="17"/>
              </w:rPr>
              <w:t>-3.9%</w:t>
            </w:r>
          </w:p>
        </w:tc>
      </w:tr>
      <w:tr>
        <w:tc>
          <w:tcPr>
            <w:tcW w:type="dxa" w:w="1440"/>
            <w:shd w:fill="FFDCE0" w:val="clear"/>
          </w:tcPr>
          <w:p>
            <w:r>
              <w:rPr>
                <w:sz w:val="17"/>
              </w:rPr>
              <w:t>J+3  Moyenne</w:t>
            </w:r>
          </w:p>
        </w:tc>
        <w:tc>
          <w:tcPr>
            <w:tcW w:type="dxa" w:w="1440"/>
            <w:shd w:fill="FFDCE0" w:val="clear"/>
          </w:tcPr>
          <w:p>
            <w:r>
              <w:rPr>
                <w:sz w:val="17"/>
              </w:rPr>
              <w:t>2026-08-24</w:t>
            </w:r>
          </w:p>
        </w:tc>
        <w:tc>
          <w:tcPr>
            <w:tcW w:type="dxa" w:w="1440"/>
            <w:shd w:fill="FFDCE0" w:val="clear"/>
          </w:tcPr>
          <w:p>
            <w:r>
              <w:rPr>
                <w:sz w:val="17"/>
              </w:rPr>
              <w:t>2,930</w:t>
            </w:r>
          </w:p>
        </w:tc>
        <w:tc>
          <w:tcPr>
            <w:tcW w:type="dxa" w:w="1440"/>
            <w:shd w:fill="FFDCE0" w:val="clear"/>
          </w:tcPr>
          <w:p>
            <w:r>
              <w:rPr>
                <w:b/>
                <w:sz w:val="17"/>
              </w:rPr>
              <w:t>3,195</w:t>
            </w:r>
          </w:p>
        </w:tc>
        <w:tc>
          <w:tcPr>
            <w:tcW w:type="dxa" w:w="1440"/>
            <w:shd w:fill="FFDCE0" w:val="clear"/>
          </w:tcPr>
          <w:p>
            <w:r>
              <w:rPr>
                <w:sz w:val="17"/>
              </w:rPr>
              <w:t>3,460</w:t>
            </w:r>
          </w:p>
        </w:tc>
        <w:tc>
          <w:tcPr>
            <w:tcW w:type="dxa" w:w="1440"/>
            <w:shd w:fill="FFDCE0" w:val="clear"/>
          </w:tcPr>
          <w:p>
            <w:r>
              <w:rPr>
                <w:b/>
                <w:color w:val="C00000"/>
                <w:sz w:val="17"/>
              </w:rPr>
              <w:t>-5.6%</w:t>
            </w:r>
          </w:p>
        </w:tc>
      </w:tr>
      <w:tr>
        <w:tc>
          <w:tcPr>
            <w:tcW w:type="dxa" w:w="1440"/>
            <w:shd w:fill="FFDCE0" w:val="clear"/>
          </w:tcPr>
          <w:p>
            <w:r>
              <w:rPr>
                <w:sz w:val="17"/>
              </w:rPr>
              <w:t>J+4  ⭐</w:t>
            </w:r>
          </w:p>
        </w:tc>
        <w:tc>
          <w:tcPr>
            <w:tcW w:type="dxa" w:w="1440"/>
            <w:shd w:fill="FFDCE0" w:val="clear"/>
          </w:tcPr>
          <w:p>
            <w:r>
              <w:rPr>
                <w:sz w:val="17"/>
              </w:rPr>
              <w:t>2026-08-25</w:t>
            </w:r>
          </w:p>
        </w:tc>
        <w:tc>
          <w:tcPr>
            <w:tcW w:type="dxa" w:w="1440"/>
            <w:shd w:fill="FFDCE0" w:val="clear"/>
          </w:tcPr>
          <w:p>
            <w:r>
              <w:rPr>
                <w:sz w:val="17"/>
              </w:rPr>
              <w:t>2,844</w:t>
            </w:r>
          </w:p>
        </w:tc>
        <w:tc>
          <w:tcPr>
            <w:tcW w:type="dxa" w:w="1440"/>
            <w:shd w:fill="FFDCE0" w:val="clear"/>
          </w:tcPr>
          <w:p>
            <w:r>
              <w:rPr>
                <w:b/>
                <w:sz w:val="17"/>
              </w:rPr>
              <w:t>3,145</w:t>
            </w:r>
          </w:p>
        </w:tc>
        <w:tc>
          <w:tcPr>
            <w:tcW w:type="dxa" w:w="1440"/>
            <w:shd w:fill="FFDCE0" w:val="clear"/>
          </w:tcPr>
          <w:p>
            <w:r>
              <w:rPr>
                <w:sz w:val="17"/>
              </w:rPr>
              <w:t>3,447</w:t>
            </w:r>
          </w:p>
        </w:tc>
        <w:tc>
          <w:tcPr>
            <w:tcW w:type="dxa" w:w="1440"/>
            <w:shd w:fill="FFDCE0" w:val="clear"/>
          </w:tcPr>
          <w:p>
            <w:r>
              <w:rPr>
                <w:b/>
                <w:color w:val="C00000"/>
                <w:sz w:val="17"/>
              </w:rPr>
              <w:t>-7.1%</w:t>
            </w:r>
          </w:p>
        </w:tc>
      </w:tr>
      <w:tr>
        <w:tc>
          <w:tcPr>
            <w:tcW w:type="dxa" w:w="1440"/>
            <w:shd w:fill="FFDCE0" w:val="clear"/>
          </w:tcPr>
          <w:p>
            <w:r>
              <w:rPr>
                <w:sz w:val="17"/>
              </w:rPr>
              <w:t>J+5  ⭐</w:t>
            </w:r>
          </w:p>
        </w:tc>
        <w:tc>
          <w:tcPr>
            <w:tcW w:type="dxa" w:w="1440"/>
            <w:shd w:fill="FFDCE0" w:val="clear"/>
          </w:tcPr>
          <w:p>
            <w:r>
              <w:rPr>
                <w:sz w:val="17"/>
              </w:rPr>
              <w:t>2026-08-27</w:t>
            </w:r>
          </w:p>
        </w:tc>
        <w:tc>
          <w:tcPr>
            <w:tcW w:type="dxa" w:w="1440"/>
            <w:shd w:fill="FFDCE0" w:val="clear"/>
          </w:tcPr>
          <w:p>
            <w:r>
              <w:rPr>
                <w:sz w:val="17"/>
              </w:rPr>
              <w:t>2,769</w:t>
            </w:r>
          </w:p>
        </w:tc>
        <w:tc>
          <w:tcPr>
            <w:tcW w:type="dxa" w:w="1440"/>
            <w:shd w:fill="FFDCE0" w:val="clear"/>
          </w:tcPr>
          <w:p>
            <w:r>
              <w:rPr>
                <w:b/>
                <w:sz w:val="17"/>
              </w:rPr>
              <w:t>3,101</w:t>
            </w:r>
          </w:p>
        </w:tc>
        <w:tc>
          <w:tcPr>
            <w:tcW w:type="dxa" w:w="1440"/>
            <w:shd w:fill="FFDCE0" w:val="clear"/>
          </w:tcPr>
          <w:p>
            <w:r>
              <w:rPr>
                <w:sz w:val="17"/>
              </w:rPr>
              <w:t>3,433</w:t>
            </w:r>
          </w:p>
        </w:tc>
        <w:tc>
          <w:tcPr>
            <w:tcW w:type="dxa" w:w="1440"/>
            <w:shd w:fill="FFDCE0" w:val="clear"/>
          </w:tcPr>
          <w:p>
            <w:r>
              <w:rPr>
                <w:b/>
                <w:color w:val="C00000"/>
                <w:sz w:val="17"/>
              </w:rPr>
              <w:t>-8.4%</w:t>
            </w:r>
          </w:p>
        </w:tc>
      </w:tr>
      <w:tr>
        <w:tc>
          <w:tcPr>
            <w:tcW w:type="dxa" w:w="1440"/>
            <w:shd w:fill="FFDCE0" w:val="clear"/>
          </w:tcPr>
          <w:p>
            <w:r>
              <w:rPr>
                <w:sz w:val="17"/>
              </w:rPr>
              <w:t>J+6  ⭐</w:t>
            </w:r>
          </w:p>
        </w:tc>
        <w:tc>
          <w:tcPr>
            <w:tcW w:type="dxa" w:w="1440"/>
            <w:shd w:fill="FFDCE0" w:val="clear"/>
          </w:tcPr>
          <w:p>
            <w:r>
              <w:rPr>
                <w:sz w:val="17"/>
              </w:rPr>
              <w:t>2026-08-28</w:t>
            </w:r>
          </w:p>
        </w:tc>
        <w:tc>
          <w:tcPr>
            <w:tcW w:type="dxa" w:w="1440"/>
            <w:shd w:fill="FFDCE0" w:val="clear"/>
          </w:tcPr>
          <w:p>
            <w:r>
              <w:rPr>
                <w:sz w:val="17"/>
              </w:rPr>
              <w:t>2,701</w:t>
            </w:r>
          </w:p>
        </w:tc>
        <w:tc>
          <w:tcPr>
            <w:tcW w:type="dxa" w:w="1440"/>
            <w:shd w:fill="FFDCE0" w:val="clear"/>
          </w:tcPr>
          <w:p>
            <w:r>
              <w:rPr>
                <w:b/>
                <w:sz w:val="17"/>
              </w:rPr>
              <w:t>3,060</w:t>
            </w:r>
          </w:p>
        </w:tc>
        <w:tc>
          <w:tcPr>
            <w:tcW w:type="dxa" w:w="1440"/>
            <w:shd w:fill="FFDCE0" w:val="clear"/>
          </w:tcPr>
          <w:p>
            <w:r>
              <w:rPr>
                <w:sz w:val="17"/>
              </w:rPr>
              <w:t>3,419</w:t>
            </w:r>
          </w:p>
        </w:tc>
        <w:tc>
          <w:tcPr>
            <w:tcW w:type="dxa" w:w="1440"/>
            <w:shd w:fill="FFDCE0" w:val="clear"/>
          </w:tcPr>
          <w:p>
            <w:r>
              <w:rPr>
                <w:b/>
                <w:color w:val="C00000"/>
                <w:sz w:val="17"/>
              </w:rPr>
              <w:t>-9.6%</w:t>
            </w:r>
          </w:p>
        </w:tc>
      </w:tr>
      <w:tr>
        <w:tc>
          <w:tcPr>
            <w:tcW w:type="dxa" w:w="1440"/>
            <w:shd w:fill="FFDCE0" w:val="clear"/>
          </w:tcPr>
          <w:p>
            <w:r>
              <w:rPr>
                <w:sz w:val="17"/>
              </w:rPr>
              <w:t>J+7  ⭐</w:t>
            </w:r>
          </w:p>
        </w:tc>
        <w:tc>
          <w:tcPr>
            <w:tcW w:type="dxa" w:w="1440"/>
            <w:shd w:fill="FFDCE0" w:val="clear"/>
          </w:tcPr>
          <w:p>
            <w:r>
              <w:rPr>
                <w:sz w:val="17"/>
              </w:rPr>
              <w:t>2026-08-31</w:t>
            </w:r>
          </w:p>
        </w:tc>
        <w:tc>
          <w:tcPr>
            <w:tcW w:type="dxa" w:w="1440"/>
            <w:shd w:fill="FFDCE0" w:val="clear"/>
          </w:tcPr>
          <w:p>
            <w:r>
              <w:rPr>
                <w:sz w:val="17"/>
              </w:rPr>
              <w:t>2,638</w:t>
            </w:r>
          </w:p>
        </w:tc>
        <w:tc>
          <w:tcPr>
            <w:tcW w:type="dxa" w:w="1440"/>
            <w:shd w:fill="FFDCE0" w:val="clear"/>
          </w:tcPr>
          <w:p>
            <w:r>
              <w:rPr>
                <w:b/>
                <w:sz w:val="17"/>
              </w:rPr>
              <w:t>3,021</w:t>
            </w:r>
          </w:p>
        </w:tc>
        <w:tc>
          <w:tcPr>
            <w:tcW w:type="dxa" w:w="1440"/>
            <w:shd w:fill="FFDCE0" w:val="clear"/>
          </w:tcPr>
          <w:p>
            <w:r>
              <w:rPr>
                <w:sz w:val="17"/>
              </w:rPr>
              <w:t>3,404</w:t>
            </w:r>
          </w:p>
        </w:tc>
        <w:tc>
          <w:tcPr>
            <w:tcW w:type="dxa" w:w="1440"/>
            <w:shd w:fill="FFDCE0" w:val="clear"/>
          </w:tcPr>
          <w:p>
            <w:r>
              <w:rPr>
                <w:b/>
                <w:color w:val="C00000"/>
                <w:sz w:val="17"/>
              </w:rPr>
              <w:t>-10.7%</w:t>
            </w:r>
          </w:p>
        </w:tc>
      </w:tr>
      <w:tr>
        <w:tc>
          <w:tcPr>
            <w:tcW w:type="dxa" w:w="1440"/>
            <w:shd w:fill="FFDCE0" w:val="clear"/>
          </w:tcPr>
          <w:p>
            <w:r>
              <w:rPr>
                <w:sz w:val="17"/>
              </w:rPr>
              <w:t>J+8  ⭐</w:t>
            </w:r>
          </w:p>
        </w:tc>
        <w:tc>
          <w:tcPr>
            <w:tcW w:type="dxa" w:w="1440"/>
            <w:shd w:fill="FFDCE0" w:val="clear"/>
          </w:tcPr>
          <w:p>
            <w:r>
              <w:rPr>
                <w:sz w:val="17"/>
              </w:rPr>
              <w:t>2026-09-01</w:t>
            </w:r>
          </w:p>
        </w:tc>
        <w:tc>
          <w:tcPr>
            <w:tcW w:type="dxa" w:w="1440"/>
            <w:shd w:fill="FFDCE0" w:val="clear"/>
          </w:tcPr>
          <w:p>
            <w:r>
              <w:rPr>
                <w:sz w:val="17"/>
              </w:rPr>
              <w:t>2,580</w:t>
            </w:r>
          </w:p>
        </w:tc>
        <w:tc>
          <w:tcPr>
            <w:tcW w:type="dxa" w:w="1440"/>
            <w:shd w:fill="FFDCE0" w:val="clear"/>
          </w:tcPr>
          <w:p>
            <w:r>
              <w:rPr>
                <w:b/>
                <w:sz w:val="17"/>
              </w:rPr>
              <w:t>2,985</w:t>
            </w:r>
          </w:p>
        </w:tc>
        <w:tc>
          <w:tcPr>
            <w:tcW w:type="dxa" w:w="1440"/>
            <w:shd w:fill="FFDCE0" w:val="clear"/>
          </w:tcPr>
          <w:p>
            <w:r>
              <w:rPr>
                <w:sz w:val="17"/>
              </w:rPr>
              <w:t>3,389</w:t>
            </w:r>
          </w:p>
        </w:tc>
        <w:tc>
          <w:tcPr>
            <w:tcW w:type="dxa" w:w="1440"/>
            <w:shd w:fill="FFDCE0" w:val="clear"/>
          </w:tcPr>
          <w:p>
            <w:r>
              <w:rPr>
                <w:b/>
                <w:color w:val="C00000"/>
                <w:sz w:val="17"/>
              </w:rPr>
              <w:t>-11.8%</w:t>
            </w:r>
          </w:p>
        </w:tc>
      </w:tr>
      <w:tr>
        <w:tc>
          <w:tcPr>
            <w:tcW w:type="dxa" w:w="1440"/>
            <w:shd w:fill="FFDCE0" w:val="clear"/>
          </w:tcPr>
          <w:p>
            <w:r>
              <w:rPr>
                <w:sz w:val="17"/>
              </w:rPr>
              <w:t>J+9  ⭐</w:t>
            </w:r>
          </w:p>
        </w:tc>
        <w:tc>
          <w:tcPr>
            <w:tcW w:type="dxa" w:w="1440"/>
            <w:shd w:fill="FFDCE0" w:val="clear"/>
          </w:tcPr>
          <w:p>
            <w:r>
              <w:rPr>
                <w:sz w:val="17"/>
              </w:rPr>
              <w:t>2026-09-02</w:t>
            </w:r>
          </w:p>
        </w:tc>
        <w:tc>
          <w:tcPr>
            <w:tcW w:type="dxa" w:w="1440"/>
            <w:shd w:fill="FFDCE0" w:val="clear"/>
          </w:tcPr>
          <w:p>
            <w:r>
              <w:rPr>
                <w:sz w:val="17"/>
              </w:rPr>
              <w:t>2,526</w:t>
            </w:r>
          </w:p>
        </w:tc>
        <w:tc>
          <w:tcPr>
            <w:tcW w:type="dxa" w:w="1440"/>
            <w:shd w:fill="FFDCE0" w:val="clear"/>
          </w:tcPr>
          <w:p>
            <w:r>
              <w:rPr>
                <w:b/>
                <w:sz w:val="17"/>
              </w:rPr>
              <w:t>2,950</w:t>
            </w:r>
          </w:p>
        </w:tc>
        <w:tc>
          <w:tcPr>
            <w:tcW w:type="dxa" w:w="1440"/>
            <w:shd w:fill="FFDCE0" w:val="clear"/>
          </w:tcPr>
          <w:p>
            <w:r>
              <w:rPr>
                <w:sz w:val="17"/>
              </w:rPr>
              <w:t>3,374</w:t>
            </w:r>
          </w:p>
        </w:tc>
        <w:tc>
          <w:tcPr>
            <w:tcW w:type="dxa" w:w="1440"/>
            <w:shd w:fill="FFDCE0" w:val="clear"/>
          </w:tcPr>
          <w:p>
            <w:r>
              <w:rPr>
                <w:b/>
                <w:color w:val="C00000"/>
                <w:sz w:val="17"/>
              </w:rPr>
              <w:t>-12.8%</w:t>
            </w:r>
          </w:p>
        </w:tc>
      </w:tr>
      <w:tr>
        <w:tc>
          <w:tcPr>
            <w:tcW w:type="dxa" w:w="1440"/>
            <w:shd w:fill="FFDCE0" w:val="clear"/>
          </w:tcPr>
          <w:p>
            <w:r>
              <w:rPr>
                <w:sz w:val="17"/>
              </w:rPr>
              <w:t>J+10  ⭐</w:t>
            </w:r>
          </w:p>
        </w:tc>
        <w:tc>
          <w:tcPr>
            <w:tcW w:type="dxa" w:w="1440"/>
            <w:shd w:fill="FFDCE0" w:val="clear"/>
          </w:tcPr>
          <w:p>
            <w:r>
              <w:rPr>
                <w:sz w:val="17"/>
              </w:rPr>
              <w:t>2026-09-03</w:t>
            </w:r>
          </w:p>
        </w:tc>
        <w:tc>
          <w:tcPr>
            <w:tcW w:type="dxa" w:w="1440"/>
            <w:shd w:fill="FFDCE0" w:val="clear"/>
          </w:tcPr>
          <w:p>
            <w:r>
              <w:rPr>
                <w:sz w:val="17"/>
              </w:rPr>
              <w:t>2,475</w:t>
            </w:r>
          </w:p>
        </w:tc>
        <w:tc>
          <w:tcPr>
            <w:tcW w:type="dxa" w:w="1440"/>
            <w:shd w:fill="FFDCE0" w:val="clear"/>
          </w:tcPr>
          <w:p>
            <w:r>
              <w:rPr>
                <w:b/>
                <w:sz w:val="17"/>
              </w:rPr>
              <w:t>2,917</w:t>
            </w:r>
          </w:p>
        </w:tc>
        <w:tc>
          <w:tcPr>
            <w:tcW w:type="dxa" w:w="1440"/>
            <w:shd w:fill="FFDCE0" w:val="clear"/>
          </w:tcPr>
          <w:p>
            <w:r>
              <w:rPr>
                <w:sz w:val="17"/>
              </w:rPr>
              <w:t>3,359</w:t>
            </w:r>
          </w:p>
        </w:tc>
        <w:tc>
          <w:tcPr>
            <w:tcW w:type="dxa" w:w="1440"/>
            <w:shd w:fill="FFDCE0" w:val="clear"/>
          </w:tcPr>
          <w:p>
            <w:r>
              <w:rPr>
                <w:b/>
                <w:color w:val="C00000"/>
                <w:sz w:val="17"/>
              </w:rPr>
              <w:t>-13.8%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**Date de l'analyse : 19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36,94 milliards FCFA, un niveau significatif pour une valeur de la BRVM, reflétant une reconnaissance certaine du marché pour ce leader des services aéroportuaires. Avec un BPA de 124 FCFA, le titre se négocie à un PER de 27,3x, soit une prime considérable par rapport à la moyenne historique du marché (8-12x). Cette valorisation exigeante suggère que les investisseurs intègrent des attentes de croissance future élevées, mais elle laisse aussi peu de place à l'erreur. Le P/B de 7,16x confirme cette prime, le marché valorisant l'actif net à plus de sept fois sa valeur comptable, ce qui témoigne d'une confiance dans la création de valeur future. Enfin, un EV/EBITDA de 13,9x, dans le haut de la fourchette standard (10-15x), indique que la valeur totale de l'entreprise (capitalisation + dette nette) reste élevée par rapport à sa capacité opérationnelle, renforçant le constat d'une valorisation boursière exigeante.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d'ABJC a enregistré une variation totale de -2,31%, avec une dernière séance stable (+0,00%). Le titre a évolué dans une fourchette de trading de 980 FCFA, entre un plus bas de 2 800 FCFA et un plus haut de 3 780 FCFA, indiquant des fluctuations notables. Le cours actuel de 3 385 FCFA se situe au-dessus de la moyenne (3 210 FCFA) et de la médiane (3 182 FCFA) sur la période, suggérant une tendance récente positive après une phase de consolidation. L'écart-type de 233 FCFA, pour un coefficient de variation de 7,3%, indique une dispersion modérée des prix autour de la moyenne. Le kurtosis négatif (-0,700) et le skewness positif (0,279) révèlent une distribution mésokurtique et quasi symétrique, avec une légère tendance aux rendements positifs, sans risque de pics extrêmes. La volatilité annualisée de 48,7% classe le titre comme très volatil, un niveau élevé qui implique un risque important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(3 385 FCFA) se positionne nettement au-dessus de la MM20 (3 115,5 FCFA) et de la MM50 (3 190 FCFA). Cette configuration haussière à court terme est toutefois tempérée par la décision globale de "Vente", suggérant que la dynamique positive récente pourrait ne pas être suffisamment robuste pour confirmer une tendance de fond, ou que le prix est en avance sur la moyenne à plus long terme.</w:t>
      </w:r>
    </w:p>
    <w:p>
      <w:pPr>
        <w:spacing w:after="120" w:line="276" w:lineRule="auto"/>
      </w:pPr>
      <w:r>
        <w:t>**Bandes de Bollinger** : Le prix se situe à 3 385 FCFA, proche de la borne supérieure (3 401,6 FCFA), ce qui indique une pression acheteuse récente. La décision "Neutre" suggère que le marché n'est pas encore en situation de surachat extrême, mais la proximité de la borne supérieure pourrait limiter le potentiel de hausse à court terme et précéder un retour vers la moyenne.</w:t>
      </w:r>
    </w:p>
    <w:p>
      <w:pPr>
        <w:spacing w:after="120" w:line="276" w:lineRule="auto"/>
      </w:pPr>
      <w:r>
        <w:t>**MACD** : Le MACD (50,05) est nettement au-dessus de son signal (3,29), avec une divergence positive marquée. Cette configuration est un signal d'achat fort, indiquant un momentum haussier en plein essor. La dynamique positive est clairement en place, ce qui contraste avec la prudence affichée par d'autres indicateurs.</w:t>
      </w:r>
    </w:p>
    <w:p>
      <w:pPr>
        <w:spacing w:after="120" w:line="276" w:lineRule="auto"/>
      </w:pPr>
      <w:r>
        <w:t>**RSI** : Le RSI à 71,1 est en zone de surachat (au-dessus de 70), ce qui génère une décision de "Vente". Ce niveau indique que le titre a fortement monté sur une courte période et qu'un repli technique est probable à court terme, les acheteurs étant potentiellement épuisés.</w:t>
      </w:r>
    </w:p>
    <w:p>
      <w:pPr>
        <w:spacing w:after="120" w:line="276" w:lineRule="auto"/>
      </w:pPr>
      <w:r>
        <w:t>**Stochastique** : Les valeurs %K et %D, toutes deux à 100,0, sont en zone de surachat extrême. Cette configuration est un signal de vente classique, indiquant que le marché est survendu à la hausse et qu'une correction est de plus en plus probable.</w:t>
      </w:r>
    </w:p>
    <w:p>
      <w:pPr>
        <w:spacing w:after="120" w:line="276" w:lineRule="auto"/>
      </w:pPr>
      <w:r>
        <w:t>**Conclusion technique** : Les signaux techniques sont mitigés, avec un momentum haussier fort (MACD) mais des indicateurs de surachat prononcés (RSI, Stochastique). La position du prix au-dessus des moyennes mobiles et près de la borne supérieure de Bollinger suggère une pression acheteuse, mais les conditions de surachat signalent un risque élevé de correction à très court terme. La prudence est donc de mise, malgré la dynamique positive.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ABJC a réalisé un chiffre d'affaires de 13,298 milliards FCFA, en croissance de 6,7%, pour un résultat net de 1,351 milliard FCFA. Cette performance se traduit par une marge nette de 10,2% et un ROE exceptionnel de 26,2%, démontrant une excellente rentabilité des fonds propres. Le ROA de 14,6% est également solide. La structure financière est saine avec une autonomie financière de 55,9% et une trésorerie nette positive de 4,035 milliards FCFA. Pour une entreprise non bancaire, l'analyse du BFR est cruciale : il s'établit à 257,45 millions FCFA, un niveau faible et positif. Le délai de paiement des clients (70 jours) est partiellement compensé par un délai fournisseurs plus long (92 jours), ce qui est une gestion de trésorerie plutôt favorable. Les rapports narratifs confirment cette tendance : le rapport annuel 2025 (daté de 2025) souligne la croissance du CA mais une baisse du résultat net de 12,1% à 1,331 milliard FCFA, principalement due à une hausse de 46,7% de l'impôt. Le rapport du T3 2025 (daté de 2025) montrait un net redressement avec un CA en hausse de 10,3% et un résultat net en hausse de 17,1%. Cependant, le rapport du T1 2026 (daté de 2026) est préoccupant : le résultat net chute de 35,6% à 222,6 millions FCFA, impacté par des ajustements de redevances aéroportuaires. Sur la base de ce T1 2026, on estime que l'exercice 2026 pourrait être difficile, avec une rentabilité en nette baisse. En conclusion, les fondamentaux 2025 sont solides, mais les perspectives 2026 sont assombries par un environnement d'exploitation moins favorable et une pression sur les marges.</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situation contrastée pour ABJC. La valorisation boursière (Partie 0) est clairement exigeante (PER 27,3x, P/B 7,16x), laissant peu de marge de sécurité. Le comportement du cours (Partie 1) montre une volatilité très élevée (48,7%) et une légère baisse sur 100 jours, avec des statistiques de distribution relativement normales. Les signaux techniques (Partie 2) sont contradictoires : un momentum haussier (MACD) est contrebalancé par des conditions de surachat extrême (RSI, Stochastique), suggérant un risque de correction à court terme. Les fondamentaux (Partie 3) sont solides pour 2025 (ROE de 26,2%, croissance du CA), mais les estimations pour 2026, basées sur le T1 2026 (-35,6% de résultat net), sont nettement moins favorables. Les prédictions IA pour les 10 prochains jours (chute de 3 385 à 3 101 FCFA) confirment le scénario d'une correction technique. Face à cette convergence de signaux négatifs (valorisation élevée, surachat technique, perspectives 2026 dégradées, prédiction IA baissière), la recommandation est **VENTE**. Le niveau de confiance est **Moyen**, car les fondamentaux 2025 restent bons, mais le niveau de risque global est **Élevé** en raison de la volatilité et des incertitudes sur la rentabilité future. L'horizon d'investissement optimal serait de **court terme (&lt;3 mois)** pour les investisseurs cherchant à profiter d'un éventuel rebond technique après la correction, mais la tendance de fond semble négative à moyen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485.47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11,182 titres</w:t>
            </w:r>
          </w:p>
        </w:tc>
        <w:tc>
          <w:tcPr>
            <w:tcW w:type="dxa" w:w="2268"/>
            <w:shd w:fill="FFF2CC" w:val="clear"/>
          </w:tcPr>
          <w:p>
            <w:r>
              <w:rPr>
                <w:b/>
                <w:color w:val="503200"/>
                <w:sz w:val="16"/>
              </w:rPr>
              <w:t xml:space="preserve">Cours actuel : </w:t>
            </w:r>
            <w:r>
              <w:rPr>
                <w:color w:val="000000"/>
                <w:sz w:val="17"/>
              </w:rPr>
              <w:t>8,405 FCFA</w:t>
            </w:r>
          </w:p>
          <w:p>
            <w:r>
              <w:rPr>
                <w:b/>
                <w:color w:val="503200"/>
                <w:sz w:val="16"/>
              </w:rPr>
              <w:t xml:space="preserve">Var. 100 jours : </w:t>
            </w:r>
            <w:r>
              <w:rPr>
                <w:b/>
                <w:color w:val="007800"/>
                <w:sz w:val="17"/>
              </w:rPr>
              <w:t>+68.10%</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5,000 FCFA</w:t>
            </w:r>
          </w:p>
          <w:p>
            <w:r>
              <w:rPr>
                <w:b/>
                <w:color w:val="503200"/>
                <w:sz w:val="16"/>
              </w:rPr>
              <w:t xml:space="preserve">Volatilité ann. : </w:t>
            </w:r>
            <w:r>
              <w:rPr>
                <w:color w:val="000000"/>
                <w:sz w:val="17"/>
              </w:rPr>
              <w:t>29.9%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26.1/100 → Moyen</w:t>
      </w:r>
    </w:p>
    <w:p>
      <w:pPr>
        <w:spacing w:before="40" w:after="80"/>
      </w:pPr>
      <w:r>
        <w:rPr>
          <w:rFonts w:ascii="Courier New" w:hAnsi="Courier New"/>
          <w:color w:val="825A00"/>
          <w:sz w:val="18"/>
        </w:rPr>
        <w:t>█████░░░░░░░░░░░░░░░  26.1/100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17.06% (Élevée) — μ=5,975 FCFA, σ=1,019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β=0.5213 (Défensif) — Cov=0.000016, Var(idx)=0.000030, ρ=0.153,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11,182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σ_j=1.89%/j (Stable) — Vol. annualisée≈29.9%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2026-08-20</w:t>
            </w:r>
          </w:p>
        </w:tc>
        <w:tc>
          <w:tcPr>
            <w:tcW w:type="dxa" w:w="1440"/>
            <w:shd w:fill="FFDCE0" w:val="clear"/>
          </w:tcPr>
          <w:p>
            <w:r>
              <w:rPr>
                <w:sz w:val="17"/>
              </w:rPr>
              <w:t>7,450</w:t>
            </w:r>
          </w:p>
        </w:tc>
        <w:tc>
          <w:tcPr>
            <w:tcW w:type="dxa" w:w="1440"/>
            <w:shd w:fill="FFDCE0" w:val="clear"/>
          </w:tcPr>
          <w:p>
            <w:r>
              <w:rPr>
                <w:b/>
                <w:sz w:val="17"/>
              </w:rPr>
              <w:t>7,775</w:t>
            </w:r>
          </w:p>
        </w:tc>
        <w:tc>
          <w:tcPr>
            <w:tcW w:type="dxa" w:w="1440"/>
            <w:shd w:fill="FFDCE0" w:val="clear"/>
          </w:tcPr>
          <w:p>
            <w:r>
              <w:rPr>
                <w:sz w:val="17"/>
              </w:rPr>
              <w:t>8,099</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2026-08-21</w:t>
            </w:r>
          </w:p>
        </w:tc>
        <w:tc>
          <w:tcPr>
            <w:tcW w:type="dxa" w:w="1440"/>
            <w:shd w:fill="FFDCE0" w:val="clear"/>
          </w:tcPr>
          <w:p>
            <w:r>
              <w:rPr>
                <w:sz w:val="17"/>
              </w:rPr>
              <w:t>6,767</w:t>
            </w:r>
          </w:p>
        </w:tc>
        <w:tc>
          <w:tcPr>
            <w:tcW w:type="dxa" w:w="1440"/>
            <w:shd w:fill="FFDCE0" w:val="clear"/>
          </w:tcPr>
          <w:p>
            <w:r>
              <w:rPr>
                <w:b/>
                <w:sz w:val="17"/>
              </w:rPr>
              <w:t>7,192</w:t>
            </w:r>
          </w:p>
        </w:tc>
        <w:tc>
          <w:tcPr>
            <w:tcW w:type="dxa" w:w="1440"/>
            <w:shd w:fill="FFDCE0" w:val="clear"/>
          </w:tcPr>
          <w:p>
            <w:r>
              <w:rPr>
                <w:sz w:val="17"/>
              </w:rPr>
              <w:t>7,616</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2026-08-24</w:t>
            </w:r>
          </w:p>
        </w:tc>
        <w:tc>
          <w:tcPr>
            <w:tcW w:type="dxa" w:w="1440"/>
            <w:shd w:fill="FFDCE0" w:val="clear"/>
          </w:tcPr>
          <w:p>
            <w:r>
              <w:rPr>
                <w:sz w:val="17"/>
              </w:rPr>
              <w:t>6,171</w:t>
            </w:r>
          </w:p>
        </w:tc>
        <w:tc>
          <w:tcPr>
            <w:tcW w:type="dxa" w:w="1440"/>
            <w:shd w:fill="FFDCE0" w:val="clear"/>
          </w:tcPr>
          <w:p>
            <w:r>
              <w:rPr>
                <w:b/>
                <w:sz w:val="17"/>
              </w:rPr>
              <w:t>6,652</w:t>
            </w:r>
          </w:p>
        </w:tc>
        <w:tc>
          <w:tcPr>
            <w:tcW w:type="dxa" w:w="1440"/>
            <w:shd w:fill="FFDCE0" w:val="clear"/>
          </w:tcPr>
          <w:p>
            <w:r>
              <w:rPr>
                <w:sz w:val="17"/>
              </w:rPr>
              <w:t>7,133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2026-08-25</w:t>
            </w:r>
          </w:p>
        </w:tc>
        <w:tc>
          <w:tcPr>
            <w:tcW w:type="dxa" w:w="1440"/>
            <w:shd w:fill="FFDCE0" w:val="clear"/>
          </w:tcPr>
          <w:p>
            <w:r>
              <w:rPr>
                <w:sz w:val="17"/>
              </w:rPr>
              <w:t>5,696</w:t>
            </w:r>
          </w:p>
        </w:tc>
        <w:tc>
          <w:tcPr>
            <w:tcW w:type="dxa" w:w="1440"/>
            <w:shd w:fill="FFDCE0" w:val="clear"/>
          </w:tcPr>
          <w:p>
            <w:r>
              <w:rPr>
                <w:b/>
                <w:sz w:val="17"/>
              </w:rPr>
              <w:t>6,215</w:t>
            </w:r>
          </w:p>
        </w:tc>
        <w:tc>
          <w:tcPr>
            <w:tcW w:type="dxa" w:w="1440"/>
            <w:shd w:fill="FFDCE0" w:val="clear"/>
          </w:tcPr>
          <w:p>
            <w:r>
              <w:rPr>
                <w:sz w:val="17"/>
              </w:rPr>
              <w:t>6,734</w:t>
            </w:r>
          </w:p>
        </w:tc>
        <w:tc>
          <w:tcPr>
            <w:tcW w:type="dxa" w:w="1440"/>
            <w:shd w:fill="FFDCE0" w:val="clear"/>
          </w:tcPr>
          <w:p>
            <w:r>
              <w:rPr>
                <w:b/>
                <w:color w:val="C00000"/>
                <w:sz w:val="17"/>
              </w:rPr>
              <w:t>-26.1%</w:t>
            </w:r>
          </w:p>
        </w:tc>
      </w:tr>
      <w:tr>
        <w:tc>
          <w:tcPr>
            <w:tcW w:type="dxa" w:w="1440"/>
            <w:shd w:fill="FFDCE0" w:val="clear"/>
          </w:tcPr>
          <w:p>
            <w:r>
              <w:rPr>
                <w:sz w:val="17"/>
              </w:rPr>
              <w:t>J+5  ⭐</w:t>
            </w:r>
          </w:p>
        </w:tc>
        <w:tc>
          <w:tcPr>
            <w:tcW w:type="dxa" w:w="1440"/>
            <w:shd w:fill="FFDCE0" w:val="clear"/>
          </w:tcPr>
          <w:p>
            <w:r>
              <w:rPr>
                <w:sz w:val="17"/>
              </w:rPr>
              <w:t>2026-08-27</w:t>
            </w:r>
          </w:p>
        </w:tc>
        <w:tc>
          <w:tcPr>
            <w:tcW w:type="dxa" w:w="1440"/>
            <w:shd w:fill="FFDCE0" w:val="clear"/>
          </w:tcPr>
          <w:p>
            <w:r>
              <w:rPr>
                <w:sz w:val="17"/>
              </w:rPr>
              <w:t>5,486</w:t>
            </w:r>
          </w:p>
        </w:tc>
        <w:tc>
          <w:tcPr>
            <w:tcW w:type="dxa" w:w="1440"/>
            <w:shd w:fill="FFDCE0" w:val="clear"/>
          </w:tcPr>
          <w:p>
            <w:r>
              <w:rPr>
                <w:b/>
                <w:sz w:val="17"/>
              </w:rPr>
              <w:t>6,051</w:t>
            </w:r>
          </w:p>
        </w:tc>
        <w:tc>
          <w:tcPr>
            <w:tcW w:type="dxa" w:w="1440"/>
            <w:shd w:fill="FFDCE0" w:val="clear"/>
          </w:tcPr>
          <w:p>
            <w:r>
              <w:rPr>
                <w:sz w:val="17"/>
              </w:rPr>
              <w:t>6,616</w:t>
            </w:r>
          </w:p>
        </w:tc>
        <w:tc>
          <w:tcPr>
            <w:tcW w:type="dxa" w:w="1440"/>
            <w:shd w:fill="FFDCE0" w:val="clear"/>
          </w:tcPr>
          <w:p>
            <w:r>
              <w:rPr>
                <w:b/>
                <w:color w:val="C00000"/>
                <w:sz w:val="17"/>
              </w:rPr>
              <w:t>-28.0%</w:t>
            </w:r>
          </w:p>
        </w:tc>
      </w:tr>
      <w:tr>
        <w:tc>
          <w:tcPr>
            <w:tcW w:type="dxa" w:w="1440"/>
            <w:shd w:fill="FFDCE0" w:val="clear"/>
          </w:tcPr>
          <w:p>
            <w:r>
              <w:rPr>
                <w:sz w:val="17"/>
              </w:rPr>
              <w:t>J+6  ⭐</w:t>
            </w:r>
          </w:p>
        </w:tc>
        <w:tc>
          <w:tcPr>
            <w:tcW w:type="dxa" w:w="1440"/>
            <w:shd w:fill="FFDCE0" w:val="clear"/>
          </w:tcPr>
          <w:p>
            <w:r>
              <w:rPr>
                <w:sz w:val="17"/>
              </w:rPr>
              <w:t>2026-08-28</w:t>
            </w:r>
          </w:p>
        </w:tc>
        <w:tc>
          <w:tcPr>
            <w:tcW w:type="dxa" w:w="1440"/>
            <w:shd w:fill="FFDCE0" w:val="clear"/>
          </w:tcPr>
          <w:p>
            <w:r>
              <w:rPr>
                <w:sz w:val="17"/>
              </w:rPr>
              <w:t>5,303</w:t>
            </w:r>
          </w:p>
        </w:tc>
        <w:tc>
          <w:tcPr>
            <w:tcW w:type="dxa" w:w="1440"/>
            <w:shd w:fill="FFDCE0" w:val="clear"/>
          </w:tcPr>
          <w:p>
            <w:r>
              <w:rPr>
                <w:b/>
                <w:sz w:val="17"/>
              </w:rPr>
              <w:t>5,908</w:t>
            </w:r>
          </w:p>
        </w:tc>
        <w:tc>
          <w:tcPr>
            <w:tcW w:type="dxa" w:w="1440"/>
            <w:shd w:fill="FFDCE0" w:val="clear"/>
          </w:tcPr>
          <w:p>
            <w:r>
              <w:rPr>
                <w:sz w:val="17"/>
              </w:rPr>
              <w:t>6,512</w:t>
            </w:r>
          </w:p>
        </w:tc>
        <w:tc>
          <w:tcPr>
            <w:tcW w:type="dxa" w:w="1440"/>
            <w:shd w:fill="FFDCE0" w:val="clear"/>
          </w:tcPr>
          <w:p>
            <w:r>
              <w:rPr>
                <w:b/>
                <w:color w:val="C00000"/>
                <w:sz w:val="17"/>
              </w:rPr>
              <w:t>-29.7%</w:t>
            </w:r>
          </w:p>
        </w:tc>
      </w:tr>
      <w:tr>
        <w:tc>
          <w:tcPr>
            <w:tcW w:type="dxa" w:w="1440"/>
            <w:shd w:fill="FFDCE0" w:val="clear"/>
          </w:tcPr>
          <w:p>
            <w:r>
              <w:rPr>
                <w:sz w:val="17"/>
              </w:rPr>
              <w:t>J+7  ⭐</w:t>
            </w:r>
          </w:p>
        </w:tc>
        <w:tc>
          <w:tcPr>
            <w:tcW w:type="dxa" w:w="1440"/>
            <w:shd w:fill="FFDCE0" w:val="clear"/>
          </w:tcPr>
          <w:p>
            <w:r>
              <w:rPr>
                <w:sz w:val="17"/>
              </w:rPr>
              <w:t>2026-08-31</w:t>
            </w:r>
          </w:p>
        </w:tc>
        <w:tc>
          <w:tcPr>
            <w:tcW w:type="dxa" w:w="1440"/>
            <w:shd w:fill="FFDCE0" w:val="clear"/>
          </w:tcPr>
          <w:p>
            <w:r>
              <w:rPr>
                <w:sz w:val="17"/>
              </w:rPr>
              <w:t>5,144</w:t>
            </w:r>
          </w:p>
        </w:tc>
        <w:tc>
          <w:tcPr>
            <w:tcW w:type="dxa" w:w="1440"/>
            <w:shd w:fill="FFDCE0" w:val="clear"/>
          </w:tcPr>
          <w:p>
            <w:r>
              <w:rPr>
                <w:b/>
                <w:sz w:val="17"/>
              </w:rPr>
              <w:t>5,784</w:t>
            </w:r>
          </w:p>
        </w:tc>
        <w:tc>
          <w:tcPr>
            <w:tcW w:type="dxa" w:w="1440"/>
            <w:shd w:fill="FFDCE0" w:val="clear"/>
          </w:tcPr>
          <w:p>
            <w:r>
              <w:rPr>
                <w:sz w:val="17"/>
              </w:rPr>
              <w:t>6,423</w:t>
            </w:r>
          </w:p>
        </w:tc>
        <w:tc>
          <w:tcPr>
            <w:tcW w:type="dxa" w:w="1440"/>
            <w:shd w:fill="FFDCE0" w:val="clear"/>
          </w:tcPr>
          <w:p>
            <w:r>
              <w:rPr>
                <w:b/>
                <w:color w:val="C00000"/>
                <w:sz w:val="17"/>
              </w:rPr>
              <w:t>-31.2%</w:t>
            </w:r>
          </w:p>
        </w:tc>
      </w:tr>
      <w:tr>
        <w:tc>
          <w:tcPr>
            <w:tcW w:type="dxa" w:w="1440"/>
            <w:shd w:fill="FFDCE0" w:val="clear"/>
          </w:tcPr>
          <w:p>
            <w:r>
              <w:rPr>
                <w:sz w:val="17"/>
              </w:rPr>
              <w:t>J+8  ⭐</w:t>
            </w:r>
          </w:p>
        </w:tc>
        <w:tc>
          <w:tcPr>
            <w:tcW w:type="dxa" w:w="1440"/>
            <w:shd w:fill="FFDCE0" w:val="clear"/>
          </w:tcPr>
          <w:p>
            <w:r>
              <w:rPr>
                <w:sz w:val="17"/>
              </w:rPr>
              <w:t>2026-09-01</w:t>
            </w:r>
          </w:p>
        </w:tc>
        <w:tc>
          <w:tcPr>
            <w:tcW w:type="dxa" w:w="1440"/>
            <w:shd w:fill="FFDCE0" w:val="clear"/>
          </w:tcPr>
          <w:p>
            <w:r>
              <w:rPr>
                <w:sz w:val="17"/>
              </w:rPr>
              <w:t>5,006</w:t>
            </w:r>
          </w:p>
        </w:tc>
        <w:tc>
          <w:tcPr>
            <w:tcW w:type="dxa" w:w="1440"/>
            <w:shd w:fill="FFDCE0" w:val="clear"/>
          </w:tcPr>
          <w:p>
            <w:r>
              <w:rPr>
                <w:b/>
                <w:sz w:val="17"/>
              </w:rPr>
              <w:t>5,676</w:t>
            </w:r>
          </w:p>
        </w:tc>
        <w:tc>
          <w:tcPr>
            <w:tcW w:type="dxa" w:w="1440"/>
            <w:shd w:fill="FFDCE0" w:val="clear"/>
          </w:tcPr>
          <w:p>
            <w:r>
              <w:rPr>
                <w:sz w:val="17"/>
              </w:rPr>
              <w:t>6,347</w:t>
            </w:r>
          </w:p>
        </w:tc>
        <w:tc>
          <w:tcPr>
            <w:tcW w:type="dxa" w:w="1440"/>
            <w:shd w:fill="FFDCE0" w:val="clear"/>
          </w:tcPr>
          <w:p>
            <w:r>
              <w:rPr>
                <w:b/>
                <w:color w:val="C00000"/>
                <w:sz w:val="17"/>
              </w:rPr>
              <w:t>-32.5%</w:t>
            </w:r>
          </w:p>
        </w:tc>
      </w:tr>
      <w:tr>
        <w:tc>
          <w:tcPr>
            <w:tcW w:type="dxa" w:w="1440"/>
            <w:shd w:fill="FFDCE0" w:val="clear"/>
          </w:tcPr>
          <w:p>
            <w:r>
              <w:rPr>
                <w:sz w:val="17"/>
              </w:rPr>
              <w:t>J+9  ⭐</w:t>
            </w:r>
          </w:p>
        </w:tc>
        <w:tc>
          <w:tcPr>
            <w:tcW w:type="dxa" w:w="1440"/>
            <w:shd w:fill="FFDCE0" w:val="clear"/>
          </w:tcPr>
          <w:p>
            <w:r>
              <w:rPr>
                <w:sz w:val="17"/>
              </w:rPr>
              <w:t>2026-09-02</w:t>
            </w:r>
          </w:p>
        </w:tc>
        <w:tc>
          <w:tcPr>
            <w:tcW w:type="dxa" w:w="1440"/>
            <w:shd w:fill="FFDCE0" w:val="clear"/>
          </w:tcPr>
          <w:p>
            <w:r>
              <w:rPr>
                <w:sz w:val="17"/>
              </w:rPr>
              <w:t>4,884</w:t>
            </w:r>
          </w:p>
        </w:tc>
        <w:tc>
          <w:tcPr>
            <w:tcW w:type="dxa" w:w="1440"/>
            <w:shd w:fill="FFDCE0" w:val="clear"/>
          </w:tcPr>
          <w:p>
            <w:r>
              <w:rPr>
                <w:b/>
                <w:sz w:val="17"/>
              </w:rPr>
              <w:t>5,583</w:t>
            </w:r>
          </w:p>
        </w:tc>
        <w:tc>
          <w:tcPr>
            <w:tcW w:type="dxa" w:w="1440"/>
            <w:shd w:fill="FFDCE0" w:val="clear"/>
          </w:tcPr>
          <w:p>
            <w:r>
              <w:rPr>
                <w:sz w:val="17"/>
              </w:rPr>
              <w:t>6,283</w:t>
            </w:r>
          </w:p>
        </w:tc>
        <w:tc>
          <w:tcPr>
            <w:tcW w:type="dxa" w:w="1440"/>
            <w:shd w:fill="FFDCE0" w:val="clear"/>
          </w:tcPr>
          <w:p>
            <w:r>
              <w:rPr>
                <w:b/>
                <w:color w:val="C00000"/>
                <w:sz w:val="17"/>
              </w:rPr>
              <w:t>-33.6%</w:t>
            </w:r>
          </w:p>
        </w:tc>
      </w:tr>
      <w:tr>
        <w:tc>
          <w:tcPr>
            <w:tcW w:type="dxa" w:w="1440"/>
            <w:shd w:fill="FFDCE0" w:val="clear"/>
          </w:tcPr>
          <w:p>
            <w:r>
              <w:rPr>
                <w:sz w:val="17"/>
              </w:rPr>
              <w:t>J+10  ⭐</w:t>
            </w:r>
          </w:p>
        </w:tc>
        <w:tc>
          <w:tcPr>
            <w:tcW w:type="dxa" w:w="1440"/>
            <w:shd w:fill="FFDCE0" w:val="clear"/>
          </w:tcPr>
          <w:p>
            <w:r>
              <w:rPr>
                <w:sz w:val="17"/>
              </w:rPr>
              <w:t>2026-09-03</w:t>
            </w:r>
          </w:p>
        </w:tc>
        <w:tc>
          <w:tcPr>
            <w:tcW w:type="dxa" w:w="1440"/>
            <w:shd w:fill="FFDCE0" w:val="clear"/>
          </w:tcPr>
          <w:p>
            <w:r>
              <w:rPr>
                <w:sz w:val="17"/>
              </w:rPr>
              <w:t>4,776</w:t>
            </w:r>
          </w:p>
        </w:tc>
        <w:tc>
          <w:tcPr>
            <w:tcW w:type="dxa" w:w="1440"/>
            <w:shd w:fill="FFDCE0" w:val="clear"/>
          </w:tcPr>
          <w:p>
            <w:r>
              <w:rPr>
                <w:b/>
                <w:sz w:val="17"/>
              </w:rPr>
              <w:t>5,503</w:t>
            </w:r>
          </w:p>
        </w:tc>
        <w:tc>
          <w:tcPr>
            <w:tcW w:type="dxa" w:w="1440"/>
            <w:shd w:fill="FFDCE0" w:val="clear"/>
          </w:tcPr>
          <w:p>
            <w:r>
              <w:rPr>
                <w:sz w:val="17"/>
              </w:rPr>
              <w:t>6,230</w:t>
            </w:r>
          </w:p>
        </w:tc>
        <w:tc>
          <w:tcPr>
            <w:tcW w:type="dxa" w:w="1440"/>
            <w:shd w:fill="FFDCE0" w:val="clear"/>
          </w:tcPr>
          <w:p>
            <w:r>
              <w:rPr>
                <w:b/>
                <w:color w:val="C00000"/>
                <w:sz w:val="17"/>
              </w:rPr>
              <w:t>-34.5%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(BIIC)**</w:t>
        <w:br/>
        <w:t>**Date : 19 août 2026**</w:t>
        <w:br/>
        <w:t>**Cours de référence : 8 405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BICB s'établit à 485,47 milliards FCFA, un niveau significatif qui positionne le titre parmi les poids lourds de la BRVM. Avec un BPA de 627 FCFA, chaque action génère un bénéfice substantiel, justifiant un PER de 13,4x. Ce ratio est supérieur à la moyenne historique de la place (~8-12x), indiquant que le marché accorde une prime de croissance à la valeur. Le P/B de 3,59x confirme cette prime, le marché valorisant l'actif net comptable bien au-delà de sa valeur, signe d'une confiance dans la création de valeur future. Enfin, l'EV/EBITDA de 24,0x est particulièrement exigeant, comparant la valeur totale de l'entreprise à sa capacité opérationnelle. Ce niveau élevé suggère que les investisseurs anticipent une croissance soutenue de l'EBITDA pour justifier une telle valorisation.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BICB a enregistré une progression spectaculaire de +68,10%, avec une dernière séance en hausse de +1,33% à 8 405 FCFA. Le titre a évolué dans une fourchette très large, entre un plus bas de 5 000 FCFA et un plus haut de 8 500 FCFA, démontrant une forte dynamique haussière. Les statistiques descriptives révèlent une moyenne de 5 975 FCFA, nettement inférieure au cours actuel, et une médiane de 5 548 FCFA. L'écart entre la moyenne et la médiane, couplé à un skewness positif de 1.134, confirme une distribution asymétrique avec des journées de forte hausse tirant le cours vers le haut. L'écart-type de 1 024 FCFA (CV=17,1%) indique une dispersion modérée, tandis que le kurtosis proche de zéro (0.005) suggère une distribution mésokurtique, sans risque de pics extrêmes. La volatilité annualisée de 29,9% classe le titre dans la catégorie "élevée", reflétant un risque de marché significatif.</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8 405 FCFA se situe nettement au-dessus de la MM20 (7 787 FCFA) et de la MM50 (6 740,5 FCFA). Cette configuration haussière, où le prix est supérieur aux deux moyennes, confirme une tendance de fond positive. La décision d'achat est justifiée par la vigueur de la tendance, les moyennes servant de supports dynamiques.</w:t>
      </w:r>
    </w:p>
    <w:p>
      <w:pPr>
        <w:spacing w:after="120" w:line="276" w:lineRule="auto"/>
      </w:pPr>
      <w:r>
        <w:t>**Bandes de Bollinger :** Le prix évolue à 8 405 FCFA, entre la borne supérieure (8 767,62 FCFA) et la borne inférieure (6 806,38 FCFA). La position proche de la borne supérieure indique une pression acheteuse soutenue, mais sans franchissement, ce qui maintient une décision neutre. La largeur des bandes suggère une volatilité élevée, offrant des opportunités mais aussi des risques de retournement.</w:t>
      </w:r>
    </w:p>
    <w:p>
      <w:pPr>
        <w:spacing w:after="120" w:line="276" w:lineRule="auto"/>
      </w:pPr>
      <w:r>
        <w:t>**MACD :** Le MACD (496,086) est supérieur à son signal (472,307), avec un écart positif de 23,8 points. Cette configuration haussière indique un momentum positif en faveur des acheteurs. La décision d'achat est cohérente avec la dynamique de fond, le MACD confirmant la poursuite de la tendance haussière.</w:t>
      </w:r>
    </w:p>
    <w:p>
      <w:pPr>
        <w:spacing w:after="120" w:line="276" w:lineRule="auto"/>
      </w:pPr>
      <w:r>
        <w:t>**RSI :** Le RSI à 76,901 est en zone de surachat (au-dessus de 70). Ce niveau signale une pression acheteuse excessive, suggérant un risque de correction à court terme. La décision de vente est prudente, car un RSI aussi élevé précède souvent un repli technique.</w:t>
      </w:r>
    </w:p>
    <w:p>
      <w:pPr>
        <w:spacing w:after="120" w:line="276" w:lineRule="auto"/>
      </w:pPr>
      <w:r>
        <w:t>**Stochastique :** Le %K (90,5) et le %D (90,167) sont tous deux en zone de surachat, avec un %K légèrement supérieur au %D. Cette configuration indique une force acheteuse extrême, mais aussi un épuisement potentiel du mouvement. La décision de vente est justifiée par le risque de retournement imminent.</w:t>
      </w:r>
    </w:p>
    <w:p>
      <w:pPr>
        <w:spacing w:after="120" w:line="276" w:lineRule="auto"/>
      </w:pPr>
      <w:r>
        <w:t>**Conclusion technique :** Les indicateurs de tendance (MM, MACD) sont haussiers, mais les oscillateurs (RSI, Stochastique) signalent un surachat extrême. Cette divergence entre la tendance et le momentum suggère une consolidation ou une correction à court terme avant la poursuite de la tendance haussière. La prudence est de mise pour les nouveaux achats à ces niveaux.</w:t>
      </w:r>
    </w:p>
    <w:p>
      <w:pPr>
        <w:spacing w:after="120" w:line="276" w:lineRule="auto"/>
      </w:pPr>
      <w:r>
        <w:t>---</w:t>
      </w:r>
    </w:p>
    <w:p>
      <w:pPr>
        <w:spacing w:after="120" w:line="276" w:lineRule="auto"/>
      </w:pPr>
      <w:r>
        <w:t>### PARTIE 3 : ANALYSE FONDAMENTALE (SECTION CRITIQUE)</w:t>
      </w:r>
    </w:p>
    <w:p>
      <w:pPr>
        <w:spacing w:after="120" w:line="276" w:lineRule="auto"/>
      </w:pPr>
      <w:r>
        <w:t>En 2025, la BICB affiche des performances financières solides, avec un Produit Net Bancaire (PNB) de 52,805 milliards FCFA, en hausse de 16,49% par rapport à 2024. Le résultat net s'établit à 36,237 milliards FCFA, soit une progression de 24,7% sur un an. La rentabilité des fonds propres (ROE) est excellente à 26,82%, et le ROA de 1,96% est satisfaisant pour le secteur bancaire. Le coefficient d'exploitation de 31,12% témoigne d'une excellente maîtrise des charges, bien en deçà du seuil de 60% considéré comme efficace. Cependant, le coût du risque de 9,61% est élevé, reflétant une dégradation de la qualité du portefeuille de crédits, comme le confirment les rapports trimestriels de 2025. Le ratio crédits/dépôts de 97,5% indique une transformation tendue, avec une liquidité réduite. Sur la base du rapport T1 2026 (PNB en hausse de 35% à 14,6 milliards FCFA et résultat net en progression de 48% à 8,0 milliards FCFA), on estime que l'exercice 2026 devrait confirmer la dynamique de croissance, avec un PNB annuel potentiel de 58 à 60 milliards FCFA. Les fondamentaux restent solides, mais la gestion du risque de crédit demeure un défi majeur, comme le soulignent les rapports des commissaires aux comptes de 2025.</w:t>
      </w:r>
    </w:p>
    <w:p>
      <w:pPr>
        <w:spacing w:after="120" w:line="276" w:lineRule="auto"/>
      </w:pPr>
      <w:r>
        <w:t>---</w:t>
      </w:r>
    </w:p>
    <w:p>
      <w:pPr>
        <w:spacing w:after="120" w:line="276" w:lineRule="auto"/>
      </w:pPr>
      <w:r>
        <w:t>### PARTIE 4 : CONCLUSION D'INVESTISSEMENT</w:t>
      </w:r>
    </w:p>
    <w:p>
      <w:pPr>
        <w:spacing w:after="120" w:line="276" w:lineRule="auto"/>
      </w:pPr>
      <w:r>
        <w:t>La valorisation de BICB est exigeante, avec un PER de 13,4x et un EV/EBITDA de 24,0x, indiquant une prime de croissance qui pourrait limiter le potentiel de hausse à court terme. Le comportement du cours sur 100 jours est extrêmement haussier (+68,1%), mais la volatilité élevée (29,9%) et le skewness positif signalent un risque de correction. Les signaux techniques sont mitigés : les moyennes mobiles et le MACD sont positifs, mais le RSI et le stochastique en surachat suggèrent un repli imminent. Les fondamentaux sont solides, avec une croissance du PNB et du résultat net, mais le coût du risque élevé et la tension sur la liquidité sont des points de vigilance. Les prédictions IA (J+1 à J+10) prévoient une baisse progressive du cours vers 6 051 FCFA, contredisant la tendance haussière actuelle et confirmant le risque de correction technique. En synthèse, la convergence entre les signaux techniques de surachat et les prédictions IA suggère une pause dans la dynamique haussière. **Recommandation : CONSERVER** avec un niveau de confiance **Moyen** et un risque global **Élevé**. L'horizon d'investissement optimal est le **moyen terme (3-12 mois)**, en attendant une stabilisation du cours et une clarification sur la gestion du risque de crédit.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486.67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753 titres</w:t>
            </w:r>
          </w:p>
        </w:tc>
        <w:tc>
          <w:tcPr>
            <w:tcW w:type="dxa" w:w="2268"/>
            <w:shd w:fill="FFF2CC" w:val="clear"/>
          </w:tcPr>
          <w:p>
            <w:r>
              <w:rPr>
                <w:b/>
                <w:color w:val="503200"/>
                <w:sz w:val="16"/>
              </w:rPr>
              <w:t xml:space="preserve">Cours actuel : </w:t>
            </w:r>
            <w:r>
              <w:rPr>
                <w:color w:val="000000"/>
                <w:sz w:val="17"/>
              </w:rPr>
              <w:t>29,200 FCFA</w:t>
            </w:r>
          </w:p>
          <w:p>
            <w:r>
              <w:rPr>
                <w:b/>
                <w:color w:val="503200"/>
                <w:sz w:val="16"/>
              </w:rPr>
              <w:t xml:space="preserve">Var. 100 jours : </w:t>
            </w:r>
            <w:r>
              <w:rPr>
                <w:b/>
                <w:color w:val="007800"/>
                <w:sz w:val="17"/>
              </w:rPr>
              <w:t>+17.27%</w:t>
            </w:r>
          </w:p>
          <w:p>
            <w:r>
              <w:rPr>
                <w:b/>
                <w:color w:val="503200"/>
                <w:sz w:val="16"/>
              </w:rPr>
              <w:t xml:space="preserve">Plus haut 100j : </w:t>
            </w:r>
            <w:r>
              <w:rPr>
                <w:color w:val="000000"/>
                <w:sz w:val="17"/>
              </w:rPr>
              <w:t>29,490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28.5%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7.36% (Moyenne) — μ=27,104 FCFA, σ=1,995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β=0.4058 (Défensif) — Cov=0.000012, Var(idx)=0.000030, ρ=0.123,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753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2026-08-20</w:t>
            </w:r>
          </w:p>
        </w:tc>
        <w:tc>
          <w:tcPr>
            <w:tcW w:type="dxa" w:w="1440"/>
            <w:shd w:fill="FFDCE0" w:val="clear"/>
          </w:tcPr>
          <w:p>
            <w:r>
              <w:rPr>
                <w:sz w:val="17"/>
              </w:rPr>
              <w:t>27,893</w:t>
            </w:r>
          </w:p>
        </w:tc>
        <w:tc>
          <w:tcPr>
            <w:tcW w:type="dxa" w:w="1440"/>
            <w:shd w:fill="FFDCE0" w:val="clear"/>
          </w:tcPr>
          <w:p>
            <w:r>
              <w:rPr>
                <w:b/>
                <w:sz w:val="17"/>
              </w:rPr>
              <w:t>28,391</w:t>
            </w:r>
          </w:p>
        </w:tc>
        <w:tc>
          <w:tcPr>
            <w:tcW w:type="dxa" w:w="1440"/>
            <w:shd w:fill="FFDCE0" w:val="clear"/>
          </w:tcPr>
          <w:p>
            <w:r>
              <w:rPr>
                <w:sz w:val="17"/>
              </w:rPr>
              <w:t>28,888</w:t>
            </w:r>
          </w:p>
        </w:tc>
        <w:tc>
          <w:tcPr>
            <w:tcW w:type="dxa" w:w="1440"/>
            <w:shd w:fill="FFDCE0" w:val="clear"/>
          </w:tcPr>
          <w:p>
            <w:r>
              <w:rPr>
                <w:b/>
                <w:color w:val="C00000"/>
                <w:sz w:val="17"/>
              </w:rPr>
              <w:t>-2.8%</w:t>
            </w:r>
          </w:p>
        </w:tc>
      </w:tr>
      <w:tr>
        <w:tc>
          <w:tcPr>
            <w:tcW w:type="dxa" w:w="1440"/>
            <w:shd w:fill="FFDCE0" w:val="clear"/>
          </w:tcPr>
          <w:p>
            <w:r>
              <w:rPr>
                <w:sz w:val="17"/>
              </w:rPr>
              <w:t>J+2  ⭐⭐⭐</w:t>
            </w:r>
          </w:p>
        </w:tc>
        <w:tc>
          <w:tcPr>
            <w:tcW w:type="dxa" w:w="1440"/>
            <w:shd w:fill="FFDCE0" w:val="clear"/>
          </w:tcPr>
          <w:p>
            <w:r>
              <w:rPr>
                <w:sz w:val="17"/>
              </w:rPr>
              <w:t>2026-08-21</w:t>
            </w:r>
          </w:p>
        </w:tc>
        <w:tc>
          <w:tcPr>
            <w:tcW w:type="dxa" w:w="1440"/>
            <w:shd w:fill="FFDCE0" w:val="clear"/>
          </w:tcPr>
          <w:p>
            <w:r>
              <w:rPr>
                <w:sz w:val="17"/>
              </w:rPr>
              <w:t>27,452</w:t>
            </w:r>
          </w:p>
        </w:tc>
        <w:tc>
          <w:tcPr>
            <w:tcW w:type="dxa" w:w="1440"/>
            <w:shd w:fill="FFDCE0" w:val="clear"/>
          </w:tcPr>
          <w:p>
            <w:r>
              <w:rPr>
                <w:b/>
                <w:sz w:val="17"/>
              </w:rPr>
              <w:t>28,150</w:t>
            </w:r>
          </w:p>
        </w:tc>
        <w:tc>
          <w:tcPr>
            <w:tcW w:type="dxa" w:w="1440"/>
            <w:shd w:fill="FFDCE0" w:val="clear"/>
          </w:tcPr>
          <w:p>
            <w:r>
              <w:rPr>
                <w:sz w:val="17"/>
              </w:rPr>
              <w:t>28,848</w:t>
            </w:r>
          </w:p>
        </w:tc>
        <w:tc>
          <w:tcPr>
            <w:tcW w:type="dxa" w:w="1440"/>
            <w:shd w:fill="FFDCE0" w:val="clear"/>
          </w:tcPr>
          <w:p>
            <w:r>
              <w:rPr>
                <w:b/>
                <w:color w:val="C00000"/>
                <w:sz w:val="17"/>
              </w:rPr>
              <w:t>-3.6%</w:t>
            </w:r>
          </w:p>
        </w:tc>
      </w:tr>
      <w:tr>
        <w:tc>
          <w:tcPr>
            <w:tcW w:type="dxa" w:w="1440"/>
            <w:shd w:fill="FFDCE0" w:val="clear"/>
          </w:tcPr>
          <w:p>
            <w:r>
              <w:rPr>
                <w:sz w:val="17"/>
              </w:rPr>
              <w:t>J+3  ⭐⭐⭐</w:t>
            </w:r>
          </w:p>
        </w:tc>
        <w:tc>
          <w:tcPr>
            <w:tcW w:type="dxa" w:w="1440"/>
            <w:shd w:fill="FFDCE0" w:val="clear"/>
          </w:tcPr>
          <w:p>
            <w:r>
              <w:rPr>
                <w:sz w:val="17"/>
              </w:rPr>
              <w:t>2026-08-24</w:t>
            </w:r>
          </w:p>
        </w:tc>
        <w:tc>
          <w:tcPr>
            <w:tcW w:type="dxa" w:w="1440"/>
            <w:shd w:fill="FFDCE0" w:val="clear"/>
          </w:tcPr>
          <w:p>
            <w:r>
              <w:rPr>
                <w:sz w:val="17"/>
              </w:rPr>
              <w:t>27,008</w:t>
            </w:r>
          </w:p>
        </w:tc>
        <w:tc>
          <w:tcPr>
            <w:tcW w:type="dxa" w:w="1440"/>
            <w:shd w:fill="FFDCE0" w:val="clear"/>
          </w:tcPr>
          <w:p>
            <w:r>
              <w:rPr>
                <w:b/>
                <w:sz w:val="17"/>
              </w:rPr>
              <w:t>27,854</w:t>
            </w:r>
          </w:p>
        </w:tc>
        <w:tc>
          <w:tcPr>
            <w:tcW w:type="dxa" w:w="1440"/>
            <w:shd w:fill="FFDCE0" w:val="clear"/>
          </w:tcPr>
          <w:p>
            <w:r>
              <w:rPr>
                <w:sz w:val="17"/>
              </w:rPr>
              <w:t>28,699</w:t>
            </w:r>
          </w:p>
        </w:tc>
        <w:tc>
          <w:tcPr>
            <w:tcW w:type="dxa" w:w="1440"/>
            <w:shd w:fill="FFDCE0" w:val="clear"/>
          </w:tcPr>
          <w:p>
            <w:r>
              <w:rPr>
                <w:b/>
                <w:color w:val="C00000"/>
                <w:sz w:val="17"/>
              </w:rPr>
              <w:t>-4.6%</w:t>
            </w:r>
          </w:p>
        </w:tc>
      </w:tr>
      <w:tr>
        <w:tc>
          <w:tcPr>
            <w:tcW w:type="dxa" w:w="1440"/>
            <w:shd w:fill="FFDCE0" w:val="clear"/>
          </w:tcPr>
          <w:p>
            <w:r>
              <w:rPr>
                <w:sz w:val="17"/>
              </w:rPr>
              <w:t>J+4  Moyenne</w:t>
            </w:r>
          </w:p>
        </w:tc>
        <w:tc>
          <w:tcPr>
            <w:tcW w:type="dxa" w:w="1440"/>
            <w:shd w:fill="FFDCE0" w:val="clear"/>
          </w:tcPr>
          <w:p>
            <w:r>
              <w:rPr>
                <w:sz w:val="17"/>
              </w:rPr>
              <w:t>2026-08-25</w:t>
            </w:r>
          </w:p>
        </w:tc>
        <w:tc>
          <w:tcPr>
            <w:tcW w:type="dxa" w:w="1440"/>
            <w:shd w:fill="FFDCE0" w:val="clear"/>
          </w:tcPr>
          <w:p>
            <w:r>
              <w:rPr>
                <w:sz w:val="17"/>
              </w:rPr>
              <w:t>26,614</w:t>
            </w:r>
          </w:p>
        </w:tc>
        <w:tc>
          <w:tcPr>
            <w:tcW w:type="dxa" w:w="1440"/>
            <w:shd w:fill="FFDCE0" w:val="clear"/>
          </w:tcPr>
          <w:p>
            <w:r>
              <w:rPr>
                <w:b/>
                <w:sz w:val="17"/>
              </w:rPr>
              <w:t>27,581</w:t>
            </w:r>
          </w:p>
        </w:tc>
        <w:tc>
          <w:tcPr>
            <w:tcW w:type="dxa" w:w="1440"/>
            <w:shd w:fill="FFDCE0" w:val="clear"/>
          </w:tcPr>
          <w:p>
            <w:r>
              <w:rPr>
                <w:sz w:val="17"/>
              </w:rPr>
              <w:t>28,547</w:t>
            </w:r>
          </w:p>
        </w:tc>
        <w:tc>
          <w:tcPr>
            <w:tcW w:type="dxa" w:w="1440"/>
            <w:shd w:fill="FFDCE0" w:val="clear"/>
          </w:tcPr>
          <w:p>
            <w:r>
              <w:rPr>
                <w:b/>
                <w:color w:val="C00000"/>
                <w:sz w:val="17"/>
              </w:rPr>
              <w:t>-5.5%</w:t>
            </w:r>
          </w:p>
        </w:tc>
      </w:tr>
      <w:tr>
        <w:tc>
          <w:tcPr>
            <w:tcW w:type="dxa" w:w="1440"/>
            <w:shd w:fill="FFDCE0" w:val="clear"/>
          </w:tcPr>
          <w:p>
            <w:r>
              <w:rPr>
                <w:sz w:val="17"/>
              </w:rPr>
              <w:t>J+5  Moyenne</w:t>
            </w:r>
          </w:p>
        </w:tc>
        <w:tc>
          <w:tcPr>
            <w:tcW w:type="dxa" w:w="1440"/>
            <w:shd w:fill="FFDCE0" w:val="clear"/>
          </w:tcPr>
          <w:p>
            <w:r>
              <w:rPr>
                <w:sz w:val="17"/>
              </w:rPr>
              <w:t>2026-08-27</w:t>
            </w:r>
          </w:p>
        </w:tc>
        <w:tc>
          <w:tcPr>
            <w:tcW w:type="dxa" w:w="1440"/>
            <w:shd w:fill="FFDCE0" w:val="clear"/>
          </w:tcPr>
          <w:p>
            <w:r>
              <w:rPr>
                <w:sz w:val="17"/>
              </w:rPr>
              <w:t>26,259</w:t>
            </w:r>
          </w:p>
        </w:tc>
        <w:tc>
          <w:tcPr>
            <w:tcW w:type="dxa" w:w="1440"/>
            <w:shd w:fill="FFDCE0" w:val="clear"/>
          </w:tcPr>
          <w:p>
            <w:r>
              <w:rPr>
                <w:b/>
                <w:sz w:val="17"/>
              </w:rPr>
              <w:t>27,330</w:t>
            </w:r>
          </w:p>
        </w:tc>
        <w:tc>
          <w:tcPr>
            <w:tcW w:type="dxa" w:w="1440"/>
            <w:shd w:fill="FFDCE0" w:val="clear"/>
          </w:tcPr>
          <w:p>
            <w:r>
              <w:rPr>
                <w:sz w:val="17"/>
              </w:rPr>
              <w:t>28,401</w:t>
            </w:r>
          </w:p>
        </w:tc>
        <w:tc>
          <w:tcPr>
            <w:tcW w:type="dxa" w:w="1440"/>
            <w:shd w:fill="FFDCE0" w:val="clear"/>
          </w:tcPr>
          <w:p>
            <w:r>
              <w:rPr>
                <w:b/>
                <w:color w:val="C00000"/>
                <w:sz w:val="17"/>
              </w:rPr>
              <w:t>-6.4%</w:t>
            </w:r>
          </w:p>
        </w:tc>
      </w:tr>
      <w:tr>
        <w:tc>
          <w:tcPr>
            <w:tcW w:type="dxa" w:w="1440"/>
            <w:shd w:fill="FFDCE0" w:val="clear"/>
          </w:tcPr>
          <w:p>
            <w:r>
              <w:rPr>
                <w:sz w:val="17"/>
              </w:rPr>
              <w:t>J+6  Moyenne</w:t>
            </w:r>
          </w:p>
        </w:tc>
        <w:tc>
          <w:tcPr>
            <w:tcW w:type="dxa" w:w="1440"/>
            <w:shd w:fill="FFDCE0" w:val="clear"/>
          </w:tcPr>
          <w:p>
            <w:r>
              <w:rPr>
                <w:sz w:val="17"/>
              </w:rPr>
              <w:t>2026-08-28</w:t>
            </w:r>
          </w:p>
        </w:tc>
        <w:tc>
          <w:tcPr>
            <w:tcW w:type="dxa" w:w="1440"/>
            <w:shd w:fill="FFDCE0" w:val="clear"/>
          </w:tcPr>
          <w:p>
            <w:r>
              <w:rPr>
                <w:sz w:val="17"/>
              </w:rPr>
              <w:t>25,930</w:t>
            </w:r>
          </w:p>
        </w:tc>
        <w:tc>
          <w:tcPr>
            <w:tcW w:type="dxa" w:w="1440"/>
            <w:shd w:fill="FFDCE0" w:val="clear"/>
          </w:tcPr>
          <w:p>
            <w:r>
              <w:rPr>
                <w:b/>
                <w:sz w:val="17"/>
              </w:rPr>
              <w:t>27,094</w:t>
            </w:r>
          </w:p>
        </w:tc>
        <w:tc>
          <w:tcPr>
            <w:tcW w:type="dxa" w:w="1440"/>
            <w:shd w:fill="FFDCE0" w:val="clear"/>
          </w:tcPr>
          <w:p>
            <w:r>
              <w:rPr>
                <w:sz w:val="17"/>
              </w:rPr>
              <w:t>28,257</w:t>
            </w:r>
          </w:p>
        </w:tc>
        <w:tc>
          <w:tcPr>
            <w:tcW w:type="dxa" w:w="1440"/>
            <w:shd w:fill="FFDCE0" w:val="clear"/>
          </w:tcPr>
          <w:p>
            <w:r>
              <w:rPr>
                <w:b/>
                <w:color w:val="C00000"/>
                <w:sz w:val="17"/>
              </w:rPr>
              <w:t>-7.2%</w:t>
            </w:r>
          </w:p>
        </w:tc>
      </w:tr>
      <w:tr>
        <w:tc>
          <w:tcPr>
            <w:tcW w:type="dxa" w:w="1440"/>
            <w:shd w:fill="FFDCE0" w:val="clear"/>
          </w:tcPr>
          <w:p>
            <w:r>
              <w:rPr>
                <w:sz w:val="17"/>
              </w:rPr>
              <w:t>J+7  Moyenne</w:t>
            </w:r>
          </w:p>
        </w:tc>
        <w:tc>
          <w:tcPr>
            <w:tcW w:type="dxa" w:w="1440"/>
            <w:shd w:fill="FFDCE0" w:val="clear"/>
          </w:tcPr>
          <w:p>
            <w:r>
              <w:rPr>
                <w:sz w:val="17"/>
              </w:rPr>
              <w:t>2026-08-31</w:t>
            </w:r>
          </w:p>
        </w:tc>
        <w:tc>
          <w:tcPr>
            <w:tcW w:type="dxa" w:w="1440"/>
            <w:shd w:fill="FFDCE0" w:val="clear"/>
          </w:tcPr>
          <w:p>
            <w:r>
              <w:rPr>
                <w:sz w:val="17"/>
              </w:rPr>
              <w:t>25,620</w:t>
            </w:r>
          </w:p>
        </w:tc>
        <w:tc>
          <w:tcPr>
            <w:tcW w:type="dxa" w:w="1440"/>
            <w:shd w:fill="FFDCE0" w:val="clear"/>
          </w:tcPr>
          <w:p>
            <w:r>
              <w:rPr>
                <w:b/>
                <w:sz w:val="17"/>
              </w:rPr>
              <w:t>26,866</w:t>
            </w:r>
          </w:p>
        </w:tc>
        <w:tc>
          <w:tcPr>
            <w:tcW w:type="dxa" w:w="1440"/>
            <w:shd w:fill="FFDCE0" w:val="clear"/>
          </w:tcPr>
          <w:p>
            <w:r>
              <w:rPr>
                <w:sz w:val="17"/>
              </w:rPr>
              <w:t>28,112</w:t>
            </w:r>
          </w:p>
        </w:tc>
        <w:tc>
          <w:tcPr>
            <w:tcW w:type="dxa" w:w="1440"/>
            <w:shd w:fill="FFDCE0" w:val="clear"/>
          </w:tcPr>
          <w:p>
            <w:r>
              <w:rPr>
                <w:b/>
                <w:color w:val="C00000"/>
                <w:sz w:val="17"/>
              </w:rPr>
              <w:t>-8.0%</w:t>
            </w:r>
          </w:p>
        </w:tc>
      </w:tr>
      <w:tr>
        <w:tc>
          <w:tcPr>
            <w:tcW w:type="dxa" w:w="1440"/>
            <w:shd w:fill="FFDCE0" w:val="clear"/>
          </w:tcPr>
          <w:p>
            <w:r>
              <w:rPr>
                <w:sz w:val="17"/>
              </w:rPr>
              <w:t>J+8  Moyenne</w:t>
            </w:r>
          </w:p>
        </w:tc>
        <w:tc>
          <w:tcPr>
            <w:tcW w:type="dxa" w:w="1440"/>
            <w:shd w:fill="FFDCE0" w:val="clear"/>
          </w:tcPr>
          <w:p>
            <w:r>
              <w:rPr>
                <w:sz w:val="17"/>
              </w:rPr>
              <w:t>2026-09-01</w:t>
            </w:r>
          </w:p>
        </w:tc>
        <w:tc>
          <w:tcPr>
            <w:tcW w:type="dxa" w:w="1440"/>
            <w:shd w:fill="FFDCE0" w:val="clear"/>
          </w:tcPr>
          <w:p>
            <w:r>
              <w:rPr>
                <w:sz w:val="17"/>
              </w:rPr>
              <w:t>25,326</w:t>
            </w:r>
          </w:p>
        </w:tc>
        <w:tc>
          <w:tcPr>
            <w:tcW w:type="dxa" w:w="1440"/>
            <w:shd w:fill="FFDCE0" w:val="clear"/>
          </w:tcPr>
          <w:p>
            <w:r>
              <w:rPr>
                <w:b/>
                <w:sz w:val="17"/>
              </w:rPr>
              <w:t>26,647</w:t>
            </w:r>
          </w:p>
        </w:tc>
        <w:tc>
          <w:tcPr>
            <w:tcW w:type="dxa" w:w="1440"/>
            <w:shd w:fill="FFDCE0" w:val="clear"/>
          </w:tcPr>
          <w:p>
            <w:r>
              <w:rPr>
                <w:sz w:val="17"/>
              </w:rPr>
              <w:t>27,968</w:t>
            </w:r>
          </w:p>
        </w:tc>
        <w:tc>
          <w:tcPr>
            <w:tcW w:type="dxa" w:w="1440"/>
            <w:shd w:fill="FFDCE0" w:val="clear"/>
          </w:tcPr>
          <w:p>
            <w:r>
              <w:rPr>
                <w:b/>
                <w:color w:val="C00000"/>
                <w:sz w:val="17"/>
              </w:rPr>
              <w:t>-8.7%</w:t>
            </w:r>
          </w:p>
        </w:tc>
      </w:tr>
      <w:tr>
        <w:tc>
          <w:tcPr>
            <w:tcW w:type="dxa" w:w="1440"/>
            <w:shd w:fill="FFDCE0" w:val="clear"/>
          </w:tcPr>
          <w:p>
            <w:r>
              <w:rPr>
                <w:sz w:val="17"/>
              </w:rPr>
              <w:t>J+9  Moyenne</w:t>
            </w:r>
          </w:p>
        </w:tc>
        <w:tc>
          <w:tcPr>
            <w:tcW w:type="dxa" w:w="1440"/>
            <w:shd w:fill="FFDCE0" w:val="clear"/>
          </w:tcPr>
          <w:p>
            <w:r>
              <w:rPr>
                <w:sz w:val="17"/>
              </w:rPr>
              <w:t>2026-09-02</w:t>
            </w:r>
          </w:p>
        </w:tc>
        <w:tc>
          <w:tcPr>
            <w:tcW w:type="dxa" w:w="1440"/>
            <w:shd w:fill="FFDCE0" w:val="clear"/>
          </w:tcPr>
          <w:p>
            <w:r>
              <w:rPr>
                <w:sz w:val="17"/>
              </w:rPr>
              <w:t>25,046</w:t>
            </w:r>
          </w:p>
        </w:tc>
        <w:tc>
          <w:tcPr>
            <w:tcW w:type="dxa" w:w="1440"/>
            <w:shd w:fill="FFDCE0" w:val="clear"/>
          </w:tcPr>
          <w:p>
            <w:r>
              <w:rPr>
                <w:b/>
                <w:sz w:val="17"/>
              </w:rPr>
              <w:t>26,436</w:t>
            </w:r>
          </w:p>
        </w:tc>
        <w:tc>
          <w:tcPr>
            <w:tcW w:type="dxa" w:w="1440"/>
            <w:shd w:fill="FFDCE0" w:val="clear"/>
          </w:tcPr>
          <w:p>
            <w:r>
              <w:rPr>
                <w:sz w:val="17"/>
              </w:rPr>
              <w:t>27,826</w:t>
            </w:r>
          </w:p>
        </w:tc>
        <w:tc>
          <w:tcPr>
            <w:tcW w:type="dxa" w:w="1440"/>
            <w:shd w:fill="FFDCE0" w:val="clear"/>
          </w:tcPr>
          <w:p>
            <w:r>
              <w:rPr>
                <w:b/>
                <w:color w:val="C00000"/>
                <w:sz w:val="17"/>
              </w:rPr>
              <w:t>-9.5%</w:t>
            </w:r>
          </w:p>
        </w:tc>
      </w:tr>
      <w:tr>
        <w:tc>
          <w:tcPr>
            <w:tcW w:type="dxa" w:w="1440"/>
            <w:shd w:fill="FFDCE0" w:val="clear"/>
          </w:tcPr>
          <w:p>
            <w:r>
              <w:rPr>
                <w:sz w:val="17"/>
              </w:rPr>
              <w:t>J+10  Moyenne</w:t>
            </w:r>
          </w:p>
        </w:tc>
        <w:tc>
          <w:tcPr>
            <w:tcW w:type="dxa" w:w="1440"/>
            <w:shd w:fill="FFDCE0" w:val="clear"/>
          </w:tcPr>
          <w:p>
            <w:r>
              <w:rPr>
                <w:sz w:val="17"/>
              </w:rPr>
              <w:t>2026-09-03</w:t>
            </w:r>
          </w:p>
        </w:tc>
        <w:tc>
          <w:tcPr>
            <w:tcW w:type="dxa" w:w="1440"/>
            <w:shd w:fill="FFDCE0" w:val="clear"/>
          </w:tcPr>
          <w:p>
            <w:r>
              <w:rPr>
                <w:sz w:val="17"/>
              </w:rPr>
              <w:t>24,778</w:t>
            </w:r>
          </w:p>
        </w:tc>
        <w:tc>
          <w:tcPr>
            <w:tcW w:type="dxa" w:w="1440"/>
            <w:shd w:fill="FFDCE0" w:val="clear"/>
          </w:tcPr>
          <w:p>
            <w:r>
              <w:rPr>
                <w:b/>
                <w:sz w:val="17"/>
              </w:rPr>
              <w:t>26,232</w:t>
            </w:r>
          </w:p>
        </w:tc>
        <w:tc>
          <w:tcPr>
            <w:tcW w:type="dxa" w:w="1440"/>
            <w:shd w:fill="FFDCE0" w:val="clear"/>
          </w:tcPr>
          <w:p>
            <w:r>
              <w:rPr>
                <w:sz w:val="17"/>
              </w:rPr>
              <w:t>27,685</w:t>
            </w:r>
          </w:p>
        </w:tc>
        <w:tc>
          <w:tcPr>
            <w:tcW w:type="dxa" w:w="1440"/>
            <w:shd w:fill="FFDCE0" w:val="clear"/>
          </w:tcPr>
          <w:p>
            <w:r>
              <w:rPr>
                <w:b/>
                <w:color w:val="C00000"/>
                <w:sz w:val="17"/>
              </w:rPr>
              <w:t>-10.2%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BICC s'établit à 486,67 milliards FCFA, ce qui en fait l'une des valeurs les plus significatives de la BRVM, reflétant la confiance des investisseurs dans le secteur bancaire ivoirien. Avec un BPA de 2 191 FCFA, chaque action génère un bénéfice substantiel, justifiant un PER de 13,3x. Ce ratio, bien que supérieur à la moyenne historique de la BRVM (8-12x), reste modéré et témoigne d'une valorisation raisonnable pour une banque de cette envergure. Le P/B de 4,04x indique que le marché valorise fortement les actifs nets de la banque, signe d'une prime de qualité, tandis que l'EV/EBITDA de 9,4x, dans la fourchette de 5-10x, confirme une évaluation cohérente avec la capacité opérationnelle de l'établissement.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 enregistré une progression remarquable de +17,27%, avec une dernière séance en hausse de +0,69% à 29 200 FCFA. Le titre a évolué dans une fourchette de 22 500 à 29 490 FCFA, démontrant une dynamique haussière soutenue. La moyenne de 27 104 FCFA, inférieure à la médiane de 28 072 FCFA, révèle une asymétrie positive de la distribution, confirmée par un skewness de -0,700, indiquant que les journées au-dessus de la moyenne ont été plus fréquentes. L'écart-type de 2 006 FCFA (CV=7,4%) montre une dispersion modérée, tandis que le kurtosis de -0,978 suggère une distribution mésokurtique, proche de la normale, avec un risque de pics limité. La volatilité annualisée de 28,5% positionne le titre dans une zone modérée à élevée, reflétant un intérêt actif des investisseurs.</w:t>
      </w:r>
    </w:p>
    <w:p>
      <w:pPr>
        <w:spacing w:after="120" w:line="276" w:lineRule="auto" w:before="240"/>
      </w:pPr>
      <w:r>
        <w:rPr>
          <w:b/>
          <w:color w:val="003366"/>
          <w:sz w:val="24"/>
        </w:rPr>
        <w:t>**PARTIE 2 : ANALYSE TECHNIQUE DÉTAILLÉE**</w:t>
      </w:r>
    </w:p>
    <w:p>
      <w:pPr>
        <w:spacing w:after="120" w:line="276" w:lineRule="auto"/>
      </w:pPr>
      <w:r>
        <w:t>**Moyennes Mobiles**: Les MM20 (28 816 FCFA) et MM50 (28 581 FCFA) sont toutes deux inférieures au cours actuel de 29 200 FCFA, confirmant une tendance haussière solide. La MM20 au-dessus de la MM50 indique un momentum positif à court terme, justifiant la décision d'achat.</w:t>
      </w:r>
    </w:p>
    <w:p>
      <w:pPr>
        <w:spacing w:after="120" w:line="276" w:lineRule="auto"/>
      </w:pPr>
      <w:r>
        <w:t>**Bandes de Bollinger**: Le cours se situe à 29 200 FCFA, proche de la borne supérieure (29 661 FCFA) mais en dessous, ce qui suggère une pression acheteuse modérée sans surachat extrême. La décision neutre reflète une volatilité maîtrisée dans un canal haussier.</w:t>
      </w:r>
    </w:p>
    <w:p>
      <w:pPr>
        <w:spacing w:after="120" w:line="276" w:lineRule="auto"/>
      </w:pPr>
      <w:r>
        <w:t>**MACD**: La valeur de 178,007, supérieure à son signal de 175,778, indique un momentum positif persistant. Cette configuration haussière, bien que modeste, confirme la tendance ascendante du titre, justifiant la décision d'achat.</w:t>
      </w:r>
    </w:p>
    <w:p>
      <w:pPr>
        <w:spacing w:after="120" w:line="276" w:lineRule="auto"/>
      </w:pPr>
      <w:r>
        <w:t>**RSI**: À 57,729, le RSI se situe dans la zone neutre (30-70), indiquant un équilibre entre acheteurs et vendeurs. Cette valeur suggère qu'il n'y a pas de surachat imminent, laissant une marge de progression avant d'atteindre des niveaux extrêmes.</w:t>
      </w:r>
    </w:p>
    <w:p>
      <w:pPr>
        <w:spacing w:after="120" w:line="276" w:lineRule="auto"/>
      </w:pPr>
      <w:r>
        <w:t>**Stochastique**: Le %K à 100,0 et le %D à 74,528 signalent une condition de surachat technique. Le croisement potentiel du %K sous le %D pourrait indiquer un retournement à court terme, justifiant la décision de vente.</w:t>
      </w:r>
    </w:p>
    <w:p>
      <w:pPr>
        <w:spacing w:after="120" w:line="276" w:lineRule="auto"/>
      </w:pPr>
      <w:r>
        <w:t>**Conclusion technique**: Les indicateurs sont globalement positifs avec une tendance haussière confirmée par les moyennes mobiles et le MACD, mais le stochastique en surachat suggère une possible consolidation à court terme. Le RSI neutre et les bandes de Bollinger modérées tempèrent ce signal, indiquant une poursuite probable de la tendance après une phase de stabilisation.</w:t>
      </w:r>
    </w:p>
    <w:p>
      <w:pPr>
        <w:spacing w:after="120" w:line="276" w:lineRule="auto" w:before="240"/>
      </w:pPr>
      <w:r>
        <w:rPr>
          <w:b/>
          <w:color w:val="003366"/>
          <w:sz w:val="24"/>
        </w:rPr>
        <w:t>**PARTIE 3 : ANALYSE FONDAMENTALE (SECTION CRITIQUE)**</w:t>
      </w:r>
    </w:p>
    <w:p>
      <w:pPr>
        <w:spacing w:after="120" w:line="276" w:lineRule="auto"/>
      </w:pPr>
      <w:r>
        <w:t>En 2025, BICC affiche des performances financières exceptionnelles avec un PNB de 79,563 milliards FCFA, en croissance de 16,9%, et un résultat net de 36,520 milliards FCFA. Le ROE de 30,29% et le ROA de 3,24% démontrent une rentabilité remarquable, bien au-dessus des standards du secteur. Le coefficient d'exploitation de 50,83% confirme l'efficacité opérationnelle de la banque, tandis que le coût du risque de -12,15% indique une gestion prudente du portefeuille de crédits. Les dépôts clientèle de 952,872 milliards FCFA, largement supérieurs aux créances de 524,439 milliards FCFA, témoignent d'une transformation saine. Sur la base du rapport T1 2026 (PNB +17,0% à 21,214 milliards FCFA et résultat net +29,7% à 10,387 milliards FCFA), on estime que l'exercice 2026 pourrait dépasser les performances de 2025, avec un PNB annuel potentiel de 85-90 milliards FCFA et un résultat net de 40-42 milliards FCFA. Les rapports de 2024 (PNB 68,063 milliards FCFA, résultat net 26,226 milliards FCFA) et T3 2025 (PNB 58,119 milliards FCFA, résultat net 27,402 milliards FCFA) confirment une trajectoire de croissance soutenue.</w:t>
      </w:r>
    </w:p>
    <w:p>
      <w:pPr>
        <w:spacing w:after="120" w:line="276" w:lineRule="auto" w:before="240"/>
      </w:pPr>
      <w:r>
        <w:rPr>
          <w:b/>
          <w:color w:val="003366"/>
          <w:sz w:val="24"/>
        </w:rPr>
        <w:t>**PARTIE 4 : CONCLUSION D'INVESTISSEMENT**</w:t>
      </w:r>
    </w:p>
    <w:p>
      <w:pPr>
        <w:spacing w:after="120" w:line="276" w:lineRule="auto"/>
      </w:pPr>
      <w:r>
        <w:t>La valorisation de BICC, avec un PER de 13,3x et un P/B de 4,04x, indique une prime de qualité justifiée par des fondamentaux solides, bien que le marché valorise déjà les performances exceptionnelles. Le comportement du cours, avec une hausse de 17,27% sur 100 jours et une volatilité modérée, reflète une confiance croissante des investisseurs. Les signaux techniques sont globalement positifs, avec une convergence entre les moyennes mobiles et le MACD, tempérée par un stochastique en surachat. Les fondamentaux, avec un ROE de 30,29% et une croissance soutenue, confirment la solidité de la banque. Les prédictions IA indiquent une correction potentielle à 27 330 FCFA sur 10 jours, ce qui pourrait offrir un point d'entrée attractif. La convergence entre la valorisation raisonnable, les signaux techniques positifs et les fondamentaux excellents justifie une recommandation **ACHAT**, avec un niveau de confiance élevé et un risque moyen. L'horizon optimal serait à moyen terme (3-12 mois), permettant de capitaliser sur la croissance continue tout en gérant la volatilité à court terme.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13.18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2,181 titres</w:t>
            </w:r>
          </w:p>
        </w:tc>
        <w:tc>
          <w:tcPr>
            <w:tcW w:type="dxa" w:w="2268"/>
            <w:shd w:fill="FFF2CC" w:val="clear"/>
          </w:tcPr>
          <w:p>
            <w:r>
              <w:rPr>
                <w:b/>
                <w:color w:val="503200"/>
                <w:sz w:val="16"/>
              </w:rPr>
              <w:t xml:space="preserve">Cours actuel : </w:t>
            </w:r>
            <w:r>
              <w:rPr>
                <w:color w:val="000000"/>
                <w:sz w:val="17"/>
              </w:rPr>
              <w:t>1,990 FCFA</w:t>
            </w:r>
          </w:p>
          <w:p>
            <w:r>
              <w:rPr>
                <w:b/>
                <w:color w:val="503200"/>
                <w:sz w:val="16"/>
              </w:rPr>
              <w:t xml:space="preserve">Var. 100 jours : </w:t>
            </w:r>
            <w:r>
              <w:rPr>
                <w:b/>
                <w:color w:val="007800"/>
                <w:sz w:val="17"/>
              </w:rPr>
              <w:t>+24.38%</w:t>
            </w:r>
          </w:p>
          <w:p>
            <w:r>
              <w:rPr>
                <w:b/>
                <w:color w:val="503200"/>
                <w:sz w:val="16"/>
              </w:rPr>
              <w:t xml:space="preserve">Plus haut 100j : </w:t>
            </w:r>
            <w:r>
              <w:rPr>
                <w:color w:val="000000"/>
                <w:sz w:val="17"/>
              </w:rPr>
              <w:t>2,100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47.8%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11.77% (Moyenne) — μ=1,745 FCFA, σ=205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β=0.1316 (Défensif) — Cov=0.000004, Var(idx)=0.000030, ρ=0.024,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2,181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σ_j=3.01%/j (Modérée) — Vol. annualisée≈47.8%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2026-08-20</w:t>
            </w:r>
          </w:p>
        </w:tc>
        <w:tc>
          <w:tcPr>
            <w:tcW w:type="dxa" w:w="1440"/>
            <w:shd w:fill="FAFAFA" w:val="clear"/>
          </w:tcPr>
          <w:p>
            <w:r>
              <w:rPr>
                <w:sz w:val="17"/>
              </w:rPr>
              <w:t>1,902</w:t>
            </w:r>
          </w:p>
        </w:tc>
        <w:tc>
          <w:tcPr>
            <w:tcW w:type="dxa" w:w="1440"/>
            <w:shd w:fill="FAFAFA" w:val="clear"/>
          </w:tcPr>
          <w:p>
            <w:r>
              <w:rPr>
                <w:b/>
                <w:sz w:val="17"/>
              </w:rPr>
              <w:t>1,988</w:t>
            </w:r>
          </w:p>
        </w:tc>
        <w:tc>
          <w:tcPr>
            <w:tcW w:type="dxa" w:w="1440"/>
            <w:shd w:fill="FAFAFA" w:val="clear"/>
          </w:tcPr>
          <w:p>
            <w:r>
              <w:rPr>
                <w:sz w:val="17"/>
              </w:rPr>
              <w:t>2,073</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2026-08-21</w:t>
            </w:r>
          </w:p>
        </w:tc>
        <w:tc>
          <w:tcPr>
            <w:tcW w:type="dxa" w:w="1440"/>
            <w:shd w:fill="FAFAFA" w:val="clear"/>
          </w:tcPr>
          <w:p>
            <w:r>
              <w:rPr>
                <w:sz w:val="17"/>
              </w:rPr>
              <w:t>1,865</w:t>
            </w:r>
          </w:p>
        </w:tc>
        <w:tc>
          <w:tcPr>
            <w:tcW w:type="dxa" w:w="1440"/>
            <w:shd w:fill="FAFAFA" w:val="clear"/>
          </w:tcPr>
          <w:p>
            <w:r>
              <w:rPr>
                <w:b/>
                <w:sz w:val="17"/>
              </w:rPr>
              <w:t>1,986</w:t>
            </w:r>
          </w:p>
        </w:tc>
        <w:tc>
          <w:tcPr>
            <w:tcW w:type="dxa" w:w="1440"/>
            <w:shd w:fill="FAFAFA" w:val="clear"/>
          </w:tcPr>
          <w:p>
            <w:r>
              <w:rPr>
                <w:sz w:val="17"/>
              </w:rPr>
              <w:t>2,107</w:t>
            </w:r>
          </w:p>
        </w:tc>
        <w:tc>
          <w:tcPr>
            <w:tcW w:type="dxa" w:w="1440"/>
            <w:shd w:fill="FAFAFA" w:val="clear"/>
          </w:tcPr>
          <w:p>
            <w:r>
              <w:rPr>
                <w:b/>
                <w:color w:val="C00000"/>
                <w:sz w:val="17"/>
              </w:rPr>
              <w:t>-0.2%</w:t>
            </w:r>
          </w:p>
        </w:tc>
      </w:tr>
      <w:tr>
        <w:tc>
          <w:tcPr>
            <w:tcW w:type="dxa" w:w="1440"/>
            <w:shd w:fill="FAFAFA" w:val="clear"/>
          </w:tcPr>
          <w:p>
            <w:r>
              <w:rPr>
                <w:sz w:val="17"/>
              </w:rPr>
              <w:t>J+3  Moyenne</w:t>
            </w:r>
          </w:p>
        </w:tc>
        <w:tc>
          <w:tcPr>
            <w:tcW w:type="dxa" w:w="1440"/>
            <w:shd w:fill="FAFAFA" w:val="clear"/>
          </w:tcPr>
          <w:p>
            <w:r>
              <w:rPr>
                <w:sz w:val="17"/>
              </w:rPr>
              <w:t>2026-08-24</w:t>
            </w:r>
          </w:p>
        </w:tc>
        <w:tc>
          <w:tcPr>
            <w:tcW w:type="dxa" w:w="1440"/>
            <w:shd w:fill="FAFAFA" w:val="clear"/>
          </w:tcPr>
          <w:p>
            <w:r>
              <w:rPr>
                <w:sz w:val="17"/>
              </w:rPr>
              <w:t>1,836</w:t>
            </w:r>
          </w:p>
        </w:tc>
        <w:tc>
          <w:tcPr>
            <w:tcW w:type="dxa" w:w="1440"/>
            <w:shd w:fill="FAFAFA" w:val="clear"/>
          </w:tcPr>
          <w:p>
            <w:r>
              <w:rPr>
                <w:b/>
                <w:sz w:val="17"/>
              </w:rPr>
              <w:t>1,984</w:t>
            </w:r>
          </w:p>
        </w:tc>
        <w:tc>
          <w:tcPr>
            <w:tcW w:type="dxa" w:w="1440"/>
            <w:shd w:fill="FAFAFA" w:val="clear"/>
          </w:tcPr>
          <w:p>
            <w:r>
              <w:rPr>
                <w:sz w:val="17"/>
              </w:rPr>
              <w:t>2,132</w:t>
            </w:r>
          </w:p>
        </w:tc>
        <w:tc>
          <w:tcPr>
            <w:tcW w:type="dxa" w:w="1440"/>
            <w:shd w:fill="FAFAFA" w:val="clear"/>
          </w:tcPr>
          <w:p>
            <w:r>
              <w:rPr>
                <w:b/>
                <w:color w:val="C00000"/>
                <w:sz w:val="17"/>
              </w:rPr>
              <w:t>-0.3%</w:t>
            </w:r>
          </w:p>
        </w:tc>
      </w:tr>
      <w:tr>
        <w:tc>
          <w:tcPr>
            <w:tcW w:type="dxa" w:w="1440"/>
            <w:shd w:fill="FAFAFA" w:val="clear"/>
          </w:tcPr>
          <w:p>
            <w:r>
              <w:rPr>
                <w:sz w:val="17"/>
              </w:rPr>
              <w:t>J+4  ⭐</w:t>
            </w:r>
          </w:p>
        </w:tc>
        <w:tc>
          <w:tcPr>
            <w:tcW w:type="dxa" w:w="1440"/>
            <w:shd w:fill="FAFAFA" w:val="clear"/>
          </w:tcPr>
          <w:p>
            <w:r>
              <w:rPr>
                <w:sz w:val="17"/>
              </w:rPr>
              <w:t>2026-08-25</w:t>
            </w:r>
          </w:p>
        </w:tc>
        <w:tc>
          <w:tcPr>
            <w:tcW w:type="dxa" w:w="1440"/>
            <w:shd w:fill="FAFAFA" w:val="clear"/>
          </w:tcPr>
          <w:p>
            <w:r>
              <w:rPr>
                <w:sz w:val="17"/>
              </w:rPr>
              <w:t>1,812</w:t>
            </w:r>
          </w:p>
        </w:tc>
        <w:tc>
          <w:tcPr>
            <w:tcW w:type="dxa" w:w="1440"/>
            <w:shd w:fill="FAFAFA" w:val="clear"/>
          </w:tcPr>
          <w:p>
            <w:r>
              <w:rPr>
                <w:b/>
                <w:sz w:val="17"/>
              </w:rPr>
              <w:t>1,982</w:t>
            </w:r>
          </w:p>
        </w:tc>
        <w:tc>
          <w:tcPr>
            <w:tcW w:type="dxa" w:w="1440"/>
            <w:shd w:fill="FAFAFA" w:val="clear"/>
          </w:tcPr>
          <w:p>
            <w:r>
              <w:rPr>
                <w:sz w:val="17"/>
              </w:rPr>
              <w:t>2,153</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2026-08-27</w:t>
            </w:r>
          </w:p>
        </w:tc>
        <w:tc>
          <w:tcPr>
            <w:tcW w:type="dxa" w:w="1440"/>
            <w:shd w:fill="FAFAFA" w:val="clear"/>
          </w:tcPr>
          <w:p>
            <w:r>
              <w:rPr>
                <w:sz w:val="17"/>
              </w:rPr>
              <w:t>1,790</w:t>
            </w:r>
          </w:p>
        </w:tc>
        <w:tc>
          <w:tcPr>
            <w:tcW w:type="dxa" w:w="1440"/>
            <w:shd w:fill="FAFAFA" w:val="clear"/>
          </w:tcPr>
          <w:p>
            <w:r>
              <w:rPr>
                <w:b/>
                <w:sz w:val="17"/>
              </w:rPr>
              <w:t>1,980</w:t>
            </w:r>
          </w:p>
        </w:tc>
        <w:tc>
          <w:tcPr>
            <w:tcW w:type="dxa" w:w="1440"/>
            <w:shd w:fill="FAFAFA" w:val="clear"/>
          </w:tcPr>
          <w:p>
            <w:r>
              <w:rPr>
                <w:sz w:val="17"/>
              </w:rPr>
              <w:t>2,171</w:t>
            </w:r>
          </w:p>
        </w:tc>
        <w:tc>
          <w:tcPr>
            <w:tcW w:type="dxa" w:w="1440"/>
            <w:shd w:fill="FAFAFA" w:val="clear"/>
          </w:tcPr>
          <w:p>
            <w:r>
              <w:rPr>
                <w:b/>
                <w:color w:val="C00000"/>
                <w:sz w:val="17"/>
              </w:rPr>
              <w:t>-0.5%</w:t>
            </w:r>
          </w:p>
        </w:tc>
      </w:tr>
      <w:tr>
        <w:tc>
          <w:tcPr>
            <w:tcW w:type="dxa" w:w="1440"/>
            <w:shd w:fill="FAFAFA" w:val="clear"/>
          </w:tcPr>
          <w:p>
            <w:r>
              <w:rPr>
                <w:sz w:val="17"/>
              </w:rPr>
              <w:t>J+6  ⭐</w:t>
            </w:r>
          </w:p>
        </w:tc>
        <w:tc>
          <w:tcPr>
            <w:tcW w:type="dxa" w:w="1440"/>
            <w:shd w:fill="FAFAFA" w:val="clear"/>
          </w:tcPr>
          <w:p>
            <w:r>
              <w:rPr>
                <w:sz w:val="17"/>
              </w:rPr>
              <w:t>2026-08-28</w:t>
            </w:r>
          </w:p>
        </w:tc>
        <w:tc>
          <w:tcPr>
            <w:tcW w:type="dxa" w:w="1440"/>
            <w:shd w:fill="FAFAFA" w:val="clear"/>
          </w:tcPr>
          <w:p>
            <w:r>
              <w:rPr>
                <w:sz w:val="17"/>
              </w:rPr>
              <w:t>1,770</w:t>
            </w:r>
          </w:p>
        </w:tc>
        <w:tc>
          <w:tcPr>
            <w:tcW w:type="dxa" w:w="1440"/>
            <w:shd w:fill="FAFAFA" w:val="clear"/>
          </w:tcPr>
          <w:p>
            <w:r>
              <w:rPr>
                <w:b/>
                <w:sz w:val="17"/>
              </w:rPr>
              <w:t>1,979</w:t>
            </w:r>
          </w:p>
        </w:tc>
        <w:tc>
          <w:tcPr>
            <w:tcW w:type="dxa" w:w="1440"/>
            <w:shd w:fill="FAFAFA" w:val="clear"/>
          </w:tcPr>
          <w:p>
            <w:r>
              <w:rPr>
                <w:sz w:val="17"/>
              </w:rPr>
              <w:t>2,188</w:t>
            </w:r>
          </w:p>
        </w:tc>
        <w:tc>
          <w:tcPr>
            <w:tcW w:type="dxa" w:w="1440"/>
            <w:shd w:fill="FAFAFA" w:val="clear"/>
          </w:tcPr>
          <w:p>
            <w:r>
              <w:rPr>
                <w:b/>
                <w:color w:val="C00000"/>
                <w:sz w:val="17"/>
              </w:rPr>
              <w:t>-0.6%</w:t>
            </w:r>
          </w:p>
        </w:tc>
      </w:tr>
      <w:tr>
        <w:tc>
          <w:tcPr>
            <w:tcW w:type="dxa" w:w="1440"/>
            <w:shd w:fill="FAFAFA" w:val="clear"/>
          </w:tcPr>
          <w:p>
            <w:r>
              <w:rPr>
                <w:sz w:val="17"/>
              </w:rPr>
              <w:t>J+7  ⭐</w:t>
            </w:r>
          </w:p>
        </w:tc>
        <w:tc>
          <w:tcPr>
            <w:tcW w:type="dxa" w:w="1440"/>
            <w:shd w:fill="FAFAFA" w:val="clear"/>
          </w:tcPr>
          <w:p>
            <w:r>
              <w:rPr>
                <w:sz w:val="17"/>
              </w:rPr>
              <w:t>2026-08-31</w:t>
            </w:r>
          </w:p>
        </w:tc>
        <w:tc>
          <w:tcPr>
            <w:tcW w:type="dxa" w:w="1440"/>
            <w:shd w:fill="FAFAFA" w:val="clear"/>
          </w:tcPr>
          <w:p>
            <w:r>
              <w:rPr>
                <w:sz w:val="17"/>
              </w:rPr>
              <w:t>1,753</w:t>
            </w:r>
          </w:p>
        </w:tc>
        <w:tc>
          <w:tcPr>
            <w:tcW w:type="dxa" w:w="1440"/>
            <w:shd w:fill="FAFAFA" w:val="clear"/>
          </w:tcPr>
          <w:p>
            <w:r>
              <w:rPr>
                <w:b/>
                <w:sz w:val="17"/>
              </w:rPr>
              <w:t>1,978</w:t>
            </w:r>
          </w:p>
        </w:tc>
        <w:tc>
          <w:tcPr>
            <w:tcW w:type="dxa" w:w="1440"/>
            <w:shd w:fill="FAFAFA" w:val="clear"/>
          </w:tcPr>
          <w:p>
            <w:r>
              <w:rPr>
                <w:sz w:val="17"/>
              </w:rPr>
              <w:t>2,203</w:t>
            </w:r>
          </w:p>
        </w:tc>
        <w:tc>
          <w:tcPr>
            <w:tcW w:type="dxa" w:w="1440"/>
            <w:shd w:fill="FAFAFA" w:val="clear"/>
          </w:tcPr>
          <w:p>
            <w:r>
              <w:rPr>
                <w:b/>
                <w:color w:val="C00000"/>
                <w:sz w:val="17"/>
              </w:rPr>
              <w:t>-0.6%</w:t>
            </w:r>
          </w:p>
        </w:tc>
      </w:tr>
      <w:tr>
        <w:tc>
          <w:tcPr>
            <w:tcW w:type="dxa" w:w="1440"/>
            <w:shd w:fill="FAFAFA" w:val="clear"/>
          </w:tcPr>
          <w:p>
            <w:r>
              <w:rPr>
                <w:sz w:val="17"/>
              </w:rPr>
              <w:t>J+8  ⭐</w:t>
            </w:r>
          </w:p>
        </w:tc>
        <w:tc>
          <w:tcPr>
            <w:tcW w:type="dxa" w:w="1440"/>
            <w:shd w:fill="FAFAFA" w:val="clear"/>
          </w:tcPr>
          <w:p>
            <w:r>
              <w:rPr>
                <w:sz w:val="17"/>
              </w:rPr>
              <w:t>2026-09-01</w:t>
            </w:r>
          </w:p>
        </w:tc>
        <w:tc>
          <w:tcPr>
            <w:tcW w:type="dxa" w:w="1440"/>
            <w:shd w:fill="FAFAFA" w:val="clear"/>
          </w:tcPr>
          <w:p>
            <w:r>
              <w:rPr>
                <w:sz w:val="17"/>
              </w:rPr>
              <w:t>1,736</w:t>
            </w:r>
          </w:p>
        </w:tc>
        <w:tc>
          <w:tcPr>
            <w:tcW w:type="dxa" w:w="1440"/>
            <w:shd w:fill="FAFAFA" w:val="clear"/>
          </w:tcPr>
          <w:p>
            <w:r>
              <w:rPr>
                <w:b/>
                <w:sz w:val="17"/>
              </w:rPr>
              <w:t>1,976</w:t>
            </w:r>
          </w:p>
        </w:tc>
        <w:tc>
          <w:tcPr>
            <w:tcW w:type="dxa" w:w="1440"/>
            <w:shd w:fill="FAFAFA" w:val="clear"/>
          </w:tcPr>
          <w:p>
            <w:r>
              <w:rPr>
                <w:sz w:val="17"/>
              </w:rPr>
              <w:t>2,217</w:t>
            </w:r>
          </w:p>
        </w:tc>
        <w:tc>
          <w:tcPr>
            <w:tcW w:type="dxa" w:w="1440"/>
            <w:shd w:fill="FAFAFA" w:val="clear"/>
          </w:tcPr>
          <w:p>
            <w:r>
              <w:rPr>
                <w:b/>
                <w:color w:val="C00000"/>
                <w:sz w:val="17"/>
              </w:rPr>
              <w:t>-0.7%</w:t>
            </w:r>
          </w:p>
        </w:tc>
      </w:tr>
      <w:tr>
        <w:tc>
          <w:tcPr>
            <w:tcW w:type="dxa" w:w="1440"/>
            <w:shd w:fill="FAFAFA" w:val="clear"/>
          </w:tcPr>
          <w:p>
            <w:r>
              <w:rPr>
                <w:sz w:val="17"/>
              </w:rPr>
              <w:t>J+9  ⭐</w:t>
            </w:r>
          </w:p>
        </w:tc>
        <w:tc>
          <w:tcPr>
            <w:tcW w:type="dxa" w:w="1440"/>
            <w:shd w:fill="FAFAFA" w:val="clear"/>
          </w:tcPr>
          <w:p>
            <w:r>
              <w:rPr>
                <w:sz w:val="17"/>
              </w:rPr>
              <w:t>2026-09-02</w:t>
            </w:r>
          </w:p>
        </w:tc>
        <w:tc>
          <w:tcPr>
            <w:tcW w:type="dxa" w:w="1440"/>
            <w:shd w:fill="FAFAFA" w:val="clear"/>
          </w:tcPr>
          <w:p>
            <w:r>
              <w:rPr>
                <w:sz w:val="17"/>
              </w:rPr>
              <w:t>1,720</w:t>
            </w:r>
          </w:p>
        </w:tc>
        <w:tc>
          <w:tcPr>
            <w:tcW w:type="dxa" w:w="1440"/>
            <w:shd w:fill="FAFAFA" w:val="clear"/>
          </w:tcPr>
          <w:p>
            <w:r>
              <w:rPr>
                <w:b/>
                <w:sz w:val="17"/>
              </w:rPr>
              <w:t>1,975</w:t>
            </w:r>
          </w:p>
        </w:tc>
        <w:tc>
          <w:tcPr>
            <w:tcW w:type="dxa" w:w="1440"/>
            <w:shd w:fill="FAFAFA" w:val="clear"/>
          </w:tcPr>
          <w:p>
            <w:r>
              <w:rPr>
                <w:sz w:val="17"/>
              </w:rPr>
              <w:t>2,230</w:t>
            </w:r>
          </w:p>
        </w:tc>
        <w:tc>
          <w:tcPr>
            <w:tcW w:type="dxa" w:w="1440"/>
            <w:shd w:fill="FAFAFA" w:val="clear"/>
          </w:tcPr>
          <w:p>
            <w:r>
              <w:rPr>
                <w:b/>
                <w:color w:val="C00000"/>
                <w:sz w:val="17"/>
              </w:rPr>
              <w:t>-0.8%</w:t>
            </w:r>
          </w:p>
        </w:tc>
      </w:tr>
      <w:tr>
        <w:tc>
          <w:tcPr>
            <w:tcW w:type="dxa" w:w="1440"/>
            <w:shd w:fill="FAFAFA" w:val="clear"/>
          </w:tcPr>
          <w:p>
            <w:r>
              <w:rPr>
                <w:sz w:val="17"/>
              </w:rPr>
              <w:t>J+10  ⭐</w:t>
            </w:r>
          </w:p>
        </w:tc>
        <w:tc>
          <w:tcPr>
            <w:tcW w:type="dxa" w:w="1440"/>
            <w:shd w:fill="FAFAFA" w:val="clear"/>
          </w:tcPr>
          <w:p>
            <w:r>
              <w:rPr>
                <w:sz w:val="17"/>
              </w:rPr>
              <w:t>2026-09-03</w:t>
            </w:r>
          </w:p>
        </w:tc>
        <w:tc>
          <w:tcPr>
            <w:tcW w:type="dxa" w:w="1440"/>
            <w:shd w:fill="FAFAFA" w:val="clear"/>
          </w:tcPr>
          <w:p>
            <w:r>
              <w:rPr>
                <w:sz w:val="17"/>
              </w:rPr>
              <w:t>1,705</w:t>
            </w:r>
          </w:p>
        </w:tc>
        <w:tc>
          <w:tcPr>
            <w:tcW w:type="dxa" w:w="1440"/>
            <w:shd w:fill="FAFAFA" w:val="clear"/>
          </w:tcPr>
          <w:p>
            <w:r>
              <w:rPr>
                <w:b/>
                <w:sz w:val="17"/>
              </w:rPr>
              <w:t>1,974</w:t>
            </w:r>
          </w:p>
        </w:tc>
        <w:tc>
          <w:tcPr>
            <w:tcW w:type="dxa" w:w="1440"/>
            <w:shd w:fill="FAFAFA" w:val="clear"/>
          </w:tcPr>
          <w:p>
            <w:r>
              <w:rPr>
                <w:sz w:val="17"/>
              </w:rPr>
              <w:t>2,242</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BNBC s'établit à 13,18 milliards FCFA, un niveau modeste dans l'écosystème BRVM, reflétant un profil de petite capitalisation. Le BPA de 3 FCFA par action est extrêmement faible, ce qui explique un PER de 590,6x, très largement supérieur à la moyenne du marché régional (8-12x). Les investisseurs paient donc un prix excessif pour des bénéfices quasi inexistants. En revanche, le P/B de 0,74x indique que le marché valorise le titre sous sa valeur comptable, suggérant une décote potentielle sur l'actif net. Enfin, l'EV/EBITDA de 24,2x, bien supérieur au seuil de 15x, confirme une valorisation exigeante au regard de la capacité opérationnelle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BNBC a enregistré une progression spectaculaire de +24,38%, avec une légère consolidation de -0,25% lors de la dernière séance, pour s'établir à 1 990 FCFA. Le cours a évolué dans une fourchette de 1 300 à 2 100 FCFA, démontrant une forte amplitude de trading. La moyenne (1 745 FCFA) est légèrement supérieure à la médiane (1 725 FCFA), indiquant une distribution quasi symétrique, confirmée par un skewness de -0,135. L'écart-type de 207 FCFA (CV=11,8%) révèle une dispersion modérée, tandis que le kurtosis de -1,297 (platykurtique) suggère une faible concentration des prix autour de la moyenne, avec un risque de mouvements brusques. La volatilité annualisée de 47,8% classe le titre comme très volatil, un niveau élevé qui implique un risque substantiel pour les investisseurs.</w:t>
      </w:r>
    </w:p>
    <w:p>
      <w:pPr>
        <w:spacing w:after="120" w:line="276" w:lineRule="auto" w:before="240"/>
      </w:pPr>
      <w:r>
        <w:rPr>
          <w:b/>
          <w:color w:val="003366"/>
          <w:sz w:val="24"/>
        </w:rPr>
        <w:t>**PARTIE 2 : ANALYSE TECHNIQUE DÉTAILLÉE**</w:t>
      </w:r>
    </w:p>
    <w:p>
      <w:pPr>
        <w:spacing w:after="120" w:line="276" w:lineRule="auto"/>
      </w:pPr>
      <w:r>
        <w:t>Les moyennes mobiles MM20 (1 945 FCFA) et MM50 (1 933,8 FCFA) sont toutes deux inférieures au cours actuel de 1 990 FCFA, configurant une tendance haussière. Le signal d'achat est justifié par la position du prix au-dessus de ces moyennes, indiquant un momentum positif à court et moyen terme.</w:t>
      </w:r>
    </w:p>
    <w:p>
      <w:pPr>
        <w:spacing w:after="120" w:line="276" w:lineRule="auto"/>
      </w:pPr>
      <w:r>
        <w:t>Les bandes de Bollinger encadrent le cours entre 1 847,83 et 2 042,17 FCFA. Le prix se situe dans la partie supérieure de la bande, sans toucher la borne, ce qui suggère une volatilité modérée. La décision neutre reflète l'absence de signal extrême, le cours n'étant ni suracheté ni survendu.</w:t>
      </w:r>
    </w:p>
    <w:p>
      <w:pPr>
        <w:spacing w:after="120" w:line="276" w:lineRule="auto"/>
      </w:pPr>
      <w:r>
        <w:t>Le MACD (27,171) est supérieur à son signal (22,15), confirmant un momentum haussier. Cette configuration positive indique que la dynamique d'achat reste dominante, justifiant la décision d'achat.</w:t>
      </w:r>
    </w:p>
    <w:p>
      <w:pPr>
        <w:spacing w:after="120" w:line="276" w:lineRule="auto"/>
      </w:pPr>
      <w:r>
        <w:t>Le RSI à 76,744 dépasse largement le seuil de surachat de 70, signalant une pression acheteuse excessive. Cette situation appelle à la prudence, car un retournement baissier est statistiquement probable à ces niveaux.</w:t>
      </w:r>
    </w:p>
    <w:p>
      <w:pPr>
        <w:spacing w:after="120" w:line="276" w:lineRule="auto"/>
      </w:pPr>
      <w:r>
        <w:t>Le stochastique (%K=91,667, %D=91,889) est également en zone de surachat extrême, avec des valeurs proches de 100. Le croisement potentiel de ces lignes pourrait déclencher un signal de vente à court terme.</w:t>
      </w:r>
    </w:p>
    <w:p>
      <w:pPr>
        <w:spacing w:after="120" w:line="276" w:lineRule="auto"/>
      </w:pPr>
      <w:r>
        <w:t>En conclusion, la convergence des indicateurs de momentum (MACD, MM) vers l'achat est contrebalancée par les oscillateurs de surachat (RSI, Stochastique) qui suggèrent une correction imminente. Le titre est techniquement solide mais vulnérable à un repli technique à court terme.</w:t>
      </w:r>
    </w:p>
    <w:p>
      <w:pPr>
        <w:spacing w:after="120" w:line="276" w:lineRule="auto" w:before="240"/>
      </w:pPr>
      <w:r>
        <w:rPr>
          <w:b/>
          <w:color w:val="003366"/>
          <w:sz w:val="24"/>
        </w:rPr>
        <w:t>**PARTIE 3 : ANALYSE FONDAMENTALE (SECTION CRITIQUE)**</w:t>
      </w:r>
    </w:p>
    <w:p>
      <w:pPr>
        <w:spacing w:after="120" w:line="276" w:lineRule="auto"/>
      </w:pPr>
      <w:r>
        <w:t>En 2025, BNBC a réalisé un chiffre d'affaires de 42,454 milliards FCFA, en baisse de 6,31% par rapport à 2024 (45,312 milliards FCFA). Le résultat net s'établit à 22,32 millions FCFA, contre 7,31 millions en 2024, soit une amélioration de 205%, mais la marge nette reste anémique à 0,05%. Le ROE de 0,13% et le ROA de 0,05% sont très en deçà des standards (&gt;15% pour le ROE), traduisant une rentabilité quasi nulle. En tant qu'entreprise non bancaire, l'analyse se concentre sur le BFR de 29,373 milliards FCFA, un niveau élevé, avec un délai clients de 104 jours (risque de trésorerie) et une durée de stockage de 339 jours (immobilisation importante de capital). L'endettement total de 31,371 milliards FCFA représente 105,48% des capitaux propres, un ratio préoccupant. Les rapports trimestriels 2025 montrent une dégradation progressive : perte de -157 millions sur 9 mois, malgré une amélioration de la marge brute. Cependant, le rapport T1 2026 (publié en mai 2026) révèle un retournement spectaculaire avec un résultat net positif de 65,57 millions FCFA, contre une perte de 16,15 millions au T1 2025, grâce à l'intégration de la division Équipement. Sur cette base, on estime que l'exercice 2026 pourrait renouer avec une rentabilité plus significative, mais la fragilité structurelle demeure.</w:t>
      </w:r>
    </w:p>
    <w:p>
      <w:pPr>
        <w:spacing w:after="120" w:line="276" w:lineRule="auto" w:before="240"/>
      </w:pPr>
      <w:r>
        <w:rPr>
          <w:b/>
          <w:color w:val="003366"/>
          <w:sz w:val="24"/>
        </w:rPr>
        <w:t>**PARTIE 4 : CONCLUSION D'INVESTISSEMENT**</w:t>
      </w:r>
    </w:p>
    <w:p>
      <w:pPr>
        <w:spacing w:after="120" w:line="276" w:lineRule="auto"/>
      </w:pPr>
      <w:r>
        <w:t>La valorisation de BNBC est paradoxale : un PER de 590,6x indique une surévaluation flagrante, tandis que le P/B de 0,74x suggère une décote sur l'actif net. Le comportement du cours (+24,38% sur 100 jours) est haussier mais avec une volatilité élevée (47,8%) et des statistiques (kurtosis platykurtique) qui signalent un risque de mouvements brusques. Les signaux techniques sont mitigés : les moyennes mobiles et le MACD sont positifs, mais le RSI et le stochastique en surachat extrême appellent à une correction. Fondamentalement, la société reste fragile avec une rentabilité quasi nulle en 2025, malgré un T1 2026 encourageant. Les prédictions IA (1 988 à 1 980 FCFA sur 10 jours) suggèrent une légère consolidation, contredisant partiellement la tendance haussière récente. La convergence entre la surévaluation boursière, les signaux techniques de surachat et les fondamentaux fragiles conduit à une recommandation de **CONSERVER** avec un niveau de confiance **Moyen**. Le risque global est **Élevé** en raison de la volatilité et de la faiblesse structurelle. L'horizon d'investissement optimal est le **moyen terme (3-12 mois)**, en attendant la confirmation d'une amélioration durable de la rentabilité.</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369.11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5,775 titres</w:t>
            </w:r>
          </w:p>
        </w:tc>
        <w:tc>
          <w:tcPr>
            <w:tcW w:type="dxa" w:w="2268"/>
            <w:shd w:fill="FFF2CC" w:val="clear"/>
          </w:tcPr>
          <w:p>
            <w:r>
              <w:rPr>
                <w:b/>
                <w:color w:val="503200"/>
                <w:sz w:val="16"/>
              </w:rPr>
              <w:t xml:space="preserve">Cours actuel : </w:t>
            </w:r>
            <w:r>
              <w:rPr>
                <w:color w:val="000000"/>
                <w:sz w:val="17"/>
              </w:rPr>
              <w:t>9,100 FCFA</w:t>
            </w:r>
          </w:p>
          <w:p>
            <w:r>
              <w:rPr>
                <w:b/>
                <w:color w:val="503200"/>
                <w:sz w:val="16"/>
              </w:rPr>
              <w:t xml:space="preserve">Var. 100 jours : </w:t>
            </w:r>
            <w:r>
              <w:rPr>
                <w:b/>
                <w:color w:val="007800"/>
                <w:sz w:val="17"/>
              </w:rPr>
              <w:t>+24.66%</w:t>
            </w:r>
          </w:p>
          <w:p>
            <w:r>
              <w:rPr>
                <w:b/>
                <w:color w:val="503200"/>
                <w:sz w:val="16"/>
              </w:rPr>
              <w:t xml:space="preserve">Plus haut 100j : </w:t>
            </w:r>
            <w:r>
              <w:rPr>
                <w:color w:val="000000"/>
                <w:sz w:val="17"/>
              </w:rPr>
              <w:t>9,420 FCFA</w:t>
            </w:r>
          </w:p>
          <w:p>
            <w:r>
              <w:rPr>
                <w:b/>
                <w:color w:val="503200"/>
                <w:sz w:val="16"/>
              </w:rPr>
              <w:t xml:space="preserve">Plus bas 100j : </w:t>
            </w:r>
            <w:r>
              <w:rPr>
                <w:color w:val="000000"/>
                <w:sz w:val="17"/>
              </w:rPr>
              <w:t>7,295 FCFA</w:t>
            </w:r>
          </w:p>
          <w:p>
            <w:r>
              <w:rPr>
                <w:b/>
                <w:color w:val="503200"/>
                <w:sz w:val="16"/>
              </w:rPr>
              <w:t xml:space="preserve">Volatilité ann. : </w:t>
            </w:r>
            <w:r>
              <w:rPr>
                <w:color w:val="000000"/>
                <w:sz w:val="17"/>
              </w:rPr>
              <w:t>24.0%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6.60% (Moyenne) — μ=8,624 FCFA, σ=569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β=-0.4167 (Contre-cyclique) — Cov=-0.000013, Var(idx)=0.000030, ρ=-0.173,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5,775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σ_j=1.51%/j (Stable) — Vol. annualisée≈24.0%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2026-08-20</w:t>
            </w:r>
          </w:p>
        </w:tc>
        <w:tc>
          <w:tcPr>
            <w:tcW w:type="dxa" w:w="1440"/>
            <w:shd w:fill="FFDCE0" w:val="clear"/>
          </w:tcPr>
          <w:p>
            <w:r>
              <w:rPr>
                <w:sz w:val="17"/>
              </w:rPr>
              <w:t>8,603</w:t>
            </w:r>
          </w:p>
        </w:tc>
        <w:tc>
          <w:tcPr>
            <w:tcW w:type="dxa" w:w="1440"/>
            <w:shd w:fill="FFDCE0" w:val="clear"/>
          </w:tcPr>
          <w:p>
            <w:r>
              <w:rPr>
                <w:b/>
                <w:sz w:val="17"/>
              </w:rPr>
              <w:t>8,833</w:t>
            </w:r>
          </w:p>
        </w:tc>
        <w:tc>
          <w:tcPr>
            <w:tcW w:type="dxa" w:w="1440"/>
            <w:shd w:fill="FFDCE0" w:val="clear"/>
          </w:tcPr>
          <w:p>
            <w:r>
              <w:rPr>
                <w:sz w:val="17"/>
              </w:rPr>
              <w:t>9,064</w:t>
            </w:r>
          </w:p>
        </w:tc>
        <w:tc>
          <w:tcPr>
            <w:tcW w:type="dxa" w:w="1440"/>
            <w:shd w:fill="FFDCE0" w:val="clear"/>
          </w:tcPr>
          <w:p>
            <w:r>
              <w:rPr>
                <w:b/>
                <w:color w:val="C00000"/>
                <w:sz w:val="17"/>
              </w:rPr>
              <w:t>-2.9%</w:t>
            </w:r>
          </w:p>
        </w:tc>
      </w:tr>
      <w:tr>
        <w:tc>
          <w:tcPr>
            <w:tcW w:type="dxa" w:w="1440"/>
            <w:shd w:fill="FFDCE0" w:val="clear"/>
          </w:tcPr>
          <w:p>
            <w:r>
              <w:rPr>
                <w:sz w:val="17"/>
              </w:rPr>
              <w:t>J+2  ⭐⭐⭐</w:t>
            </w:r>
          </w:p>
        </w:tc>
        <w:tc>
          <w:tcPr>
            <w:tcW w:type="dxa" w:w="1440"/>
            <w:shd w:fill="FFDCE0" w:val="clear"/>
          </w:tcPr>
          <w:p>
            <w:r>
              <w:rPr>
                <w:sz w:val="17"/>
              </w:rPr>
              <w:t>2026-08-21</w:t>
            </w:r>
          </w:p>
        </w:tc>
        <w:tc>
          <w:tcPr>
            <w:tcW w:type="dxa" w:w="1440"/>
            <w:shd w:fill="FFDCE0" w:val="clear"/>
          </w:tcPr>
          <w:p>
            <w:r>
              <w:rPr>
                <w:sz w:val="17"/>
              </w:rPr>
              <w:t>8,334</w:t>
            </w:r>
          </w:p>
        </w:tc>
        <w:tc>
          <w:tcPr>
            <w:tcW w:type="dxa" w:w="1440"/>
            <w:shd w:fill="FFDCE0" w:val="clear"/>
          </w:tcPr>
          <w:p>
            <w:r>
              <w:rPr>
                <w:b/>
                <w:sz w:val="17"/>
              </w:rPr>
              <w:t>8,654</w:t>
            </w:r>
          </w:p>
        </w:tc>
        <w:tc>
          <w:tcPr>
            <w:tcW w:type="dxa" w:w="1440"/>
            <w:shd w:fill="FFDCE0" w:val="clear"/>
          </w:tcPr>
          <w:p>
            <w:r>
              <w:rPr>
                <w:sz w:val="17"/>
              </w:rPr>
              <w:t>8,973</w:t>
            </w:r>
          </w:p>
        </w:tc>
        <w:tc>
          <w:tcPr>
            <w:tcW w:type="dxa" w:w="1440"/>
            <w:shd w:fill="FFDCE0" w:val="clear"/>
          </w:tcPr>
          <w:p>
            <w:r>
              <w:rPr>
                <w:b/>
                <w:color w:val="C00000"/>
                <w:sz w:val="17"/>
              </w:rPr>
              <w:t>-4.9%</w:t>
            </w:r>
          </w:p>
        </w:tc>
      </w:tr>
      <w:tr>
        <w:tc>
          <w:tcPr>
            <w:tcW w:type="dxa" w:w="1440"/>
            <w:shd w:fill="FFDCE0" w:val="clear"/>
          </w:tcPr>
          <w:p>
            <w:r>
              <w:rPr>
                <w:sz w:val="17"/>
              </w:rPr>
              <w:t>J+3  ⭐⭐⭐</w:t>
            </w:r>
          </w:p>
        </w:tc>
        <w:tc>
          <w:tcPr>
            <w:tcW w:type="dxa" w:w="1440"/>
            <w:shd w:fill="FFDCE0" w:val="clear"/>
          </w:tcPr>
          <w:p>
            <w:r>
              <w:rPr>
                <w:sz w:val="17"/>
              </w:rPr>
              <w:t>2026-08-24</w:t>
            </w:r>
          </w:p>
        </w:tc>
        <w:tc>
          <w:tcPr>
            <w:tcW w:type="dxa" w:w="1440"/>
            <w:shd w:fill="FFDCE0" w:val="clear"/>
          </w:tcPr>
          <w:p>
            <w:r>
              <w:rPr>
                <w:sz w:val="17"/>
              </w:rPr>
              <w:t>8,128</w:t>
            </w:r>
          </w:p>
        </w:tc>
        <w:tc>
          <w:tcPr>
            <w:tcW w:type="dxa" w:w="1440"/>
            <w:shd w:fill="FFDCE0" w:val="clear"/>
          </w:tcPr>
          <w:p>
            <w:r>
              <w:rPr>
                <w:b/>
                <w:sz w:val="17"/>
              </w:rPr>
              <w:t>8,513</w:t>
            </w:r>
          </w:p>
        </w:tc>
        <w:tc>
          <w:tcPr>
            <w:tcW w:type="dxa" w:w="1440"/>
            <w:shd w:fill="FFDCE0" w:val="clear"/>
          </w:tcPr>
          <w:p>
            <w:r>
              <w:rPr>
                <w:sz w:val="17"/>
              </w:rPr>
              <w:t>8,897</w:t>
            </w:r>
          </w:p>
        </w:tc>
        <w:tc>
          <w:tcPr>
            <w:tcW w:type="dxa" w:w="1440"/>
            <w:shd w:fill="FFDCE0" w:val="clear"/>
          </w:tcPr>
          <w:p>
            <w:r>
              <w:rPr>
                <w:b/>
                <w:color w:val="C00000"/>
                <w:sz w:val="17"/>
              </w:rPr>
              <w:t>-6.5%</w:t>
            </w:r>
          </w:p>
        </w:tc>
      </w:tr>
      <w:tr>
        <w:tc>
          <w:tcPr>
            <w:tcW w:type="dxa" w:w="1440"/>
            <w:shd w:fill="FFDCE0" w:val="clear"/>
          </w:tcPr>
          <w:p>
            <w:r>
              <w:rPr>
                <w:sz w:val="17"/>
              </w:rPr>
              <w:t>J+4  Moyenne</w:t>
            </w:r>
          </w:p>
        </w:tc>
        <w:tc>
          <w:tcPr>
            <w:tcW w:type="dxa" w:w="1440"/>
            <w:shd w:fill="FFDCE0" w:val="clear"/>
          </w:tcPr>
          <w:p>
            <w:r>
              <w:rPr>
                <w:sz w:val="17"/>
              </w:rPr>
              <w:t>2026-08-25</w:t>
            </w:r>
          </w:p>
        </w:tc>
        <w:tc>
          <w:tcPr>
            <w:tcW w:type="dxa" w:w="1440"/>
            <w:shd w:fill="FFDCE0" w:val="clear"/>
          </w:tcPr>
          <w:p>
            <w:r>
              <w:rPr>
                <w:sz w:val="17"/>
              </w:rPr>
              <w:t>7,961</w:t>
            </w:r>
          </w:p>
        </w:tc>
        <w:tc>
          <w:tcPr>
            <w:tcW w:type="dxa" w:w="1440"/>
            <w:shd w:fill="FFDCE0" w:val="clear"/>
          </w:tcPr>
          <w:p>
            <w:r>
              <w:rPr>
                <w:b/>
                <w:sz w:val="17"/>
              </w:rPr>
              <w:t>8,400</w:t>
            </w:r>
          </w:p>
        </w:tc>
        <w:tc>
          <w:tcPr>
            <w:tcW w:type="dxa" w:w="1440"/>
            <w:shd w:fill="FFDCE0" w:val="clear"/>
          </w:tcPr>
          <w:p>
            <w:r>
              <w:rPr>
                <w:sz w:val="17"/>
              </w:rPr>
              <w:t>8,838</w:t>
            </w:r>
          </w:p>
        </w:tc>
        <w:tc>
          <w:tcPr>
            <w:tcW w:type="dxa" w:w="1440"/>
            <w:shd w:fill="FFDCE0" w:val="clear"/>
          </w:tcPr>
          <w:p>
            <w:r>
              <w:rPr>
                <w:b/>
                <w:color w:val="C00000"/>
                <w:sz w:val="17"/>
              </w:rPr>
              <w:t>-7.7%</w:t>
            </w:r>
          </w:p>
        </w:tc>
      </w:tr>
      <w:tr>
        <w:tc>
          <w:tcPr>
            <w:tcW w:type="dxa" w:w="1440"/>
            <w:shd w:fill="FFDCE0" w:val="clear"/>
          </w:tcPr>
          <w:p>
            <w:r>
              <w:rPr>
                <w:sz w:val="17"/>
              </w:rPr>
              <w:t>J+5  Moyenne</w:t>
            </w:r>
          </w:p>
        </w:tc>
        <w:tc>
          <w:tcPr>
            <w:tcW w:type="dxa" w:w="1440"/>
            <w:shd w:fill="FFDCE0" w:val="clear"/>
          </w:tcPr>
          <w:p>
            <w:r>
              <w:rPr>
                <w:sz w:val="17"/>
              </w:rPr>
              <w:t>2026-08-27</w:t>
            </w:r>
          </w:p>
        </w:tc>
        <w:tc>
          <w:tcPr>
            <w:tcW w:type="dxa" w:w="1440"/>
            <w:shd w:fill="FFDCE0" w:val="clear"/>
          </w:tcPr>
          <w:p>
            <w:r>
              <w:rPr>
                <w:sz w:val="17"/>
              </w:rPr>
              <w:t>7,815</w:t>
            </w:r>
          </w:p>
        </w:tc>
        <w:tc>
          <w:tcPr>
            <w:tcW w:type="dxa" w:w="1440"/>
            <w:shd w:fill="FFDCE0" w:val="clear"/>
          </w:tcPr>
          <w:p>
            <w:r>
              <w:rPr>
                <w:b/>
                <w:sz w:val="17"/>
              </w:rPr>
              <w:t>8,299</w:t>
            </w:r>
          </w:p>
        </w:tc>
        <w:tc>
          <w:tcPr>
            <w:tcW w:type="dxa" w:w="1440"/>
            <w:shd w:fill="FFDCE0" w:val="clear"/>
          </w:tcPr>
          <w:p>
            <w:r>
              <w:rPr>
                <w:sz w:val="17"/>
              </w:rPr>
              <w:t>8,784</w:t>
            </w:r>
          </w:p>
        </w:tc>
        <w:tc>
          <w:tcPr>
            <w:tcW w:type="dxa" w:w="1440"/>
            <w:shd w:fill="FFDCE0" w:val="clear"/>
          </w:tcPr>
          <w:p>
            <w:r>
              <w:rPr>
                <w:b/>
                <w:color w:val="C00000"/>
                <w:sz w:val="17"/>
              </w:rPr>
              <w:t>-8.8%</w:t>
            </w:r>
          </w:p>
        </w:tc>
      </w:tr>
      <w:tr>
        <w:tc>
          <w:tcPr>
            <w:tcW w:type="dxa" w:w="1440"/>
            <w:shd w:fill="FFDCE0" w:val="clear"/>
          </w:tcPr>
          <w:p>
            <w:r>
              <w:rPr>
                <w:sz w:val="17"/>
              </w:rPr>
              <w:t>J+6  Moyenne</w:t>
            </w:r>
          </w:p>
        </w:tc>
        <w:tc>
          <w:tcPr>
            <w:tcW w:type="dxa" w:w="1440"/>
            <w:shd w:fill="FFDCE0" w:val="clear"/>
          </w:tcPr>
          <w:p>
            <w:r>
              <w:rPr>
                <w:sz w:val="17"/>
              </w:rPr>
              <w:t>2026-08-28</w:t>
            </w:r>
          </w:p>
        </w:tc>
        <w:tc>
          <w:tcPr>
            <w:tcW w:type="dxa" w:w="1440"/>
            <w:shd w:fill="FFDCE0" w:val="clear"/>
          </w:tcPr>
          <w:p>
            <w:r>
              <w:rPr>
                <w:sz w:val="17"/>
              </w:rPr>
              <w:t>7,681</w:t>
            </w:r>
          </w:p>
        </w:tc>
        <w:tc>
          <w:tcPr>
            <w:tcW w:type="dxa" w:w="1440"/>
            <w:shd w:fill="FFDCE0" w:val="clear"/>
          </w:tcPr>
          <w:p>
            <w:r>
              <w:rPr>
                <w:b/>
                <w:sz w:val="17"/>
              </w:rPr>
              <w:t>8,206</w:t>
            </w:r>
          </w:p>
        </w:tc>
        <w:tc>
          <w:tcPr>
            <w:tcW w:type="dxa" w:w="1440"/>
            <w:shd w:fill="FFDCE0" w:val="clear"/>
          </w:tcPr>
          <w:p>
            <w:r>
              <w:rPr>
                <w:sz w:val="17"/>
              </w:rPr>
              <w:t>8,730</w:t>
            </w:r>
          </w:p>
        </w:tc>
        <w:tc>
          <w:tcPr>
            <w:tcW w:type="dxa" w:w="1440"/>
            <w:shd w:fill="FFDCE0" w:val="clear"/>
          </w:tcPr>
          <w:p>
            <w:r>
              <w:rPr>
                <w:b/>
                <w:color w:val="C00000"/>
                <w:sz w:val="17"/>
              </w:rPr>
              <w:t>-9.8%</w:t>
            </w:r>
          </w:p>
        </w:tc>
      </w:tr>
      <w:tr>
        <w:tc>
          <w:tcPr>
            <w:tcW w:type="dxa" w:w="1440"/>
            <w:shd w:fill="FFDCE0" w:val="clear"/>
          </w:tcPr>
          <w:p>
            <w:r>
              <w:rPr>
                <w:sz w:val="17"/>
              </w:rPr>
              <w:t>J+7  Moyenne</w:t>
            </w:r>
          </w:p>
        </w:tc>
        <w:tc>
          <w:tcPr>
            <w:tcW w:type="dxa" w:w="1440"/>
            <w:shd w:fill="FFDCE0" w:val="clear"/>
          </w:tcPr>
          <w:p>
            <w:r>
              <w:rPr>
                <w:sz w:val="17"/>
              </w:rPr>
              <w:t>2026-08-31</w:t>
            </w:r>
          </w:p>
        </w:tc>
        <w:tc>
          <w:tcPr>
            <w:tcW w:type="dxa" w:w="1440"/>
            <w:shd w:fill="FFDCE0" w:val="clear"/>
          </w:tcPr>
          <w:p>
            <w:r>
              <w:rPr>
                <w:sz w:val="17"/>
              </w:rPr>
              <w:t>7,558</w:t>
            </w:r>
          </w:p>
        </w:tc>
        <w:tc>
          <w:tcPr>
            <w:tcW w:type="dxa" w:w="1440"/>
            <w:shd w:fill="FFDCE0" w:val="clear"/>
          </w:tcPr>
          <w:p>
            <w:r>
              <w:rPr>
                <w:b/>
                <w:sz w:val="17"/>
              </w:rPr>
              <w:t>8,118</w:t>
            </w:r>
          </w:p>
        </w:tc>
        <w:tc>
          <w:tcPr>
            <w:tcW w:type="dxa" w:w="1440"/>
            <w:shd w:fill="FFDCE0" w:val="clear"/>
          </w:tcPr>
          <w:p>
            <w:r>
              <w:rPr>
                <w:sz w:val="17"/>
              </w:rPr>
              <w:t>8,679</w:t>
            </w:r>
          </w:p>
        </w:tc>
        <w:tc>
          <w:tcPr>
            <w:tcW w:type="dxa" w:w="1440"/>
            <w:shd w:fill="FFDCE0" w:val="clear"/>
          </w:tcPr>
          <w:p>
            <w:r>
              <w:rPr>
                <w:b/>
                <w:color w:val="C00000"/>
                <w:sz w:val="17"/>
              </w:rPr>
              <w:t>-10.8%</w:t>
            </w:r>
          </w:p>
        </w:tc>
      </w:tr>
      <w:tr>
        <w:tc>
          <w:tcPr>
            <w:tcW w:type="dxa" w:w="1440"/>
            <w:shd w:fill="FFDCE0" w:val="clear"/>
          </w:tcPr>
          <w:p>
            <w:r>
              <w:rPr>
                <w:sz w:val="17"/>
              </w:rPr>
              <w:t>J+8  Moyenne</w:t>
            </w:r>
          </w:p>
        </w:tc>
        <w:tc>
          <w:tcPr>
            <w:tcW w:type="dxa" w:w="1440"/>
            <w:shd w:fill="FFDCE0" w:val="clear"/>
          </w:tcPr>
          <w:p>
            <w:r>
              <w:rPr>
                <w:sz w:val="17"/>
              </w:rPr>
              <w:t>2026-09-01</w:t>
            </w:r>
          </w:p>
        </w:tc>
        <w:tc>
          <w:tcPr>
            <w:tcW w:type="dxa" w:w="1440"/>
            <w:shd w:fill="FFDCE0" w:val="clear"/>
          </w:tcPr>
          <w:p>
            <w:r>
              <w:rPr>
                <w:sz w:val="17"/>
              </w:rPr>
              <w:t>7,442</w:t>
            </w:r>
          </w:p>
        </w:tc>
        <w:tc>
          <w:tcPr>
            <w:tcW w:type="dxa" w:w="1440"/>
            <w:shd w:fill="FFDCE0" w:val="clear"/>
          </w:tcPr>
          <w:p>
            <w:r>
              <w:rPr>
                <w:b/>
                <w:sz w:val="17"/>
              </w:rPr>
              <w:t>8,035</w:t>
            </w:r>
          </w:p>
        </w:tc>
        <w:tc>
          <w:tcPr>
            <w:tcW w:type="dxa" w:w="1440"/>
            <w:shd w:fill="FFDCE0" w:val="clear"/>
          </w:tcPr>
          <w:p>
            <w:r>
              <w:rPr>
                <w:sz w:val="17"/>
              </w:rPr>
              <w:t>8,628</w:t>
            </w:r>
          </w:p>
        </w:tc>
        <w:tc>
          <w:tcPr>
            <w:tcW w:type="dxa" w:w="1440"/>
            <w:shd w:fill="FFDCE0" w:val="clear"/>
          </w:tcPr>
          <w:p>
            <w:r>
              <w:rPr>
                <w:b/>
                <w:color w:val="C00000"/>
                <w:sz w:val="17"/>
              </w:rPr>
              <w:t>-11.7%</w:t>
            </w:r>
          </w:p>
        </w:tc>
      </w:tr>
      <w:tr>
        <w:tc>
          <w:tcPr>
            <w:tcW w:type="dxa" w:w="1440"/>
            <w:shd w:fill="FFDCE0" w:val="clear"/>
          </w:tcPr>
          <w:p>
            <w:r>
              <w:rPr>
                <w:sz w:val="17"/>
              </w:rPr>
              <w:t>J+9  Moyenne</w:t>
            </w:r>
          </w:p>
        </w:tc>
        <w:tc>
          <w:tcPr>
            <w:tcW w:type="dxa" w:w="1440"/>
            <w:shd w:fill="FFDCE0" w:val="clear"/>
          </w:tcPr>
          <w:p>
            <w:r>
              <w:rPr>
                <w:sz w:val="17"/>
              </w:rPr>
              <w:t>2026-09-02</w:t>
            </w:r>
          </w:p>
        </w:tc>
        <w:tc>
          <w:tcPr>
            <w:tcW w:type="dxa" w:w="1440"/>
            <w:shd w:fill="FFDCE0" w:val="clear"/>
          </w:tcPr>
          <w:p>
            <w:r>
              <w:rPr>
                <w:sz w:val="17"/>
              </w:rPr>
              <w:t>7,334</w:t>
            </w:r>
          </w:p>
        </w:tc>
        <w:tc>
          <w:tcPr>
            <w:tcW w:type="dxa" w:w="1440"/>
            <w:shd w:fill="FFDCE0" w:val="clear"/>
          </w:tcPr>
          <w:p>
            <w:r>
              <w:rPr>
                <w:b/>
                <w:sz w:val="17"/>
              </w:rPr>
              <w:t>7,957</w:t>
            </w:r>
          </w:p>
        </w:tc>
        <w:tc>
          <w:tcPr>
            <w:tcW w:type="dxa" w:w="1440"/>
            <w:shd w:fill="FFDCE0" w:val="clear"/>
          </w:tcPr>
          <w:p>
            <w:r>
              <w:rPr>
                <w:sz w:val="17"/>
              </w:rPr>
              <w:t>8,580</w:t>
            </w:r>
          </w:p>
        </w:tc>
        <w:tc>
          <w:tcPr>
            <w:tcW w:type="dxa" w:w="1440"/>
            <w:shd w:fill="FFDCE0" w:val="clear"/>
          </w:tcPr>
          <w:p>
            <w:r>
              <w:rPr>
                <w:b/>
                <w:color w:val="C00000"/>
                <w:sz w:val="17"/>
              </w:rPr>
              <w:t>-12.6%</w:t>
            </w:r>
          </w:p>
        </w:tc>
      </w:tr>
      <w:tr>
        <w:tc>
          <w:tcPr>
            <w:tcW w:type="dxa" w:w="1440"/>
            <w:shd w:fill="FFDCE0" w:val="clear"/>
          </w:tcPr>
          <w:p>
            <w:r>
              <w:rPr>
                <w:sz w:val="17"/>
              </w:rPr>
              <w:t>J+10  Moyenne</w:t>
            </w:r>
          </w:p>
        </w:tc>
        <w:tc>
          <w:tcPr>
            <w:tcW w:type="dxa" w:w="1440"/>
            <w:shd w:fill="FFDCE0" w:val="clear"/>
          </w:tcPr>
          <w:p>
            <w:r>
              <w:rPr>
                <w:sz w:val="17"/>
              </w:rPr>
              <w:t>2026-09-03</w:t>
            </w:r>
          </w:p>
        </w:tc>
        <w:tc>
          <w:tcPr>
            <w:tcW w:type="dxa" w:w="1440"/>
            <w:shd w:fill="FFDCE0" w:val="clear"/>
          </w:tcPr>
          <w:p>
            <w:r>
              <w:rPr>
                <w:sz w:val="17"/>
              </w:rPr>
              <w:t>7,232</w:t>
            </w:r>
          </w:p>
        </w:tc>
        <w:tc>
          <w:tcPr>
            <w:tcW w:type="dxa" w:w="1440"/>
            <w:shd w:fill="FFDCE0" w:val="clear"/>
          </w:tcPr>
          <w:p>
            <w:r>
              <w:rPr>
                <w:b/>
                <w:sz w:val="17"/>
              </w:rPr>
              <w:t>7,882</w:t>
            </w:r>
          </w:p>
        </w:tc>
        <w:tc>
          <w:tcPr>
            <w:tcW w:type="dxa" w:w="1440"/>
            <w:shd w:fill="FFDCE0" w:val="clear"/>
          </w:tcPr>
          <w:p>
            <w:r>
              <w:rPr>
                <w:sz w:val="17"/>
              </w:rPr>
              <w:t>8,532</w:t>
            </w:r>
          </w:p>
        </w:tc>
        <w:tc>
          <w:tcPr>
            <w:tcW w:type="dxa" w:w="1440"/>
            <w:shd w:fill="FFDCE0" w:val="clear"/>
          </w:tcPr>
          <w:p>
            <w:r>
              <w:rPr>
                <w:b/>
                <w:color w:val="C00000"/>
                <w:sz w:val="17"/>
              </w:rPr>
              <w:t>-13.4%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Absolument. Voici un rapport d'analyse professionnel structuré pour l'action BOAB,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BOAB s'établit à 369,11 milliards FCFA, ce qui positionne la banque parmi les poids lourds de la BRVM. Avec un BPA de 496 FCFA, le PER de 18,4x est nettement supérieur à la moyenne historique de la place (~8-12x), indiquant que le marché valorise déjà des perspectives de croissance et de rentabilité solides. Le P/B de 3,14x confirme cette prime, le marché acceptant de payer plus de trois fois la valeur comptable des fonds propres, signe d'une confiance dans la capacité de la banque à générer de la valeur. Enfin, un EV/EBITDA de 19,1x, bien que très exigeant, reflète la perception d'une excellente santé opérationnelle et d'un potentiel de génération de cash-flow important.</w:t>
      </w:r>
    </w:p>
    <w:p>
      <w:pPr>
        <w:spacing w:after="120" w:line="276" w:lineRule="auto"/>
      </w:pPr>
      <w:r>
        <w:t>### **PARTIE 1 : ANALYSE DU COURS — STATISTIQUES ET ÉVOLUTION (100 derniers jours)**</w:t>
      </w:r>
    </w:p>
    <w:p>
      <w:pPr>
        <w:spacing w:after="120" w:line="276" w:lineRule="auto"/>
      </w:pPr>
      <w:r>
        <w:t>Sur les 100 derniers jours, l'action BOAB a affiché une performance remarquable de +24,66%, passant d'un plus bas de 7 295 FCFA à un plus haut de 9 420 FCFA, avant de clôturer à 9 100 FCFA. La dernière séance montre un repli de -3,19%, suggérant une possible prise de bénéfices après cette forte hausse. La moyenne (8 624 FCFA) étant inférieure à la médiane (8 750 FCFA), la distribution des prix est légèrement asymétrique, mais le skewness de -0,946 indique que les journées de forte hausse ont été plus fréquentes que les fortes baisses, ce qui a tiré le cours vers le haut. L'écart-type de 572 FCFA (CV=6,6%) et la volatilité annualisée de 24% dénotent une volatilité modérée, tandis que le kurtosis proche de zéro suggère une distribution des rendements sans risque de pics extrêmes. La tendance générale est clairement haussière, soutenue par une dynamique positive.</w:t>
      </w:r>
    </w:p>
    <w:p>
      <w:pPr>
        <w:spacing w:after="120" w:line="276" w:lineRule="auto"/>
      </w:pPr>
      <w:r>
        <w:t>### **PARTIE 2 : ANALYSE TECHNIQUE DÉTAILLÉE**</w:t>
      </w:r>
    </w:p>
    <w:p>
      <w:pPr>
        <w:spacing w:after="120" w:line="276" w:lineRule="auto"/>
      </w:pPr>
      <w:r>
        <w:t>**Moyennes Mobiles**: Le cours actuel (9 100 FCFA) est nettement au-dessus de la MM20 (8 731,5 FCFA) et de la MM50 (8 815,7 FCFA), confirmant une tendance haussière de fond. Cependant, la décision technique est "Vente", ce qui peut paraître contre-intuitif. Cela pourrait s'expliquer par un croisement baissier récent des MM ou par une position du cours jugée en extension excessive par rapport à la MM20, signalant un potentiel de correction à court terme.</w:t>
      </w:r>
    </w:p>
    <w:p>
      <w:pPr>
        <w:spacing w:after="120" w:line="276" w:lineRule="auto"/>
      </w:pPr>
      <w:r>
        <w:t>**Bandes de Bollinger**: Le prix actuel est très proche de la borne supérieure (9 119,15 FCFA), indiquant que le titre est en zone de surachat temporaire. La décision "Neutre" suggère que le marché n'a pas encore tranché entre une poursuite du mouvement haussier (sortie de bande) et un retour vers la moyenne (borne inférieure à 8 343,85 FCFA). La volatilité, mesurée par l'écart des bandes, est modérée.</w:t>
      </w:r>
    </w:p>
    <w:p>
      <w:pPr>
        <w:spacing w:after="120" w:line="276" w:lineRule="auto"/>
      </w:pPr>
      <w:r>
        <w:t>**MACD**: Le MACD (51,73) est nettement au-dessus de son signal (-15,32), et la décision est "Achat". Cette configuration est un signal haussier classique, indiquant que le momentum de court terme est très positif et que la dynamique d'achat est forte. La divergence positive entre la ligne MACD et le signal renforce ce signal.</w:t>
      </w:r>
    </w:p>
    <w:p>
      <w:pPr>
        <w:spacing w:after="120" w:line="276" w:lineRule="auto"/>
      </w:pPr>
      <w:r>
        <w:t>**RSI**: Le RSI à 67,23 est en zone neutre, mais proche du seuil de surachat (70). La décision "Neutre" suggère que la pression acheteuse est encore présente, mais qu'il faut surveiller une possible entrée en zone de surachat, qui pourrait précéder une consolidation ou un repli technique.</w:t>
      </w:r>
    </w:p>
    <w:p>
      <w:pPr>
        <w:spacing w:after="120" w:line="276" w:lineRule="auto"/>
      </w:pPr>
      <w:r>
        <w:t>**Stochastique**: Le %K (60,0) est inférieur au %D (86,67), ce qui est un signal de croisement baissier potentiel. La décision "Neutre" reflète une perte de momentum après une phase de surachat. Cela indique que la dynamique haussière s'essouffle à très court terme, mais sans signal de vente fort.</w:t>
      </w:r>
    </w:p>
    <w:p>
      <w:pPr>
        <w:spacing w:after="120" w:line="276" w:lineRule="auto"/>
      </w:pPr>
      <w:r>
        <w:t>**Conclusion technique**: Les indicateurs sont mitigés. Le MACD est clairement haussier, mais le RSI, le Stochastique et la position du cours par rapport aux bandes de Bollinger suggèrent un essoufflement à court terme. La décision de vente des MM, malgré un cours au-dessus, pourrait signaler une consolidation imminente. Globalement, la tendance de fond reste haussière, mais un repli technique est probable avant une éventuelle reprise de la hausse.</w:t>
      </w:r>
    </w:p>
    <w:p>
      <w:pPr>
        <w:spacing w:after="120" w:line="276" w:lineRule="auto"/>
      </w:pPr>
      <w:r>
        <w:t>### **PARTIE 3 : ANALYSE FONDAMENTALE (SECTION CRITIQUE)**</w:t>
      </w:r>
    </w:p>
    <w:p>
      <w:pPr>
        <w:spacing w:after="120" w:line="276" w:lineRule="auto"/>
      </w:pPr>
      <w:r>
        <w:t>En 2025, BOAB affiche des fondamentaux solides. Le Produit Net Bancaire (PNB) s'établit à 51,274 milliards FCFA, avec un résultat net de 20,107 milliards FCFA, portant la marge nette à 39,2%. La rentabilité est excellente avec un ROE de 17,1% et un ROA de 2,08%. Le coefficient d'exploitation de 49,5% témoigne d'une excellente maîtrise des charges. Cependant, le coût du risque à 22,5% des charges financières est un point de vigilance. Les dépôts clients (711,6 Mds) financent largement les crédits (391,7 Mds), montrant une transformation saine. En 2024, le résultat net était de 19,647 milliards FCFA, en baisse de 8,7% par rapport à 2023, mais avec une augmentation de capital significative. Les rapports trimestriels de 2025 montrent une nette amélioration : le T3 2025 affiche un PNB de 37,065 milliards (+9% vs T3 2024) et un résultat net de 15,88 milliards (+13%). Sur la base de ces performances, on estime que l'exercice 2025 devrait être excellent, avec un résultat net annuel potentiellement supérieur à 21 milliards FCFA, confirmant la solidité et la capacité de la banque à améliorer sa rentabilité malgré une contraction de son bilan.</w:t>
      </w:r>
    </w:p>
    <w:p>
      <w:pPr>
        <w:spacing w:after="120" w:line="276" w:lineRule="auto"/>
      </w:pPr>
      <w:r>
        <w:t>### **PARTIE 4 : CONCLUSION D'INVESTISSEMENT**</w:t>
      </w:r>
    </w:p>
    <w:p>
      <w:pPr>
        <w:spacing w:after="120" w:line="276" w:lineRule="auto"/>
      </w:pPr>
      <w:r>
        <w:t>La valorisation de BOAB (PER 18,4x, P/B 3,14x) est exigeante, intégrant déjà des perspectives de croissance solides. Le comportement du cours est haussier sur 100 jours, mais la volatilité modérée et les statistiques (kurtosis, skewness) suggèrent une dynamique saine, sans risque de krach. Les signaux techniques sont mitigés : le MACD est haussier, mais le RSI et le Stochastique indiquent un essoufflement à court terme, avec un risque de consolidation. Les fondamentaux sont très solides, avec une rentabilité élevée (ROE &gt;17%) et une amélioration continue de la performance opérationnelle en 2025. Les prédictions IA (baisse vers 8 299 FCFA) contredisent la tendance haussière et suggèrent une correction, ce qui est cohérent avec les signaux techniques de surachat à court terme. En synthèse, la convergence entre des fondamentaux excellents et une tendance de fond haussière est contrebalancée par une valorisation élevée et des signaux techniques de court terme négatifs. **Recommandation : CONSERVER**. Le niveau de confiance est **Moyen**, car la trajectoire IA suggère une baisse, mais les fondamentaux restent porteurs. Le risque global est **Moyen**, principalement lié à une valorisation exigeante et à un possible repli technique. L'horizon d'investissement optimal est le **moyen terme (3-12 mois)** pour capitaliser sur la solidité des résultats, en attendant un meilleur point d'entrée.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321.20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5,958 titres</w:t>
            </w:r>
          </w:p>
        </w:tc>
        <w:tc>
          <w:tcPr>
            <w:tcW w:type="dxa" w:w="2268"/>
            <w:shd w:fill="FFF2CC" w:val="clear"/>
          </w:tcPr>
          <w:p>
            <w:r>
              <w:rPr>
                <w:b/>
                <w:color w:val="503200"/>
                <w:sz w:val="16"/>
              </w:rPr>
              <w:t xml:space="preserve">Cours actuel : </w:t>
            </w:r>
            <w:r>
              <w:rPr>
                <w:color w:val="000000"/>
                <w:sz w:val="17"/>
              </w:rPr>
              <w:t>7,300 FCFA</w:t>
            </w:r>
          </w:p>
          <w:p>
            <w:r>
              <w:rPr>
                <w:b/>
                <w:color w:val="503200"/>
                <w:sz w:val="16"/>
              </w:rPr>
              <w:t xml:space="preserve">Var. 100 jours : </w:t>
            </w:r>
            <w:r>
              <w:rPr>
                <w:b/>
                <w:color w:val="007800"/>
                <w:sz w:val="17"/>
              </w:rPr>
              <w:t>+34.07%</w:t>
            </w:r>
          </w:p>
          <w:p>
            <w:r>
              <w:rPr>
                <w:b/>
                <w:color w:val="503200"/>
                <w:sz w:val="16"/>
              </w:rPr>
              <w:t xml:space="preserve">Plus haut 100j : </w:t>
            </w:r>
            <w:r>
              <w:rPr>
                <w:color w:val="000000"/>
                <w:sz w:val="17"/>
              </w:rPr>
              <w:t>7,350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28.7%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11.79% (Moyenne) — μ=5,984 FCFA, σ=705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β=0.3021 (Défensif) — Cov=0.000009, Var(idx)=0.000030, ρ=0.092,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5,958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2026-08-20</w:t>
            </w:r>
          </w:p>
        </w:tc>
        <w:tc>
          <w:tcPr>
            <w:tcW w:type="dxa" w:w="1440"/>
            <w:shd w:fill="FFDCE0" w:val="clear"/>
          </w:tcPr>
          <w:p>
            <w:r>
              <w:rPr>
                <w:sz w:val="17"/>
              </w:rPr>
              <w:t>6,863</w:t>
            </w:r>
          </w:p>
        </w:tc>
        <w:tc>
          <w:tcPr>
            <w:tcW w:type="dxa" w:w="1440"/>
            <w:shd w:fill="FFDCE0" w:val="clear"/>
          </w:tcPr>
          <w:p>
            <w:r>
              <w:rPr>
                <w:b/>
                <w:sz w:val="17"/>
              </w:rPr>
              <w:t>7,148</w:t>
            </w:r>
          </w:p>
        </w:tc>
        <w:tc>
          <w:tcPr>
            <w:tcW w:type="dxa" w:w="1440"/>
            <w:shd w:fill="FFDCE0" w:val="clear"/>
          </w:tcPr>
          <w:p>
            <w:r>
              <w:rPr>
                <w:sz w:val="17"/>
              </w:rPr>
              <w:t>7,434</w:t>
            </w:r>
          </w:p>
        </w:tc>
        <w:tc>
          <w:tcPr>
            <w:tcW w:type="dxa" w:w="1440"/>
            <w:shd w:fill="FFDCE0" w:val="clear"/>
          </w:tcPr>
          <w:p>
            <w:r>
              <w:rPr>
                <w:b/>
                <w:color w:val="C00000"/>
                <w:sz w:val="17"/>
              </w:rPr>
              <w:t>-2.1%</w:t>
            </w:r>
          </w:p>
        </w:tc>
      </w:tr>
      <w:tr>
        <w:tc>
          <w:tcPr>
            <w:tcW w:type="dxa" w:w="1440"/>
            <w:shd w:fill="FFDCE0" w:val="clear"/>
          </w:tcPr>
          <w:p>
            <w:r>
              <w:rPr>
                <w:sz w:val="17"/>
              </w:rPr>
              <w:t>J+2  Moyenne</w:t>
            </w:r>
          </w:p>
        </w:tc>
        <w:tc>
          <w:tcPr>
            <w:tcW w:type="dxa" w:w="1440"/>
            <w:shd w:fill="FFDCE0" w:val="clear"/>
          </w:tcPr>
          <w:p>
            <w:r>
              <w:rPr>
                <w:sz w:val="17"/>
              </w:rPr>
              <w:t>2026-08-21</w:t>
            </w:r>
          </w:p>
        </w:tc>
        <w:tc>
          <w:tcPr>
            <w:tcW w:type="dxa" w:w="1440"/>
            <w:shd w:fill="FFDCE0" w:val="clear"/>
          </w:tcPr>
          <w:p>
            <w:r>
              <w:rPr>
                <w:sz w:val="17"/>
              </w:rPr>
              <w:t>6,640</w:t>
            </w:r>
          </w:p>
        </w:tc>
        <w:tc>
          <w:tcPr>
            <w:tcW w:type="dxa" w:w="1440"/>
            <w:shd w:fill="FFDCE0" w:val="clear"/>
          </w:tcPr>
          <w:p>
            <w:r>
              <w:rPr>
                <w:b/>
                <w:sz w:val="17"/>
              </w:rPr>
              <w:t>7,037</w:t>
            </w:r>
          </w:p>
        </w:tc>
        <w:tc>
          <w:tcPr>
            <w:tcW w:type="dxa" w:w="1440"/>
            <w:shd w:fill="FFDCE0" w:val="clear"/>
          </w:tcPr>
          <w:p>
            <w:r>
              <w:rPr>
                <w:sz w:val="17"/>
              </w:rPr>
              <w:t>7,435</w:t>
            </w:r>
          </w:p>
        </w:tc>
        <w:tc>
          <w:tcPr>
            <w:tcW w:type="dxa" w:w="1440"/>
            <w:shd w:fill="FFDCE0" w:val="clear"/>
          </w:tcPr>
          <w:p>
            <w:r>
              <w:rPr>
                <w:b/>
                <w:color w:val="C00000"/>
                <w:sz w:val="17"/>
              </w:rPr>
              <w:t>-3.6%</w:t>
            </w:r>
          </w:p>
        </w:tc>
      </w:tr>
      <w:tr>
        <w:tc>
          <w:tcPr>
            <w:tcW w:type="dxa" w:w="1440"/>
            <w:shd w:fill="FFDCE0" w:val="clear"/>
          </w:tcPr>
          <w:p>
            <w:r>
              <w:rPr>
                <w:sz w:val="17"/>
              </w:rPr>
              <w:t>J+3  Moyenne</w:t>
            </w:r>
          </w:p>
        </w:tc>
        <w:tc>
          <w:tcPr>
            <w:tcW w:type="dxa" w:w="1440"/>
            <w:shd w:fill="FFDCE0" w:val="clear"/>
          </w:tcPr>
          <w:p>
            <w:r>
              <w:rPr>
                <w:sz w:val="17"/>
              </w:rPr>
              <w:t>2026-08-24</w:t>
            </w:r>
          </w:p>
        </w:tc>
        <w:tc>
          <w:tcPr>
            <w:tcW w:type="dxa" w:w="1440"/>
            <w:shd w:fill="FFDCE0" w:val="clear"/>
          </w:tcPr>
          <w:p>
            <w:r>
              <w:rPr>
                <w:sz w:val="17"/>
              </w:rPr>
              <w:t>6,468</w:t>
            </w:r>
          </w:p>
        </w:tc>
        <w:tc>
          <w:tcPr>
            <w:tcW w:type="dxa" w:w="1440"/>
            <w:shd w:fill="FFDCE0" w:val="clear"/>
          </w:tcPr>
          <w:p>
            <w:r>
              <w:rPr>
                <w:b/>
                <w:sz w:val="17"/>
              </w:rPr>
              <w:t>6,948</w:t>
            </w:r>
          </w:p>
        </w:tc>
        <w:tc>
          <w:tcPr>
            <w:tcW w:type="dxa" w:w="1440"/>
            <w:shd w:fill="FFDCE0" w:val="clear"/>
          </w:tcPr>
          <w:p>
            <w:r>
              <w:rPr>
                <w:sz w:val="17"/>
              </w:rPr>
              <w:t>7,428</w:t>
            </w:r>
          </w:p>
        </w:tc>
        <w:tc>
          <w:tcPr>
            <w:tcW w:type="dxa" w:w="1440"/>
            <w:shd w:fill="FFDCE0" w:val="clear"/>
          </w:tcPr>
          <w:p>
            <w:r>
              <w:rPr>
                <w:b/>
                <w:color w:val="C00000"/>
                <w:sz w:val="17"/>
              </w:rPr>
              <w:t>-4.8%</w:t>
            </w:r>
          </w:p>
        </w:tc>
      </w:tr>
      <w:tr>
        <w:tc>
          <w:tcPr>
            <w:tcW w:type="dxa" w:w="1440"/>
            <w:shd w:fill="FFDCE0" w:val="clear"/>
          </w:tcPr>
          <w:p>
            <w:r>
              <w:rPr>
                <w:sz w:val="17"/>
              </w:rPr>
              <w:t>J+4  ⭐</w:t>
            </w:r>
          </w:p>
        </w:tc>
        <w:tc>
          <w:tcPr>
            <w:tcW w:type="dxa" w:w="1440"/>
            <w:shd w:fill="FFDCE0" w:val="clear"/>
          </w:tcPr>
          <w:p>
            <w:r>
              <w:rPr>
                <w:sz w:val="17"/>
              </w:rPr>
              <w:t>2026-08-25</w:t>
            </w:r>
          </w:p>
        </w:tc>
        <w:tc>
          <w:tcPr>
            <w:tcW w:type="dxa" w:w="1440"/>
            <w:shd w:fill="FFDCE0" w:val="clear"/>
          </w:tcPr>
          <w:p>
            <w:r>
              <w:rPr>
                <w:sz w:val="17"/>
              </w:rPr>
              <w:t>6,326</w:t>
            </w:r>
          </w:p>
        </w:tc>
        <w:tc>
          <w:tcPr>
            <w:tcW w:type="dxa" w:w="1440"/>
            <w:shd w:fill="FFDCE0" w:val="clear"/>
          </w:tcPr>
          <w:p>
            <w:r>
              <w:rPr>
                <w:b/>
                <w:sz w:val="17"/>
              </w:rPr>
              <w:t>6,875</w:t>
            </w:r>
          </w:p>
        </w:tc>
        <w:tc>
          <w:tcPr>
            <w:tcW w:type="dxa" w:w="1440"/>
            <w:shd w:fill="FFDCE0" w:val="clear"/>
          </w:tcPr>
          <w:p>
            <w:r>
              <w:rPr>
                <w:sz w:val="17"/>
              </w:rPr>
              <w:t>7,424</w:t>
            </w:r>
          </w:p>
        </w:tc>
        <w:tc>
          <w:tcPr>
            <w:tcW w:type="dxa" w:w="1440"/>
            <w:shd w:fill="FFDCE0" w:val="clear"/>
          </w:tcPr>
          <w:p>
            <w:r>
              <w:rPr>
                <w:b/>
                <w:color w:val="C00000"/>
                <w:sz w:val="17"/>
              </w:rPr>
              <w:t>-5.8%</w:t>
            </w:r>
          </w:p>
        </w:tc>
      </w:tr>
      <w:tr>
        <w:tc>
          <w:tcPr>
            <w:tcW w:type="dxa" w:w="1440"/>
            <w:shd w:fill="FFDCE0" w:val="clear"/>
          </w:tcPr>
          <w:p>
            <w:r>
              <w:rPr>
                <w:sz w:val="17"/>
              </w:rPr>
              <w:t>J+5  ⭐</w:t>
            </w:r>
          </w:p>
        </w:tc>
        <w:tc>
          <w:tcPr>
            <w:tcW w:type="dxa" w:w="1440"/>
            <w:shd w:fill="FFDCE0" w:val="clear"/>
          </w:tcPr>
          <w:p>
            <w:r>
              <w:rPr>
                <w:sz w:val="17"/>
              </w:rPr>
              <w:t>2026-08-27</w:t>
            </w:r>
          </w:p>
        </w:tc>
        <w:tc>
          <w:tcPr>
            <w:tcW w:type="dxa" w:w="1440"/>
            <w:shd w:fill="FFDCE0" w:val="clear"/>
          </w:tcPr>
          <w:p>
            <w:r>
              <w:rPr>
                <w:sz w:val="17"/>
              </w:rPr>
              <w:t>6,204</w:t>
            </w:r>
          </w:p>
        </w:tc>
        <w:tc>
          <w:tcPr>
            <w:tcW w:type="dxa" w:w="1440"/>
            <w:shd w:fill="FFDCE0" w:val="clear"/>
          </w:tcPr>
          <w:p>
            <w:r>
              <w:rPr>
                <w:b/>
                <w:sz w:val="17"/>
              </w:rPr>
              <w:t>6,812</w:t>
            </w:r>
          </w:p>
        </w:tc>
        <w:tc>
          <w:tcPr>
            <w:tcW w:type="dxa" w:w="1440"/>
            <w:shd w:fill="FFDCE0" w:val="clear"/>
          </w:tcPr>
          <w:p>
            <w:r>
              <w:rPr>
                <w:sz w:val="17"/>
              </w:rPr>
              <w:t>7,419</w:t>
            </w:r>
          </w:p>
        </w:tc>
        <w:tc>
          <w:tcPr>
            <w:tcW w:type="dxa" w:w="1440"/>
            <w:shd w:fill="FFDCE0" w:val="clear"/>
          </w:tcPr>
          <w:p>
            <w:r>
              <w:rPr>
                <w:b/>
                <w:color w:val="C00000"/>
                <w:sz w:val="17"/>
              </w:rPr>
              <w:t>-6.7%</w:t>
            </w:r>
          </w:p>
        </w:tc>
      </w:tr>
      <w:tr>
        <w:tc>
          <w:tcPr>
            <w:tcW w:type="dxa" w:w="1440"/>
            <w:shd w:fill="FFDCE0" w:val="clear"/>
          </w:tcPr>
          <w:p>
            <w:r>
              <w:rPr>
                <w:sz w:val="17"/>
              </w:rPr>
              <w:t>J+6  ⭐</w:t>
            </w:r>
          </w:p>
        </w:tc>
        <w:tc>
          <w:tcPr>
            <w:tcW w:type="dxa" w:w="1440"/>
            <w:shd w:fill="FFDCE0" w:val="clear"/>
          </w:tcPr>
          <w:p>
            <w:r>
              <w:rPr>
                <w:sz w:val="17"/>
              </w:rPr>
              <w:t>2026-08-28</w:t>
            </w:r>
          </w:p>
        </w:tc>
        <w:tc>
          <w:tcPr>
            <w:tcW w:type="dxa" w:w="1440"/>
            <w:shd w:fill="FFDCE0" w:val="clear"/>
          </w:tcPr>
          <w:p>
            <w:r>
              <w:rPr>
                <w:sz w:val="17"/>
              </w:rPr>
              <w:t>6,093</w:t>
            </w:r>
          </w:p>
        </w:tc>
        <w:tc>
          <w:tcPr>
            <w:tcW w:type="dxa" w:w="1440"/>
            <w:shd w:fill="FFDCE0" w:val="clear"/>
          </w:tcPr>
          <w:p>
            <w:r>
              <w:rPr>
                <w:b/>
                <w:sz w:val="17"/>
              </w:rPr>
              <w:t>6,753</w:t>
            </w:r>
          </w:p>
        </w:tc>
        <w:tc>
          <w:tcPr>
            <w:tcW w:type="dxa" w:w="1440"/>
            <w:shd w:fill="FFDCE0" w:val="clear"/>
          </w:tcPr>
          <w:p>
            <w:r>
              <w:rPr>
                <w:sz w:val="17"/>
              </w:rPr>
              <w:t>7,413</w:t>
            </w:r>
          </w:p>
        </w:tc>
        <w:tc>
          <w:tcPr>
            <w:tcW w:type="dxa" w:w="1440"/>
            <w:shd w:fill="FFDCE0" w:val="clear"/>
          </w:tcPr>
          <w:p>
            <w:r>
              <w:rPr>
                <w:b/>
                <w:color w:val="C00000"/>
                <w:sz w:val="17"/>
              </w:rPr>
              <w:t>-7.5%</w:t>
            </w:r>
          </w:p>
        </w:tc>
      </w:tr>
      <w:tr>
        <w:tc>
          <w:tcPr>
            <w:tcW w:type="dxa" w:w="1440"/>
            <w:shd w:fill="FFDCE0" w:val="clear"/>
          </w:tcPr>
          <w:p>
            <w:r>
              <w:rPr>
                <w:sz w:val="17"/>
              </w:rPr>
              <w:t>J+7  ⭐</w:t>
            </w:r>
          </w:p>
        </w:tc>
        <w:tc>
          <w:tcPr>
            <w:tcW w:type="dxa" w:w="1440"/>
            <w:shd w:fill="FFDCE0" w:val="clear"/>
          </w:tcPr>
          <w:p>
            <w:r>
              <w:rPr>
                <w:sz w:val="17"/>
              </w:rPr>
              <w:t>2026-08-31</w:t>
            </w:r>
          </w:p>
        </w:tc>
        <w:tc>
          <w:tcPr>
            <w:tcW w:type="dxa" w:w="1440"/>
            <w:shd w:fill="FFDCE0" w:val="clear"/>
          </w:tcPr>
          <w:p>
            <w:r>
              <w:rPr>
                <w:sz w:val="17"/>
              </w:rPr>
              <w:t>5,991</w:t>
            </w:r>
          </w:p>
        </w:tc>
        <w:tc>
          <w:tcPr>
            <w:tcW w:type="dxa" w:w="1440"/>
            <w:shd w:fill="FFDCE0" w:val="clear"/>
          </w:tcPr>
          <w:p>
            <w:r>
              <w:rPr>
                <w:b/>
                <w:sz w:val="17"/>
              </w:rPr>
              <w:t>6,698</w:t>
            </w:r>
          </w:p>
        </w:tc>
        <w:tc>
          <w:tcPr>
            <w:tcW w:type="dxa" w:w="1440"/>
            <w:shd w:fill="FFDCE0" w:val="clear"/>
          </w:tcPr>
          <w:p>
            <w:r>
              <w:rPr>
                <w:sz w:val="17"/>
              </w:rPr>
              <w:t>7,405</w:t>
            </w:r>
          </w:p>
        </w:tc>
        <w:tc>
          <w:tcPr>
            <w:tcW w:type="dxa" w:w="1440"/>
            <w:shd w:fill="FFDCE0" w:val="clear"/>
          </w:tcPr>
          <w:p>
            <w:r>
              <w:rPr>
                <w:b/>
                <w:color w:val="C00000"/>
                <w:sz w:val="17"/>
              </w:rPr>
              <w:t>-8.2%</w:t>
            </w:r>
          </w:p>
        </w:tc>
      </w:tr>
      <w:tr>
        <w:tc>
          <w:tcPr>
            <w:tcW w:type="dxa" w:w="1440"/>
            <w:shd w:fill="FFDCE0" w:val="clear"/>
          </w:tcPr>
          <w:p>
            <w:r>
              <w:rPr>
                <w:sz w:val="17"/>
              </w:rPr>
              <w:t>J+8  ⭐</w:t>
            </w:r>
          </w:p>
        </w:tc>
        <w:tc>
          <w:tcPr>
            <w:tcW w:type="dxa" w:w="1440"/>
            <w:shd w:fill="FFDCE0" w:val="clear"/>
          </w:tcPr>
          <w:p>
            <w:r>
              <w:rPr>
                <w:sz w:val="17"/>
              </w:rPr>
              <w:t>2026-09-01</w:t>
            </w:r>
          </w:p>
        </w:tc>
        <w:tc>
          <w:tcPr>
            <w:tcW w:type="dxa" w:w="1440"/>
            <w:shd w:fill="FFDCE0" w:val="clear"/>
          </w:tcPr>
          <w:p>
            <w:r>
              <w:rPr>
                <w:sz w:val="17"/>
              </w:rPr>
              <w:t>5,895</w:t>
            </w:r>
          </w:p>
        </w:tc>
        <w:tc>
          <w:tcPr>
            <w:tcW w:type="dxa" w:w="1440"/>
            <w:shd w:fill="FFDCE0" w:val="clear"/>
          </w:tcPr>
          <w:p>
            <w:r>
              <w:rPr>
                <w:b/>
                <w:sz w:val="17"/>
              </w:rPr>
              <w:t>6,645</w:t>
            </w:r>
          </w:p>
        </w:tc>
        <w:tc>
          <w:tcPr>
            <w:tcW w:type="dxa" w:w="1440"/>
            <w:shd w:fill="FFDCE0" w:val="clear"/>
          </w:tcPr>
          <w:p>
            <w:r>
              <w:rPr>
                <w:sz w:val="17"/>
              </w:rPr>
              <w:t>7,395</w:t>
            </w:r>
          </w:p>
        </w:tc>
        <w:tc>
          <w:tcPr>
            <w:tcW w:type="dxa" w:w="1440"/>
            <w:shd w:fill="FFDCE0" w:val="clear"/>
          </w:tcPr>
          <w:p>
            <w:r>
              <w:rPr>
                <w:b/>
                <w:color w:val="C00000"/>
                <w:sz w:val="17"/>
              </w:rPr>
              <w:t>-9.0%</w:t>
            </w:r>
          </w:p>
        </w:tc>
      </w:tr>
      <w:tr>
        <w:tc>
          <w:tcPr>
            <w:tcW w:type="dxa" w:w="1440"/>
            <w:shd w:fill="FFDCE0" w:val="clear"/>
          </w:tcPr>
          <w:p>
            <w:r>
              <w:rPr>
                <w:sz w:val="17"/>
              </w:rPr>
              <w:t>J+9  ⭐</w:t>
            </w:r>
          </w:p>
        </w:tc>
        <w:tc>
          <w:tcPr>
            <w:tcW w:type="dxa" w:w="1440"/>
            <w:shd w:fill="FFDCE0" w:val="clear"/>
          </w:tcPr>
          <w:p>
            <w:r>
              <w:rPr>
                <w:sz w:val="17"/>
              </w:rPr>
              <w:t>2026-09-02</w:t>
            </w:r>
          </w:p>
        </w:tc>
        <w:tc>
          <w:tcPr>
            <w:tcW w:type="dxa" w:w="1440"/>
            <w:shd w:fill="FFDCE0" w:val="clear"/>
          </w:tcPr>
          <w:p>
            <w:r>
              <w:rPr>
                <w:sz w:val="17"/>
              </w:rPr>
              <w:t>5,804</w:t>
            </w:r>
          </w:p>
        </w:tc>
        <w:tc>
          <w:tcPr>
            <w:tcW w:type="dxa" w:w="1440"/>
            <w:shd w:fill="FFDCE0" w:val="clear"/>
          </w:tcPr>
          <w:p>
            <w:r>
              <w:rPr>
                <w:b/>
                <w:sz w:val="17"/>
              </w:rPr>
              <w:t>6,593</w:t>
            </w:r>
          </w:p>
        </w:tc>
        <w:tc>
          <w:tcPr>
            <w:tcW w:type="dxa" w:w="1440"/>
            <w:shd w:fill="FFDCE0" w:val="clear"/>
          </w:tcPr>
          <w:p>
            <w:r>
              <w:rPr>
                <w:sz w:val="17"/>
              </w:rPr>
              <w:t>7,383</w:t>
            </w:r>
          </w:p>
        </w:tc>
        <w:tc>
          <w:tcPr>
            <w:tcW w:type="dxa" w:w="1440"/>
            <w:shd w:fill="FFDCE0" w:val="clear"/>
          </w:tcPr>
          <w:p>
            <w:r>
              <w:rPr>
                <w:b/>
                <w:color w:val="C00000"/>
                <w:sz w:val="17"/>
              </w:rPr>
              <w:t>-9.7%</w:t>
            </w:r>
          </w:p>
        </w:tc>
      </w:tr>
      <w:tr>
        <w:tc>
          <w:tcPr>
            <w:tcW w:type="dxa" w:w="1440"/>
            <w:shd w:fill="FFDCE0" w:val="clear"/>
          </w:tcPr>
          <w:p>
            <w:r>
              <w:rPr>
                <w:sz w:val="17"/>
              </w:rPr>
              <w:t>J+10  ⭐</w:t>
            </w:r>
          </w:p>
        </w:tc>
        <w:tc>
          <w:tcPr>
            <w:tcW w:type="dxa" w:w="1440"/>
            <w:shd w:fill="FFDCE0" w:val="clear"/>
          </w:tcPr>
          <w:p>
            <w:r>
              <w:rPr>
                <w:sz w:val="17"/>
              </w:rPr>
              <w:t>2026-09-03</w:t>
            </w:r>
          </w:p>
        </w:tc>
        <w:tc>
          <w:tcPr>
            <w:tcW w:type="dxa" w:w="1440"/>
            <w:shd w:fill="FFDCE0" w:val="clear"/>
          </w:tcPr>
          <w:p>
            <w:r>
              <w:rPr>
                <w:sz w:val="17"/>
              </w:rPr>
              <w:t>5,718</w:t>
            </w:r>
          </w:p>
        </w:tc>
        <w:tc>
          <w:tcPr>
            <w:tcW w:type="dxa" w:w="1440"/>
            <w:shd w:fill="FFDCE0" w:val="clear"/>
          </w:tcPr>
          <w:p>
            <w:r>
              <w:rPr>
                <w:b/>
                <w:sz w:val="17"/>
              </w:rPr>
              <w:t>6,544</w:t>
            </w:r>
          </w:p>
        </w:tc>
        <w:tc>
          <w:tcPr>
            <w:tcW w:type="dxa" w:w="1440"/>
            <w:shd w:fill="FFDCE0" w:val="clear"/>
          </w:tcPr>
          <w:p>
            <w:r>
              <w:rPr>
                <w:sz w:val="17"/>
              </w:rPr>
              <w:t>7,370</w:t>
            </w:r>
          </w:p>
        </w:tc>
        <w:tc>
          <w:tcPr>
            <w:tcW w:type="dxa" w:w="1440"/>
            <w:shd w:fill="FFDCE0" w:val="clear"/>
          </w:tcPr>
          <w:p>
            <w:r>
              <w:rPr>
                <w:b/>
                <w:color w:val="C00000"/>
                <w:sz w:val="17"/>
              </w:rPr>
              <w:t>-10.4%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 BURKINA FASO (BOABF)**</w:t>
        <w:br/>
        <w:t>**Date de l'analyse : 19 août 2026**</w:t>
        <w:br/>
        <w:t>**Cours de référence : 7 300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BOABF s'établit à 321,20 milliards FCFA, un niveau significatif qui la positionne parmi les valeurs moyennes à grandes capitalisations de la BRVM, lui conférant une liquidité et une visibilité appréciables. Le BPA de 438 FCFA indique que chaque action génère un bénéfice substantiel, justifiant un PER de 16,7x. Ce ratio est nettement supérieur à la moyenne historique de la BRVM (8-12x), ce qui suggère que le marché applique une prime de croissance ou de rareté sur ce titre, malgré des fondamentaux récents en repli. Le P/B de 2,54x confirme cette prime, le marché valorisant la banque à plus de 2,5 fois ses capitaux propres, signe d'une confiance dans la création de valeur future. Enfin, un EV/EBITDA de 7,1x reste dans une zone raisonnable (5-10x), indiquant que la valorisation globale de l'entreprise, rapportée à sa capacité opérationnelle, n'est pas excessive.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BOABF a enregistré une performance remarquable de +34,07%, passant d'un plus bas de 5 235 FCFA à un plus haut de 7 350 FCFA, avec une légère consolidation de -0,68% lors de la dernière séance. Cette tendance est clairement haussière, soutenue par un volume moyen de 5 958 titres par jour. L'analyse statistique révèle une moyenne de 5 984 FCFA, inférieure à la médiane de 5 600 FCFA, et un mode de 5 400 FCFA, indiquant une distribution asymétrique positive (skewness de 0,993) où le titre a passé plus de temps sous sa moyenne avant de connaître une forte accélération récente. L'écart-type de 709 FCFA (CV de 11,8%) montre une dispersion modérée, tandis qu'un kurtosis de -0,766 (mésokurtique) suggère une distribution proche de la normale, sans risque de variations extrêmes imprévisibles. La volatilité annualisée de 28,7% classe le titre dans une zone de volatilité modérée à élevée, reflétant un risque de marché significatif mais maîtrisé.</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(7 300 FCFA) se positionne nettement au-dessus de la MM20 (7 180 FCFA) et de la MM50 (6 450 FCFA), confirmant une dynamique haussière solide à court et moyen terme. La configuration des MM, avec la MM20 au-dessus de la MM50, valide la tendance positive et génère un signal d'achat.</w:t>
      </w:r>
    </w:p>
    <w:p>
      <w:pPr>
        <w:spacing w:after="120" w:line="276" w:lineRule="auto"/>
      </w:pPr>
      <w:r>
        <w:t>**Bandes de Bollinger**: Le prix se situe à 7 300 FCFA, proche de la borne supérieure (7 400,788 FCFA) et nettement au-dessus de la borne inférieure (6 959,212 FCFA). Cette position indique une pression acheteuse soutenue, mais le titre n'est pas encore en zone de surachat extrême. La décision est neutre, le marché attendant une possible consolidation ou une cassure de la borne supérieure.</w:t>
      </w:r>
    </w:p>
    <w:p>
      <w:pPr>
        <w:spacing w:after="120" w:line="276" w:lineRule="auto"/>
      </w:pPr>
      <w:r>
        <w:t>**MACD**: Le MACD (212,807) est positif mais passe sous sa ligne de signal (251,546), indiquant un ralentissement du momentum haussier. Cette divergence baissière suggère une possible correction à court terme, d'où un signal de vente prudent.</w:t>
      </w:r>
    </w:p>
    <w:p>
      <w:pPr>
        <w:spacing w:after="120" w:line="276" w:lineRule="auto"/>
      </w:pPr>
      <w:r>
        <w:t>**RSI**: Le RSI à 62,5 se situe en zone neutre (30-70), sans signal de surachat ou de survente. Cela indique que le titre dispose encore d'une marge de progression avant d'atteindre des conditions de surachat, mais la dynamique actuelle est modérée.</w:t>
      </w:r>
    </w:p>
    <w:p>
      <w:pPr>
        <w:spacing w:after="120" w:line="276" w:lineRule="auto"/>
      </w:pPr>
      <w:r>
        <w:t>**Stochastique**: Le %K (80,0) et le %D (86,667) sont tous deux élevés, proches de la zone de surachat (&gt;80). Le %K étant inférieur au %D, un croisement baissier potentiel se dessine, signalant un possible essoufflement de la hausse à très court terme. La décision reste neutre.</w:t>
      </w:r>
    </w:p>
    <w:p>
      <w:pPr>
        <w:spacing w:after="120" w:line="276" w:lineRule="auto"/>
      </w:pPr>
      <w:r>
        <w:t>**Conclusion technique**: Les indicateurs sont mitigés : la tendance de fond reste haussière (MM), mais les oscillateurs (MACD, Stochastique) montrent des signes de fatigue et de ralentissement du momentum. Le RSI neutre et les bandes de Bollinger suggèrent une consolidation horizontale probable avant une nouvelle impulsion. Le scénario le plus probable est une pause dans la tendance haussière, avec un risque de correction modérée vers la zone des 6 900-7 000 FCFA.</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BOABF révèlent une banque solide mais confrontée à des défis majeurs. Le Produit Net Bancaire (PNB) s'établit à 57,820 milliards FCFA, avec un résultat net de 19,252 milliards FCFA. La rentabilité des fonds propres (ROE) est excellente à 15,22%, et le ROA de 1,68% est correct pour le secteur. Le coefficient d'exploitation de 47,19% témoigne d'une excellente maîtrise des charges, et la banque maintient une transformation saine avec des dépôts clientèle (877,822 Mds) largement supérieurs aux crédits (474,064 Mds). Cependant, le coût du risque s'élève à 33,92% des charges financières, un niveau élevé signalant une dégradation de la qualité du portefeuille de crédits. Les rapports trimestriels de 2025 confirment cette tendance : le T1 2025 (PNB 14,22 Mds, RN 5,20 Mds) et le S1 2025 (PNB 29,06 Mds, RN 8,22 Mds, en baisse de 46,5%) montrent une stagnation de l'activité et un effondrement de la rentabilité, principalement dû à une explosion du coût du risque (+1336% au S1). Le rapport du T3 2025 (cumul 9 mois : PNB 43,28 Mds, RN 13,45 Mds, -27,7%) confirme la pression persistante. Enfin, le rapport du T1 2026 (PNB 12,69 Mds, -10,75% ; RN 4,52 Mds, -12,99%) indique une poursuite de la dégradation. On estime que l'exercice 2026 pourrait voir un PNB autour de 52-55 milliards et un résultat net sous pression, potentiellement entre 15 et 17 milliards, si le coût du risque reste élevé. La banque reste néanmoins solide, avec un dividende de 397 FCFA/action annoncé pour 2025.</w:t>
      </w:r>
    </w:p>
    <w:p>
      <w:pPr>
        <w:spacing w:after="120" w:line="276" w:lineRule="auto"/>
      </w:pPr>
      <w:r>
        <w:t>---</w:t>
      </w:r>
    </w:p>
    <w:p>
      <w:pPr>
        <w:spacing w:after="120" w:line="276" w:lineRule="auto"/>
      </w:pPr>
      <w:r>
        <w:t>### PARTIE 4 : CONCLUSION D'INVESTISSEMENT</w:t>
      </w:r>
    </w:p>
    <w:p>
      <w:pPr>
        <w:spacing w:after="120" w:line="276" w:lineRule="auto"/>
      </w:pPr>
      <w:r>
        <w:t>La valorisation de BOABF (PER 16,7x, P/B 2,54x) apparaît exigeante au regard de la dégradation des fondamentaux, le marché intégrant une prime qui semble désormais excessive. Le comportement du cours (+34% sur 100 jours) montre une dynamique haussière forte, mais les statistiques (asymétrie positive) et la volatilité de 28,7% suggèrent un risque de retournement. Les signaux techniques sont partagés : la tendance de fond reste positive (MM), mais les indicateurs de momentum (MACD, Stochastique) signalent un essoufflement imminent. Fondamentalement, la banque est solide (ROE &gt;15%, coefficient d'exploitation excellent) mais traverse une phase de dégradation de la qualité de ses actifs, avec une rentabilité nette en chute libre (-27,7% sur 9 mois 2025, -13% au T1 2026). Les prédictions IA (baisse de 7 148 à 6 812 FCFA sur 10 jours) confirment le scénario technique d'une correction. En synthèse, la convergence des signaux (valorisation chère, momentum technique négatif, fondamentaux en repli, prédictions baissières) conduit à une recommandation **VENTE**. Le niveau de confiance est **Moyen**, le risque global **Élevé**, et l'horizon d'investissement optimal serait de **court terme (&lt;3 mois)** pour les investisseurs cherchant à sécuriser les gains, avec un réinvestissement possible après une correction vers les 6 500-6 800 FCFA.</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532.00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14,099 titres</w:t>
            </w:r>
          </w:p>
        </w:tc>
        <w:tc>
          <w:tcPr>
            <w:tcW w:type="dxa" w:w="2268"/>
            <w:shd w:fill="FFF2CC" w:val="clear"/>
          </w:tcPr>
          <w:p>
            <w:r>
              <w:rPr>
                <w:b/>
                <w:color w:val="503200"/>
                <w:sz w:val="16"/>
              </w:rPr>
              <w:t xml:space="preserve">Cours actuel : </w:t>
            </w:r>
            <w:r>
              <w:rPr>
                <w:color w:val="000000"/>
                <w:sz w:val="17"/>
              </w:rPr>
              <w:t>13,300 FCFA</w:t>
            </w:r>
          </w:p>
          <w:p>
            <w:r>
              <w:rPr>
                <w:b/>
                <w:color w:val="503200"/>
                <w:sz w:val="16"/>
              </w:rPr>
              <w:t xml:space="preserve">Var. 100 jours : </w:t>
            </w:r>
            <w:r>
              <w:rPr>
                <w:b/>
                <w:color w:val="007800"/>
                <w:sz w:val="17"/>
              </w:rPr>
              <w:t>+52.00%</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8,100 FCFA</w:t>
            </w:r>
          </w:p>
          <w:p>
            <w:r>
              <w:rPr>
                <w:b/>
                <w:color w:val="503200"/>
                <w:sz w:val="16"/>
              </w:rPr>
              <w:t xml:space="preserve">Volatilité ann. : </w:t>
            </w:r>
            <w:r>
              <w:rPr>
                <w:color w:val="000000"/>
                <w:sz w:val="17"/>
              </w:rPr>
              <w:t>28.6%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17.1/100 → Faible</w:t>
      </w:r>
    </w:p>
    <w:p>
      <w:pPr>
        <w:spacing w:before="40" w:after="80"/>
      </w:pPr>
      <w:r>
        <w:rPr>
          <w:rFonts w:ascii="Courier New" w:hAnsi="Courier New"/>
          <w:color w:val="006400"/>
          <w:sz w:val="18"/>
        </w:rPr>
        <w:t>███░░░░░░░░░░░░░░░░░  17.1/100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13.02% (Moyenne) — μ=9,458 FCFA, σ=1,232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β=0.6040 (Défensif) — Cov=0.000018, Var(idx)=0.000030, ρ=0.184,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14,099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2026-08-20</w:t>
            </w:r>
          </w:p>
        </w:tc>
        <w:tc>
          <w:tcPr>
            <w:tcW w:type="dxa" w:w="1440"/>
            <w:shd w:fill="FFDCE0" w:val="clear"/>
          </w:tcPr>
          <w:p>
            <w:r>
              <w:rPr>
                <w:sz w:val="17"/>
              </w:rPr>
              <w:t>12,125</w:t>
            </w:r>
          </w:p>
        </w:tc>
        <w:tc>
          <w:tcPr>
            <w:tcW w:type="dxa" w:w="1440"/>
            <w:shd w:fill="FFDCE0" w:val="clear"/>
          </w:tcPr>
          <w:p>
            <w:r>
              <w:rPr>
                <w:b/>
                <w:sz w:val="17"/>
              </w:rPr>
              <w:t>12,530</w:t>
            </w:r>
          </w:p>
        </w:tc>
        <w:tc>
          <w:tcPr>
            <w:tcW w:type="dxa" w:w="1440"/>
            <w:shd w:fill="FFDCE0" w:val="clear"/>
          </w:tcPr>
          <w:p>
            <w:r>
              <w:rPr>
                <w:sz w:val="17"/>
              </w:rPr>
              <w:t>12,935</w:t>
            </w:r>
          </w:p>
        </w:tc>
        <w:tc>
          <w:tcPr>
            <w:tcW w:type="dxa" w:w="1440"/>
            <w:shd w:fill="FFDCE0" w:val="clear"/>
          </w:tcPr>
          <w:p>
            <w:r>
              <w:rPr>
                <w:b/>
                <w:color w:val="C00000"/>
                <w:sz w:val="17"/>
              </w:rPr>
              <w:t>-5.8%</w:t>
            </w:r>
          </w:p>
        </w:tc>
      </w:tr>
      <w:tr>
        <w:tc>
          <w:tcPr>
            <w:tcW w:type="dxa" w:w="1440"/>
            <w:shd w:fill="FFDCE0" w:val="clear"/>
          </w:tcPr>
          <w:p>
            <w:r>
              <w:rPr>
                <w:sz w:val="17"/>
              </w:rPr>
              <w:t>J+2  ⭐⭐⭐</w:t>
            </w:r>
          </w:p>
        </w:tc>
        <w:tc>
          <w:tcPr>
            <w:tcW w:type="dxa" w:w="1440"/>
            <w:shd w:fill="FFDCE0" w:val="clear"/>
          </w:tcPr>
          <w:p>
            <w:r>
              <w:rPr>
                <w:sz w:val="17"/>
              </w:rPr>
              <w:t>2026-08-21</w:t>
            </w:r>
          </w:p>
        </w:tc>
        <w:tc>
          <w:tcPr>
            <w:tcW w:type="dxa" w:w="1440"/>
            <w:shd w:fill="FFDCE0" w:val="clear"/>
          </w:tcPr>
          <w:p>
            <w:r>
              <w:rPr>
                <w:sz w:val="17"/>
              </w:rPr>
              <w:t>11,359</w:t>
            </w:r>
          </w:p>
        </w:tc>
        <w:tc>
          <w:tcPr>
            <w:tcW w:type="dxa" w:w="1440"/>
            <w:shd w:fill="FFDCE0" w:val="clear"/>
          </w:tcPr>
          <w:p>
            <w:r>
              <w:rPr>
                <w:b/>
                <w:sz w:val="17"/>
              </w:rPr>
              <w:t>11,902</w:t>
            </w:r>
          </w:p>
        </w:tc>
        <w:tc>
          <w:tcPr>
            <w:tcW w:type="dxa" w:w="1440"/>
            <w:shd w:fill="FFDCE0" w:val="clear"/>
          </w:tcPr>
          <w:p>
            <w:r>
              <w:rPr>
                <w:sz w:val="17"/>
              </w:rPr>
              <w:t>12,446</w:t>
            </w:r>
          </w:p>
        </w:tc>
        <w:tc>
          <w:tcPr>
            <w:tcW w:type="dxa" w:w="1440"/>
            <w:shd w:fill="FFDCE0" w:val="clear"/>
          </w:tcPr>
          <w:p>
            <w:r>
              <w:rPr>
                <w:b/>
                <w:color w:val="C00000"/>
                <w:sz w:val="17"/>
              </w:rPr>
              <w:t>-10.5%</w:t>
            </w:r>
          </w:p>
        </w:tc>
      </w:tr>
      <w:tr>
        <w:tc>
          <w:tcPr>
            <w:tcW w:type="dxa" w:w="1440"/>
            <w:shd w:fill="FFDCE0" w:val="clear"/>
          </w:tcPr>
          <w:p>
            <w:r>
              <w:rPr>
                <w:sz w:val="17"/>
              </w:rPr>
              <w:t>J+3  ⭐⭐⭐</w:t>
            </w:r>
          </w:p>
        </w:tc>
        <w:tc>
          <w:tcPr>
            <w:tcW w:type="dxa" w:w="1440"/>
            <w:shd w:fill="FFDCE0" w:val="clear"/>
          </w:tcPr>
          <w:p>
            <w:r>
              <w:rPr>
                <w:sz w:val="17"/>
              </w:rPr>
              <w:t>2026-08-24</w:t>
            </w:r>
          </w:p>
        </w:tc>
        <w:tc>
          <w:tcPr>
            <w:tcW w:type="dxa" w:w="1440"/>
            <w:shd w:fill="FFDCE0" w:val="clear"/>
          </w:tcPr>
          <w:p>
            <w:r>
              <w:rPr>
                <w:sz w:val="17"/>
              </w:rPr>
              <w:t>10,667</w:t>
            </w:r>
          </w:p>
        </w:tc>
        <w:tc>
          <w:tcPr>
            <w:tcW w:type="dxa" w:w="1440"/>
            <w:shd w:fill="FFDCE0" w:val="clear"/>
          </w:tcPr>
          <w:p>
            <w:r>
              <w:rPr>
                <w:b/>
                <w:sz w:val="17"/>
              </w:rPr>
              <w:t>11,299</w:t>
            </w:r>
          </w:p>
        </w:tc>
        <w:tc>
          <w:tcPr>
            <w:tcW w:type="dxa" w:w="1440"/>
            <w:shd w:fill="FFDCE0" w:val="clear"/>
          </w:tcPr>
          <w:p>
            <w:r>
              <w:rPr>
                <w:sz w:val="17"/>
              </w:rPr>
              <w:t>11,931</w:t>
            </w:r>
          </w:p>
        </w:tc>
        <w:tc>
          <w:tcPr>
            <w:tcW w:type="dxa" w:w="1440"/>
            <w:shd w:fill="FFDCE0" w:val="clear"/>
          </w:tcPr>
          <w:p>
            <w:r>
              <w:rPr>
                <w:b/>
                <w:color w:val="C00000"/>
                <w:sz w:val="17"/>
              </w:rPr>
              <w:t>-15.0%</w:t>
            </w:r>
          </w:p>
        </w:tc>
      </w:tr>
      <w:tr>
        <w:tc>
          <w:tcPr>
            <w:tcW w:type="dxa" w:w="1440"/>
            <w:shd w:fill="FFDCE0" w:val="clear"/>
          </w:tcPr>
          <w:p>
            <w:r>
              <w:rPr>
                <w:sz w:val="17"/>
              </w:rPr>
              <w:t>J+4  Moyenne</w:t>
            </w:r>
          </w:p>
        </w:tc>
        <w:tc>
          <w:tcPr>
            <w:tcW w:type="dxa" w:w="1440"/>
            <w:shd w:fill="FFDCE0" w:val="clear"/>
          </w:tcPr>
          <w:p>
            <w:r>
              <w:rPr>
                <w:sz w:val="17"/>
              </w:rPr>
              <w:t>2026-08-25</w:t>
            </w:r>
          </w:p>
        </w:tc>
        <w:tc>
          <w:tcPr>
            <w:tcW w:type="dxa" w:w="1440"/>
            <w:shd w:fill="FFDCE0" w:val="clear"/>
          </w:tcPr>
          <w:p>
            <w:r>
              <w:rPr>
                <w:sz w:val="17"/>
              </w:rPr>
              <w:t>10,084</w:t>
            </w:r>
          </w:p>
        </w:tc>
        <w:tc>
          <w:tcPr>
            <w:tcW w:type="dxa" w:w="1440"/>
            <w:shd w:fill="FFDCE0" w:val="clear"/>
          </w:tcPr>
          <w:p>
            <w:r>
              <w:rPr>
                <w:b/>
                <w:sz w:val="17"/>
              </w:rPr>
              <w:t>10,781</w:t>
            </w:r>
          </w:p>
        </w:tc>
        <w:tc>
          <w:tcPr>
            <w:tcW w:type="dxa" w:w="1440"/>
            <w:shd w:fill="FFDCE0" w:val="clear"/>
          </w:tcPr>
          <w:p>
            <w:r>
              <w:rPr>
                <w:sz w:val="17"/>
              </w:rPr>
              <w:t>11,477</w:t>
            </w:r>
          </w:p>
        </w:tc>
        <w:tc>
          <w:tcPr>
            <w:tcW w:type="dxa" w:w="1440"/>
            <w:shd w:fill="FFDCE0" w:val="clear"/>
          </w:tcPr>
          <w:p>
            <w:r>
              <w:rPr>
                <w:b/>
                <w:color w:val="C00000"/>
                <w:sz w:val="17"/>
              </w:rPr>
              <w:t>-18.9%</w:t>
            </w:r>
          </w:p>
        </w:tc>
      </w:tr>
      <w:tr>
        <w:tc>
          <w:tcPr>
            <w:tcW w:type="dxa" w:w="1440"/>
            <w:shd w:fill="FFDCE0" w:val="clear"/>
          </w:tcPr>
          <w:p>
            <w:r>
              <w:rPr>
                <w:sz w:val="17"/>
              </w:rPr>
              <w:t>J+5  Moyenne</w:t>
            </w:r>
          </w:p>
        </w:tc>
        <w:tc>
          <w:tcPr>
            <w:tcW w:type="dxa" w:w="1440"/>
            <w:shd w:fill="FFDCE0" w:val="clear"/>
          </w:tcPr>
          <w:p>
            <w:r>
              <w:rPr>
                <w:sz w:val="17"/>
              </w:rPr>
              <w:t>2026-08-27</w:t>
            </w:r>
          </w:p>
        </w:tc>
        <w:tc>
          <w:tcPr>
            <w:tcW w:type="dxa" w:w="1440"/>
            <w:shd w:fill="FFDCE0" w:val="clear"/>
          </w:tcPr>
          <w:p>
            <w:r>
              <w:rPr>
                <w:sz w:val="17"/>
              </w:rPr>
              <w:t>9,594</w:t>
            </w:r>
          </w:p>
        </w:tc>
        <w:tc>
          <w:tcPr>
            <w:tcW w:type="dxa" w:w="1440"/>
            <w:shd w:fill="FFDCE0" w:val="clear"/>
          </w:tcPr>
          <w:p>
            <w:r>
              <w:rPr>
                <w:b/>
                <w:sz w:val="17"/>
              </w:rPr>
              <w:t>10,340</w:t>
            </w:r>
          </w:p>
        </w:tc>
        <w:tc>
          <w:tcPr>
            <w:tcW w:type="dxa" w:w="1440"/>
            <w:shd w:fill="FFDCE0" w:val="clear"/>
          </w:tcPr>
          <w:p>
            <w:r>
              <w:rPr>
                <w:sz w:val="17"/>
              </w:rPr>
              <w:t>11,087</w:t>
            </w:r>
          </w:p>
        </w:tc>
        <w:tc>
          <w:tcPr>
            <w:tcW w:type="dxa" w:w="1440"/>
            <w:shd w:fill="FFDCE0" w:val="clear"/>
          </w:tcPr>
          <w:p>
            <w:r>
              <w:rPr>
                <w:b/>
                <w:color w:val="C00000"/>
                <w:sz w:val="17"/>
              </w:rPr>
              <w:t>-22.3%</w:t>
            </w:r>
          </w:p>
        </w:tc>
      </w:tr>
      <w:tr>
        <w:tc>
          <w:tcPr>
            <w:tcW w:type="dxa" w:w="1440"/>
            <w:shd w:fill="FFDCE0" w:val="clear"/>
          </w:tcPr>
          <w:p>
            <w:r>
              <w:rPr>
                <w:sz w:val="17"/>
              </w:rPr>
              <w:t>J+6  Moyenne</w:t>
            </w:r>
          </w:p>
        </w:tc>
        <w:tc>
          <w:tcPr>
            <w:tcW w:type="dxa" w:w="1440"/>
            <w:shd w:fill="FFDCE0" w:val="clear"/>
          </w:tcPr>
          <w:p>
            <w:r>
              <w:rPr>
                <w:sz w:val="17"/>
              </w:rPr>
              <w:t>2026-08-28</w:t>
            </w:r>
          </w:p>
        </w:tc>
        <w:tc>
          <w:tcPr>
            <w:tcW w:type="dxa" w:w="1440"/>
            <w:shd w:fill="FFDCE0" w:val="clear"/>
          </w:tcPr>
          <w:p>
            <w:r>
              <w:rPr>
                <w:sz w:val="17"/>
              </w:rPr>
              <w:t>9,178</w:t>
            </w:r>
          </w:p>
        </w:tc>
        <w:tc>
          <w:tcPr>
            <w:tcW w:type="dxa" w:w="1440"/>
            <w:shd w:fill="FFDCE0" w:val="clear"/>
          </w:tcPr>
          <w:p>
            <w:r>
              <w:rPr>
                <w:b/>
                <w:sz w:val="17"/>
              </w:rPr>
              <w:t>9,966</w:t>
            </w:r>
          </w:p>
        </w:tc>
        <w:tc>
          <w:tcPr>
            <w:tcW w:type="dxa" w:w="1440"/>
            <w:shd w:fill="FFDCE0" w:val="clear"/>
          </w:tcPr>
          <w:p>
            <w:r>
              <w:rPr>
                <w:sz w:val="17"/>
              </w:rPr>
              <w:t>10,755</w:t>
            </w:r>
          </w:p>
        </w:tc>
        <w:tc>
          <w:tcPr>
            <w:tcW w:type="dxa" w:w="1440"/>
            <w:shd w:fill="FFDCE0" w:val="clear"/>
          </w:tcPr>
          <w:p>
            <w:r>
              <w:rPr>
                <w:b/>
                <w:color w:val="C00000"/>
                <w:sz w:val="17"/>
              </w:rPr>
              <w:t>-25.1%</w:t>
            </w:r>
          </w:p>
        </w:tc>
      </w:tr>
      <w:tr>
        <w:tc>
          <w:tcPr>
            <w:tcW w:type="dxa" w:w="1440"/>
            <w:shd w:fill="FFDCE0" w:val="clear"/>
          </w:tcPr>
          <w:p>
            <w:r>
              <w:rPr>
                <w:sz w:val="17"/>
              </w:rPr>
              <w:t>J+7  Moyenne</w:t>
            </w:r>
          </w:p>
        </w:tc>
        <w:tc>
          <w:tcPr>
            <w:tcW w:type="dxa" w:w="1440"/>
            <w:shd w:fill="FFDCE0" w:val="clear"/>
          </w:tcPr>
          <w:p>
            <w:r>
              <w:rPr>
                <w:sz w:val="17"/>
              </w:rPr>
              <w:t>2026-08-31</w:t>
            </w:r>
          </w:p>
        </w:tc>
        <w:tc>
          <w:tcPr>
            <w:tcW w:type="dxa" w:w="1440"/>
            <w:shd w:fill="FFDCE0" w:val="clear"/>
          </w:tcPr>
          <w:p>
            <w:r>
              <w:rPr>
                <w:sz w:val="17"/>
              </w:rPr>
              <w:t>8,821</w:t>
            </w:r>
          </w:p>
        </w:tc>
        <w:tc>
          <w:tcPr>
            <w:tcW w:type="dxa" w:w="1440"/>
            <w:shd w:fill="FFDCE0" w:val="clear"/>
          </w:tcPr>
          <w:p>
            <w:r>
              <w:rPr>
                <w:b/>
                <w:sz w:val="17"/>
              </w:rPr>
              <w:t>9,646</w:t>
            </w:r>
          </w:p>
        </w:tc>
        <w:tc>
          <w:tcPr>
            <w:tcW w:type="dxa" w:w="1440"/>
            <w:shd w:fill="FFDCE0" w:val="clear"/>
          </w:tcPr>
          <w:p>
            <w:r>
              <w:rPr>
                <w:sz w:val="17"/>
              </w:rPr>
              <w:t>10,470</w:t>
            </w:r>
          </w:p>
        </w:tc>
        <w:tc>
          <w:tcPr>
            <w:tcW w:type="dxa" w:w="1440"/>
            <w:shd w:fill="FFDCE0" w:val="clear"/>
          </w:tcPr>
          <w:p>
            <w:r>
              <w:rPr>
                <w:b/>
                <w:color w:val="C00000"/>
                <w:sz w:val="17"/>
              </w:rPr>
              <w:t>-27.5%</w:t>
            </w:r>
          </w:p>
        </w:tc>
      </w:tr>
      <w:tr>
        <w:tc>
          <w:tcPr>
            <w:tcW w:type="dxa" w:w="1440"/>
            <w:shd w:fill="FFDCE0" w:val="clear"/>
          </w:tcPr>
          <w:p>
            <w:r>
              <w:rPr>
                <w:sz w:val="17"/>
              </w:rPr>
              <w:t>J+8  Moyenne</w:t>
            </w:r>
          </w:p>
        </w:tc>
        <w:tc>
          <w:tcPr>
            <w:tcW w:type="dxa" w:w="1440"/>
            <w:shd w:fill="FFDCE0" w:val="clear"/>
          </w:tcPr>
          <w:p>
            <w:r>
              <w:rPr>
                <w:sz w:val="17"/>
              </w:rPr>
              <w:t>2026-09-01</w:t>
            </w:r>
          </w:p>
        </w:tc>
        <w:tc>
          <w:tcPr>
            <w:tcW w:type="dxa" w:w="1440"/>
            <w:shd w:fill="FFDCE0" w:val="clear"/>
          </w:tcPr>
          <w:p>
            <w:r>
              <w:rPr>
                <w:sz w:val="17"/>
              </w:rPr>
              <w:t>8,513</w:t>
            </w:r>
          </w:p>
        </w:tc>
        <w:tc>
          <w:tcPr>
            <w:tcW w:type="dxa" w:w="1440"/>
            <w:shd w:fill="FFDCE0" w:val="clear"/>
          </w:tcPr>
          <w:p>
            <w:r>
              <w:rPr>
                <w:b/>
                <w:sz w:val="17"/>
              </w:rPr>
              <w:t>9,368</w:t>
            </w:r>
          </w:p>
        </w:tc>
        <w:tc>
          <w:tcPr>
            <w:tcW w:type="dxa" w:w="1440"/>
            <w:shd w:fill="FFDCE0" w:val="clear"/>
          </w:tcPr>
          <w:p>
            <w:r>
              <w:rPr>
                <w:sz w:val="17"/>
              </w:rPr>
              <w:t>10,224</w:t>
            </w:r>
          </w:p>
        </w:tc>
        <w:tc>
          <w:tcPr>
            <w:tcW w:type="dxa" w:w="1440"/>
            <w:shd w:fill="FFDCE0" w:val="clear"/>
          </w:tcPr>
          <w:p>
            <w:r>
              <w:rPr>
                <w:b/>
                <w:color w:val="C00000"/>
                <w:sz w:val="17"/>
              </w:rPr>
              <w:t>-29.6%</w:t>
            </w:r>
          </w:p>
        </w:tc>
      </w:tr>
      <w:tr>
        <w:tc>
          <w:tcPr>
            <w:tcW w:type="dxa" w:w="1440"/>
            <w:shd w:fill="FFDCE0" w:val="clear"/>
          </w:tcPr>
          <w:p>
            <w:r>
              <w:rPr>
                <w:sz w:val="17"/>
              </w:rPr>
              <w:t>J+9  Moyenne</w:t>
            </w:r>
          </w:p>
        </w:tc>
        <w:tc>
          <w:tcPr>
            <w:tcW w:type="dxa" w:w="1440"/>
            <w:shd w:fill="FFDCE0" w:val="clear"/>
          </w:tcPr>
          <w:p>
            <w:r>
              <w:rPr>
                <w:sz w:val="17"/>
              </w:rPr>
              <w:t>2026-09-02</w:t>
            </w:r>
          </w:p>
        </w:tc>
        <w:tc>
          <w:tcPr>
            <w:tcW w:type="dxa" w:w="1440"/>
            <w:shd w:fill="FFDCE0" w:val="clear"/>
          </w:tcPr>
          <w:p>
            <w:r>
              <w:rPr>
                <w:sz w:val="17"/>
              </w:rPr>
              <w:t>8,242</w:t>
            </w:r>
          </w:p>
        </w:tc>
        <w:tc>
          <w:tcPr>
            <w:tcW w:type="dxa" w:w="1440"/>
            <w:shd w:fill="FFDCE0" w:val="clear"/>
          </w:tcPr>
          <w:p>
            <w:r>
              <w:rPr>
                <w:b/>
                <w:sz w:val="17"/>
              </w:rPr>
              <w:t>9,127</w:t>
            </w:r>
          </w:p>
        </w:tc>
        <w:tc>
          <w:tcPr>
            <w:tcW w:type="dxa" w:w="1440"/>
            <w:shd w:fill="FFDCE0" w:val="clear"/>
          </w:tcPr>
          <w:p>
            <w:r>
              <w:rPr>
                <w:sz w:val="17"/>
              </w:rPr>
              <w:t>10,011</w:t>
            </w:r>
          </w:p>
        </w:tc>
        <w:tc>
          <w:tcPr>
            <w:tcW w:type="dxa" w:w="1440"/>
            <w:shd w:fill="FFDCE0" w:val="clear"/>
          </w:tcPr>
          <w:p>
            <w:r>
              <w:rPr>
                <w:b/>
                <w:color w:val="C00000"/>
                <w:sz w:val="17"/>
              </w:rPr>
              <w:t>-31.4%</w:t>
            </w:r>
          </w:p>
        </w:tc>
      </w:tr>
      <w:tr>
        <w:tc>
          <w:tcPr>
            <w:tcW w:type="dxa" w:w="1440"/>
            <w:shd w:fill="FFDCE0" w:val="clear"/>
          </w:tcPr>
          <w:p>
            <w:r>
              <w:rPr>
                <w:sz w:val="17"/>
              </w:rPr>
              <w:t>J+10  Moyenne</w:t>
            </w:r>
          </w:p>
        </w:tc>
        <w:tc>
          <w:tcPr>
            <w:tcW w:type="dxa" w:w="1440"/>
            <w:shd w:fill="FFDCE0" w:val="clear"/>
          </w:tcPr>
          <w:p>
            <w:r>
              <w:rPr>
                <w:sz w:val="17"/>
              </w:rPr>
              <w:t>2026-09-03</w:t>
            </w:r>
          </w:p>
        </w:tc>
        <w:tc>
          <w:tcPr>
            <w:tcW w:type="dxa" w:w="1440"/>
            <w:shd w:fill="FFDCE0" w:val="clear"/>
          </w:tcPr>
          <w:p>
            <w:r>
              <w:rPr>
                <w:sz w:val="17"/>
              </w:rPr>
              <w:t>8,003</w:t>
            </w:r>
          </w:p>
        </w:tc>
        <w:tc>
          <w:tcPr>
            <w:tcW w:type="dxa" w:w="1440"/>
            <w:shd w:fill="FFDCE0" w:val="clear"/>
          </w:tcPr>
          <w:p>
            <w:r>
              <w:rPr>
                <w:b/>
                <w:sz w:val="17"/>
              </w:rPr>
              <w:t>8,914</w:t>
            </w:r>
          </w:p>
        </w:tc>
        <w:tc>
          <w:tcPr>
            <w:tcW w:type="dxa" w:w="1440"/>
            <w:shd w:fill="FFDCE0" w:val="clear"/>
          </w:tcPr>
          <w:p>
            <w:r>
              <w:rPr>
                <w:sz w:val="17"/>
              </w:rPr>
              <w:t>9,824</w:t>
            </w:r>
          </w:p>
        </w:tc>
        <w:tc>
          <w:tcPr>
            <w:tcW w:type="dxa" w:w="1440"/>
            <w:shd w:fill="FFDCE0" w:val="clear"/>
          </w:tcPr>
          <w:p>
            <w:r>
              <w:rPr>
                <w:b/>
                <w:color w:val="C00000"/>
                <w:sz w:val="17"/>
              </w:rPr>
              <w:t>-33.0%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BOAC s'établit à 532 milliards FCFA, ce qui en fait l'une des valeurs les plus significatives de la BRVM, reflétant la confiance des investisseurs dans le secteur bancaire ivoirien. Avec un BPA de 888 FCFA, chaque action génère un bénéfice substantiel, justifiant un PER de 15,0x, qui se situe au-dessus de la moyenne historique de la BRVM (8-12x), indiquant que le marché valorise déjà une prime de croissance. Le P/B de 4,18x confirme cette prime, les investisseurs acceptant de payer plus de quatre fois la valeur comptable des actifs, ce qui traduit des attentes élevées en matière de rendement futur. Enfin, l'EV/EBITDA de 28,0x est particulièrement exigeant, signalant que la valeur d'entreprise intègre une anticipation de performance opérationnelle soutenue. Ces ratios, bien que reflétant une qualité certaine, suggèrent une valorisation déjà généreuse qui laisse peu de marge d'erreur.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BOAC a enregistré une progression spectaculaire de +52,00%, passant d'un plus bas de 8 100 FCFA à un plus haut de 13 450 FCFA, avec une légère correction de -1,12% lors de la dernière séance. Cette tendance fortement haussière s'accompagne d'une moyenne de 9 458 FCFA et d'une médiane de 8 958 FCFA ; l'écart entre ces deux valeurs, combiné à un skewness positif de 1,740, indique une distribution asymétrique où le cours a passé la majorité du temps sous sa moyenne avant de connaître des pics récents. L'écart-type de 1 238 FCFA (CV de 13,1%) montre une dispersion modérée, mais le kurtosis élevé de 2,246 signale un risque de mouvements extrêmes, avec des queues de distribution épaisses. La volatilité annualisée de 28,6% classe le titre dans la catégorie "élevée" (&gt;30% étant très élevé), ce qui implique des fluctuations importantes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Le cours actuel de 13 300 FCFA se situe nettement au-dessus de la MM20 (11 613 FCFA) et de la MM50 (10 236 FCFA), confirmant une dynamique haussière solide à court et moyen terme. La configuration des moyennes mobiles, avec le prix au-dessus des deux, génère un signal d'achat cohérent avec la tendance dominante.</w:t>
      </w:r>
    </w:p>
    <w:p>
      <w:pPr>
        <w:spacing w:after="120" w:line="276" w:lineRule="auto"/>
      </w:pPr>
      <w:r>
        <w:t>**Bandes de Bollinger** : Le prix évolue près de la borne supérieure (13 815 FCFA), indiquant une pression acheteuse intense, mais cette proximité suggère également une zone de surachat potentiel. La décision "Neutre" reflète un équilibre précaire où le titre pourrait soit poursuivre sa progression, soit subir un repli vers la moyenne mobile.</w:t>
      </w:r>
    </w:p>
    <w:p>
      <w:pPr>
        <w:spacing w:after="120" w:line="276" w:lineRule="auto"/>
      </w:pPr>
      <w:r>
        <w:t>**MACD** : La valeur du MACD (904,085) est supérieure à son signal (741,598), avec un écart positif qui confirme un momentum haussier soutenu. Cette divergence positive indique que la tendance haussière conserve de l'énergie, bien que l'amplitude de l'écart puisse signaler une maturité du mouvement.</w:t>
      </w:r>
    </w:p>
    <w:p>
      <w:pPr>
        <w:spacing w:after="120" w:line="276" w:lineRule="auto"/>
      </w:pPr>
      <w:r>
        <w:t>**RSI** : Avec une valeur de 82,94, le RSI est profondément en zone de surachat (&gt;70), ce qui constitue un signal de vente classique. Ce niveau extrême suggère que le titre est surévalué à court terme et qu'une correction technique est probable, même si la tendance de fond reste positive.</w:t>
      </w:r>
    </w:p>
    <w:p>
      <w:pPr>
        <w:spacing w:after="120" w:line="276" w:lineRule="auto"/>
      </w:pPr>
      <w:r>
        <w:t>**Stochastique** : Le %K (94,34) et le %D (98,11) sont tous deux à des niveaux extrêmement élevés, confirmant la surachat. Le croisement potentiel du %K sous le %D pourrait déclencher un signal de vente, renforçant la prudence à très court terme.</w:t>
      </w:r>
    </w:p>
    <w:p>
      <w:pPr>
        <w:spacing w:after="120" w:line="276" w:lineRule="auto"/>
      </w:pPr>
      <w:r>
        <w:t>**Conclusion technique** : Les indicateurs de tendance (MM, MACD) sont résolument haussiers, mais les oscillateurs (RSI, Stochastique) sont en zone de surachat critique. Cette divergence entre momentum et tendance suggère une poursuite possible de la hausse à moyen terme, mais avec un risque élevé de correction technique immédiate.</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révèlent une banque performante : le Produit Net Bancaire atteint 73,545 milliards FCFA, générant un résultat net de 35,540 milliards FCFA, soit une marge nette exceptionnelle de 48,32%. Le ROE de 27,91% et le ROA de 3,22% témoignent d'une rentabilité remarquable, bien au-delà des seuils d'excellence (&gt;15% pour le ROE). Le coefficient d'exploitation de 36,70% confirme une gestion rigoureuse des coûts, tandis que le coût du risque de 6,67% reste un point de vigilance, indiquant des provisions significatives. Les dépôts clientèle (850,548 milliards FCFA) dépassent largement les créances (430,433 milliards FCFA), assurant une liquidité confortable. Les rapports trimestriels 2025 montrent une trajectoire contrastée : le T1 affichait une croissance du PNB de +4,93% et un résultat net en hausse de +14,59%, mais le S1 et le T3 ont révélé une stagnation du PNB (+0,23% sur neuf mois) avec un résultat net atone (+1,29%). Sur la base de ces données, on estime que l'exercice 2025 devrait confirmer un résultat net autour de 35 milliards FCFA, en légère progression par rapport à 2024 (32,044 milliards FCFA), porté par une maîtrise des coûts et une baisse du coût du risque, mais pénalisé par une activité en plateau.</w:t>
      </w:r>
    </w:p>
    <w:p>
      <w:pPr>
        <w:spacing w:after="120" w:line="276" w:lineRule="auto" w:before="240"/>
      </w:pPr>
      <w:r>
        <w:rPr>
          <w:b/>
          <w:color w:val="003366"/>
          <w:sz w:val="24"/>
        </w:rPr>
        <w:t>**PARTIE 4 : CONCLUSION D'INVESTISSEMENT**</w:t>
      </w:r>
    </w:p>
    <w:p>
      <w:pPr>
        <w:spacing w:after="120" w:line="276" w:lineRule="auto"/>
      </w:pPr>
      <w:r>
        <w:t>La valorisation de BOAC (PER 15x, P/B 4,18x, EV/EBITDA 28x) apparaît exigeante, intégrant des attentes de croissance déjà élevées. Le comportement du cours, avec une hausse de +52% en 100 jours et une volatilité de 28,6%, reflète un enthousiasme marqué, mais les statistiques (kurtosis élevé, skewness positif) signalent un risque de mouvements brusques. Les signaux techniques sont mitigés : les moyennes mobiles et le MACD restent haussiers, tandis que le RSI et le Stochastique crient surachat, suggérant une correction probable. Les fondamentaux sont solides avec un ROE de 27,9% et un coefficient d'exploitation de 36,7%, mais la croissance du PNB est atone en 2025. Les prédictions IA (13 300 à 10 340 FCFA sur 10 jours) anticipent une baisse significative, contredisant la tendance récente et confirmant les signaux de surachat technique. En synthèse, la convergence entre la valorisation élevée, les signaux techniques de surachat et les prédictions IA baissières conduit à une recommandation **CONSERVER** pour les investisseurs existants, avec un niveau de confiance **Moyen** et un risque global **Élevé**. L'horizon optimal serait le moyen terme (3-12 mois) pour laisser la volatilité se résorber, tout en surveillant la capacité de la banque à relancer sa croissance.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172.66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6,233 titres</w:t>
            </w:r>
          </w:p>
        </w:tc>
        <w:tc>
          <w:tcPr>
            <w:tcW w:type="dxa" w:w="2268"/>
            <w:shd w:fill="FFF2CC" w:val="clear"/>
          </w:tcPr>
          <w:p>
            <w:r>
              <w:rPr>
                <w:b/>
                <w:color w:val="503200"/>
                <w:sz w:val="16"/>
              </w:rPr>
              <w:t xml:space="preserve">Cours actuel : </w:t>
            </w:r>
            <w:r>
              <w:rPr>
                <w:color w:val="000000"/>
                <w:sz w:val="17"/>
              </w:rPr>
              <w:t>6,290 FCFA</w:t>
            </w:r>
          </w:p>
          <w:p>
            <w:r>
              <w:rPr>
                <w:b/>
                <w:color w:val="503200"/>
                <w:sz w:val="16"/>
              </w:rPr>
              <w:t xml:space="preserve">Var. 100 jours : </w:t>
            </w:r>
            <w:r>
              <w:rPr>
                <w:b/>
                <w:color w:val="007800"/>
                <w:sz w:val="17"/>
              </w:rPr>
              <w:t>+32.14%</w:t>
            </w:r>
          </w:p>
          <w:p>
            <w:r>
              <w:rPr>
                <w:b/>
                <w:color w:val="503200"/>
                <w:sz w:val="16"/>
              </w:rPr>
              <w:t xml:space="preserve">Plus haut 100j : </w:t>
            </w:r>
            <w:r>
              <w:rPr>
                <w:color w:val="000000"/>
                <w:sz w:val="17"/>
              </w:rPr>
              <w:t>6,290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9.87% (Moyenne) — μ=5,032 FCFA, σ=497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β=0.3793 (Défensif) — Cov=0.000012, Var(idx)=0.000030, ρ=0.103,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6,233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σ_j=2.01%/j (Stable) — Vol. annualisée≈31.9%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2026-08-20</w:t>
            </w:r>
          </w:p>
        </w:tc>
        <w:tc>
          <w:tcPr>
            <w:tcW w:type="dxa" w:w="1440"/>
            <w:shd w:fill="FAFAFA" w:val="clear"/>
          </w:tcPr>
          <w:p>
            <w:r>
              <w:rPr>
                <w:sz w:val="17"/>
              </w:rPr>
              <w:t>6,042</w:t>
            </w:r>
          </w:p>
        </w:tc>
        <w:tc>
          <w:tcPr>
            <w:tcW w:type="dxa" w:w="1440"/>
            <w:shd w:fill="FAFAFA" w:val="clear"/>
          </w:tcPr>
          <w:p>
            <w:r>
              <w:rPr>
                <w:b/>
                <w:sz w:val="17"/>
              </w:rPr>
              <w:t>6,239</w:t>
            </w:r>
          </w:p>
        </w:tc>
        <w:tc>
          <w:tcPr>
            <w:tcW w:type="dxa" w:w="1440"/>
            <w:shd w:fill="FAFAFA" w:val="clear"/>
          </w:tcPr>
          <w:p>
            <w:r>
              <w:rPr>
                <w:sz w:val="17"/>
              </w:rPr>
              <w:t>6,436</w:t>
            </w:r>
          </w:p>
        </w:tc>
        <w:tc>
          <w:tcPr>
            <w:tcW w:type="dxa" w:w="1440"/>
            <w:shd w:fill="FAFAFA" w:val="clear"/>
          </w:tcPr>
          <w:p>
            <w:r>
              <w:rPr>
                <w:b/>
                <w:color w:val="C00000"/>
                <w:sz w:val="17"/>
              </w:rPr>
              <w:t>-0.8%</w:t>
            </w:r>
          </w:p>
        </w:tc>
      </w:tr>
      <w:tr>
        <w:tc>
          <w:tcPr>
            <w:tcW w:type="dxa" w:w="1440"/>
            <w:shd w:fill="FFDCE0" w:val="clear"/>
          </w:tcPr>
          <w:p>
            <w:r>
              <w:rPr>
                <w:sz w:val="17"/>
              </w:rPr>
              <w:t>J+2  ⭐⭐⭐</w:t>
            </w:r>
          </w:p>
        </w:tc>
        <w:tc>
          <w:tcPr>
            <w:tcW w:type="dxa" w:w="1440"/>
            <w:shd w:fill="FFDCE0" w:val="clear"/>
          </w:tcPr>
          <w:p>
            <w:r>
              <w:rPr>
                <w:sz w:val="17"/>
              </w:rPr>
              <w:t>2026-08-21</w:t>
            </w:r>
          </w:p>
        </w:tc>
        <w:tc>
          <w:tcPr>
            <w:tcW w:type="dxa" w:w="1440"/>
            <w:shd w:fill="FFDCE0" w:val="clear"/>
          </w:tcPr>
          <w:p>
            <w:r>
              <w:rPr>
                <w:sz w:val="17"/>
              </w:rPr>
              <w:t>5,835</w:t>
            </w:r>
          </w:p>
        </w:tc>
        <w:tc>
          <w:tcPr>
            <w:tcW w:type="dxa" w:w="1440"/>
            <w:shd w:fill="FFDCE0" w:val="clear"/>
          </w:tcPr>
          <w:p>
            <w:r>
              <w:rPr>
                <w:b/>
                <w:sz w:val="17"/>
              </w:rPr>
              <w:t>6,108</w:t>
            </w:r>
          </w:p>
        </w:tc>
        <w:tc>
          <w:tcPr>
            <w:tcW w:type="dxa" w:w="1440"/>
            <w:shd w:fill="FFDCE0" w:val="clear"/>
          </w:tcPr>
          <w:p>
            <w:r>
              <w:rPr>
                <w:sz w:val="17"/>
              </w:rPr>
              <w:t>6,380</w:t>
            </w:r>
          </w:p>
        </w:tc>
        <w:tc>
          <w:tcPr>
            <w:tcW w:type="dxa" w:w="1440"/>
            <w:shd w:fill="FFDCE0" w:val="clear"/>
          </w:tcPr>
          <w:p>
            <w:r>
              <w:rPr>
                <w:b/>
                <w:color w:val="C00000"/>
                <w:sz w:val="17"/>
              </w:rPr>
              <w:t>-2.9%</w:t>
            </w:r>
          </w:p>
        </w:tc>
      </w:tr>
      <w:tr>
        <w:tc>
          <w:tcPr>
            <w:tcW w:type="dxa" w:w="1440"/>
            <w:shd w:fill="FFDCE0" w:val="clear"/>
          </w:tcPr>
          <w:p>
            <w:r>
              <w:rPr>
                <w:sz w:val="17"/>
              </w:rPr>
              <w:t>J+3  ⭐⭐⭐</w:t>
            </w:r>
          </w:p>
        </w:tc>
        <w:tc>
          <w:tcPr>
            <w:tcW w:type="dxa" w:w="1440"/>
            <w:shd w:fill="FFDCE0" w:val="clear"/>
          </w:tcPr>
          <w:p>
            <w:r>
              <w:rPr>
                <w:sz w:val="17"/>
              </w:rPr>
              <w:t>2026-08-24</w:t>
            </w:r>
          </w:p>
        </w:tc>
        <w:tc>
          <w:tcPr>
            <w:tcW w:type="dxa" w:w="1440"/>
            <w:shd w:fill="FFDCE0" w:val="clear"/>
          </w:tcPr>
          <w:p>
            <w:r>
              <w:rPr>
                <w:sz w:val="17"/>
              </w:rPr>
              <w:t>5,643</w:t>
            </w:r>
          </w:p>
        </w:tc>
        <w:tc>
          <w:tcPr>
            <w:tcW w:type="dxa" w:w="1440"/>
            <w:shd w:fill="FFDCE0" w:val="clear"/>
          </w:tcPr>
          <w:p>
            <w:r>
              <w:rPr>
                <w:b/>
                <w:sz w:val="17"/>
              </w:rPr>
              <w:t>5,970</w:t>
            </w:r>
          </w:p>
        </w:tc>
        <w:tc>
          <w:tcPr>
            <w:tcW w:type="dxa" w:w="1440"/>
            <w:shd w:fill="FFDCE0" w:val="clear"/>
          </w:tcPr>
          <w:p>
            <w:r>
              <w:rPr>
                <w:sz w:val="17"/>
              </w:rPr>
              <w:t>6,296</w:t>
            </w:r>
          </w:p>
        </w:tc>
        <w:tc>
          <w:tcPr>
            <w:tcW w:type="dxa" w:w="1440"/>
            <w:shd w:fill="FFDCE0" w:val="clear"/>
          </w:tcPr>
          <w:p>
            <w:r>
              <w:rPr>
                <w:b/>
                <w:color w:val="C00000"/>
                <w:sz w:val="17"/>
              </w:rPr>
              <w:t>-5.1%</w:t>
            </w:r>
          </w:p>
        </w:tc>
      </w:tr>
      <w:tr>
        <w:tc>
          <w:tcPr>
            <w:tcW w:type="dxa" w:w="1440"/>
            <w:shd w:fill="FFDCE0" w:val="clear"/>
          </w:tcPr>
          <w:p>
            <w:r>
              <w:rPr>
                <w:sz w:val="17"/>
              </w:rPr>
              <w:t>J+4  Moyenne</w:t>
            </w:r>
          </w:p>
        </w:tc>
        <w:tc>
          <w:tcPr>
            <w:tcW w:type="dxa" w:w="1440"/>
            <w:shd w:fill="FFDCE0" w:val="clear"/>
          </w:tcPr>
          <w:p>
            <w:r>
              <w:rPr>
                <w:sz w:val="17"/>
              </w:rPr>
              <w:t>2026-08-25</w:t>
            </w:r>
          </w:p>
        </w:tc>
        <w:tc>
          <w:tcPr>
            <w:tcW w:type="dxa" w:w="1440"/>
            <w:shd w:fill="FFDCE0" w:val="clear"/>
          </w:tcPr>
          <w:p>
            <w:r>
              <w:rPr>
                <w:sz w:val="17"/>
              </w:rPr>
              <w:t>5,482</w:t>
            </w:r>
          </w:p>
        </w:tc>
        <w:tc>
          <w:tcPr>
            <w:tcW w:type="dxa" w:w="1440"/>
            <w:shd w:fill="FFDCE0" w:val="clear"/>
          </w:tcPr>
          <w:p>
            <w:r>
              <w:rPr>
                <w:b/>
                <w:sz w:val="17"/>
              </w:rPr>
              <w:t>5,851</w:t>
            </w:r>
          </w:p>
        </w:tc>
        <w:tc>
          <w:tcPr>
            <w:tcW w:type="dxa" w:w="1440"/>
            <w:shd w:fill="FFDCE0" w:val="clear"/>
          </w:tcPr>
          <w:p>
            <w:r>
              <w:rPr>
                <w:sz w:val="17"/>
              </w:rPr>
              <w:t>6,221</w:t>
            </w:r>
          </w:p>
        </w:tc>
        <w:tc>
          <w:tcPr>
            <w:tcW w:type="dxa" w:w="1440"/>
            <w:shd w:fill="FFDCE0" w:val="clear"/>
          </w:tcPr>
          <w:p>
            <w:r>
              <w:rPr>
                <w:b/>
                <w:color w:val="C00000"/>
                <w:sz w:val="17"/>
              </w:rPr>
              <w:t>-7.0%</w:t>
            </w:r>
          </w:p>
        </w:tc>
      </w:tr>
      <w:tr>
        <w:tc>
          <w:tcPr>
            <w:tcW w:type="dxa" w:w="1440"/>
            <w:shd w:fill="FFDCE0" w:val="clear"/>
          </w:tcPr>
          <w:p>
            <w:r>
              <w:rPr>
                <w:sz w:val="17"/>
              </w:rPr>
              <w:t>J+5  Moyenne</w:t>
            </w:r>
          </w:p>
        </w:tc>
        <w:tc>
          <w:tcPr>
            <w:tcW w:type="dxa" w:w="1440"/>
            <w:shd w:fill="FFDCE0" w:val="clear"/>
          </w:tcPr>
          <w:p>
            <w:r>
              <w:rPr>
                <w:sz w:val="17"/>
              </w:rPr>
              <w:t>2026-08-27</w:t>
            </w:r>
          </w:p>
        </w:tc>
        <w:tc>
          <w:tcPr>
            <w:tcW w:type="dxa" w:w="1440"/>
            <w:shd w:fill="FFDCE0" w:val="clear"/>
          </w:tcPr>
          <w:p>
            <w:r>
              <w:rPr>
                <w:sz w:val="17"/>
              </w:rPr>
              <w:t>5,345</w:t>
            </w:r>
          </w:p>
        </w:tc>
        <w:tc>
          <w:tcPr>
            <w:tcW w:type="dxa" w:w="1440"/>
            <w:shd w:fill="FFDCE0" w:val="clear"/>
          </w:tcPr>
          <w:p>
            <w:r>
              <w:rPr>
                <w:b/>
                <w:sz w:val="17"/>
              </w:rPr>
              <w:t>5,752</w:t>
            </w:r>
          </w:p>
        </w:tc>
        <w:tc>
          <w:tcPr>
            <w:tcW w:type="dxa" w:w="1440"/>
            <w:shd w:fill="FFDCE0" w:val="clear"/>
          </w:tcPr>
          <w:p>
            <w:r>
              <w:rPr>
                <w:sz w:val="17"/>
              </w:rPr>
              <w:t>6,158</w:t>
            </w:r>
          </w:p>
        </w:tc>
        <w:tc>
          <w:tcPr>
            <w:tcW w:type="dxa" w:w="1440"/>
            <w:shd w:fill="FFDCE0" w:val="clear"/>
          </w:tcPr>
          <w:p>
            <w:r>
              <w:rPr>
                <w:b/>
                <w:color w:val="C00000"/>
                <w:sz w:val="17"/>
              </w:rPr>
              <w:t>-8.6%</w:t>
            </w:r>
          </w:p>
        </w:tc>
      </w:tr>
      <w:tr>
        <w:tc>
          <w:tcPr>
            <w:tcW w:type="dxa" w:w="1440"/>
            <w:shd w:fill="FFDCE0" w:val="clear"/>
          </w:tcPr>
          <w:p>
            <w:r>
              <w:rPr>
                <w:sz w:val="17"/>
              </w:rPr>
              <w:t>J+6  Moyenne</w:t>
            </w:r>
          </w:p>
        </w:tc>
        <w:tc>
          <w:tcPr>
            <w:tcW w:type="dxa" w:w="1440"/>
            <w:shd w:fill="FFDCE0" w:val="clear"/>
          </w:tcPr>
          <w:p>
            <w:r>
              <w:rPr>
                <w:sz w:val="17"/>
              </w:rPr>
              <w:t>2026-08-28</w:t>
            </w:r>
          </w:p>
        </w:tc>
        <w:tc>
          <w:tcPr>
            <w:tcW w:type="dxa" w:w="1440"/>
            <w:shd w:fill="FFDCE0" w:val="clear"/>
          </w:tcPr>
          <w:p>
            <w:r>
              <w:rPr>
                <w:sz w:val="17"/>
              </w:rPr>
              <w:t>5,226</w:t>
            </w:r>
          </w:p>
        </w:tc>
        <w:tc>
          <w:tcPr>
            <w:tcW w:type="dxa" w:w="1440"/>
            <w:shd w:fill="FFDCE0" w:val="clear"/>
          </w:tcPr>
          <w:p>
            <w:r>
              <w:rPr>
                <w:b/>
                <w:sz w:val="17"/>
              </w:rPr>
              <w:t>5,665</w:t>
            </w:r>
          </w:p>
        </w:tc>
        <w:tc>
          <w:tcPr>
            <w:tcW w:type="dxa" w:w="1440"/>
            <w:shd w:fill="FFDCE0" w:val="clear"/>
          </w:tcPr>
          <w:p>
            <w:r>
              <w:rPr>
                <w:sz w:val="17"/>
              </w:rPr>
              <w:t>6,103</w:t>
            </w:r>
          </w:p>
        </w:tc>
        <w:tc>
          <w:tcPr>
            <w:tcW w:type="dxa" w:w="1440"/>
            <w:shd w:fill="FFDCE0" w:val="clear"/>
          </w:tcPr>
          <w:p>
            <w:r>
              <w:rPr>
                <w:b/>
                <w:color w:val="C00000"/>
                <w:sz w:val="17"/>
              </w:rPr>
              <w:t>-9.9%</w:t>
            </w:r>
          </w:p>
        </w:tc>
      </w:tr>
      <w:tr>
        <w:tc>
          <w:tcPr>
            <w:tcW w:type="dxa" w:w="1440"/>
            <w:shd w:fill="FFDCE0" w:val="clear"/>
          </w:tcPr>
          <w:p>
            <w:r>
              <w:rPr>
                <w:sz w:val="17"/>
              </w:rPr>
              <w:t>J+7  Moyenne</w:t>
            </w:r>
          </w:p>
        </w:tc>
        <w:tc>
          <w:tcPr>
            <w:tcW w:type="dxa" w:w="1440"/>
            <w:shd w:fill="FFDCE0" w:val="clear"/>
          </w:tcPr>
          <w:p>
            <w:r>
              <w:rPr>
                <w:sz w:val="17"/>
              </w:rPr>
              <w:t>2026-08-31</w:t>
            </w:r>
          </w:p>
        </w:tc>
        <w:tc>
          <w:tcPr>
            <w:tcW w:type="dxa" w:w="1440"/>
            <w:shd w:fill="FFDCE0" w:val="clear"/>
          </w:tcPr>
          <w:p>
            <w:r>
              <w:rPr>
                <w:sz w:val="17"/>
              </w:rPr>
              <w:t>5,119</w:t>
            </w:r>
          </w:p>
        </w:tc>
        <w:tc>
          <w:tcPr>
            <w:tcW w:type="dxa" w:w="1440"/>
            <w:shd w:fill="FFDCE0" w:val="clear"/>
          </w:tcPr>
          <w:p>
            <w:r>
              <w:rPr>
                <w:b/>
                <w:sz w:val="17"/>
              </w:rPr>
              <w:t>5,585</w:t>
            </w:r>
          </w:p>
        </w:tc>
        <w:tc>
          <w:tcPr>
            <w:tcW w:type="dxa" w:w="1440"/>
            <w:shd w:fill="FFDCE0" w:val="clear"/>
          </w:tcPr>
          <w:p>
            <w:r>
              <w:rPr>
                <w:sz w:val="17"/>
              </w:rPr>
              <w:t>6,052</w:t>
            </w:r>
          </w:p>
        </w:tc>
        <w:tc>
          <w:tcPr>
            <w:tcW w:type="dxa" w:w="1440"/>
            <w:shd w:fill="FFDCE0" w:val="clear"/>
          </w:tcPr>
          <w:p>
            <w:r>
              <w:rPr>
                <w:b/>
                <w:color w:val="C00000"/>
                <w:sz w:val="17"/>
              </w:rPr>
              <w:t>-11.2%</w:t>
            </w:r>
          </w:p>
        </w:tc>
      </w:tr>
      <w:tr>
        <w:tc>
          <w:tcPr>
            <w:tcW w:type="dxa" w:w="1440"/>
            <w:shd w:fill="FFDCE0" w:val="clear"/>
          </w:tcPr>
          <w:p>
            <w:r>
              <w:rPr>
                <w:sz w:val="17"/>
              </w:rPr>
              <w:t>J+8  Moyenne</w:t>
            </w:r>
          </w:p>
        </w:tc>
        <w:tc>
          <w:tcPr>
            <w:tcW w:type="dxa" w:w="1440"/>
            <w:shd w:fill="FFDCE0" w:val="clear"/>
          </w:tcPr>
          <w:p>
            <w:r>
              <w:rPr>
                <w:sz w:val="17"/>
              </w:rPr>
              <w:t>2026-09-01</w:t>
            </w:r>
          </w:p>
        </w:tc>
        <w:tc>
          <w:tcPr>
            <w:tcW w:type="dxa" w:w="1440"/>
            <w:shd w:fill="FFDCE0" w:val="clear"/>
          </w:tcPr>
          <w:p>
            <w:r>
              <w:rPr>
                <w:sz w:val="17"/>
              </w:rPr>
              <w:t>5,019</w:t>
            </w:r>
          </w:p>
        </w:tc>
        <w:tc>
          <w:tcPr>
            <w:tcW w:type="dxa" w:w="1440"/>
            <w:shd w:fill="FFDCE0" w:val="clear"/>
          </w:tcPr>
          <w:p>
            <w:r>
              <w:rPr>
                <w:b/>
                <w:sz w:val="17"/>
              </w:rPr>
              <w:t>5,512</w:t>
            </w:r>
          </w:p>
        </w:tc>
        <w:tc>
          <w:tcPr>
            <w:tcW w:type="dxa" w:w="1440"/>
            <w:shd w:fill="FFDCE0" w:val="clear"/>
          </w:tcPr>
          <w:p>
            <w:r>
              <w:rPr>
                <w:sz w:val="17"/>
              </w:rPr>
              <w:t>6,004</w:t>
            </w:r>
          </w:p>
        </w:tc>
        <w:tc>
          <w:tcPr>
            <w:tcW w:type="dxa" w:w="1440"/>
            <w:shd w:fill="FFDCE0" w:val="clear"/>
          </w:tcPr>
          <w:p>
            <w:r>
              <w:rPr>
                <w:b/>
                <w:color w:val="C00000"/>
                <w:sz w:val="17"/>
              </w:rPr>
              <w:t>-12.4%</w:t>
            </w:r>
          </w:p>
        </w:tc>
      </w:tr>
      <w:tr>
        <w:tc>
          <w:tcPr>
            <w:tcW w:type="dxa" w:w="1440"/>
            <w:shd w:fill="FFDCE0" w:val="clear"/>
          </w:tcPr>
          <w:p>
            <w:r>
              <w:rPr>
                <w:sz w:val="17"/>
              </w:rPr>
              <w:t>J+9  Moyenne</w:t>
            </w:r>
          </w:p>
        </w:tc>
        <w:tc>
          <w:tcPr>
            <w:tcW w:type="dxa" w:w="1440"/>
            <w:shd w:fill="FFDCE0" w:val="clear"/>
          </w:tcPr>
          <w:p>
            <w:r>
              <w:rPr>
                <w:sz w:val="17"/>
              </w:rPr>
              <w:t>2026-09-02</w:t>
            </w:r>
          </w:p>
        </w:tc>
        <w:tc>
          <w:tcPr>
            <w:tcW w:type="dxa" w:w="1440"/>
            <w:shd w:fill="FFDCE0" w:val="clear"/>
          </w:tcPr>
          <w:p>
            <w:r>
              <w:rPr>
                <w:sz w:val="17"/>
              </w:rPr>
              <w:t>4,927</w:t>
            </w:r>
          </w:p>
        </w:tc>
        <w:tc>
          <w:tcPr>
            <w:tcW w:type="dxa" w:w="1440"/>
            <w:shd w:fill="FFDCE0" w:val="clear"/>
          </w:tcPr>
          <w:p>
            <w:r>
              <w:rPr>
                <w:b/>
                <w:sz w:val="17"/>
              </w:rPr>
              <w:t>5,442</w:t>
            </w:r>
          </w:p>
        </w:tc>
        <w:tc>
          <w:tcPr>
            <w:tcW w:type="dxa" w:w="1440"/>
            <w:shd w:fill="FFDCE0" w:val="clear"/>
          </w:tcPr>
          <w:p>
            <w:r>
              <w:rPr>
                <w:sz w:val="17"/>
              </w:rPr>
              <w:t>5,958</w:t>
            </w:r>
          </w:p>
        </w:tc>
        <w:tc>
          <w:tcPr>
            <w:tcW w:type="dxa" w:w="1440"/>
            <w:shd w:fill="FFDCE0" w:val="clear"/>
          </w:tcPr>
          <w:p>
            <w:r>
              <w:rPr>
                <w:b/>
                <w:color w:val="C00000"/>
                <w:sz w:val="17"/>
              </w:rPr>
              <w:t>-13.5%</w:t>
            </w:r>
          </w:p>
        </w:tc>
      </w:tr>
      <w:tr>
        <w:tc>
          <w:tcPr>
            <w:tcW w:type="dxa" w:w="1440"/>
            <w:shd w:fill="FFDCE0" w:val="clear"/>
          </w:tcPr>
          <w:p>
            <w:r>
              <w:rPr>
                <w:sz w:val="17"/>
              </w:rPr>
              <w:t>J+10  Moyenne</w:t>
            </w:r>
          </w:p>
        </w:tc>
        <w:tc>
          <w:tcPr>
            <w:tcW w:type="dxa" w:w="1440"/>
            <w:shd w:fill="FFDCE0" w:val="clear"/>
          </w:tcPr>
          <w:p>
            <w:r>
              <w:rPr>
                <w:sz w:val="17"/>
              </w:rPr>
              <w:t>2026-09-03</w:t>
            </w:r>
          </w:p>
        </w:tc>
        <w:tc>
          <w:tcPr>
            <w:tcW w:type="dxa" w:w="1440"/>
            <w:shd w:fill="FFDCE0" w:val="clear"/>
          </w:tcPr>
          <w:p>
            <w:r>
              <w:rPr>
                <w:sz w:val="17"/>
              </w:rPr>
              <w:t>4,840</w:t>
            </w:r>
          </w:p>
        </w:tc>
        <w:tc>
          <w:tcPr>
            <w:tcW w:type="dxa" w:w="1440"/>
            <w:shd w:fill="FFDCE0" w:val="clear"/>
          </w:tcPr>
          <w:p>
            <w:r>
              <w:rPr>
                <w:b/>
                <w:sz w:val="17"/>
              </w:rPr>
              <w:t>5,377</w:t>
            </w:r>
          </w:p>
        </w:tc>
        <w:tc>
          <w:tcPr>
            <w:tcW w:type="dxa" w:w="1440"/>
            <w:shd w:fill="FFDCE0" w:val="clear"/>
          </w:tcPr>
          <w:p>
            <w:r>
              <w:rPr>
                <w:sz w:val="17"/>
              </w:rPr>
              <w:t>5,915</w:t>
            </w:r>
          </w:p>
        </w:tc>
        <w:tc>
          <w:tcPr>
            <w:tcW w:type="dxa" w:w="1440"/>
            <w:shd w:fill="FFDCE0" w:val="clear"/>
          </w:tcPr>
          <w:p>
            <w:r>
              <w:rPr>
                <w:b/>
                <w:color w:val="C00000"/>
                <w:sz w:val="17"/>
              </w:rPr>
              <w:t>-14.5%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BOAM s'établit à 172,66 milliards FCFA, ce qui en fait une valeur de taille moyenne sur la BRVM, représentative d'un établissement bancaire systémique au Mali. Avec un BPA de 404 FCFA, chaque action génère un bénéfice substantiel, justifiant un PER de 15,6x, supérieur à la moyenne historique de la BRVM (8-12x). Les investisseurs paient donc une prime, mais celle-ci est contrebalancée par un P/B de 3,47x, indiquant que le marché valorise significativement les capitaux propres au-delà de leur valeur comptable, signe d'une forte confiance dans la croissance future. Enfin, un EV/EBITDA de 8,1x, dans la fourchette raisonnable (5-10x), suggère que la valeur totale de l'entreprise reste cohérente avec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BOAM a enregistré une performance spectaculaire de +32,14%, avec une dernière séance en hausse de +1,86%, clôturant à 6 290 FCFA, son plus haut niveau sur la période. Le titre a évolué dans une fourchette large de 4 425 à 6 290 FCFA, démontrant une forte dynamique haussière. Les statistiques descriptives révèlent une moyenne de 5 032 FCFA, inférieure au cours actuel, et une médiane de 4 758 FCFA, ce qui, combiné à un skewness positif (0.878), indique une distribution asymétrique avec des journées majoritairement sous la moyenne mais des pics de hausse marqués. L'écart-type de 499 FCFA (CV=9,9%) montre une dispersion modérée, tandis qu'un kurtosis de -0.511 (mésokurtique) suggère une absence de risque de queues de distribution extrêmes. La volatilité annualisée de 31,9% classe le titre comme très volatil, reflétant un appétit pour le risque élevé de la part des investisseurs.</w:t>
      </w:r>
    </w:p>
    <w:p>
      <w:pPr>
        <w:spacing w:after="120" w:line="276" w:lineRule="auto" w:before="240"/>
      </w:pPr>
      <w:r>
        <w:rPr>
          <w:b/>
          <w:color w:val="003366"/>
          <w:sz w:val="24"/>
        </w:rPr>
        <w:t>**PARTIE 2 : ANALYSE TECHNIQUE DÉTAILLÉE**</w:t>
      </w:r>
    </w:p>
    <w:p>
      <w:pPr>
        <w:spacing w:after="120" w:line="276" w:lineRule="auto"/>
      </w:pPr>
      <w:r>
        <w:t>Les **Moyennes Mobiles** (MM20 à 5 787,75 et MM50 à 5 334,6) sont toutes deux largement dépassées par le cours actuel de 6 290 FCFA. Cette configuration en "courant haussier" confirme une tendance de fond solide, où les acheteurs contrôlent le marché à court et moyen terme, justifiant la décision d'**Achat**.</w:t>
      </w:r>
    </w:p>
    <w:p>
      <w:pPr>
        <w:spacing w:after="120" w:line="276" w:lineRule="auto"/>
      </w:pPr>
      <w:r>
        <w:t>Les **Bandes de Bollinger** montrent un cours (6 290 FCFA) très proche de la borne supérieure (6 329,108 FCFA), indiquant une pression acheteuse intense et une volatilité élevée. Le fait que le prix "touche" la bande supérieure signale une condition de surachat temporaire, mais la décision reste **Neutre** car la tendance n'a pas encore montré de signe de retournement.</w:t>
      </w:r>
    </w:p>
    <w:p>
      <w:pPr>
        <w:spacing w:after="120" w:line="276" w:lineRule="auto"/>
      </w:pPr>
      <w:r>
        <w:t>Le **MACD** affiche une valeur (230,542) nettement supérieure à son signal (192,793), avec un écart positif croissant. Cette divergence haussière confirme un momentum très fort en faveur des acheteurs, justifiant la décision d'**Achat**.</w:t>
      </w:r>
    </w:p>
    <w:p>
      <w:pPr>
        <w:spacing w:after="120" w:line="276" w:lineRule="auto"/>
      </w:pPr>
      <w:r>
        <w:t>Le **RSI** à 87,273 est extrêmement élevé, bien au-delà du seuil de surachat (70). Cette lecture indique que le titre est survendu techniquement et qu'un repli ou une consolidation est statistiquement probable à très court terme, justifiant la décision de **Vente**.</w:t>
      </w:r>
    </w:p>
    <w:p>
      <w:pPr>
        <w:spacing w:after="120" w:line="276" w:lineRule="auto"/>
      </w:pPr>
      <w:r>
        <w:t>Le **Stochastique** (%K=100, %D=99,444) est en zone de surachat extrême depuis plusieurs séances. Le %K étant à son maximum absolu, cela signale un épuisement potentiel des acheteurs, renforçant la décision de **Vente**.</w:t>
      </w:r>
    </w:p>
    <w:p>
      <w:pPr>
        <w:spacing w:after="120" w:line="276" w:lineRule="auto"/>
      </w:pPr>
      <w:r>
        <w:t>En conclusion technique, le titre est dans une tendance haussière puissante, mais tous les oscillateurs de momentum (RSI, Stochastique) hurlent au surachat. Cette divergence entre la tendance (MM, MACD) et les oscillateurs suggère une probabilité élevée de consolidation ou de correction technique à court terme, bien que la tendance de fond reste positive.</w:t>
      </w:r>
    </w:p>
    <w:p>
      <w:pPr>
        <w:spacing w:after="120" w:line="276" w:lineRule="auto" w:before="240"/>
      </w:pPr>
      <w:r>
        <w:rPr>
          <w:b/>
          <w:color w:val="003366"/>
          <w:sz w:val="24"/>
        </w:rPr>
        <w:t>**PARTIE 3 : ANALYSE FONDAMENTALE (SECTION CRITIQUE)**</w:t>
      </w:r>
    </w:p>
    <w:p>
      <w:pPr>
        <w:spacing w:after="120" w:line="276" w:lineRule="auto"/>
      </w:pPr>
      <w:r>
        <w:t>En 2025, les états financiers structurés de BOAM font état d'un Produit Net Bancaire (PNB) de 37,996 milliards FCFA, en croissance de 5,08%, et d'un résultat net de 11,081 milliards FCFA. La banque affiche une rentabilité exceptionnelle avec un ROE de 22,24% et un ROA de 1,87%, démontrant une excellente utilisation de ses capitaux propres et de ses actifs. Le coefficient d'exploitation de 63,14% reste légèrement au-dessus du seuil d'efficacité (&lt;60%), indiquant une marge de progression dans la maîtrise des charges. Le coût du risque de 43,39% est élevé, signalant un portefeuille de crédits encore risqué, mais en amélioration. Les dépôts clientèle (502,89 Mds) dépassent largement les créances clientèle (253,65 Mds), montrant une forte liquidité. Les rapports trimestriels 2025 confirment cette trajectoire : le T1 affichait un PNB en baisse (-3,11%) mais un résultat net en hausse de +91%, le S1 un PNB +2,7% et un RN +28,8%, et le T3 un PNB +5,8% et un RN +26,2%. Sur la base de ces données, on estime que l'exercice 2025 devrait confirmer une croissance solide, portée par la maîtrise du coût du risque et la diversification des revenus.</w:t>
      </w:r>
    </w:p>
    <w:p>
      <w:pPr>
        <w:spacing w:after="120" w:line="276" w:lineRule="auto" w:before="240"/>
      </w:pPr>
      <w:r>
        <w:rPr>
          <w:b/>
          <w:color w:val="003366"/>
          <w:sz w:val="24"/>
        </w:rPr>
        <w:t>**PARTIE 4 : CONCLUSION D'INVESTISSEMENT**</w:t>
      </w:r>
    </w:p>
    <w:p>
      <w:pPr>
        <w:spacing w:after="120" w:line="276" w:lineRule="auto"/>
      </w:pPr>
      <w:r>
        <w:t>La valorisation de BOAM (PER 15,6x, P/B 3,47x) est exigeante, mais justifiée par des fondamentaux solides et une croissance soutenue. Le comportement du cours est extrêmement positif (+32% en 100 jours), mais la volatilité élevée (31,9%) et le skewness positif appellent à la prudence. Les signaux techniques sont contradictoires : la tendance (MM, MACD) est haussière, mais les oscillateurs (RSI, Stochastique) sont en surachat extrême, suggérant un risque de correction. Les fondamentaux sont excellents, avec un ROE de 22,24% et une amélioration continue des résultats trimestriels 2025. Les prédictions IA (J+1 à J+10) anticipent un repli progressif de 6 239 à 5 752 FCFA, confirmant le scénario de consolidation technique. En synthèse, la convergence entre la surchauffe technique et les prédictions IA suggère un repli à court terme, mais la solidité fondamentale et la tendance de fond plaident pour une poursuite de la hausse à moyen terme. **Recommandation finale : CONSERVER**, avec un niveau de confiance **Moyen**. Le risque global est **Élevé** en raison de la volatilité et du surachat. L'horizon d'investissement optimal est le **moyen terme (3-12 mois)**, en attendant une correction technique pour renforcer la position.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107.12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10,204 titres</w:t>
            </w:r>
          </w:p>
        </w:tc>
        <w:tc>
          <w:tcPr>
            <w:tcW w:type="dxa" w:w="2268"/>
            <w:shd w:fill="FFF2CC" w:val="clear"/>
          </w:tcPr>
          <w:p>
            <w:r>
              <w:rPr>
                <w:b/>
                <w:color w:val="503200"/>
                <w:sz w:val="16"/>
              </w:rPr>
              <w:t xml:space="preserve">Cours actuel : </w:t>
            </w:r>
            <w:r>
              <w:rPr>
                <w:color w:val="000000"/>
                <w:sz w:val="17"/>
              </w:rPr>
              <w:t>5,150 FCFA</w:t>
            </w:r>
          </w:p>
          <w:p>
            <w:r>
              <w:rPr>
                <w:b/>
                <w:color w:val="503200"/>
                <w:sz w:val="16"/>
              </w:rPr>
              <w:t xml:space="preserve">Var. 100 jours : </w:t>
            </w:r>
            <w:r>
              <w:rPr>
                <w:b/>
                <w:color w:val="007800"/>
                <w:sz w:val="17"/>
              </w:rPr>
              <w:t>+97.32%</w:t>
            </w:r>
          </w:p>
          <w:p>
            <w:r>
              <w:rPr>
                <w:b/>
                <w:color w:val="503200"/>
                <w:sz w:val="16"/>
              </w:rPr>
              <w:t xml:space="preserve">Plus haut 100j : </w:t>
            </w:r>
            <w:r>
              <w:rPr>
                <w:color w:val="000000"/>
                <w:sz w:val="17"/>
              </w:rPr>
              <w:t>5,400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21.36% (Élevée) — μ=3,984 FCFA, σ=851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β=0.0892 (Défensif) — Cov=0.000003, Var(idx)=0.000030, ρ=0.019,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10,204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σ_j=2.51%/j (Stable) — Vol. annualisée≈39.8%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2026-08-20</w:t>
            </w:r>
          </w:p>
        </w:tc>
        <w:tc>
          <w:tcPr>
            <w:tcW w:type="dxa" w:w="1440"/>
            <w:shd w:fill="FAFAFA" w:val="clear"/>
          </w:tcPr>
          <w:p>
            <w:r>
              <w:rPr>
                <w:sz w:val="17"/>
              </w:rPr>
              <w:t>4,910</w:t>
            </w:r>
          </w:p>
        </w:tc>
        <w:tc>
          <w:tcPr>
            <w:tcW w:type="dxa" w:w="1440"/>
            <w:shd w:fill="FAFAFA" w:val="clear"/>
          </w:tcPr>
          <w:p>
            <w:r>
              <w:rPr>
                <w:b/>
                <w:sz w:val="17"/>
              </w:rPr>
              <w:t>5,133</w:t>
            </w:r>
          </w:p>
        </w:tc>
        <w:tc>
          <w:tcPr>
            <w:tcW w:type="dxa" w:w="1440"/>
            <w:shd w:fill="FAFAFA" w:val="clear"/>
          </w:tcPr>
          <w:p>
            <w:r>
              <w:rPr>
                <w:sz w:val="17"/>
              </w:rPr>
              <w:t>5,356</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2026-08-21</w:t>
            </w:r>
          </w:p>
        </w:tc>
        <w:tc>
          <w:tcPr>
            <w:tcW w:type="dxa" w:w="1440"/>
            <w:shd w:fill="FAFAFA" w:val="clear"/>
          </w:tcPr>
          <w:p>
            <w:r>
              <w:rPr>
                <w:sz w:val="17"/>
              </w:rPr>
              <w:t>4,810</w:t>
            </w:r>
          </w:p>
        </w:tc>
        <w:tc>
          <w:tcPr>
            <w:tcW w:type="dxa" w:w="1440"/>
            <w:shd w:fill="FAFAFA" w:val="clear"/>
          </w:tcPr>
          <w:p>
            <w:r>
              <w:rPr>
                <w:b/>
                <w:sz w:val="17"/>
              </w:rPr>
              <w:t>5,126</w:t>
            </w:r>
          </w:p>
        </w:tc>
        <w:tc>
          <w:tcPr>
            <w:tcW w:type="dxa" w:w="1440"/>
            <w:shd w:fill="FAFAFA" w:val="clear"/>
          </w:tcPr>
          <w:p>
            <w:r>
              <w:rPr>
                <w:sz w:val="17"/>
              </w:rPr>
              <w:t>5,441</w:t>
            </w:r>
          </w:p>
        </w:tc>
        <w:tc>
          <w:tcPr>
            <w:tcW w:type="dxa" w:w="1440"/>
            <w:shd w:fill="FAFAFA" w:val="clear"/>
          </w:tcPr>
          <w:p>
            <w:r>
              <w:rPr>
                <w:b/>
                <w:color w:val="C00000"/>
                <w:sz w:val="17"/>
              </w:rPr>
              <w:t>-0.5%</w:t>
            </w:r>
          </w:p>
        </w:tc>
      </w:tr>
      <w:tr>
        <w:tc>
          <w:tcPr>
            <w:tcW w:type="dxa" w:w="1440"/>
            <w:shd w:fill="FAFAFA" w:val="clear"/>
          </w:tcPr>
          <w:p>
            <w:r>
              <w:rPr>
                <w:sz w:val="17"/>
              </w:rPr>
              <w:t>J+3  ⭐</w:t>
            </w:r>
          </w:p>
        </w:tc>
        <w:tc>
          <w:tcPr>
            <w:tcW w:type="dxa" w:w="1440"/>
            <w:shd w:fill="FAFAFA" w:val="clear"/>
          </w:tcPr>
          <w:p>
            <w:r>
              <w:rPr>
                <w:sz w:val="17"/>
              </w:rPr>
              <w:t>2026-08-24</w:t>
            </w:r>
          </w:p>
        </w:tc>
        <w:tc>
          <w:tcPr>
            <w:tcW w:type="dxa" w:w="1440"/>
            <w:shd w:fill="FAFAFA" w:val="clear"/>
          </w:tcPr>
          <w:p>
            <w:r>
              <w:rPr>
                <w:sz w:val="17"/>
              </w:rPr>
              <w:t>4,731</w:t>
            </w:r>
          </w:p>
        </w:tc>
        <w:tc>
          <w:tcPr>
            <w:tcW w:type="dxa" w:w="1440"/>
            <w:shd w:fill="FAFAFA" w:val="clear"/>
          </w:tcPr>
          <w:p>
            <w:r>
              <w:rPr>
                <w:b/>
                <w:sz w:val="17"/>
              </w:rPr>
              <w:t>5,116</w:t>
            </w:r>
          </w:p>
        </w:tc>
        <w:tc>
          <w:tcPr>
            <w:tcW w:type="dxa" w:w="1440"/>
            <w:shd w:fill="FAFAFA" w:val="clear"/>
          </w:tcPr>
          <w:p>
            <w:r>
              <w:rPr>
                <w:sz w:val="17"/>
              </w:rPr>
              <w:t>5,501</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2026-08-25</w:t>
            </w:r>
          </w:p>
        </w:tc>
        <w:tc>
          <w:tcPr>
            <w:tcW w:type="dxa" w:w="1440"/>
            <w:shd w:fill="FAFAFA" w:val="clear"/>
          </w:tcPr>
          <w:p>
            <w:r>
              <w:rPr>
                <w:sz w:val="17"/>
              </w:rPr>
              <w:t>4,663</w:t>
            </w:r>
          </w:p>
        </w:tc>
        <w:tc>
          <w:tcPr>
            <w:tcW w:type="dxa" w:w="1440"/>
            <w:shd w:fill="FAFAFA" w:val="clear"/>
          </w:tcPr>
          <w:p>
            <w:r>
              <w:rPr>
                <w:b/>
                <w:sz w:val="17"/>
              </w:rPr>
              <w:t>5,107</w:t>
            </w:r>
          </w:p>
        </w:tc>
        <w:tc>
          <w:tcPr>
            <w:tcW w:type="dxa" w:w="1440"/>
            <w:shd w:fill="FAFAFA" w:val="clear"/>
          </w:tcPr>
          <w:p>
            <w:r>
              <w:rPr>
                <w:sz w:val="17"/>
              </w:rPr>
              <w:t>5,551</w:t>
            </w:r>
          </w:p>
        </w:tc>
        <w:tc>
          <w:tcPr>
            <w:tcW w:type="dxa" w:w="1440"/>
            <w:shd w:fill="FAFAFA" w:val="clear"/>
          </w:tcPr>
          <w:p>
            <w:r>
              <w:rPr>
                <w:b/>
                <w:color w:val="C00000"/>
                <w:sz w:val="17"/>
              </w:rPr>
              <w:t>-0.8%</w:t>
            </w:r>
          </w:p>
        </w:tc>
      </w:tr>
      <w:tr>
        <w:tc>
          <w:tcPr>
            <w:tcW w:type="dxa" w:w="1440"/>
            <w:shd w:fill="FAFAFA" w:val="clear"/>
          </w:tcPr>
          <w:p>
            <w:r>
              <w:rPr>
                <w:sz w:val="17"/>
              </w:rPr>
              <w:t>J+5  ⭐</w:t>
            </w:r>
          </w:p>
        </w:tc>
        <w:tc>
          <w:tcPr>
            <w:tcW w:type="dxa" w:w="1440"/>
            <w:shd w:fill="FAFAFA" w:val="clear"/>
          </w:tcPr>
          <w:p>
            <w:r>
              <w:rPr>
                <w:sz w:val="17"/>
              </w:rPr>
              <w:t>2026-08-27</w:t>
            </w:r>
          </w:p>
        </w:tc>
        <w:tc>
          <w:tcPr>
            <w:tcW w:type="dxa" w:w="1440"/>
            <w:shd w:fill="FAFAFA" w:val="clear"/>
          </w:tcPr>
          <w:p>
            <w:r>
              <w:rPr>
                <w:sz w:val="17"/>
              </w:rPr>
              <w:t>4,602</w:t>
            </w:r>
          </w:p>
        </w:tc>
        <w:tc>
          <w:tcPr>
            <w:tcW w:type="dxa" w:w="1440"/>
            <w:shd w:fill="FAFAFA" w:val="clear"/>
          </w:tcPr>
          <w:p>
            <w:r>
              <w:rPr>
                <w:b/>
                <w:sz w:val="17"/>
              </w:rPr>
              <w:t>5,097</w:t>
            </w:r>
          </w:p>
        </w:tc>
        <w:tc>
          <w:tcPr>
            <w:tcW w:type="dxa" w:w="1440"/>
            <w:shd w:fill="FAFAFA" w:val="clear"/>
          </w:tcPr>
          <w:p>
            <w:r>
              <w:rPr>
                <w:sz w:val="17"/>
              </w:rPr>
              <w:t>5,593</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2026-08-28</w:t>
            </w:r>
          </w:p>
        </w:tc>
        <w:tc>
          <w:tcPr>
            <w:tcW w:type="dxa" w:w="1440"/>
            <w:shd w:fill="FAFAFA" w:val="clear"/>
          </w:tcPr>
          <w:p>
            <w:r>
              <w:rPr>
                <w:sz w:val="17"/>
              </w:rPr>
              <w:t>4,546</w:t>
            </w:r>
          </w:p>
        </w:tc>
        <w:tc>
          <w:tcPr>
            <w:tcW w:type="dxa" w:w="1440"/>
            <w:shd w:fill="FAFAFA" w:val="clear"/>
          </w:tcPr>
          <w:p>
            <w:r>
              <w:rPr>
                <w:b/>
                <w:sz w:val="17"/>
              </w:rPr>
              <w:t>5,088</w:t>
            </w:r>
          </w:p>
        </w:tc>
        <w:tc>
          <w:tcPr>
            <w:tcW w:type="dxa" w:w="1440"/>
            <w:shd w:fill="FAFAFA" w:val="clear"/>
          </w:tcPr>
          <w:p>
            <w:r>
              <w:rPr>
                <w:sz w:val="17"/>
              </w:rPr>
              <w:t>5,630</w:t>
            </w:r>
          </w:p>
        </w:tc>
        <w:tc>
          <w:tcPr>
            <w:tcW w:type="dxa" w:w="1440"/>
            <w:shd w:fill="FAFAFA" w:val="clear"/>
          </w:tcPr>
          <w:p>
            <w:r>
              <w:rPr>
                <w:b/>
                <w:color w:val="C00000"/>
                <w:sz w:val="17"/>
              </w:rPr>
              <w:t>-1.2%</w:t>
            </w:r>
          </w:p>
        </w:tc>
      </w:tr>
      <w:tr>
        <w:tc>
          <w:tcPr>
            <w:tcW w:type="dxa" w:w="1440"/>
            <w:shd w:fill="FAFAFA" w:val="clear"/>
          </w:tcPr>
          <w:p>
            <w:r>
              <w:rPr>
                <w:sz w:val="17"/>
              </w:rPr>
              <w:t>J+7  ⭐</w:t>
            </w:r>
          </w:p>
        </w:tc>
        <w:tc>
          <w:tcPr>
            <w:tcW w:type="dxa" w:w="1440"/>
            <w:shd w:fill="FAFAFA" w:val="clear"/>
          </w:tcPr>
          <w:p>
            <w:r>
              <w:rPr>
                <w:sz w:val="17"/>
              </w:rPr>
              <w:t>2026-08-31</w:t>
            </w:r>
          </w:p>
        </w:tc>
        <w:tc>
          <w:tcPr>
            <w:tcW w:type="dxa" w:w="1440"/>
            <w:shd w:fill="FAFAFA" w:val="clear"/>
          </w:tcPr>
          <w:p>
            <w:r>
              <w:rPr>
                <w:sz w:val="17"/>
              </w:rPr>
              <w:t>4,494</w:t>
            </w:r>
          </w:p>
        </w:tc>
        <w:tc>
          <w:tcPr>
            <w:tcW w:type="dxa" w:w="1440"/>
            <w:shd w:fill="FAFAFA" w:val="clear"/>
          </w:tcPr>
          <w:p>
            <w:r>
              <w:rPr>
                <w:b/>
                <w:sz w:val="17"/>
              </w:rPr>
              <w:t>5,079</w:t>
            </w:r>
          </w:p>
        </w:tc>
        <w:tc>
          <w:tcPr>
            <w:tcW w:type="dxa" w:w="1440"/>
            <w:shd w:fill="FAFAFA" w:val="clear"/>
          </w:tcPr>
          <w:p>
            <w:r>
              <w:rPr>
                <w:sz w:val="17"/>
              </w:rPr>
              <w:t>5,663</w:t>
            </w:r>
          </w:p>
        </w:tc>
        <w:tc>
          <w:tcPr>
            <w:tcW w:type="dxa" w:w="1440"/>
            <w:shd w:fill="FAFAFA" w:val="clear"/>
          </w:tcPr>
          <w:p>
            <w:r>
              <w:rPr>
                <w:b/>
                <w:color w:val="C00000"/>
                <w:sz w:val="17"/>
              </w:rPr>
              <w:t>-1.4%</w:t>
            </w:r>
          </w:p>
        </w:tc>
      </w:tr>
      <w:tr>
        <w:tc>
          <w:tcPr>
            <w:tcW w:type="dxa" w:w="1440"/>
            <w:shd w:fill="FAFAFA" w:val="clear"/>
          </w:tcPr>
          <w:p>
            <w:r>
              <w:rPr>
                <w:sz w:val="17"/>
              </w:rPr>
              <w:t>J+8  ⭐</w:t>
            </w:r>
          </w:p>
        </w:tc>
        <w:tc>
          <w:tcPr>
            <w:tcW w:type="dxa" w:w="1440"/>
            <w:shd w:fill="FAFAFA" w:val="clear"/>
          </w:tcPr>
          <w:p>
            <w:r>
              <w:rPr>
                <w:sz w:val="17"/>
              </w:rPr>
              <w:t>2026-09-01</w:t>
            </w:r>
          </w:p>
        </w:tc>
        <w:tc>
          <w:tcPr>
            <w:tcW w:type="dxa" w:w="1440"/>
            <w:shd w:fill="FAFAFA" w:val="clear"/>
          </w:tcPr>
          <w:p>
            <w:r>
              <w:rPr>
                <w:sz w:val="17"/>
              </w:rPr>
              <w:t>4,446</w:t>
            </w:r>
          </w:p>
        </w:tc>
        <w:tc>
          <w:tcPr>
            <w:tcW w:type="dxa" w:w="1440"/>
            <w:shd w:fill="FAFAFA" w:val="clear"/>
          </w:tcPr>
          <w:p>
            <w:r>
              <w:rPr>
                <w:b/>
                <w:sz w:val="17"/>
              </w:rPr>
              <w:t>5,070</w:t>
            </w:r>
          </w:p>
        </w:tc>
        <w:tc>
          <w:tcPr>
            <w:tcW w:type="dxa" w:w="1440"/>
            <w:shd w:fill="FAFAFA" w:val="clear"/>
          </w:tcPr>
          <w:p>
            <w:r>
              <w:rPr>
                <w:sz w:val="17"/>
              </w:rPr>
              <w:t>5,693</w:t>
            </w:r>
          </w:p>
        </w:tc>
        <w:tc>
          <w:tcPr>
            <w:tcW w:type="dxa" w:w="1440"/>
            <w:shd w:fill="FAFAFA" w:val="clear"/>
          </w:tcPr>
          <w:p>
            <w:r>
              <w:rPr>
                <w:b/>
                <w:color w:val="C00000"/>
                <w:sz w:val="17"/>
              </w:rPr>
              <w:t>-1.6%</w:t>
            </w:r>
          </w:p>
        </w:tc>
      </w:tr>
      <w:tr>
        <w:tc>
          <w:tcPr>
            <w:tcW w:type="dxa" w:w="1440"/>
            <w:shd w:fill="FAFAFA" w:val="clear"/>
          </w:tcPr>
          <w:p>
            <w:r>
              <w:rPr>
                <w:sz w:val="17"/>
              </w:rPr>
              <w:t>J+9  ⭐</w:t>
            </w:r>
          </w:p>
        </w:tc>
        <w:tc>
          <w:tcPr>
            <w:tcW w:type="dxa" w:w="1440"/>
            <w:shd w:fill="FAFAFA" w:val="clear"/>
          </w:tcPr>
          <w:p>
            <w:r>
              <w:rPr>
                <w:sz w:val="17"/>
              </w:rPr>
              <w:t>2026-09-02</w:t>
            </w:r>
          </w:p>
        </w:tc>
        <w:tc>
          <w:tcPr>
            <w:tcW w:type="dxa" w:w="1440"/>
            <w:shd w:fill="FAFAFA" w:val="clear"/>
          </w:tcPr>
          <w:p>
            <w:r>
              <w:rPr>
                <w:sz w:val="17"/>
              </w:rPr>
              <w:t>4,401</w:t>
            </w:r>
          </w:p>
        </w:tc>
        <w:tc>
          <w:tcPr>
            <w:tcW w:type="dxa" w:w="1440"/>
            <w:shd w:fill="FAFAFA" w:val="clear"/>
          </w:tcPr>
          <w:p>
            <w:r>
              <w:rPr>
                <w:b/>
                <w:sz w:val="17"/>
              </w:rPr>
              <w:t>5,061</w:t>
            </w:r>
          </w:p>
        </w:tc>
        <w:tc>
          <w:tcPr>
            <w:tcW w:type="dxa" w:w="1440"/>
            <w:shd w:fill="FAFAFA" w:val="clear"/>
          </w:tcPr>
          <w:p>
            <w:r>
              <w:rPr>
                <w:sz w:val="17"/>
              </w:rPr>
              <w:t>5,721</w:t>
            </w:r>
          </w:p>
        </w:tc>
        <w:tc>
          <w:tcPr>
            <w:tcW w:type="dxa" w:w="1440"/>
            <w:shd w:fill="FAFAFA" w:val="clear"/>
          </w:tcPr>
          <w:p>
            <w:r>
              <w:rPr>
                <w:b/>
                <w:color w:val="C00000"/>
                <w:sz w:val="17"/>
              </w:rPr>
              <w:t>-1.7%</w:t>
            </w:r>
          </w:p>
        </w:tc>
      </w:tr>
      <w:tr>
        <w:tc>
          <w:tcPr>
            <w:tcW w:type="dxa" w:w="1440"/>
            <w:shd w:fill="FAFAFA" w:val="clear"/>
          </w:tcPr>
          <w:p>
            <w:r>
              <w:rPr>
                <w:sz w:val="17"/>
              </w:rPr>
              <w:t>J+10  ⭐</w:t>
            </w:r>
          </w:p>
        </w:tc>
        <w:tc>
          <w:tcPr>
            <w:tcW w:type="dxa" w:w="1440"/>
            <w:shd w:fill="FAFAFA" w:val="clear"/>
          </w:tcPr>
          <w:p>
            <w:r>
              <w:rPr>
                <w:sz w:val="17"/>
              </w:rPr>
              <w:t>2026-09-03</w:t>
            </w:r>
          </w:p>
        </w:tc>
        <w:tc>
          <w:tcPr>
            <w:tcW w:type="dxa" w:w="1440"/>
            <w:shd w:fill="FAFAFA" w:val="clear"/>
          </w:tcPr>
          <w:p>
            <w:r>
              <w:rPr>
                <w:sz w:val="17"/>
              </w:rPr>
              <w:t>4,357</w:t>
            </w:r>
          </w:p>
        </w:tc>
        <w:tc>
          <w:tcPr>
            <w:tcW w:type="dxa" w:w="1440"/>
            <w:shd w:fill="FAFAFA" w:val="clear"/>
          </w:tcPr>
          <w:p>
            <w:r>
              <w:rPr>
                <w:b/>
                <w:sz w:val="17"/>
              </w:rPr>
              <w:t>5,052</w:t>
            </w:r>
          </w:p>
        </w:tc>
        <w:tc>
          <w:tcPr>
            <w:tcW w:type="dxa" w:w="1440"/>
            <w:shd w:fill="FAFAFA" w:val="clear"/>
          </w:tcPr>
          <w:p>
            <w:r>
              <w:rPr>
                <w:sz w:val="17"/>
              </w:rPr>
              <w:t>5,746</w:t>
            </w:r>
          </w:p>
        </w:tc>
        <w:tc>
          <w:tcPr>
            <w:tcW w:type="dxa" w:w="1440"/>
            <w:shd w:fill="FAFAFA" w:val="clear"/>
          </w:tcPr>
          <w:p>
            <w:r>
              <w:rPr>
                <w:b/>
                <w:color w:val="C00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**Date de l'analyse : 19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BOAN s'établit à 107,12 milliards FCFA, un niveau significatif pour une banque de la zone UEMOA, reflétant la confiance des investisseurs dans le Groupe Bank of Africa. Cependant, le BPA de 20 FCFA par action soulève une question majeure : avec un PER de 261,9x, les investisseurs paient un prix extrêmement élevé pour chaque franc de bénéfice, très au-dessus de la moyenne BRVM (8-12x). Ce niveau de valorisation est insoutenable à court terme, sauf à anticiper un rebond massif des bénéfices. Le P/B de 2,97x indique que le marché valorise la société près de 3 fois sa valeur comptable, une prime de croissance qui semble excessive compte tenu de la faiblesse actuelle des résultats. Enfin, l'EV/EBITDA de 39,7x confirme une valorisation très exigeante, les investisseurs payant près de 40 fois la capacité opérationnelle de la banque.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BOAN a enregistré une progression spectaculaire de +97,32%, passant d'un plus bas de 2 610 FCFA à un plus haut de 5 400 FCFA, pour clôturer à 5 150 FCFA. Cette performance exceptionnelle traduit un fort momentum haussier, bien que la dernière séance ait été stable (0,00%). La moyenne du cours sur la période (3 984 FCFA) est supérieure à la médiane (3 732 FCFA), indiquant une distribution légèrement asymétrique à droite (skewness positif de 0,250), avec des épisodes de forte hausse plus marqués que les baisses. L'écart-type de 855 FCFA (CV = 21,5%) révèle une dispersion modérée des prix autour de la moyenne. Le kurtosis négatif (-1,053) signale une distribution platykurtique, avec moins de valeurs extrêmes que la normale, ce qui réduit le risque de mouvements brutaux inattendus. La volatilité annualisée de 39,8% classe le titre comme très volatil, un niveau élevé qui exige une grande prudence de la part des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(5 150 FCFA) se positionne au-dessus de la MM20 (5 200,5 FCFA) et de la MM50 (4 657,3 FCFA), bien que légèrement sous la MM20. La tendance de fond reste haussière, la MM50 servant de support solide. La décision "Achat" est justifiée par la configuration positive des moyennes mobiles, mais la proximité du cours avec la MM20 suggère une possible consolidation à court terme.</w:t>
      </w:r>
    </w:p>
    <w:p>
      <w:pPr>
        <w:spacing w:after="120" w:line="276" w:lineRule="auto"/>
      </w:pPr>
      <w:r>
        <w:t>**Bandes de Bollinger :** Le prix se situe à 5 150 FCFA, entre la borne inférieure (5 012,8 FCFA) et la borne supérieure (5 388,2 FCFA), proche du milieu de la bande. Cette position neutre indique une volatilité modérée, sans signal de surachat ni de survente. La décision "Neutre" est cohérente avec l'absence de pression directionnelle forte.</w:t>
      </w:r>
    </w:p>
    <w:p>
      <w:pPr>
        <w:spacing w:after="120" w:line="276" w:lineRule="auto"/>
      </w:pPr>
      <w:r>
        <w:t>**MACD :** La valeur du MACD (109,2) est inférieure à son signal (159,3), avec un écart négatif de -50 points. Cette configuration baissière suggère un affaiblissement du momentum haussier, pouvant précéder une correction. La décision "Vente" est justifiée par cette divergence négative, bien que le MACD reste en territoire positif.</w:t>
      </w:r>
    </w:p>
    <w:p>
      <w:pPr>
        <w:spacing w:after="120" w:line="276" w:lineRule="auto"/>
      </w:pPr>
      <w:r>
        <w:t>**RSI :** À 35,7, le RSI se situe en zone neutre, proche du seuil de survente (30). Cette valeur indique que le titre n'est ni suracheté ni survendu, laissant une marge de manœuvre pour une éventuelle hausse. La décision "Neutre" est appropriée, mais une poursuite de la baisse pourrait déclencher un signal de survente.</w:t>
      </w:r>
    </w:p>
    <w:p>
      <w:pPr>
        <w:spacing w:after="120" w:line="276" w:lineRule="auto"/>
      </w:pPr>
      <w:r>
        <w:t>**Stochastique :** Le %K (34,9) est légèrement supérieur au %D (30,9), suggérant un début de croisement haussier en zone de survente. Cette configuration pourrait indiquer un potentiel de rebond technique, mais reste fragile. La décision "Neutre" est justifiée par l'absence de confirmation claire.</w:t>
      </w:r>
    </w:p>
    <w:p>
      <w:pPr>
        <w:spacing w:after="120" w:line="276" w:lineRule="auto"/>
      </w:pPr>
      <w:r>
        <w:t>**Conclusion technique :** Les indicateurs techniques sont globalement mitigés. La tendance de fond reste haussière (MM), mais le MACD signale un affaiblissement du momentum, tandis que le RSI et le Stochastique indiquent une neutralité. Le titre pourrait consolider à court terme avant de poursuivre sa tendance, ou corriger si le support des 5 000 FCFA est enfreint.</w:t>
      </w:r>
    </w:p>
    <w:p>
      <w:pPr>
        <w:spacing w:after="120" w:line="276" w:lineRule="auto"/>
      </w:pPr>
      <w:r>
        <w:t>---</w:t>
      </w:r>
    </w:p>
    <w:p>
      <w:pPr>
        <w:spacing w:after="120" w:line="276" w:lineRule="auto"/>
      </w:pPr>
      <w:r>
        <w:t>### PARTIE 3 : ANALYSE FONDAMENTALE (SECTION CRITIQUE)</w:t>
      </w:r>
    </w:p>
    <w:p>
      <w:pPr>
        <w:spacing w:after="120" w:line="276" w:lineRule="auto"/>
      </w:pPr>
      <w:r>
        <w:t>En 2025, le Produit Net Bancaire (PNB) de BOAN s'établit à 21,125 milliards FCFA, en légère baisse de 1,2% par rapport à 2024 (21,380 milliards FCFA). Le résultat net s'effondre à 409 millions FCFA, contre 5,002 milliards en 2024, soit une chute de 91,8%. Cette dégradation s'explique par un coût du risque élevé (provisions de 4,292 milliards FCFA), des charges générales en hausse (+6,5% à 13,99 milliards) et un contexte macroéconomique difficile (sanctions post-coup d'État, taux de créances en souffrance sectoriel de 24%). Le coefficient d'exploitation se détériore à 74,4%, bien au-dessus du seuil d'efficacité de 60%, tandis que le ROE chute à 1,13% et le ROA à 0,14%. La banque maintient néanmoins des ratios prudentiels solides (solvabilité à 14,06%, liquidité à 123,95%). Le rapport du 1er trimestre 2026 (daté de mars 2026) montre une amélioration nette : le PNB progresse de 7,9% à 5,170 milliards, le résultat net bondit de 28,9% à 1,467 milliard, et le coefficient d'exploitation s'améliore à 56,2%. Sur la base de ces données, on estime que l'exercice 2026 pourrait voir un PNB autour de 22,3 milliards (+6,4%) et un résultat net potentiellement multiplié par 6, conformément aux objectifs budgétaires. La banque bénéficie du soutien du Groupe BOA et d'un plan de redressement axé sur la digitalisation et la réduction du coût du risque. La solidité financière est réelle, mais les risques de crédit et macroéconomiques restent significatifs.</w:t>
      </w:r>
    </w:p>
    <w:p>
      <w:pPr>
        <w:spacing w:after="120" w:line="276" w:lineRule="auto"/>
      </w:pPr>
      <w:r>
        <w:t>---</w:t>
      </w:r>
    </w:p>
    <w:p>
      <w:pPr>
        <w:spacing w:after="120" w:line="276" w:lineRule="auto"/>
      </w:pPr>
      <w:r>
        <w:t>### PARTIE 4 : CONCLUSION D'INVESTISSEMENT</w:t>
      </w:r>
    </w:p>
    <w:p>
      <w:pPr>
        <w:spacing w:after="120" w:line="276" w:lineRule="auto"/>
      </w:pPr>
      <w:r>
        <w:t>La valorisation boursière de BOAN (PER 261,9x, P/B 2,97x, EV/EBITDA 39,7x) est extrêmement exigeante, traduisant une anticipation de reprise forte des bénéfices. Le comportement du cours (+97,3% sur 100 jours) confirme un fort engouement spéculatif, mais la volatilité élevée (39,8%) et les statistiques descriptives (distribution platykurtique, skewness positif) suggèrent un risque de correction. Les signaux techniques sont mitigés : la tendance de fond reste haussière (MM), mais le MACD vendeur et le RSI neutre indiquent un essoufflement possible. Les fondamentaux, bien que dégradés en 2025, montrent des signes d'amélioration au T1 2026 (résultat net +28,9%), soutenus par un plan de redressement crédible. Les prédictions IA (5 133 à 5 097 FCFA sur 10 jours) anticipent une légère consolidation, en ligne avec les signaux techniques. En synthèse, la convergence entre la valorisation excessive, la faiblesse des fondamentaux actuels et les signaux techniques mitigés conduit à une recommandation **CONSERVER**, avec un niveau de confiance **Moyen** et un risque global **Élevé**. L'horizon d'investissement optimal est le **moyen terme (3-12 mois)**, en attendant la confirmation de la reprise de la rentabilité et une normalisation de la valorisation.</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280.80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9,617 titres</w:t>
            </w:r>
          </w:p>
        </w:tc>
        <w:tc>
          <w:tcPr>
            <w:tcW w:type="dxa" w:w="2268"/>
            <w:shd w:fill="FFF2CC" w:val="clear"/>
          </w:tcPr>
          <w:p>
            <w:r>
              <w:rPr>
                <w:b/>
                <w:color w:val="503200"/>
                <w:sz w:val="16"/>
              </w:rPr>
              <w:t xml:space="preserve">Cours actuel : </w:t>
            </w:r>
            <w:r>
              <w:rPr>
                <w:color w:val="000000"/>
                <w:sz w:val="17"/>
              </w:rPr>
              <w:t>7,800 FCFA</w:t>
            </w:r>
          </w:p>
          <w:p>
            <w:r>
              <w:rPr>
                <w:b/>
                <w:color w:val="503200"/>
                <w:sz w:val="16"/>
              </w:rPr>
              <w:t xml:space="preserve">Var. 100 jours : </w:t>
            </w:r>
            <w:r>
              <w:rPr>
                <w:b/>
                <w:color w:val="007800"/>
                <w:sz w:val="17"/>
              </w:rPr>
              <w:t>+21.88%</w:t>
            </w:r>
          </w:p>
          <w:p>
            <w:r>
              <w:rPr>
                <w:b/>
                <w:color w:val="503200"/>
                <w:sz w:val="16"/>
              </w:rPr>
              <w:t xml:space="preserve">Plus haut 100j : </w:t>
            </w:r>
            <w:r>
              <w:rPr>
                <w:color w:val="000000"/>
                <w:sz w:val="17"/>
              </w:rPr>
              <w:t>8,050 FCFA</w:t>
            </w:r>
          </w:p>
          <w:p>
            <w:r>
              <w:rPr>
                <w:b/>
                <w:color w:val="503200"/>
                <w:sz w:val="16"/>
              </w:rPr>
              <w:t xml:space="preserve">Plus bas 100j : </w:t>
            </w:r>
            <w:r>
              <w:rPr>
                <w:color w:val="000000"/>
                <w:sz w:val="17"/>
              </w:rPr>
              <w:t>6,400 FCFA</w:t>
            </w:r>
          </w:p>
          <w:p>
            <w:r>
              <w:rPr>
                <w:b/>
                <w:color w:val="503200"/>
                <w:sz w:val="16"/>
              </w:rPr>
              <w:t xml:space="preserve">Volatilité ann. : </w:t>
            </w:r>
            <w:r>
              <w:rPr>
                <w:color w:val="000000"/>
                <w:sz w:val="17"/>
              </w:rPr>
              <w:t>22.7%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5.36% (Moyenne) — μ=7,320 FCFA, σ=392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β=0.4347 (Défensif) — Cov=0.000013, Var(idx)=0.000030, ρ=0.166,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9,617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σ_j=1.43%/j (Stable) — Vol. annualisée≈22.7%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2026-08-20</w:t>
            </w:r>
          </w:p>
        </w:tc>
        <w:tc>
          <w:tcPr>
            <w:tcW w:type="dxa" w:w="1440"/>
            <w:shd w:fill="FFDCE0" w:val="clear"/>
          </w:tcPr>
          <w:p>
            <w:r>
              <w:rPr>
                <w:sz w:val="17"/>
              </w:rPr>
              <w:t>7,450</w:t>
            </w:r>
          </w:p>
        </w:tc>
        <w:tc>
          <w:tcPr>
            <w:tcW w:type="dxa" w:w="1440"/>
            <w:shd w:fill="FFDCE0" w:val="clear"/>
          </w:tcPr>
          <w:p>
            <w:r>
              <w:rPr>
                <w:b/>
                <w:sz w:val="17"/>
              </w:rPr>
              <w:t>7,621</w:t>
            </w:r>
          </w:p>
        </w:tc>
        <w:tc>
          <w:tcPr>
            <w:tcW w:type="dxa" w:w="1440"/>
            <w:shd w:fill="FFDCE0" w:val="clear"/>
          </w:tcPr>
          <w:p>
            <w:r>
              <w:rPr>
                <w:sz w:val="17"/>
              </w:rPr>
              <w:t>7,792</w:t>
            </w:r>
          </w:p>
        </w:tc>
        <w:tc>
          <w:tcPr>
            <w:tcW w:type="dxa" w:w="1440"/>
            <w:shd w:fill="FFDCE0" w:val="clear"/>
          </w:tcPr>
          <w:p>
            <w:r>
              <w:rPr>
                <w:b/>
                <w:color w:val="C00000"/>
                <w:sz w:val="17"/>
              </w:rPr>
              <w:t>-2.3%</w:t>
            </w:r>
          </w:p>
        </w:tc>
      </w:tr>
      <w:tr>
        <w:tc>
          <w:tcPr>
            <w:tcW w:type="dxa" w:w="1440"/>
            <w:shd w:fill="FFDCE0" w:val="clear"/>
          </w:tcPr>
          <w:p>
            <w:r>
              <w:rPr>
                <w:sz w:val="17"/>
              </w:rPr>
              <w:t>J+2  ⭐⭐⭐</w:t>
            </w:r>
          </w:p>
        </w:tc>
        <w:tc>
          <w:tcPr>
            <w:tcW w:type="dxa" w:w="1440"/>
            <w:shd w:fill="FFDCE0" w:val="clear"/>
          </w:tcPr>
          <w:p>
            <w:r>
              <w:rPr>
                <w:sz w:val="17"/>
              </w:rPr>
              <w:t>2026-08-21</w:t>
            </w:r>
          </w:p>
        </w:tc>
        <w:tc>
          <w:tcPr>
            <w:tcW w:type="dxa" w:w="1440"/>
            <w:shd w:fill="FFDCE0" w:val="clear"/>
          </w:tcPr>
          <w:p>
            <w:r>
              <w:rPr>
                <w:sz w:val="17"/>
              </w:rPr>
              <w:t>7,266</w:t>
            </w:r>
          </w:p>
        </w:tc>
        <w:tc>
          <w:tcPr>
            <w:tcW w:type="dxa" w:w="1440"/>
            <w:shd w:fill="FFDCE0" w:val="clear"/>
          </w:tcPr>
          <w:p>
            <w:r>
              <w:rPr>
                <w:b/>
                <w:sz w:val="17"/>
              </w:rPr>
              <w:t>7,504</w:t>
            </w:r>
          </w:p>
        </w:tc>
        <w:tc>
          <w:tcPr>
            <w:tcW w:type="dxa" w:w="1440"/>
            <w:shd w:fill="FFDCE0" w:val="clear"/>
          </w:tcPr>
          <w:p>
            <w:r>
              <w:rPr>
                <w:sz w:val="17"/>
              </w:rPr>
              <w:t>7,742</w:t>
            </w:r>
          </w:p>
        </w:tc>
        <w:tc>
          <w:tcPr>
            <w:tcW w:type="dxa" w:w="1440"/>
            <w:shd w:fill="FFDCE0" w:val="clear"/>
          </w:tcPr>
          <w:p>
            <w:r>
              <w:rPr>
                <w:b/>
                <w:color w:val="C00000"/>
                <w:sz w:val="17"/>
              </w:rPr>
              <w:t>-3.8%</w:t>
            </w:r>
          </w:p>
        </w:tc>
      </w:tr>
      <w:tr>
        <w:tc>
          <w:tcPr>
            <w:tcW w:type="dxa" w:w="1440"/>
            <w:shd w:fill="FFDCE0" w:val="clear"/>
          </w:tcPr>
          <w:p>
            <w:r>
              <w:rPr>
                <w:sz w:val="17"/>
              </w:rPr>
              <w:t>J+3  ⭐⭐⭐</w:t>
            </w:r>
          </w:p>
        </w:tc>
        <w:tc>
          <w:tcPr>
            <w:tcW w:type="dxa" w:w="1440"/>
            <w:shd w:fill="FFDCE0" w:val="clear"/>
          </w:tcPr>
          <w:p>
            <w:r>
              <w:rPr>
                <w:sz w:val="17"/>
              </w:rPr>
              <w:t>2026-08-24</w:t>
            </w:r>
          </w:p>
        </w:tc>
        <w:tc>
          <w:tcPr>
            <w:tcW w:type="dxa" w:w="1440"/>
            <w:shd w:fill="FFDCE0" w:val="clear"/>
          </w:tcPr>
          <w:p>
            <w:r>
              <w:rPr>
                <w:sz w:val="17"/>
              </w:rPr>
              <w:t>7,103</w:t>
            </w:r>
          </w:p>
        </w:tc>
        <w:tc>
          <w:tcPr>
            <w:tcW w:type="dxa" w:w="1440"/>
            <w:shd w:fill="FFDCE0" w:val="clear"/>
          </w:tcPr>
          <w:p>
            <w:r>
              <w:rPr>
                <w:b/>
                <w:sz w:val="17"/>
              </w:rPr>
              <w:t>7,390</w:t>
            </w:r>
          </w:p>
        </w:tc>
        <w:tc>
          <w:tcPr>
            <w:tcW w:type="dxa" w:w="1440"/>
            <w:shd w:fill="FFDCE0" w:val="clear"/>
          </w:tcPr>
          <w:p>
            <w:r>
              <w:rPr>
                <w:sz w:val="17"/>
              </w:rPr>
              <w:t>7,677</w:t>
            </w:r>
          </w:p>
        </w:tc>
        <w:tc>
          <w:tcPr>
            <w:tcW w:type="dxa" w:w="1440"/>
            <w:shd w:fill="FFDCE0" w:val="clear"/>
          </w:tcPr>
          <w:p>
            <w:r>
              <w:rPr>
                <w:b/>
                <w:color w:val="C00000"/>
                <w:sz w:val="17"/>
              </w:rPr>
              <w:t>-5.3%</w:t>
            </w:r>
          </w:p>
        </w:tc>
      </w:tr>
      <w:tr>
        <w:tc>
          <w:tcPr>
            <w:tcW w:type="dxa" w:w="1440"/>
            <w:shd w:fill="FFDCE0" w:val="clear"/>
          </w:tcPr>
          <w:p>
            <w:r>
              <w:rPr>
                <w:sz w:val="17"/>
              </w:rPr>
              <w:t>J+4  Moyenne</w:t>
            </w:r>
          </w:p>
        </w:tc>
        <w:tc>
          <w:tcPr>
            <w:tcW w:type="dxa" w:w="1440"/>
            <w:shd w:fill="FFDCE0" w:val="clear"/>
          </w:tcPr>
          <w:p>
            <w:r>
              <w:rPr>
                <w:sz w:val="17"/>
              </w:rPr>
              <w:t>2026-08-25</w:t>
            </w:r>
          </w:p>
        </w:tc>
        <w:tc>
          <w:tcPr>
            <w:tcW w:type="dxa" w:w="1440"/>
            <w:shd w:fill="FFDCE0" w:val="clear"/>
          </w:tcPr>
          <w:p>
            <w:r>
              <w:rPr>
                <w:sz w:val="17"/>
              </w:rPr>
              <w:t>6,959</w:t>
            </w:r>
          </w:p>
        </w:tc>
        <w:tc>
          <w:tcPr>
            <w:tcW w:type="dxa" w:w="1440"/>
            <w:shd w:fill="FFDCE0" w:val="clear"/>
          </w:tcPr>
          <w:p>
            <w:r>
              <w:rPr>
                <w:b/>
                <w:sz w:val="17"/>
              </w:rPr>
              <w:t>7,286</w:t>
            </w:r>
          </w:p>
        </w:tc>
        <w:tc>
          <w:tcPr>
            <w:tcW w:type="dxa" w:w="1440"/>
            <w:shd w:fill="FFDCE0" w:val="clear"/>
          </w:tcPr>
          <w:p>
            <w:r>
              <w:rPr>
                <w:sz w:val="17"/>
              </w:rPr>
              <w:t>7,613</w:t>
            </w:r>
          </w:p>
        </w:tc>
        <w:tc>
          <w:tcPr>
            <w:tcW w:type="dxa" w:w="1440"/>
            <w:shd w:fill="FFDCE0" w:val="clear"/>
          </w:tcPr>
          <w:p>
            <w:r>
              <w:rPr>
                <w:b/>
                <w:color w:val="C00000"/>
                <w:sz w:val="17"/>
              </w:rPr>
              <w:t>-6.6%</w:t>
            </w:r>
          </w:p>
        </w:tc>
      </w:tr>
      <w:tr>
        <w:tc>
          <w:tcPr>
            <w:tcW w:type="dxa" w:w="1440"/>
            <w:shd w:fill="FFDCE0" w:val="clear"/>
          </w:tcPr>
          <w:p>
            <w:r>
              <w:rPr>
                <w:sz w:val="17"/>
              </w:rPr>
              <w:t>J+5  Moyenne</w:t>
            </w:r>
          </w:p>
        </w:tc>
        <w:tc>
          <w:tcPr>
            <w:tcW w:type="dxa" w:w="1440"/>
            <w:shd w:fill="FFDCE0" w:val="clear"/>
          </w:tcPr>
          <w:p>
            <w:r>
              <w:rPr>
                <w:sz w:val="17"/>
              </w:rPr>
              <w:t>2026-08-27</w:t>
            </w:r>
          </w:p>
        </w:tc>
        <w:tc>
          <w:tcPr>
            <w:tcW w:type="dxa" w:w="1440"/>
            <w:shd w:fill="FFDCE0" w:val="clear"/>
          </w:tcPr>
          <w:p>
            <w:r>
              <w:rPr>
                <w:sz w:val="17"/>
              </w:rPr>
              <w:t>6,828</w:t>
            </w:r>
          </w:p>
        </w:tc>
        <w:tc>
          <w:tcPr>
            <w:tcW w:type="dxa" w:w="1440"/>
            <w:shd w:fill="FFDCE0" w:val="clear"/>
          </w:tcPr>
          <w:p>
            <w:r>
              <w:rPr>
                <w:b/>
                <w:sz w:val="17"/>
              </w:rPr>
              <w:t>7,188</w:t>
            </w:r>
          </w:p>
        </w:tc>
        <w:tc>
          <w:tcPr>
            <w:tcW w:type="dxa" w:w="1440"/>
            <w:shd w:fill="FFDCE0" w:val="clear"/>
          </w:tcPr>
          <w:p>
            <w:r>
              <w:rPr>
                <w:sz w:val="17"/>
              </w:rPr>
              <w:t>7,549</w:t>
            </w:r>
          </w:p>
        </w:tc>
        <w:tc>
          <w:tcPr>
            <w:tcW w:type="dxa" w:w="1440"/>
            <w:shd w:fill="FFDCE0" w:val="clear"/>
          </w:tcPr>
          <w:p>
            <w:r>
              <w:rPr>
                <w:b/>
                <w:color w:val="C00000"/>
                <w:sz w:val="17"/>
              </w:rPr>
              <w:t>-7.8%</w:t>
            </w:r>
          </w:p>
        </w:tc>
      </w:tr>
      <w:tr>
        <w:tc>
          <w:tcPr>
            <w:tcW w:type="dxa" w:w="1440"/>
            <w:shd w:fill="FFDCE0" w:val="clear"/>
          </w:tcPr>
          <w:p>
            <w:r>
              <w:rPr>
                <w:sz w:val="17"/>
              </w:rPr>
              <w:t>J+6  Moyenne</w:t>
            </w:r>
          </w:p>
        </w:tc>
        <w:tc>
          <w:tcPr>
            <w:tcW w:type="dxa" w:w="1440"/>
            <w:shd w:fill="FFDCE0" w:val="clear"/>
          </w:tcPr>
          <w:p>
            <w:r>
              <w:rPr>
                <w:sz w:val="17"/>
              </w:rPr>
              <w:t>2026-08-28</w:t>
            </w:r>
          </w:p>
        </w:tc>
        <w:tc>
          <w:tcPr>
            <w:tcW w:type="dxa" w:w="1440"/>
            <w:shd w:fill="FFDCE0" w:val="clear"/>
          </w:tcPr>
          <w:p>
            <w:r>
              <w:rPr>
                <w:sz w:val="17"/>
              </w:rPr>
              <w:t>6,706</w:t>
            </w:r>
          </w:p>
        </w:tc>
        <w:tc>
          <w:tcPr>
            <w:tcW w:type="dxa" w:w="1440"/>
            <w:shd w:fill="FFDCE0" w:val="clear"/>
          </w:tcPr>
          <w:p>
            <w:r>
              <w:rPr>
                <w:b/>
                <w:sz w:val="17"/>
              </w:rPr>
              <w:t>7,096</w:t>
            </w:r>
          </w:p>
        </w:tc>
        <w:tc>
          <w:tcPr>
            <w:tcW w:type="dxa" w:w="1440"/>
            <w:shd w:fill="FFDCE0" w:val="clear"/>
          </w:tcPr>
          <w:p>
            <w:r>
              <w:rPr>
                <w:sz w:val="17"/>
              </w:rPr>
              <w:t>7,486</w:t>
            </w:r>
          </w:p>
        </w:tc>
        <w:tc>
          <w:tcPr>
            <w:tcW w:type="dxa" w:w="1440"/>
            <w:shd w:fill="FFDCE0" w:val="clear"/>
          </w:tcPr>
          <w:p>
            <w:r>
              <w:rPr>
                <w:b/>
                <w:color w:val="C00000"/>
                <w:sz w:val="17"/>
              </w:rPr>
              <w:t>-9.0%</w:t>
            </w:r>
          </w:p>
        </w:tc>
      </w:tr>
      <w:tr>
        <w:tc>
          <w:tcPr>
            <w:tcW w:type="dxa" w:w="1440"/>
            <w:shd w:fill="FFDCE0" w:val="clear"/>
          </w:tcPr>
          <w:p>
            <w:r>
              <w:rPr>
                <w:sz w:val="17"/>
              </w:rPr>
              <w:t>J+7  Moyenne</w:t>
            </w:r>
          </w:p>
        </w:tc>
        <w:tc>
          <w:tcPr>
            <w:tcW w:type="dxa" w:w="1440"/>
            <w:shd w:fill="FFDCE0" w:val="clear"/>
          </w:tcPr>
          <w:p>
            <w:r>
              <w:rPr>
                <w:sz w:val="17"/>
              </w:rPr>
              <w:t>2026-08-31</w:t>
            </w:r>
          </w:p>
        </w:tc>
        <w:tc>
          <w:tcPr>
            <w:tcW w:type="dxa" w:w="1440"/>
            <w:shd w:fill="FFDCE0" w:val="clear"/>
          </w:tcPr>
          <w:p>
            <w:r>
              <w:rPr>
                <w:sz w:val="17"/>
              </w:rPr>
              <w:t>6,592</w:t>
            </w:r>
          </w:p>
        </w:tc>
        <w:tc>
          <w:tcPr>
            <w:tcW w:type="dxa" w:w="1440"/>
            <w:shd w:fill="FFDCE0" w:val="clear"/>
          </w:tcPr>
          <w:p>
            <w:r>
              <w:rPr>
                <w:b/>
                <w:sz w:val="17"/>
              </w:rPr>
              <w:t>7,008</w:t>
            </w:r>
          </w:p>
        </w:tc>
        <w:tc>
          <w:tcPr>
            <w:tcW w:type="dxa" w:w="1440"/>
            <w:shd w:fill="FFDCE0" w:val="clear"/>
          </w:tcPr>
          <w:p>
            <w:r>
              <w:rPr>
                <w:sz w:val="17"/>
              </w:rPr>
              <w:t>7,424</w:t>
            </w:r>
          </w:p>
        </w:tc>
        <w:tc>
          <w:tcPr>
            <w:tcW w:type="dxa" w:w="1440"/>
            <w:shd w:fill="FFDCE0" w:val="clear"/>
          </w:tcPr>
          <w:p>
            <w:r>
              <w:rPr>
                <w:b/>
                <w:color w:val="C00000"/>
                <w:sz w:val="17"/>
              </w:rPr>
              <w:t>-10.2%</w:t>
            </w:r>
          </w:p>
        </w:tc>
      </w:tr>
      <w:tr>
        <w:tc>
          <w:tcPr>
            <w:tcW w:type="dxa" w:w="1440"/>
            <w:shd w:fill="FFDCE0" w:val="clear"/>
          </w:tcPr>
          <w:p>
            <w:r>
              <w:rPr>
                <w:sz w:val="17"/>
              </w:rPr>
              <w:t>J+8  Moyenne</w:t>
            </w:r>
          </w:p>
        </w:tc>
        <w:tc>
          <w:tcPr>
            <w:tcW w:type="dxa" w:w="1440"/>
            <w:shd w:fill="FFDCE0" w:val="clear"/>
          </w:tcPr>
          <w:p>
            <w:r>
              <w:rPr>
                <w:sz w:val="17"/>
              </w:rPr>
              <w:t>2026-09-01</w:t>
            </w:r>
          </w:p>
        </w:tc>
        <w:tc>
          <w:tcPr>
            <w:tcW w:type="dxa" w:w="1440"/>
            <w:shd w:fill="FFDCE0" w:val="clear"/>
          </w:tcPr>
          <w:p>
            <w:r>
              <w:rPr>
                <w:sz w:val="17"/>
              </w:rPr>
              <w:t>6,485</w:t>
            </w:r>
          </w:p>
        </w:tc>
        <w:tc>
          <w:tcPr>
            <w:tcW w:type="dxa" w:w="1440"/>
            <w:shd w:fill="FFDCE0" w:val="clear"/>
          </w:tcPr>
          <w:p>
            <w:r>
              <w:rPr>
                <w:b/>
                <w:sz w:val="17"/>
              </w:rPr>
              <w:t>6,925</w:t>
            </w:r>
          </w:p>
        </w:tc>
        <w:tc>
          <w:tcPr>
            <w:tcW w:type="dxa" w:w="1440"/>
            <w:shd w:fill="FFDCE0" w:val="clear"/>
          </w:tcPr>
          <w:p>
            <w:r>
              <w:rPr>
                <w:sz w:val="17"/>
              </w:rPr>
              <w:t>7,364</w:t>
            </w:r>
          </w:p>
        </w:tc>
        <w:tc>
          <w:tcPr>
            <w:tcW w:type="dxa" w:w="1440"/>
            <w:shd w:fill="FFDCE0" w:val="clear"/>
          </w:tcPr>
          <w:p>
            <w:r>
              <w:rPr>
                <w:b/>
                <w:color w:val="C00000"/>
                <w:sz w:val="17"/>
              </w:rPr>
              <w:t>-11.2%</w:t>
            </w:r>
          </w:p>
        </w:tc>
      </w:tr>
      <w:tr>
        <w:tc>
          <w:tcPr>
            <w:tcW w:type="dxa" w:w="1440"/>
            <w:shd w:fill="FFDCE0" w:val="clear"/>
          </w:tcPr>
          <w:p>
            <w:r>
              <w:rPr>
                <w:sz w:val="17"/>
              </w:rPr>
              <w:t>J+9  Moyenne</w:t>
            </w:r>
          </w:p>
        </w:tc>
        <w:tc>
          <w:tcPr>
            <w:tcW w:type="dxa" w:w="1440"/>
            <w:shd w:fill="FFDCE0" w:val="clear"/>
          </w:tcPr>
          <w:p>
            <w:r>
              <w:rPr>
                <w:sz w:val="17"/>
              </w:rPr>
              <w:t>2026-09-02</w:t>
            </w:r>
          </w:p>
        </w:tc>
        <w:tc>
          <w:tcPr>
            <w:tcW w:type="dxa" w:w="1440"/>
            <w:shd w:fill="FFDCE0" w:val="clear"/>
          </w:tcPr>
          <w:p>
            <w:r>
              <w:rPr>
                <w:sz w:val="17"/>
              </w:rPr>
              <w:t>6,385</w:t>
            </w:r>
          </w:p>
        </w:tc>
        <w:tc>
          <w:tcPr>
            <w:tcW w:type="dxa" w:w="1440"/>
            <w:shd w:fill="FFDCE0" w:val="clear"/>
          </w:tcPr>
          <w:p>
            <w:r>
              <w:rPr>
                <w:b/>
                <w:sz w:val="17"/>
              </w:rPr>
              <w:t>6,846</w:t>
            </w:r>
          </w:p>
        </w:tc>
        <w:tc>
          <w:tcPr>
            <w:tcW w:type="dxa" w:w="1440"/>
            <w:shd w:fill="FFDCE0" w:val="clear"/>
          </w:tcPr>
          <w:p>
            <w:r>
              <w:rPr>
                <w:sz w:val="17"/>
              </w:rPr>
              <w:t>7,306</w:t>
            </w:r>
          </w:p>
        </w:tc>
        <w:tc>
          <w:tcPr>
            <w:tcW w:type="dxa" w:w="1440"/>
            <w:shd w:fill="FFDCE0" w:val="clear"/>
          </w:tcPr>
          <w:p>
            <w:r>
              <w:rPr>
                <w:b/>
                <w:color w:val="C00000"/>
                <w:sz w:val="17"/>
              </w:rPr>
              <w:t>-12.2%</w:t>
            </w:r>
          </w:p>
        </w:tc>
      </w:tr>
      <w:tr>
        <w:tc>
          <w:tcPr>
            <w:tcW w:type="dxa" w:w="1440"/>
            <w:shd w:fill="FFDCE0" w:val="clear"/>
          </w:tcPr>
          <w:p>
            <w:r>
              <w:rPr>
                <w:sz w:val="17"/>
              </w:rPr>
              <w:t>J+10  Moyenne</w:t>
            </w:r>
          </w:p>
        </w:tc>
        <w:tc>
          <w:tcPr>
            <w:tcW w:type="dxa" w:w="1440"/>
            <w:shd w:fill="FFDCE0" w:val="clear"/>
          </w:tcPr>
          <w:p>
            <w:r>
              <w:rPr>
                <w:sz w:val="17"/>
              </w:rPr>
              <w:t>2026-09-03</w:t>
            </w:r>
          </w:p>
        </w:tc>
        <w:tc>
          <w:tcPr>
            <w:tcW w:type="dxa" w:w="1440"/>
            <w:shd w:fill="FFDCE0" w:val="clear"/>
          </w:tcPr>
          <w:p>
            <w:r>
              <w:rPr>
                <w:sz w:val="17"/>
              </w:rPr>
              <w:t>6,290</w:t>
            </w:r>
          </w:p>
        </w:tc>
        <w:tc>
          <w:tcPr>
            <w:tcW w:type="dxa" w:w="1440"/>
            <w:shd w:fill="FFDCE0" w:val="clear"/>
          </w:tcPr>
          <w:p>
            <w:r>
              <w:rPr>
                <w:b/>
                <w:sz w:val="17"/>
              </w:rPr>
              <w:t>6,771</w:t>
            </w:r>
          </w:p>
        </w:tc>
        <w:tc>
          <w:tcPr>
            <w:tcW w:type="dxa" w:w="1440"/>
            <w:shd w:fill="FFDCE0" w:val="clear"/>
          </w:tcPr>
          <w:p>
            <w:r>
              <w:rPr>
                <w:sz w:val="17"/>
              </w:rPr>
              <w:t>7,251</w:t>
            </w:r>
          </w:p>
        </w:tc>
        <w:tc>
          <w:tcPr>
            <w:tcW w:type="dxa" w:w="1440"/>
            <w:shd w:fill="FFDCE0" w:val="clear"/>
          </w:tcPr>
          <w:p>
            <w:r>
              <w:rPr>
                <w:b/>
                <w:color w:val="C00000"/>
                <w:sz w:val="17"/>
              </w:rPr>
              <w:t>-13.2%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BOA SÉNÉGAL (BOAS)**</w:t>
        <w:br/>
        <w:t>**Date de l'analyse :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BOAS s'établit à 280,80 milliards FCFA, ce qui en fait l'une des valeurs les plus significatives du compartiment bancaire de la BRVM. Avec un BPA de 608 FCFA, chaque action génère un bénéfice substantiel pour son détenteur. Le PER de 12,8x est légèrement supérieur à la moyenne historique de la BRVM (8-12x), indiquant que le marché valorise la croissance future de la banque, mais sans excès spéculatif. Le P/B de 2,91x confirme cette prime de croissance, le marché acceptant de payer près de trois fois la valeur comptable des fonds propres, ce qui témoigne d'une confiance solide dans la création de valeur future. Enfin, l'EV/EBITDA de 8,3x se situe dans une fourchette raisonnable (5-10x), suggérant que la valorisation globale de l'entreprise, rapportée à sa capacité opérationnelle, reste cohérente avec ses performances.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BOAS a enregistré une performance remarquable de +21,88%, passant d'un plus bas de 6 400 FCFA à un plus haut de 8 050 FCFA, pour clôturer à 7 800 FCFA. La séance de la veille s'est soldée par une stabilité (0,00%), marquant une pause après cette forte progression. La moyenne du cours sur la période (7 320 FCFA) est légèrement inférieure à la médiane (7 350 FCFA), et le mode (7 700 FCFA) est proche du cours actuel, indiquant une distribution relativement symétrique. L'écart-type de 394 FCFA, avec un coefficient de variation de 5,4%, révèle une dispersion modérée des prix autour de la moyenne. Le kurtosis négatif (-0,696) suggère une distribution mésokurtique, avec moins de valeurs extrêmes qu'une distribution normale, tandis que le skewness légèrement négatif (-0,355) indique une asymétrie vers les valeurs basses, sans toutefois signaler de risque majeur. La volatilité annualisée de 22,7% classe le titre dans une catégorie de risque modéré, offrant un équilibre entre potentiel de rendement et stabilité relative.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(7 800 FCFA) se positionne au-dessus de la MM20 (7 742,25 FCFA) et de la MM50 (7 513,4 FCFA), confirmant une tendance haussière de fond. La configuration des moyennes mobiles, avec la MM20 au-dessus de la MM50, valide la dynamique positive et justifie la décision d'achat. Cette structure technique suggère que les acheteurs contrôlent le marché à moyen terme.</w:t>
      </w:r>
    </w:p>
    <w:p>
      <w:pPr>
        <w:spacing w:after="120" w:line="276" w:lineRule="auto"/>
      </w:pPr>
      <w:r>
        <w:t>**Bandes de Bollinger :** Le prix évolue dans la partie supérieure du canal, à 7 800 FCFA, proche de la borne supérieure (7 977,61 FCFA) et nettement au-dessus de la borne inférieure (7 506,89 FCFA). Cette position reflète une volatilité modérée et une pression acheteuse soutenue. La décision "Neutre" s'explique par le fait que le cours n'a pas encore touché la borne supérieure, laissant une marge de progression avant une éventuelle surachat technique.</w:t>
      </w:r>
    </w:p>
    <w:p>
      <w:pPr>
        <w:spacing w:after="120" w:line="276" w:lineRule="auto"/>
      </w:pPr>
      <w:r>
        <w:t>**MACD :** La valeur du MACD (66,608) est légèrement inférieure à son signal (70,193), indiquant un affaiblissement du momentum haussier à très court terme. Ce croisement baissier, bien que modéré, suggère une possible consolidation ou correction technique après la forte hausse récente. La décision de "Vente" reflète ce ralentissement du momentum, mais il convient de le relativiser au regard de la tendance de fond toujours positive.</w:t>
      </w:r>
    </w:p>
    <w:p>
      <w:pPr>
        <w:spacing w:after="120" w:line="276" w:lineRule="auto"/>
      </w:pPr>
      <w:r>
        <w:t>**RSI :** À 40,782, le RSI se situe dans la zone neutre (30-70), indiquant que le titre n'est ni suracheté ni survendu. Cette valeur suggère un équilibre entre les forces acheteuses et vendeuses, avec une légère inflexion baissière. La décision "Neutre" est cohérente avec cette lecture, le titre disposant d'une marge de manœuvre avant d'atteindre des zones extrêmes.</w:t>
      </w:r>
    </w:p>
    <w:p>
      <w:pPr>
        <w:spacing w:after="120" w:line="276" w:lineRule="auto"/>
      </w:pPr>
      <w:r>
        <w:t>**Stochastique :** Le %K à 100,0 et le %D à 69,863 signalent une situation de surachat extrême à court terme. Le %K ayant atteint sa borne maximale, un croisement baissier est probable, annonçant une correction technique. La décision de "Vente" est justifiée par cette configuration, qui suggère un essoufflement de la dynamique haussière immédiate.</w:t>
      </w:r>
    </w:p>
    <w:p>
      <w:pPr>
        <w:spacing w:after="120" w:line="276" w:lineRule="auto"/>
      </w:pPr>
      <w:r>
        <w:t>**Conclusion technique :** La tendance de fond reste résolument haussière, soutenue par des moyennes mobiles orientées à la hausse et un cours évoluant dans la partie supérieure des bandes de Bollinger. Cependant, les indicateurs de momentum (MACD, Stochastique) signalent un essoufflement à court terme, avec un RSI en zone neutre. Cette divergence entre la tendance de fond et les signaux à court terme suggère une phase de consolidation probable avant la poursuite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de l'exercice 2025 font état d'un Produit Net Bancaire (PNB) de 51,926 milliards FCFA, en croissance de 4,55%, et d'un résultat net de 21,905 milliards FCFA. La banque affiche une rentabilité exceptionnelle avec un ROE de 22,69% et un ROA de 2,62%, témoignant d'une gestion très efficace des fonds propres et des actifs. Le coefficient d'exploitation de 44,02% est excellent, confirmant une maîtrise rigoureuse des charges. Le coût du risque de 23,31% (provisions/charges financières) reste élevé, mais les rapports trimestriels montrent une amélioration constante. Les dépôts clientèle (686,927 milliards FCFA) représentent 1,78 fois les créances sur la clientèle (386,424 milliards FCFA), indiquant une transformation saine de l'épargne collectée. Les rapports trimestriels 2025 confirment cette dynamique : le T1 2025 (PNB 11,78 Mds, +2,36% ; RN 5,23 Mds, +9,25%), le S1 2025 (PNB 25,37 Mds, +6,77% ; RN 11,62 Mds, +12,70%) et le T3 2025 (PNB 37,44 Mds, +6,71% ; RN 16,37 Mds, +10,01%) montrent une accélération progressive de la croissance. Le rapport T1 2026 (PNB 12,58 Mds, +6,82% ; RN 5,741 Mds, +9,78%) confirme la poursuite de cette tendance positive. Sur la base de ces performances, on estime que l'exercice 2026 pourrait voir le PNB atteindre environ 55 milliards FCFA et le résultat net dépasser 23 milliards FCFA, soit une croissance de 5 à 7%. La banque démontre une solidité financière remarquable, avec des fondamentaux en amélioration continue.</w:t>
      </w:r>
    </w:p>
    <w:p>
      <w:pPr>
        <w:spacing w:after="120" w:line="276" w:lineRule="auto"/>
      </w:pPr>
      <w:r>
        <w:t>---</w:t>
      </w:r>
    </w:p>
    <w:p>
      <w:pPr>
        <w:spacing w:after="120" w:line="276" w:lineRule="auto"/>
      </w:pPr>
      <w:r>
        <w:t>### PARTIE 4 : CONCLUSION D'INVESTISSEMENT</w:t>
      </w:r>
    </w:p>
    <w:p>
      <w:pPr>
        <w:spacing w:after="120" w:line="276" w:lineRule="auto"/>
      </w:pPr>
      <w:r>
        <w:t>La valorisation de BOAS (PER 12,8x, P/B 2,91x, EV/EBITDA 8,3x) est raisonnable et reflète une prime de croissance justifiée par des fondamentaux solides. Le comportement du cours sur 100 jours (+21,88%) montre une tendance haussière robuste, avec une volatilité modérée (22,7%) et une distribution statistique saine. Les signaux techniques sont mitigés : la tendance de fond reste positive (MM, Bollinger), mais les indicateurs de momentum (MACD, Stochastique) suggèrent une consolidation à court terme. Les fondamentaux sont excellents, avec une croissance soutenue du PNB et du résultat net, une amélioration continue du coefficient d'exploitation et une gestion prudente du risque. Les prédictions IA (7 621 à 7 188 FCFA sur 10 jours) indiquent une correction technique, cohérente avec les signaux de surachat à court terme, mais ne remettent pas en cause la tendance de fond. La convergence entre des fondamentaux solides, une valorisation raisonnable et une tendance haussière de fond, malgré une correction technique attendue, justifie une recommandation **ACHAT** pour les investisseurs avec un horizon de moyen à long terme. Le niveau de confiance est **Élevé**, le risque global est **Moyen** (volatilité modérée et coût du risque encore significatif). L'horizon d'investissement optimal est le **moyen terme (3-12 mois)**, permettant de traverser la consolidation attendue et de bénéficier de la poursuite de la croissance fondamentale.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21.84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2,343 titres</w:t>
            </w:r>
          </w:p>
        </w:tc>
        <w:tc>
          <w:tcPr>
            <w:tcW w:type="dxa" w:w="2268"/>
            <w:shd w:fill="FFF2CC" w:val="clear"/>
          </w:tcPr>
          <w:p>
            <w:r>
              <w:rPr>
                <w:b/>
                <w:color w:val="503200"/>
                <w:sz w:val="16"/>
              </w:rPr>
              <w:t xml:space="preserve">Cours actuel : </w:t>
            </w:r>
            <w:r>
              <w:rPr>
                <w:color w:val="000000"/>
                <w:sz w:val="17"/>
              </w:rPr>
              <w:t>3,690 FCFA</w:t>
            </w:r>
          </w:p>
          <w:p>
            <w:r>
              <w:rPr>
                <w:b/>
                <w:color w:val="503200"/>
                <w:sz w:val="16"/>
              </w:rPr>
              <w:t xml:space="preserve">Var. 100 jours : </w:t>
            </w:r>
            <w:r>
              <w:rPr>
                <w:b/>
                <w:color w:val="007800"/>
                <w:sz w:val="17"/>
              </w:rPr>
              <w:t>+16.59%</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3,165 FCFA</w:t>
            </w:r>
          </w:p>
          <w:p>
            <w:r>
              <w:rPr>
                <w:b/>
                <w:color w:val="503200"/>
                <w:sz w:val="16"/>
              </w:rPr>
              <w:t xml:space="preserve">Volatilité ann. : </w:t>
            </w:r>
            <w:r>
              <w:rPr>
                <w:color w:val="000000"/>
                <w:sz w:val="17"/>
              </w:rPr>
              <w:t>55.8%</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8.08% (Moyenne) — μ=3,757 FCFA, σ=303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β=0.0464 (Défensif) — Cov=0.000001, Var(idx)=0.000030, ρ=0.007,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2,343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σ_j=3.52%/j (Modérée) — Vol. annualisée≈55.8%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A06400"/>
          <w:sz w:val="26"/>
        </w:rPr>
        <w:t>54/100  (Moyen)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2026-08-20</w:t>
            </w:r>
          </w:p>
        </w:tc>
        <w:tc>
          <w:tcPr>
            <w:tcW w:type="dxa" w:w="1440"/>
            <w:shd w:fill="C6EFCE" w:val="clear"/>
          </w:tcPr>
          <w:p>
            <w:r>
              <w:rPr>
                <w:sz w:val="17"/>
              </w:rPr>
              <w:t>3,687</w:t>
            </w:r>
          </w:p>
        </w:tc>
        <w:tc>
          <w:tcPr>
            <w:tcW w:type="dxa" w:w="1440"/>
            <w:shd w:fill="C6EFCE" w:val="clear"/>
          </w:tcPr>
          <w:p>
            <w:r>
              <w:rPr>
                <w:b/>
                <w:sz w:val="17"/>
              </w:rPr>
              <w:t>3,849</w:t>
            </w:r>
          </w:p>
        </w:tc>
        <w:tc>
          <w:tcPr>
            <w:tcW w:type="dxa" w:w="1440"/>
            <w:shd w:fill="C6EFCE" w:val="clear"/>
          </w:tcPr>
          <w:p>
            <w:r>
              <w:rPr>
                <w:sz w:val="17"/>
              </w:rPr>
              <w:t>4,012</w:t>
            </w:r>
          </w:p>
        </w:tc>
        <w:tc>
          <w:tcPr>
            <w:tcW w:type="dxa" w:w="1440"/>
            <w:shd w:fill="C6EFCE" w:val="clear"/>
          </w:tcPr>
          <w:p>
            <w:r>
              <w:rPr>
                <w:b/>
                <w:color w:val="008000"/>
                <w:sz w:val="17"/>
              </w:rPr>
              <w:t>+4.3%</w:t>
            </w:r>
          </w:p>
        </w:tc>
      </w:tr>
      <w:tr>
        <w:tc>
          <w:tcPr>
            <w:tcW w:type="dxa" w:w="1440"/>
            <w:shd w:fill="C6EFCE" w:val="clear"/>
          </w:tcPr>
          <w:p>
            <w:r>
              <w:rPr>
                <w:sz w:val="17"/>
              </w:rPr>
              <w:t>J+2  Moyenne</w:t>
            </w:r>
          </w:p>
        </w:tc>
        <w:tc>
          <w:tcPr>
            <w:tcW w:type="dxa" w:w="1440"/>
            <w:shd w:fill="C6EFCE" w:val="clear"/>
          </w:tcPr>
          <w:p>
            <w:r>
              <w:rPr>
                <w:sz w:val="17"/>
              </w:rPr>
              <w:t>2026-08-21</w:t>
            </w:r>
          </w:p>
        </w:tc>
        <w:tc>
          <w:tcPr>
            <w:tcW w:type="dxa" w:w="1440"/>
            <w:shd w:fill="C6EFCE" w:val="clear"/>
          </w:tcPr>
          <w:p>
            <w:r>
              <w:rPr>
                <w:sz w:val="17"/>
              </w:rPr>
              <w:t>3,782</w:t>
            </w:r>
          </w:p>
        </w:tc>
        <w:tc>
          <w:tcPr>
            <w:tcW w:type="dxa" w:w="1440"/>
            <w:shd w:fill="C6EFCE" w:val="clear"/>
          </w:tcPr>
          <w:p>
            <w:r>
              <w:rPr>
                <w:b/>
                <w:sz w:val="17"/>
              </w:rPr>
              <w:t>4,021</w:t>
            </w:r>
          </w:p>
        </w:tc>
        <w:tc>
          <w:tcPr>
            <w:tcW w:type="dxa" w:w="1440"/>
            <w:shd w:fill="C6EFCE" w:val="clear"/>
          </w:tcPr>
          <w:p>
            <w:r>
              <w:rPr>
                <w:sz w:val="17"/>
              </w:rPr>
              <w:t>4,261</w:t>
            </w:r>
          </w:p>
        </w:tc>
        <w:tc>
          <w:tcPr>
            <w:tcW w:type="dxa" w:w="1440"/>
            <w:shd w:fill="C6EFCE" w:val="clear"/>
          </w:tcPr>
          <w:p>
            <w:r>
              <w:rPr>
                <w:b/>
                <w:color w:val="008000"/>
                <w:sz w:val="17"/>
              </w:rPr>
              <w:t>+9.0%</w:t>
            </w:r>
          </w:p>
        </w:tc>
      </w:tr>
      <w:tr>
        <w:tc>
          <w:tcPr>
            <w:tcW w:type="dxa" w:w="1440"/>
            <w:shd w:fill="C6EFCE" w:val="clear"/>
          </w:tcPr>
          <w:p>
            <w:r>
              <w:rPr>
                <w:sz w:val="17"/>
              </w:rPr>
              <w:t>J+3  Moyenne</w:t>
            </w:r>
          </w:p>
        </w:tc>
        <w:tc>
          <w:tcPr>
            <w:tcW w:type="dxa" w:w="1440"/>
            <w:shd w:fill="C6EFCE" w:val="clear"/>
          </w:tcPr>
          <w:p>
            <w:r>
              <w:rPr>
                <w:sz w:val="17"/>
              </w:rPr>
              <w:t>2026-08-24</w:t>
            </w:r>
          </w:p>
        </w:tc>
        <w:tc>
          <w:tcPr>
            <w:tcW w:type="dxa" w:w="1440"/>
            <w:shd w:fill="C6EFCE" w:val="clear"/>
          </w:tcPr>
          <w:p>
            <w:r>
              <w:rPr>
                <w:sz w:val="17"/>
              </w:rPr>
              <w:t>3,914</w:t>
            </w:r>
          </w:p>
        </w:tc>
        <w:tc>
          <w:tcPr>
            <w:tcW w:type="dxa" w:w="1440"/>
            <w:shd w:fill="C6EFCE" w:val="clear"/>
          </w:tcPr>
          <w:p>
            <w:r>
              <w:rPr>
                <w:b/>
                <w:sz w:val="17"/>
              </w:rPr>
              <w:t>4,222</w:t>
            </w:r>
          </w:p>
        </w:tc>
        <w:tc>
          <w:tcPr>
            <w:tcW w:type="dxa" w:w="1440"/>
            <w:shd w:fill="C6EFCE" w:val="clear"/>
          </w:tcPr>
          <w:p>
            <w:r>
              <w:rPr>
                <w:sz w:val="17"/>
              </w:rPr>
              <w:t>4,531</w:t>
            </w:r>
          </w:p>
        </w:tc>
        <w:tc>
          <w:tcPr>
            <w:tcW w:type="dxa" w:w="1440"/>
            <w:shd w:fill="C6EFCE" w:val="clear"/>
          </w:tcPr>
          <w:p>
            <w:r>
              <w:rPr>
                <w:b/>
                <w:color w:val="008000"/>
                <w:sz w:val="17"/>
              </w:rPr>
              <w:t>+14.4%</w:t>
            </w:r>
          </w:p>
        </w:tc>
      </w:tr>
      <w:tr>
        <w:tc>
          <w:tcPr>
            <w:tcW w:type="dxa" w:w="1440"/>
            <w:shd w:fill="C6EFCE" w:val="clear"/>
          </w:tcPr>
          <w:p>
            <w:r>
              <w:rPr>
                <w:sz w:val="17"/>
              </w:rPr>
              <w:t>J+4  ⭐</w:t>
            </w:r>
          </w:p>
        </w:tc>
        <w:tc>
          <w:tcPr>
            <w:tcW w:type="dxa" w:w="1440"/>
            <w:shd w:fill="C6EFCE" w:val="clear"/>
          </w:tcPr>
          <w:p>
            <w:r>
              <w:rPr>
                <w:sz w:val="17"/>
              </w:rPr>
              <w:t>2026-08-25</w:t>
            </w:r>
          </w:p>
        </w:tc>
        <w:tc>
          <w:tcPr>
            <w:tcW w:type="dxa" w:w="1440"/>
            <w:shd w:fill="C6EFCE" w:val="clear"/>
          </w:tcPr>
          <w:p>
            <w:r>
              <w:rPr>
                <w:sz w:val="17"/>
              </w:rPr>
              <w:t>4,077</w:t>
            </w:r>
          </w:p>
        </w:tc>
        <w:tc>
          <w:tcPr>
            <w:tcW w:type="dxa" w:w="1440"/>
            <w:shd w:fill="C6EFCE" w:val="clear"/>
          </w:tcPr>
          <w:p>
            <w:r>
              <w:rPr>
                <w:b/>
                <w:sz w:val="17"/>
              </w:rPr>
              <w:t>4,452</w:t>
            </w:r>
          </w:p>
        </w:tc>
        <w:tc>
          <w:tcPr>
            <w:tcW w:type="dxa" w:w="1440"/>
            <w:shd w:fill="C6EFCE" w:val="clear"/>
          </w:tcPr>
          <w:p>
            <w:r>
              <w:rPr>
                <w:sz w:val="17"/>
              </w:rPr>
              <w:t>4,828</w:t>
            </w:r>
          </w:p>
        </w:tc>
        <w:tc>
          <w:tcPr>
            <w:tcW w:type="dxa" w:w="1440"/>
            <w:shd w:fill="C6EFCE" w:val="clear"/>
          </w:tcPr>
          <w:p>
            <w:r>
              <w:rPr>
                <w:b/>
                <w:color w:val="008000"/>
                <w:sz w:val="17"/>
              </w:rPr>
              <w:t>+20.7%</w:t>
            </w:r>
          </w:p>
        </w:tc>
      </w:tr>
      <w:tr>
        <w:tc>
          <w:tcPr>
            <w:tcW w:type="dxa" w:w="1440"/>
            <w:shd w:fill="C6EFCE" w:val="clear"/>
          </w:tcPr>
          <w:p>
            <w:r>
              <w:rPr>
                <w:sz w:val="17"/>
              </w:rPr>
              <w:t>J+5  ⭐</w:t>
            </w:r>
          </w:p>
        </w:tc>
        <w:tc>
          <w:tcPr>
            <w:tcW w:type="dxa" w:w="1440"/>
            <w:shd w:fill="C6EFCE" w:val="clear"/>
          </w:tcPr>
          <w:p>
            <w:r>
              <w:rPr>
                <w:sz w:val="17"/>
              </w:rPr>
              <w:t>2026-08-27</w:t>
            </w:r>
          </w:p>
        </w:tc>
        <w:tc>
          <w:tcPr>
            <w:tcW w:type="dxa" w:w="1440"/>
            <w:shd w:fill="C6EFCE" w:val="clear"/>
          </w:tcPr>
          <w:p>
            <w:r>
              <w:rPr>
                <w:sz w:val="17"/>
              </w:rPr>
              <w:t>4,272</w:t>
            </w:r>
          </w:p>
        </w:tc>
        <w:tc>
          <w:tcPr>
            <w:tcW w:type="dxa" w:w="1440"/>
            <w:shd w:fill="C6EFCE" w:val="clear"/>
          </w:tcPr>
          <w:p>
            <w:r>
              <w:rPr>
                <w:b/>
                <w:sz w:val="17"/>
              </w:rPr>
              <w:t>4,716</w:t>
            </w:r>
          </w:p>
        </w:tc>
        <w:tc>
          <w:tcPr>
            <w:tcW w:type="dxa" w:w="1440"/>
            <w:shd w:fill="C6EFCE" w:val="clear"/>
          </w:tcPr>
          <w:p>
            <w:r>
              <w:rPr>
                <w:sz w:val="17"/>
              </w:rPr>
              <w:t>5,161</w:t>
            </w:r>
          </w:p>
        </w:tc>
        <w:tc>
          <w:tcPr>
            <w:tcW w:type="dxa" w:w="1440"/>
            <w:shd w:fill="C6EFCE" w:val="clear"/>
          </w:tcPr>
          <w:p>
            <w:r>
              <w:rPr>
                <w:b/>
                <w:color w:val="008000"/>
                <w:sz w:val="17"/>
              </w:rPr>
              <w:t>+27.8%</w:t>
            </w:r>
          </w:p>
        </w:tc>
      </w:tr>
      <w:tr>
        <w:tc>
          <w:tcPr>
            <w:tcW w:type="dxa" w:w="1440"/>
            <w:shd w:fill="C6EFCE" w:val="clear"/>
          </w:tcPr>
          <w:p>
            <w:r>
              <w:rPr>
                <w:sz w:val="17"/>
              </w:rPr>
              <w:t>J+6  ⭐</w:t>
            </w:r>
          </w:p>
        </w:tc>
        <w:tc>
          <w:tcPr>
            <w:tcW w:type="dxa" w:w="1440"/>
            <w:shd w:fill="C6EFCE" w:val="clear"/>
          </w:tcPr>
          <w:p>
            <w:r>
              <w:rPr>
                <w:sz w:val="17"/>
              </w:rPr>
              <w:t>2026-08-28</w:t>
            </w:r>
          </w:p>
        </w:tc>
        <w:tc>
          <w:tcPr>
            <w:tcW w:type="dxa" w:w="1440"/>
            <w:shd w:fill="C6EFCE" w:val="clear"/>
          </w:tcPr>
          <w:p>
            <w:r>
              <w:rPr>
                <w:sz w:val="17"/>
              </w:rPr>
              <w:t>4,505</w:t>
            </w:r>
          </w:p>
        </w:tc>
        <w:tc>
          <w:tcPr>
            <w:tcW w:type="dxa" w:w="1440"/>
            <w:shd w:fill="C6EFCE" w:val="clear"/>
          </w:tcPr>
          <w:p>
            <w:r>
              <w:rPr>
                <w:b/>
                <w:sz w:val="17"/>
              </w:rPr>
              <w:t>5,023</w:t>
            </w:r>
          </w:p>
        </w:tc>
        <w:tc>
          <w:tcPr>
            <w:tcW w:type="dxa" w:w="1440"/>
            <w:shd w:fill="C6EFCE" w:val="clear"/>
          </w:tcPr>
          <w:p>
            <w:r>
              <w:rPr>
                <w:sz w:val="17"/>
              </w:rPr>
              <w:t>5,542</w:t>
            </w:r>
          </w:p>
        </w:tc>
        <w:tc>
          <w:tcPr>
            <w:tcW w:type="dxa" w:w="1440"/>
            <w:shd w:fill="C6EFCE" w:val="clear"/>
          </w:tcPr>
          <w:p>
            <w:r>
              <w:rPr>
                <w:b/>
                <w:color w:val="008000"/>
                <w:sz w:val="17"/>
              </w:rPr>
              <w:t>+36.1%</w:t>
            </w:r>
          </w:p>
        </w:tc>
      </w:tr>
      <w:tr>
        <w:tc>
          <w:tcPr>
            <w:tcW w:type="dxa" w:w="1440"/>
            <w:shd w:fill="C6EFCE" w:val="clear"/>
          </w:tcPr>
          <w:p>
            <w:r>
              <w:rPr>
                <w:sz w:val="17"/>
              </w:rPr>
              <w:t>J+7  ⭐</w:t>
            </w:r>
          </w:p>
        </w:tc>
        <w:tc>
          <w:tcPr>
            <w:tcW w:type="dxa" w:w="1440"/>
            <w:shd w:fill="C6EFCE" w:val="clear"/>
          </w:tcPr>
          <w:p>
            <w:r>
              <w:rPr>
                <w:sz w:val="17"/>
              </w:rPr>
              <w:t>2026-08-31</w:t>
            </w:r>
          </w:p>
        </w:tc>
        <w:tc>
          <w:tcPr>
            <w:tcW w:type="dxa" w:w="1440"/>
            <w:shd w:fill="C6EFCE" w:val="clear"/>
          </w:tcPr>
          <w:p>
            <w:r>
              <w:rPr>
                <w:sz w:val="17"/>
              </w:rPr>
              <w:t>4,787</w:t>
            </w:r>
          </w:p>
        </w:tc>
        <w:tc>
          <w:tcPr>
            <w:tcW w:type="dxa" w:w="1440"/>
            <w:shd w:fill="C6EFCE" w:val="clear"/>
          </w:tcPr>
          <w:p>
            <w:r>
              <w:rPr>
                <w:b/>
                <w:sz w:val="17"/>
              </w:rPr>
              <w:t>5,388</w:t>
            </w:r>
          </w:p>
        </w:tc>
        <w:tc>
          <w:tcPr>
            <w:tcW w:type="dxa" w:w="1440"/>
            <w:shd w:fill="C6EFCE" w:val="clear"/>
          </w:tcPr>
          <w:p>
            <w:r>
              <w:rPr>
                <w:sz w:val="17"/>
              </w:rPr>
              <w:t>5,989</w:t>
            </w:r>
          </w:p>
        </w:tc>
        <w:tc>
          <w:tcPr>
            <w:tcW w:type="dxa" w:w="1440"/>
            <w:shd w:fill="C6EFCE" w:val="clear"/>
          </w:tcPr>
          <w:p>
            <w:r>
              <w:rPr>
                <w:b/>
                <w:color w:val="008000"/>
                <w:sz w:val="17"/>
              </w:rPr>
              <w:t>+46.0%</w:t>
            </w:r>
          </w:p>
        </w:tc>
      </w:tr>
      <w:tr>
        <w:tc>
          <w:tcPr>
            <w:tcW w:type="dxa" w:w="1440"/>
            <w:shd w:fill="C6EFCE" w:val="clear"/>
          </w:tcPr>
          <w:p>
            <w:r>
              <w:rPr>
                <w:sz w:val="17"/>
              </w:rPr>
              <w:t>J+8  ⭐</w:t>
            </w:r>
          </w:p>
        </w:tc>
        <w:tc>
          <w:tcPr>
            <w:tcW w:type="dxa" w:w="1440"/>
            <w:shd w:fill="C6EFCE" w:val="clear"/>
          </w:tcPr>
          <w:p>
            <w:r>
              <w:rPr>
                <w:sz w:val="17"/>
              </w:rPr>
              <w:t>2026-09-01</w:t>
            </w:r>
          </w:p>
        </w:tc>
        <w:tc>
          <w:tcPr>
            <w:tcW w:type="dxa" w:w="1440"/>
            <w:shd w:fill="C6EFCE" w:val="clear"/>
          </w:tcPr>
          <w:p>
            <w:r>
              <w:rPr>
                <w:sz w:val="17"/>
              </w:rPr>
              <w:t>5,101</w:t>
            </w:r>
          </w:p>
        </w:tc>
        <w:tc>
          <w:tcPr>
            <w:tcW w:type="dxa" w:w="1440"/>
            <w:shd w:fill="C6EFCE" w:val="clear"/>
          </w:tcPr>
          <w:p>
            <w:r>
              <w:rPr>
                <w:b/>
                <w:sz w:val="17"/>
              </w:rPr>
              <w:t>5,792</w:t>
            </w:r>
          </w:p>
        </w:tc>
        <w:tc>
          <w:tcPr>
            <w:tcW w:type="dxa" w:w="1440"/>
            <w:shd w:fill="C6EFCE" w:val="clear"/>
          </w:tcPr>
          <w:p>
            <w:r>
              <w:rPr>
                <w:sz w:val="17"/>
              </w:rPr>
              <w:t>6,483</w:t>
            </w:r>
          </w:p>
        </w:tc>
        <w:tc>
          <w:tcPr>
            <w:tcW w:type="dxa" w:w="1440"/>
            <w:shd w:fill="C6EFCE" w:val="clear"/>
          </w:tcPr>
          <w:p>
            <w:r>
              <w:rPr>
                <w:b/>
                <w:color w:val="008000"/>
                <w:sz w:val="17"/>
              </w:rPr>
              <w:t>+57.0%</w:t>
            </w:r>
          </w:p>
        </w:tc>
      </w:tr>
      <w:tr>
        <w:tc>
          <w:tcPr>
            <w:tcW w:type="dxa" w:w="1440"/>
            <w:shd w:fill="C6EFCE" w:val="clear"/>
          </w:tcPr>
          <w:p>
            <w:r>
              <w:rPr>
                <w:sz w:val="17"/>
              </w:rPr>
              <w:t>J+9  ⭐</w:t>
            </w:r>
          </w:p>
        </w:tc>
        <w:tc>
          <w:tcPr>
            <w:tcW w:type="dxa" w:w="1440"/>
            <w:shd w:fill="C6EFCE" w:val="clear"/>
          </w:tcPr>
          <w:p>
            <w:r>
              <w:rPr>
                <w:sz w:val="17"/>
              </w:rPr>
              <w:t>2026-09-02</w:t>
            </w:r>
          </w:p>
        </w:tc>
        <w:tc>
          <w:tcPr>
            <w:tcW w:type="dxa" w:w="1440"/>
            <w:shd w:fill="C6EFCE" w:val="clear"/>
          </w:tcPr>
          <w:p>
            <w:r>
              <w:rPr>
                <w:sz w:val="17"/>
              </w:rPr>
              <w:t>5,439</w:t>
            </w:r>
          </w:p>
        </w:tc>
        <w:tc>
          <w:tcPr>
            <w:tcW w:type="dxa" w:w="1440"/>
            <w:shd w:fill="C6EFCE" w:val="clear"/>
          </w:tcPr>
          <w:p>
            <w:r>
              <w:rPr>
                <w:b/>
                <w:sz w:val="17"/>
              </w:rPr>
              <w:t>6,226</w:t>
            </w:r>
          </w:p>
        </w:tc>
        <w:tc>
          <w:tcPr>
            <w:tcW w:type="dxa" w:w="1440"/>
            <w:shd w:fill="C6EFCE" w:val="clear"/>
          </w:tcPr>
          <w:p>
            <w:r>
              <w:rPr>
                <w:sz w:val="17"/>
              </w:rPr>
              <w:t>7,014</w:t>
            </w:r>
          </w:p>
        </w:tc>
        <w:tc>
          <w:tcPr>
            <w:tcW w:type="dxa" w:w="1440"/>
            <w:shd w:fill="C6EFCE" w:val="clear"/>
          </w:tcPr>
          <w:p>
            <w:r>
              <w:rPr>
                <w:b/>
                <w:color w:val="008000"/>
                <w:sz w:val="17"/>
              </w:rPr>
              <w:t>+68.7%</w:t>
            </w:r>
          </w:p>
        </w:tc>
      </w:tr>
      <w:tr>
        <w:tc>
          <w:tcPr>
            <w:tcW w:type="dxa" w:w="1440"/>
            <w:shd w:fill="C6EFCE" w:val="clear"/>
          </w:tcPr>
          <w:p>
            <w:r>
              <w:rPr>
                <w:sz w:val="17"/>
              </w:rPr>
              <w:t>J+10  ⭐</w:t>
            </w:r>
          </w:p>
        </w:tc>
        <w:tc>
          <w:tcPr>
            <w:tcW w:type="dxa" w:w="1440"/>
            <w:shd w:fill="C6EFCE" w:val="clear"/>
          </w:tcPr>
          <w:p>
            <w:r>
              <w:rPr>
                <w:sz w:val="17"/>
              </w:rPr>
              <w:t>2026-09-03</w:t>
            </w:r>
          </w:p>
        </w:tc>
        <w:tc>
          <w:tcPr>
            <w:tcW w:type="dxa" w:w="1440"/>
            <w:shd w:fill="C6EFCE" w:val="clear"/>
          </w:tcPr>
          <w:p>
            <w:r>
              <w:rPr>
                <w:sz w:val="17"/>
              </w:rPr>
              <w:t>5,801</w:t>
            </w:r>
          </w:p>
        </w:tc>
        <w:tc>
          <w:tcPr>
            <w:tcW w:type="dxa" w:w="1440"/>
            <w:shd w:fill="C6EFCE" w:val="clear"/>
          </w:tcPr>
          <w:p>
            <w:r>
              <w:rPr>
                <w:b/>
                <w:sz w:val="17"/>
              </w:rPr>
              <w:t>6,693</w:t>
            </w:r>
          </w:p>
        </w:tc>
        <w:tc>
          <w:tcPr>
            <w:tcW w:type="dxa" w:w="1440"/>
            <w:shd w:fill="C6EFCE" w:val="clear"/>
          </w:tcPr>
          <w:p>
            <w:r>
              <w:rPr>
                <w:sz w:val="17"/>
              </w:rPr>
              <w:t>7,586</w:t>
            </w:r>
          </w:p>
        </w:tc>
        <w:tc>
          <w:tcPr>
            <w:tcW w:type="dxa" w:w="1440"/>
            <w:shd w:fill="C6EFCE" w:val="clear"/>
          </w:tcPr>
          <w:p>
            <w:r>
              <w:rPr>
                <w:b/>
                <w:color w:val="008000"/>
                <w:sz w:val="17"/>
              </w:rPr>
              <w:t>+81.4%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**Date de l'analyse : 19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21,84 milliards FCFA, un niveau modeste dans l'écosystème de la BRVM, reflétant un profil de moyenne capitalisation. Avec un BPA de 243 FCFA, le titre se négocie à un PER de 15,2x, nettement supérieur à la moyenne historique du marché (8-12x). Cette prime suggère que les investisseurs intègrent déjà une trajectoire de croissance future, ce qui laisse peu de marge d'erreur en cas de déception. Le P/B de 2,34x indique que le marché valorise l'entreprise à plus du double de sa valeur comptable, une prime de croissance qui doit être justifiée par une amélioration continue de la rentabilité. Enfin, l'EV/EBITDA de 7,8x se situe dans une fourchette raisonnable (5-10x), indiquant une valorisation opérationnelle cohérente avec la capacité bénéficiaire actuelle de la société.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CABC affiche une progression totale de +16,59%, avec un dernier rebond de +2,50% lors de la séance précédente, portant le cours à 3 690 FCFA. Le titre a évolué dans un range de 3 165 FCFA (plus bas) à 4 500 FCFA (plus haut), démontrant une amplitude de variation considérable. La moyenne du cours sur la période (3 757 FCFA) est légèrement supérieure à la médiane (3 700 FCFA), et le mode de 3 500 FCFA indique une concentration des échanges à des niveaux inférieurs, confirmant l'asymétrie positive (skewness de 0,529) : les journées sous la moyenne sont plus fréquentes, mais les fortes hausses tirent la moyenne vers le haut. L'écart-type de 305 FCFA (CV de 8,1%) révèle une dispersion modérée, tandis que le kurtosis de -0,221 (mésokurtique) suggère une distribution proche de la normale, sans risque de pics extrêmes. La volatilité annualisée de 55,8% est élevée, positionnant CABC comme un titre spéculatif à fort potentiel de mouvement.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(3 690 FCFA) se situe au-dessus de la MM20 (3 604,25 FCFA) mais nettement en dessous de la MM50 (3 853,1 FCFA). Cette configuration en "croix de la mort" à court terme indique que la tendance de fond reste baissière, mais qu'un rebond technique est en cours. La décision de "Vente" est justifiée par la persistance du cours sous la MM50, qui agit comme une résistance dynamique.</w:t>
      </w:r>
    </w:p>
    <w:p>
      <w:pPr>
        <w:spacing w:after="120" w:line="276" w:lineRule="auto"/>
      </w:pPr>
      <w:r>
        <w:t>**Bandes de Bollinger :** Le prix évolue dans la partie médiane de l'enveloppe, entre la borne inférieure (3 337,25 FCFA) et la borne supérieure (3 871,25 FCFA). La position actuelle suggère une volatilité modérée sans excès, d'où la décision "Neutre". Un dépassement de la borne supérieure signalerait une accélération haussière, tandis qu'un retour vers la borne inférieure indiquerait une pression vendeuse.</w:t>
      </w:r>
    </w:p>
    <w:p>
      <w:pPr>
        <w:spacing w:after="120" w:line="276" w:lineRule="auto"/>
      </w:pPr>
      <w:r>
        <w:t>**MACD :** Le MACD (-69,59) est négatif mais se situe au-dessus de sa ligne de signal (-93,68), formant un croisement haussier. Cette configuration indique un ralentissement de la dynamique baissière et un potentiel retournement de tendance. La décision "Achat" reflète ce début de momentum positif, bien que le niveau négatif des deux lignes suggère que la tendance de fond reste fragile.</w:t>
      </w:r>
    </w:p>
    <w:p>
      <w:pPr>
        <w:spacing w:after="120" w:line="276" w:lineRule="auto"/>
      </w:pPr>
      <w:r>
        <w:t>**RSI :** À 56,0, le RSI se situe en zone neutre, sans signal de surachat ni de survente. Cette valeur indique que le marché est équilibré, avec une légère prédominance des acheteurs. La décision "Neutre" est cohérente avec cette lecture, laissant place à une évolution dans les deux sens.</w:t>
      </w:r>
    </w:p>
    <w:p>
      <w:pPr>
        <w:spacing w:after="120" w:line="276" w:lineRule="auto"/>
      </w:pPr>
      <w:r>
        <w:t>**Stochastique :** Le %K à 100,0 est en zone de surachat extrême, tandis que le %D à 76,36 reste élevé. Cette configuration signale un épuisement potentiel de la dynamique haussière à très court terme, justifiant la décision "Vente". Un croisement baissier du %K sous le %D confirmerait un repli technique imminent.</w:t>
      </w:r>
    </w:p>
    <w:p>
      <w:pPr>
        <w:spacing w:after="120" w:line="276" w:lineRule="auto"/>
      </w:pPr>
      <w:r>
        <w:t>**Conclusion technique :** Les indicateurs sont partagés entre un momentum haussier naissant (MACD) et des conditions de surachat à court terme (Stochastique). La tendance de fond reste baissière (MM50), mais le rebond actuel pourrait se poursuivre si le cours parvient à franchir la résistance des 3 850 FCFA. La prudence est de mise, car la configuration technique ne confirme pas encore un retournement durable.</w:t>
      </w:r>
    </w:p>
    <w:p>
      <w:pPr>
        <w:spacing w:after="120" w:line="276" w:lineRule="auto"/>
      </w:pPr>
      <w:r>
        <w:t>---</w:t>
      </w:r>
    </w:p>
    <w:p>
      <w:pPr>
        <w:spacing w:after="120" w:line="276" w:lineRule="auto"/>
      </w:pPr>
      <w:r>
        <w:t>### PARTIE 3 : ANALYSE FONDAMENTALE (SECTION CRITIQUE)</w:t>
      </w:r>
    </w:p>
    <w:p>
      <w:pPr>
        <w:spacing w:after="120" w:line="276" w:lineRule="auto"/>
      </w:pPr>
      <w:r>
        <w:t>En 2025, CABC a réalisé un chiffre d'affaires de 21,263 milliards FCFA, en croissance de +11,2% par rapport à 2024, avec un résultat net de 1,439 milliard FCFA, confirmant le retour à la profitabilité après deux exercices déficitaires. La marge nette s'établit à 6,77%, le ROE à 15,40% (excellent, au-dessus du seuil de 15%) et le ROA à 6,10%. L'entreprise affiche une structure financière saine avec une autonomie financière de 39,58% et une solvabilité générale de 165,52%. Cependant, le BFR de 7,186 milliards FCFA et les délais clients élevés (144,69 jours) constituent des points de vigilance, tout comme la durée de stockage de 152 jours qui immobilise du capital. Les rapports trimestriels 2025 confirment cette dynamique : le S1 2025 affichait un résultat net de 851,5 millions FCFA (+55,3%), et le cumul à fin septembre atteignait 1 329,5 millions FCFA (+26%), avec une marge nette de 8,0%. Sur la base de ces tendances, on estime que l'exercice 2026 pourrait être impacté par le T1 2026 difficile (perte de 221,7 millions FCFA due à une maintenance planifiée), mais la direction anticipe une normalisation dès le T2 2026. Les fondamentaux de CABC se sont nettement améliorés depuis 2023, avec une croissance soutenue du CA et une rentabilité retrouvée, bien que la volatilité des matières premières et la pression sur les marges restent des risques majeurs.</w:t>
      </w:r>
    </w:p>
    <w:p>
      <w:pPr>
        <w:spacing w:after="120" w:line="276" w:lineRule="auto"/>
      </w:pPr>
      <w:r>
        <w:t>---</w:t>
      </w:r>
    </w:p>
    <w:p>
      <w:pPr>
        <w:spacing w:after="120" w:line="276" w:lineRule="auto"/>
      </w:pPr>
      <w:r>
        <w:t>### PARTIE 4 : CONCLUSION D'INVESTISSEMENT</w:t>
      </w:r>
    </w:p>
    <w:p>
      <w:pPr>
        <w:spacing w:after="120" w:line="276" w:lineRule="auto"/>
      </w:pPr>
      <w:r>
        <w:t>La valorisation de CABC (PER 15,2x, P/B 2,34x) intègre déjà des attentes de croissance, ce qui limite le potentiel de hausse en cas de déception. Le comportement du cours sur 100 jours (+16,59%) est positif, mais la volatilité élevée (55,8%) et l'asymétrie positive suggèrent un titre spéculatif. Les signaux techniques sont mitigés : le MACD est haussier, mais la MM50 et le Stochastique en surachat plaident pour une prudence à court terme. Les fondamentaux sont solides avec un ROE de 15,4% et une croissance du CA de 11,2% en 2025, mais les estimations pour 2026 sont incertaines après un T1 déficitaire. Les prédictions IA (3 849 à 4 716 FCFA sur 10 jours) anticipent une poursuite de la hausse, ce qui contredit la prudence technique mais confirme le momentum positif. En synthèse, la convergence entre la valorisation exigeante, les fondamentaux en amélioration et les prédictions haussières suggère une recommandation **CONSERVER** avec un biais positif. Le niveau de confiance est **Moyen**, le risque global **Élevé** (volatilité, dépendance aux matières premières), et l'horizon d'investissement optimal est le **moyen terme (3-12 mois)**, en attendant la confirmation d'une reprise durable au T2 2026.</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918.40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1,339 titres</w:t>
            </w:r>
          </w:p>
        </w:tc>
        <w:tc>
          <w:tcPr>
            <w:tcW w:type="dxa" w:w="2268"/>
            <w:shd w:fill="FFF2CC" w:val="clear"/>
          </w:tcPr>
          <w:p>
            <w:r>
              <w:rPr>
                <w:b/>
                <w:color w:val="503200"/>
                <w:sz w:val="16"/>
              </w:rPr>
              <w:t xml:space="preserve">Cours actuel : </w:t>
            </w:r>
            <w:r>
              <w:rPr>
                <w:color w:val="000000"/>
                <w:sz w:val="17"/>
              </w:rPr>
              <w:t>28,700 FCFA</w:t>
            </w:r>
          </w:p>
          <w:p>
            <w:r>
              <w:rPr>
                <w:b/>
                <w:color w:val="503200"/>
                <w:sz w:val="16"/>
              </w:rPr>
              <w:t xml:space="preserve">Var. 100 jours : </w:t>
            </w:r>
            <w:r>
              <w:rPr>
                <w:b/>
                <w:color w:val="007800"/>
                <w:sz w:val="17"/>
              </w:rPr>
              <w:t>+107.97%</w:t>
            </w:r>
          </w:p>
          <w:p>
            <w:r>
              <w:rPr>
                <w:b/>
                <w:color w:val="503200"/>
                <w:sz w:val="16"/>
              </w:rPr>
              <w:t xml:space="preserve">Plus haut 100j : </w:t>
            </w:r>
            <w:r>
              <w:rPr>
                <w:color w:val="000000"/>
                <w:sz w:val="17"/>
              </w:rPr>
              <w:t>30,005 FCFA</w:t>
            </w:r>
          </w:p>
          <w:p>
            <w:r>
              <w:rPr>
                <w:b/>
                <w:color w:val="503200"/>
                <w:sz w:val="16"/>
              </w:rPr>
              <w:t xml:space="preserve">Plus bas 100j : </w:t>
            </w:r>
            <w:r>
              <w:rPr>
                <w:color w:val="000000"/>
                <w:sz w:val="17"/>
              </w:rPr>
              <w:t>13,790 FCFA</w:t>
            </w:r>
          </w:p>
          <w:p>
            <w:r>
              <w:rPr>
                <w:b/>
                <w:color w:val="503200"/>
                <w:sz w:val="16"/>
              </w:rPr>
              <w:t xml:space="preserve">Volatilité ann. : </w:t>
            </w:r>
            <w:r>
              <w:rPr>
                <w:color w:val="000000"/>
                <w:sz w:val="17"/>
              </w:rPr>
              <w:t>42.1%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23.62% (Élevée) — μ=21,736 FCFA, σ=5,134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β=0.7503 (Défensif) — Cov=0.000023, Var(idx)=0.000030, ρ=0.155,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σ_j=2.65%/j (Stable) — Vol. annualisée≈42.1%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2026-08-20</w:t>
            </w:r>
          </w:p>
        </w:tc>
        <w:tc>
          <w:tcPr>
            <w:tcW w:type="dxa" w:w="1440"/>
            <w:shd w:fill="FFDCE0" w:val="clear"/>
          </w:tcPr>
          <w:p>
            <w:r>
              <w:rPr>
                <w:sz w:val="17"/>
              </w:rPr>
              <w:t>25,429</w:t>
            </w:r>
          </w:p>
        </w:tc>
        <w:tc>
          <w:tcPr>
            <w:tcW w:type="dxa" w:w="1440"/>
            <w:shd w:fill="FFDCE0" w:val="clear"/>
          </w:tcPr>
          <w:p>
            <w:r>
              <w:rPr>
                <w:b/>
                <w:sz w:val="17"/>
              </w:rPr>
              <w:t>26,548</w:t>
            </w:r>
          </w:p>
        </w:tc>
        <w:tc>
          <w:tcPr>
            <w:tcW w:type="dxa" w:w="1440"/>
            <w:shd w:fill="FFDCE0" w:val="clear"/>
          </w:tcPr>
          <w:p>
            <w:r>
              <w:rPr>
                <w:sz w:val="17"/>
              </w:rPr>
              <w:t>27,666</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2026-08-21</w:t>
            </w:r>
          </w:p>
        </w:tc>
        <w:tc>
          <w:tcPr>
            <w:tcW w:type="dxa" w:w="1440"/>
            <w:shd w:fill="FFDCE0" w:val="clear"/>
          </w:tcPr>
          <w:p>
            <w:r>
              <w:rPr>
                <w:sz w:val="17"/>
              </w:rPr>
              <w:t>23,094</w:t>
            </w:r>
          </w:p>
        </w:tc>
        <w:tc>
          <w:tcPr>
            <w:tcW w:type="dxa" w:w="1440"/>
            <w:shd w:fill="FFDCE0" w:val="clear"/>
          </w:tcPr>
          <w:p>
            <w:r>
              <w:rPr>
                <w:b/>
                <w:sz w:val="17"/>
              </w:rPr>
              <w:t>24,556</w:t>
            </w:r>
          </w:p>
        </w:tc>
        <w:tc>
          <w:tcPr>
            <w:tcW w:type="dxa" w:w="1440"/>
            <w:shd w:fill="FFDCE0" w:val="clear"/>
          </w:tcPr>
          <w:p>
            <w:r>
              <w:rPr>
                <w:sz w:val="17"/>
              </w:rPr>
              <w:t>26,019</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2026-08-24</w:t>
            </w:r>
          </w:p>
        </w:tc>
        <w:tc>
          <w:tcPr>
            <w:tcW w:type="dxa" w:w="1440"/>
            <w:shd w:fill="FFDCE0" w:val="clear"/>
          </w:tcPr>
          <w:p>
            <w:r>
              <w:rPr>
                <w:sz w:val="17"/>
              </w:rPr>
              <w:t>21,057</w:t>
            </w:r>
          </w:p>
        </w:tc>
        <w:tc>
          <w:tcPr>
            <w:tcW w:type="dxa" w:w="1440"/>
            <w:shd w:fill="FFDCE0" w:val="clear"/>
          </w:tcPr>
          <w:p>
            <w:r>
              <w:rPr>
                <w:b/>
                <w:sz w:val="17"/>
              </w:rPr>
              <w:t>22,715</w:t>
            </w:r>
          </w:p>
        </w:tc>
        <w:tc>
          <w:tcPr>
            <w:tcW w:type="dxa" w:w="1440"/>
            <w:shd w:fill="FFDCE0" w:val="clear"/>
          </w:tcPr>
          <w:p>
            <w:r>
              <w:rPr>
                <w:sz w:val="17"/>
              </w:rPr>
              <w:t>24,372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2026-08-25</w:t>
            </w:r>
          </w:p>
        </w:tc>
        <w:tc>
          <w:tcPr>
            <w:tcW w:type="dxa" w:w="1440"/>
            <w:shd w:fill="FFDCE0" w:val="clear"/>
          </w:tcPr>
          <w:p>
            <w:r>
              <w:rPr>
                <w:sz w:val="17"/>
              </w:rPr>
              <w:t>19,241</w:t>
            </w:r>
          </w:p>
        </w:tc>
        <w:tc>
          <w:tcPr>
            <w:tcW w:type="dxa" w:w="1440"/>
            <w:shd w:fill="FFDCE0" w:val="clear"/>
          </w:tcPr>
          <w:p>
            <w:r>
              <w:rPr>
                <w:b/>
                <w:sz w:val="17"/>
              </w:rPr>
              <w:t>21,011</w:t>
            </w:r>
          </w:p>
        </w:tc>
        <w:tc>
          <w:tcPr>
            <w:tcW w:type="dxa" w:w="1440"/>
            <w:shd w:fill="FFDCE0" w:val="clear"/>
          </w:tcPr>
          <w:p>
            <w:r>
              <w:rPr>
                <w:sz w:val="17"/>
              </w:rPr>
              <w:t>22,781</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2026-08-27</w:t>
            </w:r>
          </w:p>
        </w:tc>
        <w:tc>
          <w:tcPr>
            <w:tcW w:type="dxa" w:w="1440"/>
            <w:shd w:fill="FFDCE0" w:val="clear"/>
          </w:tcPr>
          <w:p>
            <w:r>
              <w:rPr>
                <w:sz w:val="17"/>
              </w:rPr>
              <w:t>17,741</w:t>
            </w:r>
          </w:p>
        </w:tc>
        <w:tc>
          <w:tcPr>
            <w:tcW w:type="dxa" w:w="1440"/>
            <w:shd w:fill="FFDCE0" w:val="clear"/>
          </w:tcPr>
          <w:p>
            <w:r>
              <w:rPr>
                <w:b/>
                <w:sz w:val="17"/>
              </w:rPr>
              <w:t>19,586</w:t>
            </w:r>
          </w:p>
        </w:tc>
        <w:tc>
          <w:tcPr>
            <w:tcW w:type="dxa" w:w="1440"/>
            <w:shd w:fill="FFDCE0" w:val="clear"/>
          </w:tcPr>
          <w:p>
            <w:r>
              <w:rPr>
                <w:sz w:val="17"/>
              </w:rPr>
              <w:t>21,431</w:t>
            </w:r>
          </w:p>
        </w:tc>
        <w:tc>
          <w:tcPr>
            <w:tcW w:type="dxa" w:w="1440"/>
            <w:shd w:fill="FFDCE0" w:val="clear"/>
          </w:tcPr>
          <w:p>
            <w:r>
              <w:rPr>
                <w:b/>
                <w:color w:val="C00000"/>
                <w:sz w:val="17"/>
              </w:rPr>
              <w:t>-31.8%</w:t>
            </w:r>
          </w:p>
        </w:tc>
      </w:tr>
      <w:tr>
        <w:tc>
          <w:tcPr>
            <w:tcW w:type="dxa" w:w="1440"/>
            <w:shd w:fill="FFDCE0" w:val="clear"/>
          </w:tcPr>
          <w:p>
            <w:r>
              <w:rPr>
                <w:sz w:val="17"/>
              </w:rPr>
              <w:t>J+6  ⭐</w:t>
            </w:r>
          </w:p>
        </w:tc>
        <w:tc>
          <w:tcPr>
            <w:tcW w:type="dxa" w:w="1440"/>
            <w:shd w:fill="FFDCE0" w:val="clear"/>
          </w:tcPr>
          <w:p>
            <w:r>
              <w:rPr>
                <w:sz w:val="17"/>
              </w:rPr>
              <w:t>2026-08-28</w:t>
            </w:r>
          </w:p>
        </w:tc>
        <w:tc>
          <w:tcPr>
            <w:tcW w:type="dxa" w:w="1440"/>
            <w:shd w:fill="FFDCE0" w:val="clear"/>
          </w:tcPr>
          <w:p>
            <w:r>
              <w:rPr>
                <w:sz w:val="17"/>
              </w:rPr>
              <w:t>17,074</w:t>
            </w:r>
          </w:p>
        </w:tc>
        <w:tc>
          <w:tcPr>
            <w:tcW w:type="dxa" w:w="1440"/>
            <w:shd w:fill="FFDCE0" w:val="clear"/>
          </w:tcPr>
          <w:p>
            <w:r>
              <w:rPr>
                <w:b/>
                <w:sz w:val="17"/>
              </w:rPr>
              <w:t>19,038</w:t>
            </w:r>
          </w:p>
        </w:tc>
        <w:tc>
          <w:tcPr>
            <w:tcW w:type="dxa" w:w="1440"/>
            <w:shd w:fill="FFDCE0" w:val="clear"/>
          </w:tcPr>
          <w:p>
            <w:r>
              <w:rPr>
                <w:sz w:val="17"/>
              </w:rPr>
              <w:t>21,002</w:t>
            </w:r>
          </w:p>
        </w:tc>
        <w:tc>
          <w:tcPr>
            <w:tcW w:type="dxa" w:w="1440"/>
            <w:shd w:fill="FFDCE0" w:val="clear"/>
          </w:tcPr>
          <w:p>
            <w:r>
              <w:rPr>
                <w:b/>
                <w:color w:val="C00000"/>
                <w:sz w:val="17"/>
              </w:rPr>
              <w:t>-33.7%</w:t>
            </w:r>
          </w:p>
        </w:tc>
      </w:tr>
      <w:tr>
        <w:tc>
          <w:tcPr>
            <w:tcW w:type="dxa" w:w="1440"/>
            <w:shd w:fill="FFDCE0" w:val="clear"/>
          </w:tcPr>
          <w:p>
            <w:r>
              <w:rPr>
                <w:sz w:val="17"/>
              </w:rPr>
              <w:t>J+7  ⭐</w:t>
            </w:r>
          </w:p>
        </w:tc>
        <w:tc>
          <w:tcPr>
            <w:tcW w:type="dxa" w:w="1440"/>
            <w:shd w:fill="FFDCE0" w:val="clear"/>
          </w:tcPr>
          <w:p>
            <w:r>
              <w:rPr>
                <w:sz w:val="17"/>
              </w:rPr>
              <w:t>2026-08-31</w:t>
            </w:r>
          </w:p>
        </w:tc>
        <w:tc>
          <w:tcPr>
            <w:tcW w:type="dxa" w:w="1440"/>
            <w:shd w:fill="FFDCE0" w:val="clear"/>
          </w:tcPr>
          <w:p>
            <w:r>
              <w:rPr>
                <w:sz w:val="17"/>
              </w:rPr>
              <w:t>16,489</w:t>
            </w:r>
          </w:p>
        </w:tc>
        <w:tc>
          <w:tcPr>
            <w:tcW w:type="dxa" w:w="1440"/>
            <w:shd w:fill="FFDCE0" w:val="clear"/>
          </w:tcPr>
          <w:p>
            <w:r>
              <w:rPr>
                <w:b/>
                <w:sz w:val="17"/>
              </w:rPr>
              <w:t>18,558</w:t>
            </w:r>
          </w:p>
        </w:tc>
        <w:tc>
          <w:tcPr>
            <w:tcW w:type="dxa" w:w="1440"/>
            <w:shd w:fill="FFDCE0" w:val="clear"/>
          </w:tcPr>
          <w:p>
            <w:r>
              <w:rPr>
                <w:sz w:val="17"/>
              </w:rPr>
              <w:t>20,626</w:t>
            </w:r>
          </w:p>
        </w:tc>
        <w:tc>
          <w:tcPr>
            <w:tcW w:type="dxa" w:w="1440"/>
            <w:shd w:fill="FFDCE0" w:val="clear"/>
          </w:tcPr>
          <w:p>
            <w:r>
              <w:rPr>
                <w:b/>
                <w:color w:val="C00000"/>
                <w:sz w:val="17"/>
              </w:rPr>
              <w:t>-35.3%</w:t>
            </w:r>
          </w:p>
        </w:tc>
      </w:tr>
      <w:tr>
        <w:tc>
          <w:tcPr>
            <w:tcW w:type="dxa" w:w="1440"/>
            <w:shd w:fill="FFDCE0" w:val="clear"/>
          </w:tcPr>
          <w:p>
            <w:r>
              <w:rPr>
                <w:sz w:val="17"/>
              </w:rPr>
              <w:t>J+8  ⭐</w:t>
            </w:r>
          </w:p>
        </w:tc>
        <w:tc>
          <w:tcPr>
            <w:tcW w:type="dxa" w:w="1440"/>
            <w:shd w:fill="FFDCE0" w:val="clear"/>
          </w:tcPr>
          <w:p>
            <w:r>
              <w:rPr>
                <w:sz w:val="17"/>
              </w:rPr>
              <w:t>2026-09-01</w:t>
            </w:r>
          </w:p>
        </w:tc>
        <w:tc>
          <w:tcPr>
            <w:tcW w:type="dxa" w:w="1440"/>
            <w:shd w:fill="FFDCE0" w:val="clear"/>
          </w:tcPr>
          <w:p>
            <w:r>
              <w:rPr>
                <w:sz w:val="17"/>
              </w:rPr>
              <w:t>15,969</w:t>
            </w:r>
          </w:p>
        </w:tc>
        <w:tc>
          <w:tcPr>
            <w:tcW w:type="dxa" w:w="1440"/>
            <w:shd w:fill="FFDCE0" w:val="clear"/>
          </w:tcPr>
          <w:p>
            <w:r>
              <w:rPr>
                <w:b/>
                <w:sz w:val="17"/>
              </w:rPr>
              <w:t>18,129</w:t>
            </w:r>
          </w:p>
        </w:tc>
        <w:tc>
          <w:tcPr>
            <w:tcW w:type="dxa" w:w="1440"/>
            <w:shd w:fill="FFDCE0" w:val="clear"/>
          </w:tcPr>
          <w:p>
            <w:r>
              <w:rPr>
                <w:sz w:val="17"/>
              </w:rPr>
              <w:t>20,289</w:t>
            </w:r>
          </w:p>
        </w:tc>
        <w:tc>
          <w:tcPr>
            <w:tcW w:type="dxa" w:w="1440"/>
            <w:shd w:fill="FFDCE0" w:val="clear"/>
          </w:tcPr>
          <w:p>
            <w:r>
              <w:rPr>
                <w:b/>
                <w:color w:val="C00000"/>
                <w:sz w:val="17"/>
              </w:rPr>
              <w:t>-36.8%</w:t>
            </w:r>
          </w:p>
        </w:tc>
      </w:tr>
      <w:tr>
        <w:tc>
          <w:tcPr>
            <w:tcW w:type="dxa" w:w="1440"/>
            <w:shd w:fill="FFDCE0" w:val="clear"/>
          </w:tcPr>
          <w:p>
            <w:r>
              <w:rPr>
                <w:sz w:val="17"/>
              </w:rPr>
              <w:t>J+9  ⭐</w:t>
            </w:r>
          </w:p>
        </w:tc>
        <w:tc>
          <w:tcPr>
            <w:tcW w:type="dxa" w:w="1440"/>
            <w:shd w:fill="FFDCE0" w:val="clear"/>
          </w:tcPr>
          <w:p>
            <w:r>
              <w:rPr>
                <w:sz w:val="17"/>
              </w:rPr>
              <w:t>2026-09-02</w:t>
            </w:r>
          </w:p>
        </w:tc>
        <w:tc>
          <w:tcPr>
            <w:tcW w:type="dxa" w:w="1440"/>
            <w:shd w:fill="FFDCE0" w:val="clear"/>
          </w:tcPr>
          <w:p>
            <w:r>
              <w:rPr>
                <w:sz w:val="17"/>
              </w:rPr>
              <w:t>15,500</w:t>
            </w:r>
          </w:p>
        </w:tc>
        <w:tc>
          <w:tcPr>
            <w:tcW w:type="dxa" w:w="1440"/>
            <w:shd w:fill="FFDCE0" w:val="clear"/>
          </w:tcPr>
          <w:p>
            <w:r>
              <w:rPr>
                <w:b/>
                <w:sz w:val="17"/>
              </w:rPr>
              <w:t>17,742</w:t>
            </w:r>
          </w:p>
        </w:tc>
        <w:tc>
          <w:tcPr>
            <w:tcW w:type="dxa" w:w="1440"/>
            <w:shd w:fill="FFDCE0" w:val="clear"/>
          </w:tcPr>
          <w:p>
            <w:r>
              <w:rPr>
                <w:sz w:val="17"/>
              </w:rPr>
              <w:t>19,984</w:t>
            </w:r>
          </w:p>
        </w:tc>
        <w:tc>
          <w:tcPr>
            <w:tcW w:type="dxa" w:w="1440"/>
            <w:shd w:fill="FFDCE0" w:val="clear"/>
          </w:tcPr>
          <w:p>
            <w:r>
              <w:rPr>
                <w:b/>
                <w:color w:val="C00000"/>
                <w:sz w:val="17"/>
              </w:rPr>
              <w:t>-38.2%</w:t>
            </w:r>
          </w:p>
        </w:tc>
      </w:tr>
      <w:tr>
        <w:tc>
          <w:tcPr>
            <w:tcW w:type="dxa" w:w="1440"/>
            <w:shd w:fill="FFDCE0" w:val="clear"/>
          </w:tcPr>
          <w:p>
            <w:r>
              <w:rPr>
                <w:sz w:val="17"/>
              </w:rPr>
              <w:t>J+10  ⭐</w:t>
            </w:r>
          </w:p>
        </w:tc>
        <w:tc>
          <w:tcPr>
            <w:tcW w:type="dxa" w:w="1440"/>
            <w:shd w:fill="FFDCE0" w:val="clear"/>
          </w:tcPr>
          <w:p>
            <w:r>
              <w:rPr>
                <w:sz w:val="17"/>
              </w:rPr>
              <w:t>2026-09-03</w:t>
            </w:r>
          </w:p>
        </w:tc>
        <w:tc>
          <w:tcPr>
            <w:tcW w:type="dxa" w:w="1440"/>
            <w:shd w:fill="FFDCE0" w:val="clear"/>
          </w:tcPr>
          <w:p>
            <w:r>
              <w:rPr>
                <w:sz w:val="17"/>
              </w:rPr>
              <w:t>15,074</w:t>
            </w:r>
          </w:p>
        </w:tc>
        <w:tc>
          <w:tcPr>
            <w:tcW w:type="dxa" w:w="1440"/>
            <w:shd w:fill="FFDCE0" w:val="clear"/>
          </w:tcPr>
          <w:p>
            <w:r>
              <w:rPr>
                <w:b/>
                <w:sz w:val="17"/>
              </w:rPr>
              <w:t>17,390</w:t>
            </w:r>
          </w:p>
        </w:tc>
        <w:tc>
          <w:tcPr>
            <w:tcW w:type="dxa" w:w="1440"/>
            <w:shd w:fill="FFDCE0" w:val="clear"/>
          </w:tcPr>
          <w:p>
            <w:r>
              <w:rPr>
                <w:sz w:val="17"/>
              </w:rPr>
              <w:t>19,706</w:t>
            </w:r>
          </w:p>
        </w:tc>
        <w:tc>
          <w:tcPr>
            <w:tcW w:type="dxa" w:w="1440"/>
            <w:shd w:fill="FFDCE0" w:val="clear"/>
          </w:tcPr>
          <w:p>
            <w:r>
              <w:rPr>
                <w:b/>
                <w:color w:val="C00000"/>
                <w:sz w:val="17"/>
              </w:rPr>
              <w:t>-39.4%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BURKINA FASO)**</w:t>
        <w:br/>
        <w:t>**Date de l'analyse : 19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CBIBF s'établit à 918,40 milliards FCFA, positionnant le titre comme l'une des capitalisations majeures de la BRVM, reflétant la confiance des investisseurs dans le secteur bancaire régional. Avec un BPA de 2 047 FCFA, chaque action génère un bénéfice substantiel. Le PER de 14,0x se situe au-dessus de la moyenne historique de la BRVM (8-12x), indiquant que les investisseurs acceptent de payer une prime pour la croissance et la solidité de la banque, mais le titre n'est pas excessivement cher pour un leader régional. Le ratio EV/EBITDA de 10,4x, bien que dans la fourchette élevée (10-15x), valorise correctement la capacité opérationnelle de l'entreprise. Le ratio P/B n'est pas disponible dans les données fournies, ce qui limite l'analyse comparative avec la valeur comptable, mais les autres indicateurs suggèrent une valorisation globalement raisonnable pour un actif de cette qualité.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CBIBF a enregistré une performance spectaculaire de +107,97%, avec une progression de +1,31% lors de la dernière séance, clôturant à 28 700 FCFA. Le titre a évolué dans une fourchette très large, oscillant entre un plus bas de 13 790 FCFA et un plus haut de 30 005 FCFA, démontrant une dynamique haussière extrêmement forte. La moyenne (21 736 FCFA) et la médiane (21 692 FCFA) étant quasi identiques, la distribution des prix est symétrique, confirmée par un skewness de 0,056. L'écart-type de 5 160 FCFA (CV=23,7%) révèle une dispersion modérée des prix autour de la moyenne. Le kurtosis négatif (-1,310) indique une distribution platykurtique, signifiant une faible concentration des prix et un risque de mouvements brusques moins élevé que la normale. La volatilité annualisée de 42,1% classe le titre dans la catégorie des actifs à très haute volatilité, ce qui implique un risque élevé mais aussi un potentiel de rendement significatif pour les investisseurs aguerris.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(28 700 FCFA) se positionne nettement au-dessus de la MM20 (28 008,25 FCFA) et de la MM50 (26 000,5 FCFA), confirmant une tendance haussière solide à court et moyen terme. La configuration des moyennes mobiles, avec la MM20 au-dessus de la MM50, génère un signal d'achat clair, indiquant que la dynamique positive est toujours en place.</w:t>
      </w:r>
    </w:p>
    <w:p>
      <w:pPr>
        <w:spacing w:after="120" w:line="276" w:lineRule="auto"/>
      </w:pPr>
      <w:r>
        <w:t>**Bandes de Bollinger** : Le prix se situe à 28 700 FCFA, proche de la borne supérieure (29 548,16 FCFA) mais dans la zone médiane du canal, suggérant une volatilité normale. La décision est neutre, mais la proximité de la borne supérieure pourrait indiquer une résistance à surveiller. L'écart entre les bornes (environ 3 080 FCFA) reflète une volatilité modérée.</w:t>
      </w:r>
    </w:p>
    <w:p>
      <w:pPr>
        <w:spacing w:after="120" w:line="276" w:lineRule="auto"/>
      </w:pPr>
      <w:r>
        <w:t>**MACD** : Le MACD (676,25) est inférieur à sa ligne de signal (816,66), générant un signal de vente à court terme. Cette divergence indique un ralentissement du momentum haussier, même si les deux lignes restent en territoire positif, ce qui suggère que la tendance de fond reste haussière mais avec une perte de vigueur.</w:t>
      </w:r>
    </w:p>
    <w:p>
      <w:pPr>
        <w:spacing w:after="120" w:line="276" w:lineRule="auto"/>
      </w:pPr>
      <w:r>
        <w:t>**RSI** : À 61,58, le RSI se situe en zone neutre, en dessous du seuil de surachat (70). Cela indique que le titre dispose encore d'une marge de progression avant d'être considéré comme suracheté, tout en montrant une pression acheteuse toujours présente mais modérée.</w:t>
      </w:r>
    </w:p>
    <w:p>
      <w:pPr>
        <w:spacing w:after="120" w:line="276" w:lineRule="auto"/>
      </w:pPr>
      <w:r>
        <w:t>**Stochastique** : Le %K (76,92) est nettement supérieur au %D (62,44), indiquant un momentum haussier toujours actif. La configuration, sans croisement baissier, suggère que la dynamique positive pourrait se poursuivre à très court terme, bien que la proximité du niveau de surachat (80) mérite une attention particulière.</w:t>
      </w:r>
    </w:p>
    <w:p>
      <w:pPr>
        <w:spacing w:after="120" w:line="276" w:lineRule="auto"/>
      </w:pPr>
      <w:r>
        <w:t>**Conclusion technique** : Les indicateurs sont globalement mitigés avec une prédominance haussière. Les moyennes mobiles et le stochastique soutiennent la tendance haussière, tandis que le MACD signale un essoufflement à court terme. Le RSI et les bandes de Bollinger restent neutres. Cette configuration suggère une consolidation potentielle avant une éventuelle reprise de la hausse.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 CBIBF révèlent une performance financière robuste. Le Produit Net Bancaire (PNB) s'établit à 138,99 milliards FCFA, en croissance de 6,1%, avec un résultat net de 65,50 milliards FCFA, en progression remarquable de 36,6% par rapport à 2024. La marge nette atteint 47,1%, démontrant une excellente maîtrise opérationnelle. Le coefficient d'exploitation de 36,4% est exceptionnel, bien en dessous du seuil d'efficacité de 60%, témoignant d'une gestion rigoureuse des charges. Le ROA de 2,18% est solide pour le secteur bancaire. Le coût du risque s'est significativement amélioré de 59,3% à 16,5 milliards FCFA, reflétant une meilleure qualité du portefeuille de crédits. Les dépôts clientèle (2 015,3 milliards FCFA, +14,9%) dépassent largement les crédits nets (1 327 milliards FCFA, +5,4%), indiquant une liquidité abondante. **Le rapport annuel 2024** montrait un résultat net en baisse de 25,4% à 47,94 milliards FCFA, principalement due à une explosion du coût du risque (+72,5%). **Les rapports trimestriels 2025** confirment la trajectoire positive : T1 2025 (PNB 28,7 Mds, RN 17,6 Mds), S1 2025 (PNB 65,1 Mds, RN 33,8 Mds), T3 2025 (PNB 101,3 Mds, RN 52,9 Mds). **Le rapport T1 2026** publié récemment montre une accélération spectaculaire avec un PNB de 36,8 milliards FCFA (+28,5%) et un résultat net de 21,5 milliards FCFA (+22,2%). Sur cette base, on estime que l'exercice 2026 pourrait dépasser les 75 milliards FCFA de résultat net, confirmant la solidité et la croissance durable de la banque.</w:t>
      </w:r>
    </w:p>
    <w:p>
      <w:pPr>
        <w:spacing w:after="120" w:line="276" w:lineRule="auto"/>
      </w:pPr>
      <w:r>
        <w:t>---</w:t>
      </w:r>
    </w:p>
    <w:p>
      <w:pPr>
        <w:spacing w:after="120" w:line="276" w:lineRule="auto"/>
      </w:pPr>
      <w:r>
        <w:t>### PARTIE 4 : CONCLUSION D'INVESTISSEMENT</w:t>
      </w:r>
    </w:p>
    <w:p>
      <w:pPr>
        <w:spacing w:after="120" w:line="276" w:lineRule="auto"/>
      </w:pPr>
      <w:r>
        <w:t>La valorisation de CBIBF (PER 14,0x, EV/EBITDA 10,4x) est raisonnable pour un leader bancaire en forte croissance, malgré une prime par rapport à la moyenne BRVM. Le comportement du cours montre une tendance haussière spectaculaire (+108% en 100 jours) avec une volatilité élevée (42,1%), reflétant un intérêt marqué des investisseurs mais aussi un risque accru. Les signaux techniques sont partagés : les moyennes mobiles et le stochastique soutiennent la tendance haussière, tandis que le MACD suggère un essoufflement à court terme. Les fondamentaux sont excellents avec une croissance soutenue du PNB et du résultat net, un coefficient d'exploitation remarquable et une amélioration significative de la qualité du portefeuille. Cependant, les prédictions IA pour les 10 prochains jours indiquent une correction brutale, avec une chute potentielle à 19 586 FCFA, soit une baisse de 31,8% par rapport au cours actuel. Cette prévision contraste fortement avec les fondamentaux solides et suggère un possible retournement technique après une hausse excessive. **Recommandation finale : CONSERVER** avec un niveau de confiance **Moyen** et un risque global **Élevé**. L'horizon d'investissement optimal serait le **moyen terme (3-12 mois)**, en attendant que le marché absorbe la correction potentielle et que les fondamentaux continuent de se renforcer. Les investisseurs devraient surveiller de près le niveau de support à 26 000 FCFA (MM50) et la publication des résultats semestriels 2026 pour ajuster leur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295.64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3,526 titres</w:t>
            </w:r>
          </w:p>
        </w:tc>
        <w:tc>
          <w:tcPr>
            <w:tcW w:type="dxa" w:w="2268"/>
            <w:shd w:fill="FFF2CC" w:val="clear"/>
          </w:tcPr>
          <w:p>
            <w:r>
              <w:rPr>
                <w:b/>
                <w:color w:val="503200"/>
                <w:sz w:val="16"/>
              </w:rPr>
              <w:t xml:space="preserve">Cours actuel : </w:t>
            </w:r>
            <w:r>
              <w:rPr>
                <w:color w:val="000000"/>
                <w:sz w:val="17"/>
              </w:rPr>
              <w:t>1,630 FCFA</w:t>
            </w:r>
          </w:p>
          <w:p>
            <w:r>
              <w:rPr>
                <w:b/>
                <w:color w:val="503200"/>
                <w:sz w:val="16"/>
              </w:rPr>
              <w:t xml:space="preserve">Var. 100 jours : </w:t>
            </w:r>
            <w:r>
              <w:rPr>
                <w:b/>
                <w:color w:val="007800"/>
                <w:sz w:val="17"/>
              </w:rPr>
              <w:t>+0.00%</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48.3%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6.16% (Moyenne) — μ=1,602 FCFA, σ=99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β=1.1039 (Neutre (suit le marché)) — Cov=0.000034, Var(idx)=0.000030, ρ=0.200,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3,526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σ_j=3.04%/j (Modérée) — Vol. annualisée≈48.3%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2026-08-20</w:t>
            </w:r>
          </w:p>
        </w:tc>
        <w:tc>
          <w:tcPr>
            <w:tcW w:type="dxa" w:w="1440"/>
            <w:shd w:fill="FFDCE0" w:val="clear"/>
          </w:tcPr>
          <w:p>
            <w:r>
              <w:rPr>
                <w:sz w:val="17"/>
              </w:rPr>
              <w:t>1,514</w:t>
            </w:r>
          </w:p>
        </w:tc>
        <w:tc>
          <w:tcPr>
            <w:tcW w:type="dxa" w:w="1440"/>
            <w:shd w:fill="FFDCE0" w:val="clear"/>
          </w:tcPr>
          <w:p>
            <w:r>
              <w:rPr>
                <w:b/>
                <w:sz w:val="17"/>
              </w:rPr>
              <w:t>1,584</w:t>
            </w:r>
          </w:p>
        </w:tc>
        <w:tc>
          <w:tcPr>
            <w:tcW w:type="dxa" w:w="1440"/>
            <w:shd w:fill="FFDCE0" w:val="clear"/>
          </w:tcPr>
          <w:p>
            <w:r>
              <w:rPr>
                <w:sz w:val="17"/>
              </w:rPr>
              <w:t>1,653</w:t>
            </w:r>
          </w:p>
        </w:tc>
        <w:tc>
          <w:tcPr>
            <w:tcW w:type="dxa" w:w="1440"/>
            <w:shd w:fill="FFDCE0" w:val="clear"/>
          </w:tcPr>
          <w:p>
            <w:r>
              <w:rPr>
                <w:b/>
                <w:color w:val="C00000"/>
                <w:sz w:val="17"/>
              </w:rPr>
              <w:t>-2.8%</w:t>
            </w:r>
          </w:p>
        </w:tc>
      </w:tr>
      <w:tr>
        <w:tc>
          <w:tcPr>
            <w:tcW w:type="dxa" w:w="1440"/>
            <w:shd w:fill="FFDCE0" w:val="clear"/>
          </w:tcPr>
          <w:p>
            <w:r>
              <w:rPr>
                <w:sz w:val="17"/>
              </w:rPr>
              <w:t>J+2  Moyenne</w:t>
            </w:r>
          </w:p>
        </w:tc>
        <w:tc>
          <w:tcPr>
            <w:tcW w:type="dxa" w:w="1440"/>
            <w:shd w:fill="FFDCE0" w:val="clear"/>
          </w:tcPr>
          <w:p>
            <w:r>
              <w:rPr>
                <w:sz w:val="17"/>
              </w:rPr>
              <w:t>2026-08-21</w:t>
            </w:r>
          </w:p>
        </w:tc>
        <w:tc>
          <w:tcPr>
            <w:tcW w:type="dxa" w:w="1440"/>
            <w:shd w:fill="FFDCE0" w:val="clear"/>
          </w:tcPr>
          <w:p>
            <w:r>
              <w:rPr>
                <w:sz w:val="17"/>
              </w:rPr>
              <w:t>1,466</w:t>
            </w:r>
          </w:p>
        </w:tc>
        <w:tc>
          <w:tcPr>
            <w:tcW w:type="dxa" w:w="1440"/>
            <w:shd w:fill="FFDCE0" w:val="clear"/>
          </w:tcPr>
          <w:p>
            <w:r>
              <w:rPr>
                <w:b/>
                <w:sz w:val="17"/>
              </w:rPr>
              <w:t>1,563</w:t>
            </w:r>
          </w:p>
        </w:tc>
        <w:tc>
          <w:tcPr>
            <w:tcW w:type="dxa" w:w="1440"/>
            <w:shd w:fill="FFDCE0" w:val="clear"/>
          </w:tcPr>
          <w:p>
            <w:r>
              <w:rPr>
                <w:sz w:val="17"/>
              </w:rPr>
              <w:t>1,660</w:t>
            </w:r>
          </w:p>
        </w:tc>
        <w:tc>
          <w:tcPr>
            <w:tcW w:type="dxa" w:w="1440"/>
            <w:shd w:fill="FFDCE0" w:val="clear"/>
          </w:tcPr>
          <w:p>
            <w:r>
              <w:rPr>
                <w:b/>
                <w:color w:val="C00000"/>
                <w:sz w:val="17"/>
              </w:rPr>
              <w:t>-4.1%</w:t>
            </w:r>
          </w:p>
        </w:tc>
      </w:tr>
      <w:tr>
        <w:tc>
          <w:tcPr>
            <w:tcW w:type="dxa" w:w="1440"/>
            <w:shd w:fill="FFDCE0" w:val="clear"/>
          </w:tcPr>
          <w:p>
            <w:r>
              <w:rPr>
                <w:sz w:val="17"/>
              </w:rPr>
              <w:t>J+3  Moyenne</w:t>
            </w:r>
          </w:p>
        </w:tc>
        <w:tc>
          <w:tcPr>
            <w:tcW w:type="dxa" w:w="1440"/>
            <w:shd w:fill="FFDCE0" w:val="clear"/>
          </w:tcPr>
          <w:p>
            <w:r>
              <w:rPr>
                <w:sz w:val="17"/>
              </w:rPr>
              <w:t>2026-08-24</w:t>
            </w:r>
          </w:p>
        </w:tc>
        <w:tc>
          <w:tcPr>
            <w:tcW w:type="dxa" w:w="1440"/>
            <w:shd w:fill="FFDCE0" w:val="clear"/>
          </w:tcPr>
          <w:p>
            <w:r>
              <w:rPr>
                <w:sz w:val="17"/>
              </w:rPr>
              <w:t>1,424</w:t>
            </w:r>
          </w:p>
        </w:tc>
        <w:tc>
          <w:tcPr>
            <w:tcW w:type="dxa" w:w="1440"/>
            <w:shd w:fill="FFDCE0" w:val="clear"/>
          </w:tcPr>
          <w:p>
            <w:r>
              <w:rPr>
                <w:b/>
                <w:sz w:val="17"/>
              </w:rPr>
              <w:t>1,541</w:t>
            </w:r>
          </w:p>
        </w:tc>
        <w:tc>
          <w:tcPr>
            <w:tcW w:type="dxa" w:w="1440"/>
            <w:shd w:fill="FFDCE0" w:val="clear"/>
          </w:tcPr>
          <w:p>
            <w:r>
              <w:rPr>
                <w:sz w:val="17"/>
              </w:rPr>
              <w:t>1,658</w:t>
            </w:r>
          </w:p>
        </w:tc>
        <w:tc>
          <w:tcPr>
            <w:tcW w:type="dxa" w:w="1440"/>
            <w:shd w:fill="FFDCE0" w:val="clear"/>
          </w:tcPr>
          <w:p>
            <w:r>
              <w:rPr>
                <w:b/>
                <w:color w:val="C00000"/>
                <w:sz w:val="17"/>
              </w:rPr>
              <w:t>-5.5%</w:t>
            </w:r>
          </w:p>
        </w:tc>
      </w:tr>
      <w:tr>
        <w:tc>
          <w:tcPr>
            <w:tcW w:type="dxa" w:w="1440"/>
            <w:shd w:fill="FFDCE0" w:val="clear"/>
          </w:tcPr>
          <w:p>
            <w:r>
              <w:rPr>
                <w:sz w:val="17"/>
              </w:rPr>
              <w:t>J+4  ⭐</w:t>
            </w:r>
          </w:p>
        </w:tc>
        <w:tc>
          <w:tcPr>
            <w:tcW w:type="dxa" w:w="1440"/>
            <w:shd w:fill="FFDCE0" w:val="clear"/>
          </w:tcPr>
          <w:p>
            <w:r>
              <w:rPr>
                <w:sz w:val="17"/>
              </w:rPr>
              <w:t>2026-08-25</w:t>
            </w:r>
          </w:p>
        </w:tc>
        <w:tc>
          <w:tcPr>
            <w:tcW w:type="dxa" w:w="1440"/>
            <w:shd w:fill="FFDCE0" w:val="clear"/>
          </w:tcPr>
          <w:p>
            <w:r>
              <w:rPr>
                <w:sz w:val="17"/>
              </w:rPr>
              <w:t>1,385</w:t>
            </w:r>
          </w:p>
        </w:tc>
        <w:tc>
          <w:tcPr>
            <w:tcW w:type="dxa" w:w="1440"/>
            <w:shd w:fill="FFDCE0" w:val="clear"/>
          </w:tcPr>
          <w:p>
            <w:r>
              <w:rPr>
                <w:b/>
                <w:sz w:val="17"/>
              </w:rPr>
              <w:t>1,519</w:t>
            </w:r>
          </w:p>
        </w:tc>
        <w:tc>
          <w:tcPr>
            <w:tcW w:type="dxa" w:w="1440"/>
            <w:shd w:fill="FFDCE0" w:val="clear"/>
          </w:tcPr>
          <w:p>
            <w:r>
              <w:rPr>
                <w:sz w:val="17"/>
              </w:rPr>
              <w:t>1,652</w:t>
            </w:r>
          </w:p>
        </w:tc>
        <w:tc>
          <w:tcPr>
            <w:tcW w:type="dxa" w:w="1440"/>
            <w:shd w:fill="FFDCE0" w:val="clear"/>
          </w:tcPr>
          <w:p>
            <w:r>
              <w:rPr>
                <w:b/>
                <w:color w:val="C00000"/>
                <w:sz w:val="17"/>
              </w:rPr>
              <w:t>-6.8%</w:t>
            </w:r>
          </w:p>
        </w:tc>
      </w:tr>
      <w:tr>
        <w:tc>
          <w:tcPr>
            <w:tcW w:type="dxa" w:w="1440"/>
            <w:shd w:fill="FFDCE0" w:val="clear"/>
          </w:tcPr>
          <w:p>
            <w:r>
              <w:rPr>
                <w:sz w:val="17"/>
              </w:rPr>
              <w:t>J+5  ⭐</w:t>
            </w:r>
          </w:p>
        </w:tc>
        <w:tc>
          <w:tcPr>
            <w:tcW w:type="dxa" w:w="1440"/>
            <w:shd w:fill="FFDCE0" w:val="clear"/>
          </w:tcPr>
          <w:p>
            <w:r>
              <w:rPr>
                <w:sz w:val="17"/>
              </w:rPr>
              <w:t>2026-08-27</w:t>
            </w:r>
          </w:p>
        </w:tc>
        <w:tc>
          <w:tcPr>
            <w:tcW w:type="dxa" w:w="1440"/>
            <w:shd w:fill="FFDCE0" w:val="clear"/>
          </w:tcPr>
          <w:p>
            <w:r>
              <w:rPr>
                <w:sz w:val="17"/>
              </w:rPr>
              <w:t>1,350</w:t>
            </w:r>
          </w:p>
        </w:tc>
        <w:tc>
          <w:tcPr>
            <w:tcW w:type="dxa" w:w="1440"/>
            <w:shd w:fill="FFDCE0" w:val="clear"/>
          </w:tcPr>
          <w:p>
            <w:r>
              <w:rPr>
                <w:b/>
                <w:sz w:val="17"/>
              </w:rPr>
              <w:t>1,497</w:t>
            </w:r>
          </w:p>
        </w:tc>
        <w:tc>
          <w:tcPr>
            <w:tcW w:type="dxa" w:w="1440"/>
            <w:shd w:fill="FFDCE0" w:val="clear"/>
          </w:tcPr>
          <w:p>
            <w:r>
              <w:rPr>
                <w:sz w:val="17"/>
              </w:rPr>
              <w:t>1,644</w:t>
            </w:r>
          </w:p>
        </w:tc>
        <w:tc>
          <w:tcPr>
            <w:tcW w:type="dxa" w:w="1440"/>
            <w:shd w:fill="FFDCE0" w:val="clear"/>
          </w:tcPr>
          <w:p>
            <w:r>
              <w:rPr>
                <w:b/>
                <w:color w:val="C00000"/>
                <w:sz w:val="17"/>
              </w:rPr>
              <w:t>-8.1%</w:t>
            </w:r>
          </w:p>
        </w:tc>
      </w:tr>
      <w:tr>
        <w:tc>
          <w:tcPr>
            <w:tcW w:type="dxa" w:w="1440"/>
            <w:shd w:fill="FFDCE0" w:val="clear"/>
          </w:tcPr>
          <w:p>
            <w:r>
              <w:rPr>
                <w:sz w:val="17"/>
              </w:rPr>
              <w:t>J+6  ⭐</w:t>
            </w:r>
          </w:p>
        </w:tc>
        <w:tc>
          <w:tcPr>
            <w:tcW w:type="dxa" w:w="1440"/>
            <w:shd w:fill="FFDCE0" w:val="clear"/>
          </w:tcPr>
          <w:p>
            <w:r>
              <w:rPr>
                <w:sz w:val="17"/>
              </w:rPr>
              <w:t>2026-08-28</w:t>
            </w:r>
          </w:p>
        </w:tc>
        <w:tc>
          <w:tcPr>
            <w:tcW w:type="dxa" w:w="1440"/>
            <w:shd w:fill="FFDCE0" w:val="clear"/>
          </w:tcPr>
          <w:p>
            <w:r>
              <w:rPr>
                <w:sz w:val="17"/>
              </w:rPr>
              <w:t>1,317</w:t>
            </w:r>
          </w:p>
        </w:tc>
        <w:tc>
          <w:tcPr>
            <w:tcW w:type="dxa" w:w="1440"/>
            <w:shd w:fill="FFDCE0" w:val="clear"/>
          </w:tcPr>
          <w:p>
            <w:r>
              <w:rPr>
                <w:b/>
                <w:sz w:val="17"/>
              </w:rPr>
              <w:t>1,476</w:t>
            </w:r>
          </w:p>
        </w:tc>
        <w:tc>
          <w:tcPr>
            <w:tcW w:type="dxa" w:w="1440"/>
            <w:shd w:fill="FFDCE0" w:val="clear"/>
          </w:tcPr>
          <w:p>
            <w:r>
              <w:rPr>
                <w:sz w:val="17"/>
              </w:rPr>
              <w:t>1,635</w:t>
            </w:r>
          </w:p>
        </w:tc>
        <w:tc>
          <w:tcPr>
            <w:tcW w:type="dxa" w:w="1440"/>
            <w:shd w:fill="FFDCE0" w:val="clear"/>
          </w:tcPr>
          <w:p>
            <w:r>
              <w:rPr>
                <w:b/>
                <w:color w:val="C00000"/>
                <w:sz w:val="17"/>
              </w:rPr>
              <w:t>-9.4%</w:t>
            </w:r>
          </w:p>
        </w:tc>
      </w:tr>
      <w:tr>
        <w:tc>
          <w:tcPr>
            <w:tcW w:type="dxa" w:w="1440"/>
            <w:shd w:fill="FFDCE0" w:val="clear"/>
          </w:tcPr>
          <w:p>
            <w:r>
              <w:rPr>
                <w:sz w:val="17"/>
              </w:rPr>
              <w:t>J+7  ⭐</w:t>
            </w:r>
          </w:p>
        </w:tc>
        <w:tc>
          <w:tcPr>
            <w:tcW w:type="dxa" w:w="1440"/>
            <w:shd w:fill="FFDCE0" w:val="clear"/>
          </w:tcPr>
          <w:p>
            <w:r>
              <w:rPr>
                <w:sz w:val="17"/>
              </w:rPr>
              <w:t>2026-08-31</w:t>
            </w:r>
          </w:p>
        </w:tc>
        <w:tc>
          <w:tcPr>
            <w:tcW w:type="dxa" w:w="1440"/>
            <w:shd w:fill="FFDCE0" w:val="clear"/>
          </w:tcPr>
          <w:p>
            <w:r>
              <w:rPr>
                <w:sz w:val="17"/>
              </w:rPr>
              <w:t>1,286</w:t>
            </w:r>
          </w:p>
        </w:tc>
        <w:tc>
          <w:tcPr>
            <w:tcW w:type="dxa" w:w="1440"/>
            <w:shd w:fill="FFDCE0" w:val="clear"/>
          </w:tcPr>
          <w:p>
            <w:r>
              <w:rPr>
                <w:b/>
                <w:sz w:val="17"/>
              </w:rPr>
              <w:t>1,455</w:t>
            </w:r>
          </w:p>
        </w:tc>
        <w:tc>
          <w:tcPr>
            <w:tcW w:type="dxa" w:w="1440"/>
            <w:shd w:fill="FFDCE0" w:val="clear"/>
          </w:tcPr>
          <w:p>
            <w:r>
              <w:rPr>
                <w:sz w:val="17"/>
              </w:rPr>
              <w:t>1,625</w:t>
            </w:r>
          </w:p>
        </w:tc>
        <w:tc>
          <w:tcPr>
            <w:tcW w:type="dxa" w:w="1440"/>
            <w:shd w:fill="FFDCE0" w:val="clear"/>
          </w:tcPr>
          <w:p>
            <w:r>
              <w:rPr>
                <w:b/>
                <w:color w:val="C00000"/>
                <w:sz w:val="17"/>
              </w:rPr>
              <w:t>-10.7%</w:t>
            </w:r>
          </w:p>
        </w:tc>
      </w:tr>
      <w:tr>
        <w:tc>
          <w:tcPr>
            <w:tcW w:type="dxa" w:w="1440"/>
            <w:shd w:fill="FFDCE0" w:val="clear"/>
          </w:tcPr>
          <w:p>
            <w:r>
              <w:rPr>
                <w:sz w:val="17"/>
              </w:rPr>
              <w:t>J+8  ⭐</w:t>
            </w:r>
          </w:p>
        </w:tc>
        <w:tc>
          <w:tcPr>
            <w:tcW w:type="dxa" w:w="1440"/>
            <w:shd w:fill="FFDCE0" w:val="clear"/>
          </w:tcPr>
          <w:p>
            <w:r>
              <w:rPr>
                <w:sz w:val="17"/>
              </w:rPr>
              <w:t>2026-09-01</w:t>
            </w:r>
          </w:p>
        </w:tc>
        <w:tc>
          <w:tcPr>
            <w:tcW w:type="dxa" w:w="1440"/>
            <w:shd w:fill="FFDCE0" w:val="clear"/>
          </w:tcPr>
          <w:p>
            <w:r>
              <w:rPr>
                <w:sz w:val="17"/>
              </w:rPr>
              <w:t>1,257</w:t>
            </w:r>
          </w:p>
        </w:tc>
        <w:tc>
          <w:tcPr>
            <w:tcW w:type="dxa" w:w="1440"/>
            <w:shd w:fill="FFDCE0" w:val="clear"/>
          </w:tcPr>
          <w:p>
            <w:r>
              <w:rPr>
                <w:b/>
                <w:sz w:val="17"/>
              </w:rPr>
              <w:t>1,435</w:t>
            </w:r>
          </w:p>
        </w:tc>
        <w:tc>
          <w:tcPr>
            <w:tcW w:type="dxa" w:w="1440"/>
            <w:shd w:fill="FFDCE0" w:val="clear"/>
          </w:tcPr>
          <w:p>
            <w:r>
              <w:rPr>
                <w:sz w:val="17"/>
              </w:rPr>
              <w:t>1,614</w:t>
            </w:r>
          </w:p>
        </w:tc>
        <w:tc>
          <w:tcPr>
            <w:tcW w:type="dxa" w:w="1440"/>
            <w:shd w:fill="FFDCE0" w:val="clear"/>
          </w:tcPr>
          <w:p>
            <w:r>
              <w:rPr>
                <w:b/>
                <w:color w:val="C00000"/>
                <w:sz w:val="17"/>
              </w:rPr>
              <w:t>-11.9%</w:t>
            </w:r>
          </w:p>
        </w:tc>
      </w:tr>
      <w:tr>
        <w:tc>
          <w:tcPr>
            <w:tcW w:type="dxa" w:w="1440"/>
            <w:shd w:fill="FFDCE0" w:val="clear"/>
          </w:tcPr>
          <w:p>
            <w:r>
              <w:rPr>
                <w:sz w:val="17"/>
              </w:rPr>
              <w:t>J+9  ⭐</w:t>
            </w:r>
          </w:p>
        </w:tc>
        <w:tc>
          <w:tcPr>
            <w:tcW w:type="dxa" w:w="1440"/>
            <w:shd w:fill="FFDCE0" w:val="clear"/>
          </w:tcPr>
          <w:p>
            <w:r>
              <w:rPr>
                <w:sz w:val="17"/>
              </w:rPr>
              <w:t>2026-09-02</w:t>
            </w:r>
          </w:p>
        </w:tc>
        <w:tc>
          <w:tcPr>
            <w:tcW w:type="dxa" w:w="1440"/>
            <w:shd w:fill="FFDCE0" w:val="clear"/>
          </w:tcPr>
          <w:p>
            <w:r>
              <w:rPr>
                <w:sz w:val="17"/>
              </w:rPr>
              <w:t>1,229</w:t>
            </w:r>
          </w:p>
        </w:tc>
        <w:tc>
          <w:tcPr>
            <w:tcW w:type="dxa" w:w="1440"/>
            <w:shd w:fill="FFDCE0" w:val="clear"/>
          </w:tcPr>
          <w:p>
            <w:r>
              <w:rPr>
                <w:b/>
                <w:sz w:val="17"/>
              </w:rPr>
              <w:t>1,416</w:t>
            </w:r>
          </w:p>
        </w:tc>
        <w:tc>
          <w:tcPr>
            <w:tcW w:type="dxa" w:w="1440"/>
            <w:shd w:fill="FFDCE0" w:val="clear"/>
          </w:tcPr>
          <w:p>
            <w:r>
              <w:rPr>
                <w:sz w:val="17"/>
              </w:rPr>
              <w:t>1,602</w:t>
            </w:r>
          </w:p>
        </w:tc>
        <w:tc>
          <w:tcPr>
            <w:tcW w:type="dxa" w:w="1440"/>
            <w:shd w:fill="FFDCE0" w:val="clear"/>
          </w:tcPr>
          <w:p>
            <w:r>
              <w:rPr>
                <w:b/>
                <w:color w:val="C00000"/>
                <w:sz w:val="17"/>
              </w:rPr>
              <w:t>-13.2%</w:t>
            </w:r>
          </w:p>
        </w:tc>
      </w:tr>
      <w:tr>
        <w:tc>
          <w:tcPr>
            <w:tcW w:type="dxa" w:w="1440"/>
            <w:shd w:fill="FFDCE0" w:val="clear"/>
          </w:tcPr>
          <w:p>
            <w:r>
              <w:rPr>
                <w:sz w:val="17"/>
              </w:rPr>
              <w:t>J+10  ⭐</w:t>
            </w:r>
          </w:p>
        </w:tc>
        <w:tc>
          <w:tcPr>
            <w:tcW w:type="dxa" w:w="1440"/>
            <w:shd w:fill="FFDCE0" w:val="clear"/>
          </w:tcPr>
          <w:p>
            <w:r>
              <w:rPr>
                <w:sz w:val="17"/>
              </w:rPr>
              <w:t>2026-09-03</w:t>
            </w:r>
          </w:p>
        </w:tc>
        <w:tc>
          <w:tcPr>
            <w:tcW w:type="dxa" w:w="1440"/>
            <w:shd w:fill="FFDCE0" w:val="clear"/>
          </w:tcPr>
          <w:p>
            <w:r>
              <w:rPr>
                <w:sz w:val="17"/>
              </w:rPr>
              <w:t>1,202</w:t>
            </w:r>
          </w:p>
        </w:tc>
        <w:tc>
          <w:tcPr>
            <w:tcW w:type="dxa" w:w="1440"/>
            <w:shd w:fill="FFDCE0" w:val="clear"/>
          </w:tcPr>
          <w:p>
            <w:r>
              <w:rPr>
                <w:b/>
                <w:sz w:val="17"/>
              </w:rPr>
              <w:t>1,396</w:t>
            </w:r>
          </w:p>
        </w:tc>
        <w:tc>
          <w:tcPr>
            <w:tcW w:type="dxa" w:w="1440"/>
            <w:shd w:fill="FFDCE0" w:val="clear"/>
          </w:tcPr>
          <w:p>
            <w:r>
              <w:rPr>
                <w:sz w:val="17"/>
              </w:rPr>
              <w:t>1,590</w:t>
            </w:r>
          </w:p>
        </w:tc>
        <w:tc>
          <w:tcPr>
            <w:tcW w:type="dxa" w:w="1440"/>
            <w:shd w:fill="FFDCE0" w:val="clear"/>
          </w:tcPr>
          <w:p>
            <w:r>
              <w:rPr>
                <w:b/>
                <w:color w:val="C00000"/>
                <w:sz w:val="17"/>
              </w:rPr>
              <w:t>-14.3%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CFAC s'établit à 295,64 milliards FCFA, ce qui positionne la société parmi les valeurs moyennes à grandes capitalisations de la BRVM, reflétant sa position de leader sur le marché automobile ivoirien. Avec un BPA de 26 FCFA, le titre affiche un PER de 63,0x, un niveau extrêmement élevé comparé à la moyenne historique de la BRVM (8-12x), indiquant que les investisseurs paient une prime considérable pour chaque franc de bénéfice. Le P/B de 15,20x confirme cette surévaluation, le marché valorisant l'action plus de 15 fois sa valeur comptable, un niveau bien au-delà du seuil exigeant de 4x. L'EV/EBITDA de 32,1x, également très supérieur au seuil de 15x, souligne que la valeur totale de l'entreprise (dette incluse) est très chère par rapport à sa capacité opérationnelle. Ces ratios traduisent une valorisation très exigeante qui laisse peu de marge d'erreur à la société.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CFAC est resté parfaitement stable avec une variation totale de +0,00%, tandis que la dernière séance a enregistré une hausse de +1,88% à 1 630 FCFA. Le titre a évolué dans une fourchette de 500 FCFA, entre un plus bas de 1 325 FCFA et un plus haut de 1 825 FCFA, démontrant une amplitude de trading significative d'environ 38%. La moyenne (1 602 FCFA) et la médiane (1 602 FCFA) étant identiques, la distribution des prix est parfaitement symétrique, confirmée par un skewness de -0,373. L'écart-type de 99 FCFA avec un coefficient de variation de 6,2% indique une dispersion modérée des prix autour de la moyenne. Le kurtosis de 0,114 (mésokurtique) suggère une distribution proche de la normale, sans risque de pics extrêmes. La volatilité annualisée de 48,3% est toutefois élevée (&gt;30%), signalant un titre agité malgré une apparence de stabilité sur la période.</w:t>
      </w:r>
    </w:p>
    <w:p>
      <w:pPr>
        <w:spacing w:after="120" w:line="276" w:lineRule="auto" w:before="240"/>
      </w:pPr>
      <w:r>
        <w:rPr>
          <w:b/>
          <w:color w:val="003366"/>
          <w:sz w:val="24"/>
        </w:rPr>
        <w:t>**PARTIE 2 : ANALYSE TECHNIQUE DÉTAILLÉE**</w:t>
      </w:r>
    </w:p>
    <w:p>
      <w:pPr>
        <w:spacing w:after="120" w:line="276" w:lineRule="auto"/>
      </w:pPr>
      <w:r>
        <w:t>Les Moyennes Mobiles (MM20 à 1 665 FCFA et MM50 à 1 663,3 FCFA) sont toutes deux supérieures au cours actuel de 1 630 FCFA, ce qui indique que le prix évolue sous ses moyennes historiques. Le signal d'Achat généré par cet indicateur semble toutefois prématuré, car le cours devra franchir ces niveaux pour confirmer une tendance haussière. L'écart très faible entre MM20 et MM50 (moins de 2 FCFA) traduit une absence de tendance directionnelle claire.</w:t>
      </w:r>
    </w:p>
    <w:p>
      <w:pPr>
        <w:spacing w:after="120" w:line="276" w:lineRule="auto"/>
      </w:pPr>
      <w:r>
        <w:t>Les Bandes de Bollinger, avec une borne supérieure à 1 730,9 FCFA et une borne inférieure à 1 599,1 FCFA, encadrent le cours actuel de 1 630 FCFA dans la partie médiane de leur fourchette. Cette position neutre suggère une volatilité modérée sans pression directionnelle particulière. L'écart de 131,7 FCFA entre les bornes reflète une volatilité contenue sur la période récente.</w:t>
      </w:r>
    </w:p>
    <w:p>
      <w:pPr>
        <w:spacing w:after="120" w:line="276" w:lineRule="auto"/>
      </w:pPr>
      <w:r>
        <w:t>Le MACD affiche une valeur négative de -2,527 contre un signal positif de 4,776, créant une divergence baissière nette. Cette configuration indique un momentum négatif, le MACD étant passé sous sa ligne de signal, ce qui justifie la décision de Vente. La persistance de cet écart négatif suggère que la pression vendeuse pourrait se maintenir à court terme.</w:t>
      </w:r>
    </w:p>
    <w:p>
      <w:pPr>
        <w:spacing w:after="120" w:line="276" w:lineRule="auto"/>
      </w:pPr>
      <w:r>
        <w:t>Le RSI à 52,778 se situe en zone neutre (entre 30 et 70), indiquant un équilibre entre pressions acheteuses et vendeuses. Cette valeur ne montre ni surachat ni survente, laissant place à une évolution directionnelle dans les deux sens. Le RSI n'apporte donc pas de signal clair pour l'instant.</w:t>
      </w:r>
    </w:p>
    <w:p>
      <w:pPr>
        <w:spacing w:after="120" w:line="276" w:lineRule="auto"/>
      </w:pPr>
      <w:r>
        <w:t>Le Stochastique avec %K à 30,0 et %D à 31,667 montre des valeurs proches de la zone de survente (&lt;30), suggérant un potentiel de rebond technique. Le croisement des deux lignes n'est pas encore net, mais la proximité de la zone de survente pourrait attirer des acheteurs opportunistes.</w:t>
      </w:r>
    </w:p>
    <w:p>
      <w:pPr>
        <w:spacing w:after="120" w:line="276" w:lineRule="auto"/>
      </w:pPr>
      <w:r>
        <w:t>La conclusion technique est mitigée : les indicateurs sont partagés entre un signal d'achat (MM), des signaux neutres (Bollinger, RSI, Stochastique) et un signal de vente (MACD). Cette divergence reflète l'absence de tendance claire, avec un marché hésitant qui pourrait évoluer dans une fourchette comprise entre 1 600 et 1 730 FCFA avant de choisir une direction.</w:t>
      </w:r>
    </w:p>
    <w:p>
      <w:pPr>
        <w:spacing w:after="120" w:line="276" w:lineRule="auto" w:before="240"/>
      </w:pPr>
      <w:r>
        <w:rPr>
          <w:b/>
          <w:color w:val="003366"/>
          <w:sz w:val="24"/>
        </w:rPr>
        <w:t>**PARTIE 3 : ANALYSE FONDAMENTALE (SECTION CRITIQUE)**</w:t>
      </w:r>
    </w:p>
    <w:p>
      <w:pPr>
        <w:spacing w:after="120" w:line="276" w:lineRule="auto"/>
      </w:pPr>
      <w:r>
        <w:t>En 2024, CFAC (CFAO Motors Côte d'Ivoire) a réalisé un chiffre d'affaires de 158,313 milliards FCFA, en baisse de -12,1% par rapport à 2023 (180,162 milliards FCFA), avec un résultat net de 4,693 milliards FCFA, en recul de -26,7%. La marge nette s'établit à 2,96% et la marge opérationnelle à 4,96%, tandis que le ROE atteint un excellent niveau de 24,13% et le ROA de 5,52%. Le BFR négatif de -3,482 milliards FCFA est favorable, indiquant que l'entreprise finance son cycle d'exploitation par ses fournisseurs (délai fournisseurs de 81,75 jours contre 36,64 jours pour les clients). La durée de stockage de 88,35 jours reflète une immobilisation importante de capital. Le ratio d'endettement de 23,07% et la capacité de remboursement de 0,72 an témoignent d'une structure financière saine. Selon le rapport annuel 2024 (daté de décembre 2025), la baisse d'activité s'explique par une diminution des ventes de véhicules (-5,5% en volume) et une réglementation plus stricte sur les petits véhicules de transport. Cependant, les rapports trimestriels 2025 montrent un redressement spectaculaire : le T1 2025 affiche un CA de 46,161 milliards FCFA (+14,5%) avec un résultat net de 3,836 milliards FCFA (+279,7%), et le S1 2025 atteint 91,182 milliards FCFA (+18,4%) avec un résultat net de 5,420 milliards FCFA (+152,7%). Le T3 2025 confirme cette dynamique avec un CA de 43,580 milliards FCFA (+18,3%) et un résultat net de 1,489 milliard FCFA (+38,1%). Sur la base de ces rapports trimestriels 2025, on estime que l'exercice 2025 devrait dépasser largement les performances de 2024, avec un CA projeté autour de 180-185 milliards FCFA et un résultat net estimé entre 8 et 9 milliards FCFA, soit un quasi-doublement du bénéfice net.</w:t>
      </w:r>
    </w:p>
    <w:p>
      <w:pPr>
        <w:spacing w:after="120" w:line="276" w:lineRule="auto" w:before="240"/>
      </w:pPr>
      <w:r>
        <w:rPr>
          <w:b/>
          <w:color w:val="003366"/>
          <w:sz w:val="24"/>
        </w:rPr>
        <w:t>**PARTIE 4 : CONCLUSION D'INVESTISSEMENT**</w:t>
      </w:r>
    </w:p>
    <w:p>
      <w:pPr>
        <w:spacing w:after="120" w:line="276" w:lineRule="auto"/>
      </w:pPr>
      <w:r>
        <w:t>La synthèse globale révèle des signaux contrastés pour CFAC. La valorisation (Partie 0) est extrêmement exigeante avec un PER de 63x, un P/B de 15,2x et un EV/EBITDA de 32,1x, indiquant une forte surévaluation par rapport aux fondamentaux actuels. Le comportement du cours (Partie 1) montre une stabilité apparente mais une volatilité annualisée élevée de 48,3%, avec une distribution symétrique sans risque de pics extrêmes. Les signaux techniques (Partie 2) sont mitigés, oscillant entre achat (MM), neutre (Bollinger, RSI, Stochastique) et vente (MACD), reflétant une absence de tendance claire. Les fondamentaux (Partie 3) sont solides avec un ROE de 24,13%, mais les estimations 2025 basées sur les rapports trimestriels suggèrent un quasi-doublement du résultat net, ce qui pourrait justifier partiellement la valorisation actuelle si la tendance se confirme. Les prédictions IA (J+1 à J+10) anticipent une baisse progressive du cours de 1 584 à 1 497 FCFA, contredisant les signaux fondamentaux positifs. La recommandation finale est **CONSERVER** avec un niveau de confiance Moyen et un risque global Élevé. La convergence entre la surévaluation boursière et les prédictions baissières à court terme suggère d'attendre un point d'entrée plus favorable, idéalement sous 1 500 FCFA, pour capitaliser sur le redressement fondamental attendu en 2025. L'horizon d'investissement optimal serait moyen terme (3-12 mois), après digestion de la correction technique anticipée.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382.76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5,822 titres</w:t>
            </w:r>
          </w:p>
        </w:tc>
        <w:tc>
          <w:tcPr>
            <w:tcW w:type="dxa" w:w="2268"/>
            <w:shd w:fill="FFF2CC" w:val="clear"/>
          </w:tcPr>
          <w:p>
            <w:r>
              <w:rPr>
                <w:b/>
                <w:color w:val="503200"/>
                <w:sz w:val="16"/>
              </w:rPr>
              <w:t xml:space="preserve">Cours actuel : </w:t>
            </w:r>
            <w:r>
              <w:rPr>
                <w:color w:val="000000"/>
                <w:sz w:val="17"/>
              </w:rPr>
              <w:t>6,835 FCFA</w:t>
            </w:r>
          </w:p>
          <w:p>
            <w:r>
              <w:rPr>
                <w:b/>
                <w:color w:val="503200"/>
                <w:sz w:val="16"/>
              </w:rPr>
              <w:t xml:space="preserve">Var. 100 jours : </w:t>
            </w:r>
            <w:r>
              <w:rPr>
                <w:b/>
                <w:color w:val="007800"/>
                <w:sz w:val="17"/>
              </w:rPr>
              <w:t>+113.59%</w:t>
            </w:r>
          </w:p>
          <w:p>
            <w:r>
              <w:rPr>
                <w:b/>
                <w:color w:val="503200"/>
                <w:sz w:val="16"/>
              </w:rPr>
              <w:t xml:space="preserve">Plus haut 100j : </w:t>
            </w:r>
            <w:r>
              <w:rPr>
                <w:color w:val="000000"/>
                <w:sz w:val="17"/>
              </w:rPr>
              <w:t>6,835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31.6/100 → Moyen</w:t>
      </w:r>
    </w:p>
    <w:p>
      <w:pPr>
        <w:spacing w:before="40" w:after="80"/>
      </w:pPr>
      <w:r>
        <w:rPr>
          <w:rFonts w:ascii="Courier New" w:hAnsi="Courier New"/>
          <w:color w:val="825A00"/>
          <w:sz w:val="18"/>
        </w:rPr>
        <w:t>██████░░░░░░░░░░░░░░  31.6/100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22.46% (Élevée) — μ=4,390 FCFA, σ=986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β=1.0739 (Neutre (suit le marché)) — Cov=0.000033, Var(idx)=0.000030, ρ=0.202,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5,822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σ_j=3.06%/j (Modérée) — Vol. annualisée≈48.6%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2026-08-20</w:t>
            </w:r>
          </w:p>
        </w:tc>
        <w:tc>
          <w:tcPr>
            <w:tcW w:type="dxa" w:w="1440"/>
            <w:shd w:fill="FFDCE0" w:val="clear"/>
          </w:tcPr>
          <w:p>
            <w:r>
              <w:rPr>
                <w:sz w:val="17"/>
              </w:rPr>
              <w:t>5,972</w:t>
            </w:r>
          </w:p>
        </w:tc>
        <w:tc>
          <w:tcPr>
            <w:tcW w:type="dxa" w:w="1440"/>
            <w:shd w:fill="FFDCE0" w:val="clear"/>
          </w:tcPr>
          <w:p>
            <w:r>
              <w:rPr>
                <w:b/>
                <w:sz w:val="17"/>
              </w:rPr>
              <w:t>6,322</w:t>
            </w:r>
          </w:p>
        </w:tc>
        <w:tc>
          <w:tcPr>
            <w:tcW w:type="dxa" w:w="1440"/>
            <w:shd w:fill="FFDCE0" w:val="clear"/>
          </w:tcPr>
          <w:p>
            <w:r>
              <w:rPr>
                <w:sz w:val="17"/>
              </w:rPr>
              <w:t>6,672</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2026-08-21</w:t>
            </w:r>
          </w:p>
        </w:tc>
        <w:tc>
          <w:tcPr>
            <w:tcW w:type="dxa" w:w="1440"/>
            <w:shd w:fill="FFDCE0" w:val="clear"/>
          </w:tcPr>
          <w:p>
            <w:r>
              <w:rPr>
                <w:sz w:val="17"/>
              </w:rPr>
              <w:t>5,390</w:t>
            </w:r>
          </w:p>
        </w:tc>
        <w:tc>
          <w:tcPr>
            <w:tcW w:type="dxa" w:w="1440"/>
            <w:shd w:fill="FFDCE0" w:val="clear"/>
          </w:tcPr>
          <w:p>
            <w:r>
              <w:rPr>
                <w:b/>
                <w:sz w:val="17"/>
              </w:rPr>
              <w:t>5,848</w:t>
            </w:r>
          </w:p>
        </w:tc>
        <w:tc>
          <w:tcPr>
            <w:tcW w:type="dxa" w:w="1440"/>
            <w:shd w:fill="FFDCE0" w:val="clear"/>
          </w:tcPr>
          <w:p>
            <w:r>
              <w:rPr>
                <w:sz w:val="17"/>
              </w:rPr>
              <w:t>6,306</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2026-08-24</w:t>
            </w:r>
          </w:p>
        </w:tc>
        <w:tc>
          <w:tcPr>
            <w:tcW w:type="dxa" w:w="1440"/>
            <w:shd w:fill="FFDCE0" w:val="clear"/>
          </w:tcPr>
          <w:p>
            <w:r>
              <w:rPr>
                <w:sz w:val="17"/>
              </w:rPr>
              <w:t>4,891</w:t>
            </w:r>
          </w:p>
        </w:tc>
        <w:tc>
          <w:tcPr>
            <w:tcW w:type="dxa" w:w="1440"/>
            <w:shd w:fill="FFDCE0" w:val="clear"/>
          </w:tcPr>
          <w:p>
            <w:r>
              <w:rPr>
                <w:b/>
                <w:sz w:val="17"/>
              </w:rPr>
              <w:t>5,410</w:t>
            </w:r>
          </w:p>
        </w:tc>
        <w:tc>
          <w:tcPr>
            <w:tcW w:type="dxa" w:w="1440"/>
            <w:shd w:fill="FFDCE0" w:val="clear"/>
          </w:tcPr>
          <w:p>
            <w:r>
              <w:rPr>
                <w:sz w:val="17"/>
              </w:rPr>
              <w:t>5,928</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2026-08-25</w:t>
            </w:r>
          </w:p>
        </w:tc>
        <w:tc>
          <w:tcPr>
            <w:tcW w:type="dxa" w:w="1440"/>
            <w:shd w:fill="FFDCE0" w:val="clear"/>
          </w:tcPr>
          <w:p>
            <w:r>
              <w:rPr>
                <w:sz w:val="17"/>
              </w:rPr>
              <w:t>4,450</w:t>
            </w:r>
          </w:p>
        </w:tc>
        <w:tc>
          <w:tcPr>
            <w:tcW w:type="dxa" w:w="1440"/>
            <w:shd w:fill="FFDCE0" w:val="clear"/>
          </w:tcPr>
          <w:p>
            <w:r>
              <w:rPr>
                <w:b/>
                <w:sz w:val="17"/>
              </w:rPr>
              <w:t>5,004</w:t>
            </w:r>
          </w:p>
        </w:tc>
        <w:tc>
          <w:tcPr>
            <w:tcW w:type="dxa" w:w="1440"/>
            <w:shd w:fill="FFDCE0" w:val="clear"/>
          </w:tcPr>
          <w:p>
            <w:r>
              <w:rPr>
                <w:sz w:val="17"/>
              </w:rPr>
              <w:t>5,558</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2026-08-27</w:t>
            </w:r>
          </w:p>
        </w:tc>
        <w:tc>
          <w:tcPr>
            <w:tcW w:type="dxa" w:w="1440"/>
            <w:shd w:fill="FFDCE0" w:val="clear"/>
          </w:tcPr>
          <w:p>
            <w:r>
              <w:rPr>
                <w:sz w:val="17"/>
              </w:rPr>
              <w:t>4,056</w:t>
            </w:r>
          </w:p>
        </w:tc>
        <w:tc>
          <w:tcPr>
            <w:tcW w:type="dxa" w:w="1440"/>
            <w:shd w:fill="FFDCE0" w:val="clear"/>
          </w:tcPr>
          <w:p>
            <w:r>
              <w:rPr>
                <w:b/>
                <w:sz w:val="17"/>
              </w:rPr>
              <w:t>4,629</w:t>
            </w:r>
          </w:p>
        </w:tc>
        <w:tc>
          <w:tcPr>
            <w:tcW w:type="dxa" w:w="1440"/>
            <w:shd w:fill="FFDCE0" w:val="clear"/>
          </w:tcPr>
          <w:p>
            <w:r>
              <w:rPr>
                <w:sz w:val="17"/>
              </w:rPr>
              <w:t>5,202</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2026-08-28</w:t>
            </w:r>
          </w:p>
        </w:tc>
        <w:tc>
          <w:tcPr>
            <w:tcW w:type="dxa" w:w="1440"/>
            <w:shd w:fill="FFDCE0" w:val="clear"/>
          </w:tcPr>
          <w:p>
            <w:r>
              <w:rPr>
                <w:sz w:val="17"/>
              </w:rPr>
              <w:t>3,701</w:t>
            </w:r>
          </w:p>
        </w:tc>
        <w:tc>
          <w:tcPr>
            <w:tcW w:type="dxa" w:w="1440"/>
            <w:shd w:fill="FFDCE0" w:val="clear"/>
          </w:tcPr>
          <w:p>
            <w:r>
              <w:rPr>
                <w:b/>
                <w:sz w:val="17"/>
              </w:rPr>
              <w:t>4,281</w:t>
            </w:r>
          </w:p>
        </w:tc>
        <w:tc>
          <w:tcPr>
            <w:tcW w:type="dxa" w:w="1440"/>
            <w:shd w:fill="FFDCE0" w:val="clear"/>
          </w:tcPr>
          <w:p>
            <w:r>
              <w:rPr>
                <w:sz w:val="17"/>
              </w:rPr>
              <w:t>4,862</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2026-08-31</w:t>
            </w:r>
          </w:p>
        </w:tc>
        <w:tc>
          <w:tcPr>
            <w:tcW w:type="dxa" w:w="1440"/>
            <w:shd w:fill="FFDCE0" w:val="clear"/>
          </w:tcPr>
          <w:p>
            <w:r>
              <w:rPr>
                <w:sz w:val="17"/>
              </w:rPr>
              <w:t>3,380</w:t>
            </w:r>
          </w:p>
        </w:tc>
        <w:tc>
          <w:tcPr>
            <w:tcW w:type="dxa" w:w="1440"/>
            <w:shd w:fill="FFDCE0" w:val="clear"/>
          </w:tcPr>
          <w:p>
            <w:r>
              <w:rPr>
                <w:b/>
                <w:sz w:val="17"/>
              </w:rPr>
              <w:t>3,960</w:t>
            </w:r>
          </w:p>
        </w:tc>
        <w:tc>
          <w:tcPr>
            <w:tcW w:type="dxa" w:w="1440"/>
            <w:shd w:fill="FFDCE0" w:val="clear"/>
          </w:tcPr>
          <w:p>
            <w:r>
              <w:rPr>
                <w:sz w:val="17"/>
              </w:rPr>
              <w:t>4,540</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2026-09-01</w:t>
            </w:r>
          </w:p>
        </w:tc>
        <w:tc>
          <w:tcPr>
            <w:tcW w:type="dxa" w:w="1440"/>
            <w:shd w:fill="FFDCE0" w:val="clear"/>
          </w:tcPr>
          <w:p>
            <w:r>
              <w:rPr>
                <w:sz w:val="17"/>
              </w:rPr>
              <w:t>3,090</w:t>
            </w:r>
          </w:p>
        </w:tc>
        <w:tc>
          <w:tcPr>
            <w:tcW w:type="dxa" w:w="1440"/>
            <w:shd w:fill="FFDCE0" w:val="clear"/>
          </w:tcPr>
          <w:p>
            <w:r>
              <w:rPr>
                <w:b/>
                <w:sz w:val="17"/>
              </w:rPr>
              <w:t>3,663</w:t>
            </w:r>
          </w:p>
        </w:tc>
        <w:tc>
          <w:tcPr>
            <w:tcW w:type="dxa" w:w="1440"/>
            <w:shd w:fill="FFDCE0" w:val="clear"/>
          </w:tcPr>
          <w:p>
            <w:r>
              <w:rPr>
                <w:sz w:val="17"/>
              </w:rPr>
              <w:t>4,237</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2026-09-02</w:t>
            </w:r>
          </w:p>
        </w:tc>
        <w:tc>
          <w:tcPr>
            <w:tcW w:type="dxa" w:w="1440"/>
            <w:shd w:fill="FFDCE0" w:val="clear"/>
          </w:tcPr>
          <w:p>
            <w:r>
              <w:rPr>
                <w:sz w:val="17"/>
              </w:rPr>
              <w:t>2,826</w:t>
            </w:r>
          </w:p>
        </w:tc>
        <w:tc>
          <w:tcPr>
            <w:tcW w:type="dxa" w:w="1440"/>
            <w:shd w:fill="FFDCE0" w:val="clear"/>
          </w:tcPr>
          <w:p>
            <w:r>
              <w:rPr>
                <w:b/>
                <w:sz w:val="17"/>
              </w:rPr>
              <w:t>3,389</w:t>
            </w:r>
          </w:p>
        </w:tc>
        <w:tc>
          <w:tcPr>
            <w:tcW w:type="dxa" w:w="1440"/>
            <w:shd w:fill="FFDCE0" w:val="clear"/>
          </w:tcPr>
          <w:p>
            <w:r>
              <w:rPr>
                <w:sz w:val="17"/>
              </w:rPr>
              <w:t>3,951</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2026-09-03</w:t>
            </w:r>
          </w:p>
        </w:tc>
        <w:tc>
          <w:tcPr>
            <w:tcW w:type="dxa" w:w="1440"/>
            <w:shd w:fill="FFDCE0" w:val="clear"/>
          </w:tcPr>
          <w:p>
            <w:r>
              <w:rPr>
                <w:sz w:val="17"/>
              </w:rPr>
              <w:t>2,686</w:t>
            </w:r>
          </w:p>
        </w:tc>
        <w:tc>
          <w:tcPr>
            <w:tcW w:type="dxa" w:w="1440"/>
            <w:shd w:fill="FFDCE0" w:val="clear"/>
          </w:tcPr>
          <w:p>
            <w:r>
              <w:rPr>
                <w:b/>
                <w:sz w:val="17"/>
              </w:rPr>
              <w:t>3,256</w:t>
            </w:r>
          </w:p>
        </w:tc>
        <w:tc>
          <w:tcPr>
            <w:tcW w:type="dxa" w:w="1440"/>
            <w:shd w:fill="FFDCE0" w:val="clear"/>
          </w:tcPr>
          <w:p>
            <w:r>
              <w:rPr>
                <w:sz w:val="17"/>
              </w:rPr>
              <w:t>3,826</w:t>
            </w:r>
          </w:p>
        </w:tc>
        <w:tc>
          <w:tcPr>
            <w:tcW w:type="dxa" w:w="1440"/>
            <w:shd w:fill="FFDCE0" w:val="clear"/>
          </w:tcPr>
          <w:p>
            <w:r>
              <w:rPr>
                <w:b/>
                <w:color w:val="C00000"/>
                <w:sz w:val="17"/>
              </w:rPr>
              <w:t>-52.4%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(Compagnie Ivoirienne d'Électricité)**</w:t>
        <w:br/>
        <w:t>**Date : 19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CIEC s'établit à 382,76 milliards FCFA, un niveau significatif qui positionne la société parmi les poids lourds de la BRVM, reflétant son statut de quasi-monopole dans le secteur électrique ivoirien. Avec un BPA de 234 FCFA, le PER de 29,2x est nettement supérieur à la moyenne historique de la BRVM (8-12x), indiquant que les investisseurs paient une prime substantielle pour la croissance attendue et la stabilité réglementaire du titre. Le P/B de 10,64x confirme cette valorisation exigeante, le marché valorisant le titre plus de dix fois sa valeur comptable, ce qui traduit des attentes élevées de création de valeur future. Enfin, l'EV/EBITDA de 15,4x, bien que supérieur au seuil de 15x considéré comme exigeant, reste cohérent avec la nature défensive et la visibilité des cash-flows de la société dans un secteur régulé.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CIEC a enregistré une progression spectaculaire de +113,59%, passant d'un plus bas de 3 000 FCFA à un plus haut historique de 6 835 FCFA, avec une accélération notable lors de la dernière séance (+7,47%). Le cours moyen sur la période s'établit à 4 390 FCFA, tandis que la médiane à 4 972 FCFA est supérieure à la moyenne, indiquant une distribution asymétrique avec une concentration des valeurs dans la partie haute de la fourchette. L'écart-type de 991 FCFA (CV=22,6%) révèle une dispersion modérée, tandis que le kurtosis de -1,368 (distribution platykurtique) suggère une faible probabilité de mouvements extrêmes, et le skewness de -0,083 confirme une quasi-symétrie de la distribution. La volatilité annualisée de 48,6% classe le titre dans la catégorie des valeurs à très forte volatilité, bien au-delà du seuil de 30%, reflétant un marché dynamique mais potentiellement spéculatif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6 835 FCFA évolue nettement au-dessus de la MM20 (5 373,25 FCFA) et de la MM50 (5 245,4 FCFA), confirmant une tendance haussière de moyen terme. L'écart positif entre le cours et les moyennes mobiles indique une dynamique positive soutenue, justifiant la décision d'achat.</w:t>
      </w:r>
    </w:p>
    <w:p>
      <w:pPr>
        <w:spacing w:after="120" w:line="276" w:lineRule="auto"/>
      </w:pPr>
      <w:r>
        <w:t>**Bandes de Bollinger** : Le prix a franchi la borne supérieure (6 345,27 FCFA), signalant une extension excessive de la volatilité et une possible suraccumulation. Cette sortie de canal suggère un écart temporaire par rapport à la moyenne mobile, justifiant la décision de vente pour les traders à court terme.</w:t>
      </w:r>
    </w:p>
    <w:p>
      <w:pPr>
        <w:spacing w:after="120" w:line="276" w:lineRule="auto"/>
      </w:pPr>
      <w:r>
        <w:t>**MACD** : La valeur du MACD (283,81) est nettement supérieure à sa ligne de signal (124,94), indiquant un momentum haussier puissant. Cette divergence positive confirme la force de la tendance actuelle, justifiant la décision d'achat malgré les signaux de surachat.</w:t>
      </w:r>
    </w:p>
    <w:p>
      <w:pPr>
        <w:spacing w:after="120" w:line="276" w:lineRule="auto"/>
      </w:pPr>
      <w:r>
        <w:t>**RSI** : À 89,98, le RSI est profondément en zone de surachat (au-delà de 70), signalant une pression acheteuse excessive et un risque élevé de correction technique. Cette lecture justifie la décision de vente, car le titre apparaît statistiquement surévalué à court terme.</w:t>
      </w:r>
    </w:p>
    <w:p>
      <w:pPr>
        <w:spacing w:after="120" w:line="276" w:lineRule="auto"/>
      </w:pPr>
      <w:r>
        <w:t>**Stochastique** : Les valeurs %K et %D à 100,0 indiquent une condition de surachat extrême, le titre étant au plus haut de sa fourchette sur la période. Cette configuration suggère une probabilité élevée de retournement ou de consolidation, justifiant la décision de vente.</w:t>
      </w:r>
    </w:p>
    <w:p>
      <w:pPr>
        <w:spacing w:after="120" w:line="276" w:lineRule="auto"/>
      </w:pPr>
      <w:r>
        <w:t>**Conclusion technique** : La convergence des indicateurs de momentum (MACD positif) avec les signaux de surachat (RSI, Stochastique, Bollinger) crée une configuration contrastée. La tendance de fond reste haussière, mais les conditions de surachat extrême suggèrent une correction technique imminente à court terme, avec un support potentiel autour de la MM20 à 5 373 FCFA.</w:t>
      </w:r>
    </w:p>
    <w:p>
      <w:pPr>
        <w:spacing w:after="120" w:line="276" w:lineRule="auto"/>
      </w:pPr>
      <w:r>
        <w:t>---</w:t>
      </w:r>
    </w:p>
    <w:p>
      <w:pPr>
        <w:spacing w:after="120" w:line="276" w:lineRule="auto"/>
      </w:pPr>
      <w:r>
        <w:t>### PARTIE 3 : ANALYSE FONDAMENTALE (SECTION CRITIQUE)</w:t>
      </w:r>
    </w:p>
    <w:p>
      <w:pPr>
        <w:spacing w:after="120" w:line="276" w:lineRule="auto"/>
      </w:pPr>
      <w:r>
        <w:t>En 2025, la CIEC affiche des résultats solides avec un chiffre d'affaires de 302,32 milliards FCFA, en hausse de 14,8% par rapport à 2024 (263,29 milliards FCFA), et un résultat net de 13,13 milliards FCFA, en progression de 24,4% (contre 10,53 milliards en 2024). La rentabilité des fonds propres (ROE) atteint un niveau excellent de 36,5%, tandis que le ROA reste modeste à 0,65%, illustrant la forte intensité capitalistique du secteur. La marge nette de 4,34% et la marge opérationnelle de 7,40% témoignent d'une amélioration de l'efficacité opérationnelle. Le BFR négatif de -90,24 milliards FCFA constitue un avantage structurel majeur, la société finançant son exploitation grâce aux délais fournisseurs très étendus (970 jours). Cependant, le délai clients de 164 jours représente un risque de trésorerie significatif, et le ratio d'endettement de 612,9% avec une capacité de remboursement de 7,64 ans appelle à la vigilance. Sur la base du rapport semestriel 2025 (CA de 134,92 milliards FCFA, +18,85%), on estime que l'exercice 2026 pourrait maintenir une croissance à deux chiffres, portée par l'expansion de la base clientèle (+15,1%) et la hausse des ventes à l'export (+21,7%). La politique de dividende reste très généreuse avec un DPA de 234 FCFA, représentant 99,8% du bénéfice net, ce qui limite la capacité d'autofinancement mais récompense fortement les actionnaires.</w:t>
      </w:r>
    </w:p>
    <w:p>
      <w:pPr>
        <w:spacing w:after="120" w:line="276" w:lineRule="auto"/>
      </w:pPr>
      <w:r>
        <w:t>---</w:t>
      </w:r>
    </w:p>
    <w:p>
      <w:pPr>
        <w:spacing w:after="120" w:line="276" w:lineRule="auto"/>
      </w:pPr>
      <w:r>
        <w:t>### PARTIE 4 : CONCLUSION D'INVESTISSEMENT</w:t>
      </w:r>
    </w:p>
    <w:p>
      <w:pPr>
        <w:spacing w:after="120" w:line="276" w:lineRule="auto"/>
      </w:pPr>
      <w:r>
        <w:t>La synthèse globale révèle une configuration contrastée pour l'action CIEC. La valorisation (PER de 29,2x, P/B de 10,64x, EV/EBITDA de 15,4x) indique une surévaluation relative par rapport aux standards BRVM, tandis que le comportement du cours (+113,59% en 100 jours) et la volatilité élevée (48,6%) suggèrent un momentum spéculatif. Les signaux techniques sont partagés : la tendance de fond reste haussière (MM, MACD), mais les indicateurs de surachat (RSI à 90, Stochastique à 100, sortie des bandes de Bollinger) signalent un risque élevé de correction. Les fondamentaux restent solides avec une croissance soutenue du CA et du résultat net, un ROE excellent de 36,5% et une politique de dividende attractive, mais l'endettement élevé et le risque de crédit client constituent des points de vigilance. Les prédictions IA (baisse progressive de 6 322 à 4 629 FCFA sur 10 jours) confirment le scénario de correction technique. **Recommandation : VENTE** pour les détenteurs à court terme, **CONSERVER** pour les investisseurs de long terme attirés par le rendement. Niveau de confiance : Moyen. Risque global : Élevé. Horizon optimal : moyen terme (3-12 mois) pour une réintégration après correction.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908.33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3,799 titres</w:t>
            </w:r>
          </w:p>
        </w:tc>
        <w:tc>
          <w:tcPr>
            <w:tcW w:type="dxa" w:w="2268"/>
            <w:shd w:fill="FFF2CC" w:val="clear"/>
          </w:tcPr>
          <w:p>
            <w:r>
              <w:rPr>
                <w:b/>
                <w:color w:val="503200"/>
                <w:sz w:val="16"/>
              </w:rPr>
              <w:t xml:space="preserve">Cours actuel : </w:t>
            </w:r>
            <w:r>
              <w:rPr>
                <w:color w:val="000000"/>
                <w:sz w:val="17"/>
              </w:rPr>
              <w:t>16,500 FCFA</w:t>
            </w:r>
          </w:p>
          <w:p>
            <w:r>
              <w:rPr>
                <w:b/>
                <w:color w:val="503200"/>
                <w:sz w:val="16"/>
              </w:rPr>
              <w:t xml:space="preserve">Var. 100 jours : </w:t>
            </w:r>
            <w:r>
              <w:rPr>
                <w:b/>
                <w:color w:val="007800"/>
                <w:sz w:val="17"/>
              </w:rPr>
              <w:t>+1.23%</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2.15% (Faible) — μ=16,310 FCFA, σ=351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β=0.3021 (Défensif) — Cov=0.000009, Var(idx)=0.000030, ρ=0.102,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3,799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σ_j=1.73%/j (Stable) — Vol. annualisée≈27.5%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2026-08-20</w:t>
            </w:r>
          </w:p>
        </w:tc>
        <w:tc>
          <w:tcPr>
            <w:tcW w:type="dxa" w:w="1440"/>
            <w:shd w:fill="FAFAFA" w:val="clear"/>
          </w:tcPr>
          <w:p>
            <w:r>
              <w:rPr>
                <w:sz w:val="17"/>
              </w:rPr>
              <w:t>15,973</w:t>
            </w:r>
          </w:p>
        </w:tc>
        <w:tc>
          <w:tcPr>
            <w:tcW w:type="dxa" w:w="1440"/>
            <w:shd w:fill="FAFAFA" w:val="clear"/>
          </w:tcPr>
          <w:p>
            <w:r>
              <w:rPr>
                <w:b/>
                <w:sz w:val="17"/>
              </w:rPr>
              <w:t>16,390</w:t>
            </w:r>
          </w:p>
        </w:tc>
        <w:tc>
          <w:tcPr>
            <w:tcW w:type="dxa" w:w="1440"/>
            <w:shd w:fill="FAFAFA" w:val="clear"/>
          </w:tcPr>
          <w:p>
            <w:r>
              <w:rPr>
                <w:sz w:val="17"/>
              </w:rPr>
              <w:t>16,807</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2026-08-21</w:t>
            </w:r>
          </w:p>
        </w:tc>
        <w:tc>
          <w:tcPr>
            <w:tcW w:type="dxa" w:w="1440"/>
            <w:shd w:fill="FAFAFA" w:val="clear"/>
          </w:tcPr>
          <w:p>
            <w:r>
              <w:rPr>
                <w:sz w:val="17"/>
              </w:rPr>
              <w:t>15,783</w:t>
            </w:r>
          </w:p>
        </w:tc>
        <w:tc>
          <w:tcPr>
            <w:tcW w:type="dxa" w:w="1440"/>
            <w:shd w:fill="FAFAFA" w:val="clear"/>
          </w:tcPr>
          <w:p>
            <w:r>
              <w:rPr>
                <w:b/>
                <w:sz w:val="17"/>
              </w:rPr>
              <w:t>16,372</w:t>
            </w:r>
          </w:p>
        </w:tc>
        <w:tc>
          <w:tcPr>
            <w:tcW w:type="dxa" w:w="1440"/>
            <w:shd w:fill="FAFAFA" w:val="clear"/>
          </w:tcPr>
          <w:p>
            <w:r>
              <w:rPr>
                <w:sz w:val="17"/>
              </w:rPr>
              <w:t>16,962</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2026-08-24</w:t>
            </w:r>
          </w:p>
        </w:tc>
        <w:tc>
          <w:tcPr>
            <w:tcW w:type="dxa" w:w="1440"/>
            <w:shd w:fill="FAFAFA" w:val="clear"/>
          </w:tcPr>
          <w:p>
            <w:r>
              <w:rPr>
                <w:sz w:val="17"/>
              </w:rPr>
              <w:t>15,627</w:t>
            </w:r>
          </w:p>
        </w:tc>
        <w:tc>
          <w:tcPr>
            <w:tcW w:type="dxa" w:w="1440"/>
            <w:shd w:fill="FAFAFA" w:val="clear"/>
          </w:tcPr>
          <w:p>
            <w:r>
              <w:rPr>
                <w:b/>
                <w:sz w:val="17"/>
              </w:rPr>
              <w:t>16,348</w:t>
            </w:r>
          </w:p>
        </w:tc>
        <w:tc>
          <w:tcPr>
            <w:tcW w:type="dxa" w:w="1440"/>
            <w:shd w:fill="FAFAFA" w:val="clear"/>
          </w:tcPr>
          <w:p>
            <w:r>
              <w:rPr>
                <w:sz w:val="17"/>
              </w:rPr>
              <w:t>17,068</w:t>
            </w:r>
          </w:p>
        </w:tc>
        <w:tc>
          <w:tcPr>
            <w:tcW w:type="dxa" w:w="1440"/>
            <w:shd w:fill="FAFAFA" w:val="clear"/>
          </w:tcPr>
          <w:p>
            <w:r>
              <w:rPr>
                <w:b/>
                <w:color w:val="C00000"/>
                <w:sz w:val="17"/>
              </w:rPr>
              <w:t>-0.9%</w:t>
            </w:r>
          </w:p>
        </w:tc>
      </w:tr>
      <w:tr>
        <w:tc>
          <w:tcPr>
            <w:tcW w:type="dxa" w:w="1440"/>
            <w:shd w:fill="FAFAFA" w:val="clear"/>
          </w:tcPr>
          <w:p>
            <w:r>
              <w:rPr>
                <w:sz w:val="17"/>
              </w:rPr>
              <w:t>J+4  Moyenne</w:t>
            </w:r>
          </w:p>
        </w:tc>
        <w:tc>
          <w:tcPr>
            <w:tcW w:type="dxa" w:w="1440"/>
            <w:shd w:fill="FAFAFA" w:val="clear"/>
          </w:tcPr>
          <w:p>
            <w:r>
              <w:rPr>
                <w:sz w:val="17"/>
              </w:rPr>
              <w:t>2026-08-25</w:t>
            </w:r>
          </w:p>
        </w:tc>
        <w:tc>
          <w:tcPr>
            <w:tcW w:type="dxa" w:w="1440"/>
            <w:shd w:fill="FAFAFA" w:val="clear"/>
          </w:tcPr>
          <w:p>
            <w:r>
              <w:rPr>
                <w:sz w:val="17"/>
              </w:rPr>
              <w:t>15,498</w:t>
            </w:r>
          </w:p>
        </w:tc>
        <w:tc>
          <w:tcPr>
            <w:tcW w:type="dxa" w:w="1440"/>
            <w:shd w:fill="FAFAFA" w:val="clear"/>
          </w:tcPr>
          <w:p>
            <w:r>
              <w:rPr>
                <w:b/>
                <w:sz w:val="17"/>
              </w:rPr>
              <w:t>16,329</w:t>
            </w:r>
          </w:p>
        </w:tc>
        <w:tc>
          <w:tcPr>
            <w:tcW w:type="dxa" w:w="1440"/>
            <w:shd w:fill="FAFAFA" w:val="clear"/>
          </w:tcPr>
          <w:p>
            <w:r>
              <w:rPr>
                <w:sz w:val="17"/>
              </w:rPr>
              <w:t>17,160</w:t>
            </w:r>
          </w:p>
        </w:tc>
        <w:tc>
          <w:tcPr>
            <w:tcW w:type="dxa" w:w="1440"/>
            <w:shd w:fill="FAFAFA" w:val="clear"/>
          </w:tcPr>
          <w:p>
            <w:r>
              <w:rPr>
                <w:b/>
                <w:color w:val="C00000"/>
                <w:sz w:val="17"/>
              </w:rPr>
              <w:t>-1.0%</w:t>
            </w:r>
          </w:p>
        </w:tc>
      </w:tr>
      <w:tr>
        <w:tc>
          <w:tcPr>
            <w:tcW w:type="dxa" w:w="1440"/>
            <w:shd w:fill="FAFAFA" w:val="clear"/>
          </w:tcPr>
          <w:p>
            <w:r>
              <w:rPr>
                <w:sz w:val="17"/>
              </w:rPr>
              <w:t>J+5  Moyenne</w:t>
            </w:r>
          </w:p>
        </w:tc>
        <w:tc>
          <w:tcPr>
            <w:tcW w:type="dxa" w:w="1440"/>
            <w:shd w:fill="FAFAFA" w:val="clear"/>
          </w:tcPr>
          <w:p>
            <w:r>
              <w:rPr>
                <w:sz w:val="17"/>
              </w:rPr>
              <w:t>2026-08-27</w:t>
            </w:r>
          </w:p>
        </w:tc>
        <w:tc>
          <w:tcPr>
            <w:tcW w:type="dxa" w:w="1440"/>
            <w:shd w:fill="FAFAFA" w:val="clear"/>
          </w:tcPr>
          <w:p>
            <w:r>
              <w:rPr>
                <w:sz w:val="17"/>
              </w:rPr>
              <w:t>15,386</w:t>
            </w:r>
          </w:p>
        </w:tc>
        <w:tc>
          <w:tcPr>
            <w:tcW w:type="dxa" w:w="1440"/>
            <w:shd w:fill="FAFAFA" w:val="clear"/>
          </w:tcPr>
          <w:p>
            <w:r>
              <w:rPr>
                <w:b/>
                <w:sz w:val="17"/>
              </w:rPr>
              <w:t>16,314</w:t>
            </w:r>
          </w:p>
        </w:tc>
        <w:tc>
          <w:tcPr>
            <w:tcW w:type="dxa" w:w="1440"/>
            <w:shd w:fill="FAFAFA" w:val="clear"/>
          </w:tcPr>
          <w:p>
            <w:r>
              <w:rPr>
                <w:sz w:val="17"/>
              </w:rPr>
              <w:t>17,242</w:t>
            </w:r>
          </w:p>
        </w:tc>
        <w:tc>
          <w:tcPr>
            <w:tcW w:type="dxa" w:w="1440"/>
            <w:shd w:fill="FAFAFA" w:val="clear"/>
          </w:tcPr>
          <w:p>
            <w:r>
              <w:rPr>
                <w:b/>
                <w:color w:val="C00000"/>
                <w:sz w:val="17"/>
              </w:rPr>
              <w:t>-1.1%</w:t>
            </w:r>
          </w:p>
        </w:tc>
      </w:tr>
      <w:tr>
        <w:tc>
          <w:tcPr>
            <w:tcW w:type="dxa" w:w="1440"/>
            <w:shd w:fill="FAFAFA" w:val="clear"/>
          </w:tcPr>
          <w:p>
            <w:r>
              <w:rPr>
                <w:sz w:val="17"/>
              </w:rPr>
              <w:t>J+6  Moyenne</w:t>
            </w:r>
          </w:p>
        </w:tc>
        <w:tc>
          <w:tcPr>
            <w:tcW w:type="dxa" w:w="1440"/>
            <w:shd w:fill="FAFAFA" w:val="clear"/>
          </w:tcPr>
          <w:p>
            <w:r>
              <w:rPr>
                <w:sz w:val="17"/>
              </w:rPr>
              <w:t>2026-08-28</w:t>
            </w:r>
          </w:p>
        </w:tc>
        <w:tc>
          <w:tcPr>
            <w:tcW w:type="dxa" w:w="1440"/>
            <w:shd w:fill="FAFAFA" w:val="clear"/>
          </w:tcPr>
          <w:p>
            <w:r>
              <w:rPr>
                <w:sz w:val="17"/>
              </w:rPr>
              <w:t>15,284</w:t>
            </w:r>
          </w:p>
        </w:tc>
        <w:tc>
          <w:tcPr>
            <w:tcW w:type="dxa" w:w="1440"/>
            <w:shd w:fill="FAFAFA" w:val="clear"/>
          </w:tcPr>
          <w:p>
            <w:r>
              <w:rPr>
                <w:b/>
                <w:sz w:val="17"/>
              </w:rPr>
              <w:t>16,299</w:t>
            </w:r>
          </w:p>
        </w:tc>
        <w:tc>
          <w:tcPr>
            <w:tcW w:type="dxa" w:w="1440"/>
            <w:shd w:fill="FAFAFA" w:val="clear"/>
          </w:tcPr>
          <w:p>
            <w:r>
              <w:rPr>
                <w:sz w:val="17"/>
              </w:rPr>
              <w:t>17,315</w:t>
            </w:r>
          </w:p>
        </w:tc>
        <w:tc>
          <w:tcPr>
            <w:tcW w:type="dxa" w:w="1440"/>
            <w:shd w:fill="FAFAFA" w:val="clear"/>
          </w:tcPr>
          <w:p>
            <w:r>
              <w:rPr>
                <w:b/>
                <w:color w:val="C00000"/>
                <w:sz w:val="17"/>
              </w:rPr>
              <w:t>-1.2%</w:t>
            </w:r>
          </w:p>
        </w:tc>
      </w:tr>
      <w:tr>
        <w:tc>
          <w:tcPr>
            <w:tcW w:type="dxa" w:w="1440"/>
            <w:shd w:fill="FAFAFA" w:val="clear"/>
          </w:tcPr>
          <w:p>
            <w:r>
              <w:rPr>
                <w:sz w:val="17"/>
              </w:rPr>
              <w:t>J+7  Moyenne</w:t>
            </w:r>
          </w:p>
        </w:tc>
        <w:tc>
          <w:tcPr>
            <w:tcW w:type="dxa" w:w="1440"/>
            <w:shd w:fill="FAFAFA" w:val="clear"/>
          </w:tcPr>
          <w:p>
            <w:r>
              <w:rPr>
                <w:sz w:val="17"/>
              </w:rPr>
              <w:t>2026-08-31</w:t>
            </w:r>
          </w:p>
        </w:tc>
        <w:tc>
          <w:tcPr>
            <w:tcW w:type="dxa" w:w="1440"/>
            <w:shd w:fill="FAFAFA" w:val="clear"/>
          </w:tcPr>
          <w:p>
            <w:r>
              <w:rPr>
                <w:sz w:val="17"/>
              </w:rPr>
              <w:t>15,189</w:t>
            </w:r>
          </w:p>
        </w:tc>
        <w:tc>
          <w:tcPr>
            <w:tcW w:type="dxa" w:w="1440"/>
            <w:shd w:fill="FAFAFA" w:val="clear"/>
          </w:tcPr>
          <w:p>
            <w:r>
              <w:rPr>
                <w:b/>
                <w:sz w:val="17"/>
              </w:rPr>
              <w:t>16,285</w:t>
            </w:r>
          </w:p>
        </w:tc>
        <w:tc>
          <w:tcPr>
            <w:tcW w:type="dxa" w:w="1440"/>
            <w:shd w:fill="FAFAFA" w:val="clear"/>
          </w:tcPr>
          <w:p>
            <w:r>
              <w:rPr>
                <w:sz w:val="17"/>
              </w:rPr>
              <w:t>17,381</w:t>
            </w:r>
          </w:p>
        </w:tc>
        <w:tc>
          <w:tcPr>
            <w:tcW w:type="dxa" w:w="1440"/>
            <w:shd w:fill="FAFAFA" w:val="clear"/>
          </w:tcPr>
          <w:p>
            <w:r>
              <w:rPr>
                <w:b/>
                <w:color w:val="C00000"/>
                <w:sz w:val="17"/>
              </w:rPr>
              <w:t>-1.3%</w:t>
            </w:r>
          </w:p>
        </w:tc>
      </w:tr>
      <w:tr>
        <w:tc>
          <w:tcPr>
            <w:tcW w:type="dxa" w:w="1440"/>
            <w:shd w:fill="FAFAFA" w:val="clear"/>
          </w:tcPr>
          <w:p>
            <w:r>
              <w:rPr>
                <w:sz w:val="17"/>
              </w:rPr>
              <w:t>J+8  Moyenne</w:t>
            </w:r>
          </w:p>
        </w:tc>
        <w:tc>
          <w:tcPr>
            <w:tcW w:type="dxa" w:w="1440"/>
            <w:shd w:fill="FAFAFA" w:val="clear"/>
          </w:tcPr>
          <w:p>
            <w:r>
              <w:rPr>
                <w:sz w:val="17"/>
              </w:rPr>
              <w:t>2026-09-01</w:t>
            </w:r>
          </w:p>
        </w:tc>
        <w:tc>
          <w:tcPr>
            <w:tcW w:type="dxa" w:w="1440"/>
            <w:shd w:fill="FAFAFA" w:val="clear"/>
          </w:tcPr>
          <w:p>
            <w:r>
              <w:rPr>
                <w:sz w:val="17"/>
              </w:rPr>
              <w:t>15,100</w:t>
            </w:r>
          </w:p>
        </w:tc>
        <w:tc>
          <w:tcPr>
            <w:tcW w:type="dxa" w:w="1440"/>
            <w:shd w:fill="FAFAFA" w:val="clear"/>
          </w:tcPr>
          <w:p>
            <w:r>
              <w:rPr>
                <w:b/>
                <w:sz w:val="17"/>
              </w:rPr>
              <w:t>16,271</w:t>
            </w:r>
          </w:p>
        </w:tc>
        <w:tc>
          <w:tcPr>
            <w:tcW w:type="dxa" w:w="1440"/>
            <w:shd w:fill="FAFAFA" w:val="clear"/>
          </w:tcPr>
          <w:p>
            <w:r>
              <w:rPr>
                <w:sz w:val="17"/>
              </w:rPr>
              <w:t>17,441</w:t>
            </w:r>
          </w:p>
        </w:tc>
        <w:tc>
          <w:tcPr>
            <w:tcW w:type="dxa" w:w="1440"/>
            <w:shd w:fill="FAFAFA" w:val="clear"/>
          </w:tcPr>
          <w:p>
            <w:r>
              <w:rPr>
                <w:b/>
                <w:color w:val="C00000"/>
                <w:sz w:val="17"/>
              </w:rPr>
              <w:t>-1.4%</w:t>
            </w:r>
          </w:p>
        </w:tc>
      </w:tr>
      <w:tr>
        <w:tc>
          <w:tcPr>
            <w:tcW w:type="dxa" w:w="1440"/>
            <w:shd w:fill="FAFAFA" w:val="clear"/>
          </w:tcPr>
          <w:p>
            <w:r>
              <w:rPr>
                <w:sz w:val="17"/>
              </w:rPr>
              <w:t>J+9  Moyenne</w:t>
            </w:r>
          </w:p>
        </w:tc>
        <w:tc>
          <w:tcPr>
            <w:tcW w:type="dxa" w:w="1440"/>
            <w:shd w:fill="FAFAFA" w:val="clear"/>
          </w:tcPr>
          <w:p>
            <w:r>
              <w:rPr>
                <w:sz w:val="17"/>
              </w:rPr>
              <w:t>2026-09-02</w:t>
            </w:r>
          </w:p>
        </w:tc>
        <w:tc>
          <w:tcPr>
            <w:tcW w:type="dxa" w:w="1440"/>
            <w:shd w:fill="FAFAFA" w:val="clear"/>
          </w:tcPr>
          <w:p>
            <w:r>
              <w:rPr>
                <w:sz w:val="17"/>
              </w:rPr>
              <w:t>15,016</w:t>
            </w:r>
          </w:p>
        </w:tc>
        <w:tc>
          <w:tcPr>
            <w:tcW w:type="dxa" w:w="1440"/>
            <w:shd w:fill="FAFAFA" w:val="clear"/>
          </w:tcPr>
          <w:p>
            <w:r>
              <w:rPr>
                <w:b/>
                <w:sz w:val="17"/>
              </w:rPr>
              <w:t>16,256</w:t>
            </w:r>
          </w:p>
        </w:tc>
        <w:tc>
          <w:tcPr>
            <w:tcW w:type="dxa" w:w="1440"/>
            <w:shd w:fill="FAFAFA" w:val="clear"/>
          </w:tcPr>
          <w:p>
            <w:r>
              <w:rPr>
                <w:sz w:val="17"/>
              </w:rPr>
              <w:t>17,497</w:t>
            </w:r>
          </w:p>
        </w:tc>
        <w:tc>
          <w:tcPr>
            <w:tcW w:type="dxa" w:w="1440"/>
            <w:shd w:fill="FAFAFA" w:val="clear"/>
          </w:tcPr>
          <w:p>
            <w:r>
              <w:rPr>
                <w:b/>
                <w:color w:val="C00000"/>
                <w:sz w:val="17"/>
              </w:rPr>
              <w:t>-1.5%</w:t>
            </w:r>
          </w:p>
        </w:tc>
      </w:tr>
      <w:tr>
        <w:tc>
          <w:tcPr>
            <w:tcW w:type="dxa" w:w="1440"/>
            <w:shd w:fill="FAFAFA" w:val="clear"/>
          </w:tcPr>
          <w:p>
            <w:r>
              <w:rPr>
                <w:sz w:val="17"/>
              </w:rPr>
              <w:t>J+10  Moyenne</w:t>
            </w:r>
          </w:p>
        </w:tc>
        <w:tc>
          <w:tcPr>
            <w:tcW w:type="dxa" w:w="1440"/>
            <w:shd w:fill="FAFAFA" w:val="clear"/>
          </w:tcPr>
          <w:p>
            <w:r>
              <w:rPr>
                <w:sz w:val="17"/>
              </w:rPr>
              <w:t>2026-09-03</w:t>
            </w:r>
          </w:p>
        </w:tc>
        <w:tc>
          <w:tcPr>
            <w:tcW w:type="dxa" w:w="1440"/>
            <w:shd w:fill="FAFAFA" w:val="clear"/>
          </w:tcPr>
          <w:p>
            <w:r>
              <w:rPr>
                <w:sz w:val="17"/>
              </w:rPr>
              <w:t>14,936</w:t>
            </w:r>
          </w:p>
        </w:tc>
        <w:tc>
          <w:tcPr>
            <w:tcW w:type="dxa" w:w="1440"/>
            <w:shd w:fill="FAFAFA" w:val="clear"/>
          </w:tcPr>
          <w:p>
            <w:r>
              <w:rPr>
                <w:b/>
                <w:sz w:val="17"/>
              </w:rPr>
              <w:t>16,242</w:t>
            </w:r>
          </w:p>
        </w:tc>
        <w:tc>
          <w:tcPr>
            <w:tcW w:type="dxa" w:w="1440"/>
            <w:shd w:fill="FAFAFA" w:val="clear"/>
          </w:tcPr>
          <w:p>
            <w:r>
              <w:rPr>
                <w:sz w:val="17"/>
              </w:rPr>
              <w:t>17,549</w:t>
            </w:r>
          </w:p>
        </w:tc>
        <w:tc>
          <w:tcPr>
            <w:tcW w:type="dxa" w:w="1440"/>
            <w:shd w:fill="FAFAFA" w:val="clear"/>
          </w:tcPr>
          <w:p>
            <w:r>
              <w:rPr>
                <w:b/>
                <w:color w:val="C00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ECOC (ECOBANK CÔTE D'IVOIRE)**</w:t>
        <w:br/>
        <w:t>**Date : 19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908,33 milliards FCFA, ECOC s'impose comme une valeur de premier plan sur la BRVM, bénéficiant d'une liquidité et d'une visibilité institutionnelle notables. Le BPA de 1 153 FCFA indique que chaque action génère un bénéfice substantiel, justifiant un PER de 14,3x. Ce niveau est supérieur à la moyenne historique du marché BRVM (8-12x), ce qui traduit une prime de valorisation accordée par les investisseurs à la qualité des actifs et à la régularité des performances. Le P/B de 4,16x confirme cette prime, le marché valorisant fortement les capitaux propres de la banque, soit plus de quatre fois leur valeur comptable. Enfin, un EV/EBITDA de 14,0x, bien que dans la fourchette haute (10-15x), reste cohérent avec une entreprise à forte rentabilité opérationnelle. En somme, ECOC est valorisée comme une valeur de croissance de qualité, avec des ratios exigeants mais justifiés par ses fondamentaux.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ECOC affiche une progression modeste de +1,23%, avec une dernière séance en repli de -2,28% à 16 500 FCFA. Le titre a évolué dans un range de trading de 1 750 FCFA, entre un plus bas de 15 520 FCFA et un plus haut de 17 270 FCFA, indiquant une phase de consolidation après une période de volatilité. La moyenne (16 310 FCFA) et la médiane (16 300 FCFA) sont quasi identiques, ce qui, combiné à un skewness de 0,275 et un kurtosis de 0,187, révèle une distribution des prix très symétrique et "mésokurtique", c'est-à-dire sans pics de volatilité extrêmes. L'écart-type de 353 FCFA (CV=2,2%) confirme une dispersion très faible des prix autour de la moyenne, signe d'un marché calme et ordonné. Enfin, la volatilité annualisée de 27,5% classe le titre dans une catégorie de risque modéré, offrant un équilibre entre stabilité relative et potentiel de rendement.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(16 500 FCFA) se situe au-dessus de la MM20 (16 156,75 FCFA) mais en dessous de la MM50 (16 402,8 FCFA). Cette configuration en "croix de la mort" à court terme suggère une dynamique baissière à moyen terme, justifiant la décision de "Vente". Cependant, le rebond au-dessus de la MM20 pourrait signaler un retour de l'élan haussier à très court terme.</w:t>
      </w:r>
    </w:p>
    <w:p>
      <w:pPr>
        <w:spacing w:after="120" w:line="276" w:lineRule="auto"/>
      </w:pPr>
      <w:r>
        <w:t>**Bandes de Bollinger :** Le prix évolue dans la partie supérieure du canal, proche de la borne haute (16 638,865 FCFA), après avoir touché la borne inférieure (15 674,635 FCFA). Cela indique une réduction de la volatilité et un mouvement de reconquête des niveaux supérieurs. La décision "Neutre" est cohérente, le titre n'étant ni suracheté ni survendu, mais en phase de test de résistance.</w:t>
      </w:r>
    </w:p>
    <w:p>
      <w:pPr>
        <w:spacing w:after="120" w:line="276" w:lineRule="auto"/>
      </w:pPr>
      <w:r>
        <w:t>**MACD :** Le MACD (6,315) est passé au-dessus de sa ligne de signal (-60,829), formant un croisement haussier. Ce signal est un indicateur précoce d'un retournement de momentum à la hausse, justifiant la décision "Achat". L'écart important entre les deux lignes suggère une dynamique positive en cours de formation.</w:t>
      </w:r>
    </w:p>
    <w:p>
      <w:pPr>
        <w:spacing w:after="120" w:line="276" w:lineRule="auto"/>
      </w:pPr>
      <w:r>
        <w:t>**RSI :** Avec une valeur de 56,295, le RSI se situe en zone neutre, sans signal de surachat ou de survente. Cela laisse une marge de manœuvre pour une poursuite de la hausse avant d'atteindre des niveaux de surachat, justifiant la décision "Neutre".</w:t>
      </w:r>
    </w:p>
    <w:p>
      <w:pPr>
        <w:spacing w:after="120" w:line="276" w:lineRule="auto"/>
      </w:pPr>
      <w:r>
        <w:t>**Stochastique :** Le %K (56,497) est légèrement au-dessus du %D (52,846), indiquant un momentum haussier naissant mais non confirmé. L'absence de croisement net et la position médiane des deux lignes justifient la décision "Neutre", en attendant une clarification de la tendance.</w:t>
      </w:r>
    </w:p>
    <w:p>
      <w:pPr>
        <w:spacing w:after="120" w:line="276" w:lineRule="auto"/>
      </w:pPr>
      <w:r>
        <w:t>**Conclusion technique :** Les indicateurs sont partagés, avec un MACD haussier contrastant avec une MM50 baissière. Le titre semble dans une phase de transition, cherchant à inverser sa tendance à moyen terme. La prudence est de mise, mais un signal d'achat pourrait se confirmer si le cours dépasse durablement la MM50.</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d'ECOC confirment une performance exceptionnelle. Le Produit Net Bancaire (PNB) s'établit à 132,725 milliards FCFA, en croissance de +8,5%, générant un résultat net de 63,482 milliards FCFA. Cette performance se traduit par un ROE de 29,04% et un ROA de 3,09%, des niveaux excellents qui démontrent une utilisation très efficace des capitaux propres et des actifs. Le coefficient d'exploitation de 42,89% est remarquable, indiquant une maîtrise des coûts supérieure à la moyenne du secteur (excellente si &lt;50%). Le coût du risque de 1,36% reste modéré, témoignant d'une bonne qualité du portefeuille de crédits. Les rapports trimestriels de 2025 confirment cette dynamique : le T3 2025 (rapport du 15/03/2026) affiche un PNB de 96,4 milliards (+11,3%) et un résultat net de 44,4 milliards (+15,4%), avec un ROE de 29,7%. Le rapport annuel 2024 (analysé le 15/03/2026) montrait déjà une croissance de +11% du PNB et un résultat net de 57,5 milliards (+19,6%). Sur la base du rapport T1 2026 (PNB de 30,8 milliards, +3,7%, et résultat net de 13,0 milliards), on estime que l'exercice 2026 pourrait voir un ralentissement de la croissance, mais avec une rentabilité qui devrait rester élevée, soutenue par une collecte de dépôts dynamique (+12%) et une politique de crédit sélective. La banque propose un dividende de 888 FCFA brut par action pour 2025, témoignant d'une politique actionnariale généreuse.</w:t>
      </w:r>
    </w:p>
    <w:p>
      <w:pPr>
        <w:spacing w:after="120" w:line="276" w:lineRule="auto"/>
      </w:pPr>
      <w:r>
        <w:t>---</w:t>
      </w:r>
    </w:p>
    <w:p>
      <w:pPr>
        <w:spacing w:after="120" w:line="276" w:lineRule="auto"/>
      </w:pPr>
      <w:r>
        <w:t>### PARTIE 4 : CONCLUSION D'INVESTISSEMENT</w:t>
      </w:r>
    </w:p>
    <w:p>
      <w:pPr>
        <w:spacing w:after="120" w:line="276" w:lineRule="auto"/>
      </w:pPr>
      <w:r>
        <w:t>La valorisation d'ECOC (PER 14,3x, P/B 4,16x) est exigeante mais justifiée par une rentabilité hors norme (ROE &gt;29%). Le comportement du cours sur 100 jours montre une stabilité remarquable (CV 2,2%) avec une tendance latérale, tandis que les signaux techniques sont mitigés, avec un MACD haussier contredit par une MM50 baissière. Les fondamentaux, eux, sont indiscutablement solides, avec une croissance soutenue du PNB et une amélioration continue de l'efficacité opérationnelle. Les prédictions IA pour les 10 prochains jours (de 16 390 à 16 314 FCFA) suggèrent une légère correction baissière, ce qui pourrait offrir un point d'entrée. La convergence entre des fondamentaux excellents et une valorisation élevée, couplée à des signaux techniques partagés, conduit à une recommandation **CONSERVER**. Le niveau de confiance est **Moyen**, car la trajectoire future dépendra de la capacité de la banque à maintenir sa croissance dans un environnement concurrentiel. Le risque global est **Moyen**, et l'horizon d'investissement optimal est le **moyen terme (3-12 mois)**, pour capitaliser sur la solidité des résultats annuels et la politique de dividende attractive.</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1229.72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1,413,427 titres</w:t>
            </w:r>
          </w:p>
        </w:tc>
        <w:tc>
          <w:tcPr>
            <w:tcW w:type="dxa" w:w="2268"/>
            <w:shd w:fill="FFF2CC" w:val="clear"/>
          </w:tcPr>
          <w:p>
            <w:r>
              <w:rPr>
                <w:b/>
                <w:color w:val="503200"/>
                <w:sz w:val="16"/>
              </w:rPr>
              <w:t xml:space="preserve">Cours actuel : </w:t>
            </w:r>
            <w:r>
              <w:rPr>
                <w:color w:val="000000"/>
                <w:sz w:val="17"/>
              </w:rPr>
              <w:t>68 FCFA</w:t>
            </w:r>
          </w:p>
          <w:p>
            <w:r>
              <w:rPr>
                <w:b/>
                <w:color w:val="503200"/>
                <w:sz w:val="16"/>
              </w:rPr>
              <w:t xml:space="preserve">Var. 100 jours : </w:t>
            </w:r>
            <w:r>
              <w:rPr>
                <w:b/>
                <w:color w:val="007800"/>
                <w:sz w:val="17"/>
              </w:rPr>
              <w:t>+112.50%</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38.60% (Élevée) — μ=43 FCFA, σ=17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β=3.0724 (Très agressif) — Cov=0.000094, Var(idx)=0.000030, ρ=0.413,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1,413,427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σ_j=4.07%/j (Modérée) — Vol. annualisée≈64.6%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2026-08-20</w:t>
            </w:r>
          </w:p>
        </w:tc>
        <w:tc>
          <w:tcPr>
            <w:tcW w:type="dxa" w:w="1440"/>
            <w:shd w:fill="FFDCE0" w:val="clear"/>
          </w:tcPr>
          <w:p>
            <w:r>
              <w:rPr>
                <w:sz w:val="17"/>
              </w:rPr>
              <w:t>58</w:t>
            </w:r>
          </w:p>
        </w:tc>
        <w:tc>
          <w:tcPr>
            <w:tcW w:type="dxa" w:w="1440"/>
            <w:shd w:fill="FFDCE0" w:val="clear"/>
          </w:tcPr>
          <w:p>
            <w:r>
              <w:rPr>
                <w:b/>
                <w:sz w:val="17"/>
              </w:rPr>
              <w:t>63</w:t>
            </w:r>
          </w:p>
        </w:tc>
        <w:tc>
          <w:tcPr>
            <w:tcW w:type="dxa" w:w="1440"/>
            <w:shd w:fill="FFDCE0" w:val="clear"/>
          </w:tcPr>
          <w:p>
            <w:r>
              <w:rPr>
                <w:sz w:val="17"/>
              </w:rPr>
              <w:t>68</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2026-08-21</w:t>
            </w:r>
          </w:p>
        </w:tc>
        <w:tc>
          <w:tcPr>
            <w:tcW w:type="dxa" w:w="1440"/>
            <w:shd w:fill="FFDCE0" w:val="clear"/>
          </w:tcPr>
          <w:p>
            <w:r>
              <w:rPr>
                <w:sz w:val="17"/>
              </w:rPr>
              <w:t>51</w:t>
            </w:r>
          </w:p>
        </w:tc>
        <w:tc>
          <w:tcPr>
            <w:tcW w:type="dxa" w:w="1440"/>
            <w:shd w:fill="FFDCE0" w:val="clear"/>
          </w:tcPr>
          <w:p>
            <w:r>
              <w:rPr>
                <w:b/>
                <w:sz w:val="17"/>
              </w:rPr>
              <w:t>58</w:t>
            </w:r>
          </w:p>
        </w:tc>
        <w:tc>
          <w:tcPr>
            <w:tcW w:type="dxa" w:w="1440"/>
            <w:shd w:fill="FFDCE0" w:val="clear"/>
          </w:tcPr>
          <w:p>
            <w:r>
              <w:rPr>
                <w:sz w:val="17"/>
              </w:rPr>
              <w:t>65</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2026-08-24</w:t>
            </w:r>
          </w:p>
        </w:tc>
        <w:tc>
          <w:tcPr>
            <w:tcW w:type="dxa" w:w="1440"/>
            <w:shd w:fill="FFDCE0" w:val="clear"/>
          </w:tcPr>
          <w:p>
            <w:r>
              <w:rPr>
                <w:sz w:val="17"/>
              </w:rPr>
              <w:t>46</w:t>
            </w:r>
          </w:p>
        </w:tc>
        <w:tc>
          <w:tcPr>
            <w:tcW w:type="dxa" w:w="1440"/>
            <w:shd w:fill="FFDCE0" w:val="clear"/>
          </w:tcPr>
          <w:p>
            <w:r>
              <w:rPr>
                <w:b/>
                <w:sz w:val="17"/>
              </w:rPr>
              <w:t>54</w:t>
            </w:r>
          </w:p>
        </w:tc>
        <w:tc>
          <w:tcPr>
            <w:tcW w:type="dxa" w:w="1440"/>
            <w:shd w:fill="FFDCE0" w:val="clear"/>
          </w:tcPr>
          <w:p>
            <w:r>
              <w:rPr>
                <w:sz w:val="17"/>
              </w:rPr>
              <w:t>62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2026-08-25</w:t>
            </w:r>
          </w:p>
        </w:tc>
        <w:tc>
          <w:tcPr>
            <w:tcW w:type="dxa" w:w="1440"/>
            <w:shd w:fill="FFDCE0" w:val="clear"/>
          </w:tcPr>
          <w:p>
            <w:r>
              <w:rPr>
                <w:sz w:val="17"/>
              </w:rPr>
              <w:t>41</w:t>
            </w:r>
          </w:p>
        </w:tc>
        <w:tc>
          <w:tcPr>
            <w:tcW w:type="dxa" w:w="1440"/>
            <w:shd w:fill="FFDCE0" w:val="clear"/>
          </w:tcPr>
          <w:p>
            <w:r>
              <w:rPr>
                <w:b/>
                <w:sz w:val="17"/>
              </w:rPr>
              <w:t>50</w:t>
            </w:r>
          </w:p>
        </w:tc>
        <w:tc>
          <w:tcPr>
            <w:tcW w:type="dxa" w:w="1440"/>
            <w:shd w:fill="FFDCE0" w:val="clear"/>
          </w:tcPr>
          <w:p>
            <w:r>
              <w:rPr>
                <w:sz w:val="17"/>
              </w:rPr>
              <w:t>58</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2026-08-27</w:t>
            </w:r>
          </w:p>
        </w:tc>
        <w:tc>
          <w:tcPr>
            <w:tcW w:type="dxa" w:w="1440"/>
            <w:shd w:fill="FFDCE0" w:val="clear"/>
          </w:tcPr>
          <w:p>
            <w:r>
              <w:rPr>
                <w:sz w:val="17"/>
              </w:rPr>
              <w:t>37</w:t>
            </w:r>
          </w:p>
        </w:tc>
        <w:tc>
          <w:tcPr>
            <w:tcW w:type="dxa" w:w="1440"/>
            <w:shd w:fill="FFDCE0" w:val="clear"/>
          </w:tcPr>
          <w:p>
            <w:r>
              <w:rPr>
                <w:b/>
                <w:sz w:val="17"/>
              </w:rPr>
              <w:t>46</w:t>
            </w:r>
          </w:p>
        </w:tc>
        <w:tc>
          <w:tcPr>
            <w:tcW w:type="dxa" w:w="1440"/>
            <w:shd w:fill="FFDCE0" w:val="clear"/>
          </w:tcPr>
          <w:p>
            <w:r>
              <w:rPr>
                <w:sz w:val="17"/>
              </w:rPr>
              <w:t>55</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2026-08-28</w:t>
            </w:r>
          </w:p>
        </w:tc>
        <w:tc>
          <w:tcPr>
            <w:tcW w:type="dxa" w:w="1440"/>
            <w:shd w:fill="FFDCE0" w:val="clear"/>
          </w:tcPr>
          <w:p>
            <w:r>
              <w:rPr>
                <w:sz w:val="17"/>
              </w:rPr>
              <w:t>34</w:t>
            </w:r>
          </w:p>
        </w:tc>
        <w:tc>
          <w:tcPr>
            <w:tcW w:type="dxa" w:w="1440"/>
            <w:shd w:fill="FFDCE0" w:val="clear"/>
          </w:tcPr>
          <w:p>
            <w:r>
              <w:rPr>
                <w:b/>
                <w:sz w:val="17"/>
              </w:rPr>
              <w:t>43</w:t>
            </w:r>
          </w:p>
        </w:tc>
        <w:tc>
          <w:tcPr>
            <w:tcW w:type="dxa" w:w="1440"/>
            <w:shd w:fill="FFDCE0" w:val="clear"/>
          </w:tcPr>
          <w:p>
            <w:r>
              <w:rPr>
                <w:sz w:val="17"/>
              </w:rPr>
              <w:t>52</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2026-08-31</w:t>
            </w:r>
          </w:p>
        </w:tc>
        <w:tc>
          <w:tcPr>
            <w:tcW w:type="dxa" w:w="1440"/>
            <w:shd w:fill="FFDCE0" w:val="clear"/>
          </w:tcPr>
          <w:p>
            <w:r>
              <w:rPr>
                <w:sz w:val="17"/>
              </w:rPr>
              <w:t>30</w:t>
            </w:r>
          </w:p>
        </w:tc>
        <w:tc>
          <w:tcPr>
            <w:tcW w:type="dxa" w:w="1440"/>
            <w:shd w:fill="FFDCE0" w:val="clear"/>
          </w:tcPr>
          <w:p>
            <w:r>
              <w:rPr>
                <w:b/>
                <w:sz w:val="17"/>
              </w:rPr>
              <w:t>39</w:t>
            </w:r>
          </w:p>
        </w:tc>
        <w:tc>
          <w:tcPr>
            <w:tcW w:type="dxa" w:w="1440"/>
            <w:shd w:fill="FFDCE0" w:val="clear"/>
          </w:tcPr>
          <w:p>
            <w:r>
              <w:rPr>
                <w:sz w:val="17"/>
              </w:rPr>
              <w:t>48</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2026-09-01</w:t>
            </w:r>
          </w:p>
        </w:tc>
        <w:tc>
          <w:tcPr>
            <w:tcW w:type="dxa" w:w="1440"/>
            <w:shd w:fill="FFDCE0" w:val="clear"/>
          </w:tcPr>
          <w:p>
            <w:r>
              <w:rPr>
                <w:sz w:val="17"/>
              </w:rPr>
              <w:t>28</w:t>
            </w:r>
          </w:p>
        </w:tc>
        <w:tc>
          <w:tcPr>
            <w:tcW w:type="dxa" w:w="1440"/>
            <w:shd w:fill="FFDCE0" w:val="clear"/>
          </w:tcPr>
          <w:p>
            <w:r>
              <w:rPr>
                <w:b/>
                <w:sz w:val="17"/>
              </w:rPr>
              <w:t>36</w:t>
            </w:r>
          </w:p>
        </w:tc>
        <w:tc>
          <w:tcPr>
            <w:tcW w:type="dxa" w:w="1440"/>
            <w:shd w:fill="FFDCE0" w:val="clear"/>
          </w:tcPr>
          <w:p>
            <w:r>
              <w:rPr>
                <w:sz w:val="17"/>
              </w:rPr>
              <w:t>45</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2026-09-02</w:t>
            </w:r>
          </w:p>
        </w:tc>
        <w:tc>
          <w:tcPr>
            <w:tcW w:type="dxa" w:w="1440"/>
            <w:shd w:fill="FFDCE0" w:val="clear"/>
          </w:tcPr>
          <w:p>
            <w:r>
              <w:rPr>
                <w:sz w:val="17"/>
              </w:rPr>
              <w:t>25</w:t>
            </w:r>
          </w:p>
        </w:tc>
        <w:tc>
          <w:tcPr>
            <w:tcW w:type="dxa" w:w="1440"/>
            <w:shd w:fill="FFDCE0" w:val="clear"/>
          </w:tcPr>
          <w:p>
            <w:r>
              <w:rPr>
                <w:b/>
                <w:sz w:val="17"/>
              </w:rPr>
              <w:t>34</w:t>
            </w:r>
          </w:p>
        </w:tc>
        <w:tc>
          <w:tcPr>
            <w:tcW w:type="dxa" w:w="1440"/>
            <w:shd w:fill="FFDCE0" w:val="clear"/>
          </w:tcPr>
          <w:p>
            <w:r>
              <w:rPr>
                <w:sz w:val="17"/>
              </w:rPr>
              <w:t>42</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2026-09-03</w:t>
            </w:r>
          </w:p>
        </w:tc>
        <w:tc>
          <w:tcPr>
            <w:tcW w:type="dxa" w:w="1440"/>
            <w:shd w:fill="FFDCE0" w:val="clear"/>
          </w:tcPr>
          <w:p>
            <w:r>
              <w:rPr>
                <w:sz w:val="17"/>
              </w:rPr>
              <w:t>23</w:t>
            </w:r>
          </w:p>
        </w:tc>
        <w:tc>
          <w:tcPr>
            <w:tcW w:type="dxa" w:w="1440"/>
            <w:shd w:fill="FFDCE0" w:val="clear"/>
          </w:tcPr>
          <w:p>
            <w:r>
              <w:rPr>
                <w:b/>
                <w:sz w:val="17"/>
              </w:rPr>
              <w:t>31</w:t>
            </w:r>
          </w:p>
        </w:tc>
        <w:tc>
          <w:tcPr>
            <w:tcW w:type="dxa" w:w="1440"/>
            <w:shd w:fill="FFDCE0" w:val="clear"/>
          </w:tcPr>
          <w:p>
            <w:r>
              <w:rPr>
                <w:sz w:val="17"/>
              </w:rPr>
              <w:t>40</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d'ETIT s'établit à 1 229,72 milliards FCFA, ce qui en fait l'une des valeurs les plus lourdes et les plus liquides de la BRVM, représentant un poids considérable dans l'indice composite. Avec un BPA de 19 FCFA, le titre se négocie à un PER de 3,6 fois, un niveau extrêmement attractif comparé à la moyenne du marché BRVM (8 à 12 fois), indiquant que les investisseurs paient peu pour chaque unité de bénéfice. Le P/B de 0,77 fois confirme cette sous-évaluation, le marché valorisant la société en dessous de sa valeur comptable, ce qui suggère une décote significative. Enfin, un EV/EBITDA de 5,0 fois est raisonnable et reflète une capacité opérationnelle solide, renforçant l'attrait de la valorisation actuelle du titre.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ETIT a enregistré une performance spectaculaire de +112,50%, avec une progression de +1,49% lors de la dernière séance, illustrant une dynamique haussière soutenue. Le cours a évolué dans une fourchette très large, entre un plus bas de 26 FCFA et un plus haut de 78 FCFA, démontrant une volatilité extrême et un intérêt marqué des investisseurs. La moyenne du cours sur la période est de 43 FCFA, tandis que la médiane est de 34 FCFA ; cet écart significatif, couplé à un skewness positif de 0,783, indique une distribution asymétrique avec des journées de forte hausse tirant la moyenne vers le haut. L'écart-type de 17 FCFA (CV de 38,8%) et la volatilité annualisée de 64,6% confirment un titre très risqué, tandis que le kurtosis négatif de -1,151 suggère une distribution aplatie, avec moins de valeurs extrêmes que la normale, mais une dispersion importante. La tendance générale est résolument haussière, soutenue par des volumes moyens élevés de 1,4 million de titres par jour.</w:t>
      </w:r>
    </w:p>
    <w:p>
      <w:pPr>
        <w:spacing w:after="120" w:line="276" w:lineRule="auto" w:before="240"/>
      </w:pPr>
      <w:r>
        <w:rPr>
          <w:b/>
          <w:color w:val="003366"/>
          <w:sz w:val="24"/>
        </w:rPr>
        <w:t>**PARTIE 2 : ANALYSE TECHNIQUE DÉTAILLÉE**</w:t>
      </w:r>
    </w:p>
    <w:p>
      <w:pPr>
        <w:spacing w:after="120" w:line="276" w:lineRule="auto"/>
      </w:pPr>
      <w:r>
        <w:t>Les moyennes mobiles sont en configuration haussière : la MM20 à 67,9 FCFA et la MM50 à 55,72 FCFA sont toutes deux inférieures au cours actuel de 68 FCFA, ce qui confirme la tendance ascendante et génère un signal d'achat. Le cours se maintient au-dessus de ses moyennes, indiquant une force relative du titre.</w:t>
      </w:r>
    </w:p>
    <w:p>
      <w:pPr>
        <w:spacing w:after="120" w:line="276" w:lineRule="auto"/>
      </w:pPr>
      <w:r>
        <w:t>Les bandes de Bollinger, avec une borne supérieure à 74,353 FCFA et une borne inférieure à 61,447 FCFA, encadrent un prix actuel de 68 FCFA. Le cours se situe dans la partie médiane-haute des bandes, suggérant une volatilité modérée et une position neutre, sans surachat ni survente immédiats.</w:t>
      </w:r>
    </w:p>
    <w:p>
      <w:pPr>
        <w:spacing w:after="120" w:line="276" w:lineRule="auto"/>
      </w:pPr>
      <w:r>
        <w:t>Le MACD affiche une valeur de 2,44, inférieure à son signal à 3,404, ce qui constitue un signal de vente. Cette divergence indique un ralentissement du momentum haussier, même si le MACD reste positif, suggérant une possible consolidation à court terme.</w:t>
      </w:r>
    </w:p>
    <w:p>
      <w:pPr>
        <w:spacing w:after="120" w:line="276" w:lineRule="auto"/>
      </w:pPr>
      <w:r>
        <w:t>Le RSI à 56,25 se situe dans la zone neutre (30-70), indiquant un équilibre entre pression acheteuse et vendeuse. Cette valeur ne montre ni surachat ni survente, laissant une marge de manœuvre pour une poursuite de la hausse ou une correction.</w:t>
      </w:r>
    </w:p>
    <w:p>
      <w:pPr>
        <w:spacing w:after="120" w:line="276" w:lineRule="auto"/>
      </w:pPr>
      <w:r>
        <w:t>Le stochastique, avec un %K à 80,0 et un %D à 53,333, montre que le %K est au-dessus du %D, ce qui est un signal positif. Cependant, la valeur élevée du %K approche la zone de surachat, suggérant une possible consolidation à court terme.</w:t>
      </w:r>
    </w:p>
    <w:p>
      <w:pPr>
        <w:spacing w:after="120" w:line="276" w:lineRule="auto"/>
      </w:pPr>
      <w:r>
        <w:t>En conclusion technique, les indicateurs sont mitigés : les moyennes mobiles sont haussières, mais le MACD et le stochastique signalent un essoufflement du momentum. Le RSI neutre et les bandes de Bollinger suggèrent une phase de consolidation après la forte hausse. La tendance de fond reste positive, mais un repli technique est possible à court terme.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d'ETIT (secteur banque) révèlent un Produit Net Bancaire (PNB) de 1 424,261 milliards FCFA, en croissance de 12,45%, et un résultat net de 345,523 milliards FCFA, démontrant une excellente rentabilité. Le coefficient d'exploitation de 27,35% est exceptionnel, bien en dessous du seuil de 60% considéré comme efficace, et le coût du risque de 18,97% reste élevé, indiquant un risque de crédit significatif à surveiller. Le ROE de 21,62% et le ROA de 1,80% confirment une gestion performante des fonds propres et des actifs. Les dépôts clientèle (14 120,139 milliards FCFA) couvrent largement les créances clientèle (6 570,385 milliards FCFA), assurant une transformation saine. Les rapports trimestriels confirment cette dynamique : le S1 2026 (rapport du 30 juin 2026) affiche un PNB de 721,318 milliards FCFA (+15%) et un résultat net de 166,682 milliards FCFA (+6%), avec un coefficient d'exploitation amélioré à 48,4%. Le T1 2026 (rapport du 31 mars 2026) montre un PNB en hausse de 23% à 636,2 millions $EU, mais un coût du risque en forte augmentation (+73%). Sur la base de ces rapports, on estime que l'exercice 2026 devrait voir le PNB dépasser 1 600 milliards FCFA, avec un résultat net en légère progression, malgré la hausse des provisions. La solidité financière est indéniable, mais la vigilance est requise sur la qualité des actifs.</w:t>
      </w:r>
    </w:p>
    <w:p>
      <w:pPr>
        <w:spacing w:after="120" w:line="276" w:lineRule="auto" w:before="240"/>
      </w:pPr>
      <w:r>
        <w:rPr>
          <w:b/>
          <w:color w:val="003366"/>
          <w:sz w:val="24"/>
        </w:rPr>
        <w:t>**PARTIE 4 : CONCLUSION D'INVESTISSEMENT**</w:t>
      </w:r>
    </w:p>
    <w:p>
      <w:pPr>
        <w:spacing w:after="120" w:line="276" w:lineRule="auto"/>
      </w:pPr>
      <w:r>
        <w:t>La valorisation d'ETIT est extrêmement attractive, avec un PER de 3,6x et un P/B de 0,77x, indiquant une nette sous-évaluation par rapport aux fondamentaux. Le comportement du cours sur 100 jours montre une tendance haussière spectaculaire de +112,50%, mais avec une volatilité très élevée (64,6%) et une distribution asymétrique, signalant un risque important. Les signaux techniques sont mitigés : les moyennes mobiles sont haussières, mais le MACD et le stochastique suggèrent un essoufflement du momentum, avec un RSI neutre. Les fondamentaux sont solides, avec une croissance du PNB de 12,45% en 2025 et des estimations de croissance pour 2026, malgré une hausse du coût du risque. Les prédictions IA pour les 10 prochains jours indiquent une chute brutale du cours, passant de 63 FCFA à 46 FCFA, ce qui contredit fortement la tendance haussière actuelle et suggère une correction imminente. Sur la base de cette synthèse, la recommandation finale est **CONSERVER**, car la sous-évaluation et les fondamentaux solides justifient de garder le titre, mais la divergence entre les signaux techniques, la volatilité extrême et les prédictions IA baissières imposent une prudence accrue. Le niveau de confiance est **Moyen**, le risque global est **Élevé**, et l'horizon d'investissement optimal est le **moyen terme (3-12 mois)**, en attendant une stabilisation du cours et une clarification de la trajectoire du coût du risque.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30.32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3,902 titres</w:t>
            </w:r>
          </w:p>
        </w:tc>
        <w:tc>
          <w:tcPr>
            <w:tcW w:type="dxa" w:w="2268"/>
            <w:shd w:fill="FFF2CC" w:val="clear"/>
          </w:tcPr>
          <w:p>
            <w:r>
              <w:rPr>
                <w:b/>
                <w:color w:val="503200"/>
                <w:sz w:val="16"/>
              </w:rPr>
              <w:t xml:space="preserve">Cours actuel : </w:t>
            </w:r>
            <w:r>
              <w:rPr>
                <w:color w:val="000000"/>
                <w:sz w:val="17"/>
              </w:rPr>
              <w:t>2,150 FCFA</w:t>
            </w:r>
          </w:p>
          <w:p>
            <w:r>
              <w:rPr>
                <w:b/>
                <w:color w:val="503200"/>
                <w:sz w:val="16"/>
              </w:rPr>
              <w:t xml:space="preserve">Var. 100 jours : </w:t>
            </w:r>
            <w:r>
              <w:rPr>
                <w:b/>
                <w:color w:val="B40000"/>
                <w:sz w:val="17"/>
              </w:rPr>
              <w:t>-8.32%</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6.61% (Moyenne) — μ=2,164 FCFA, σ=143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β=1.0934 (Neutre (suit le marché)) — Cov=0.000033, Var(idx)=0.000030, ρ=0.262,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3,902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σ_j=2.29%/j (Stable) — Vol. annualisée≈36.3%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2026-08-20</w:t>
            </w:r>
          </w:p>
        </w:tc>
        <w:tc>
          <w:tcPr>
            <w:tcW w:type="dxa" w:w="1440"/>
            <w:shd w:fill="FAFAFA" w:val="clear"/>
          </w:tcPr>
          <w:p>
            <w:r>
              <w:rPr>
                <w:sz w:val="17"/>
              </w:rPr>
              <w:t>2,092</w:t>
            </w:r>
          </w:p>
        </w:tc>
        <w:tc>
          <w:tcPr>
            <w:tcW w:type="dxa" w:w="1440"/>
            <w:shd w:fill="FAFAFA" w:val="clear"/>
          </w:tcPr>
          <w:p>
            <w:r>
              <w:rPr>
                <w:b/>
                <w:sz w:val="17"/>
              </w:rPr>
              <w:t>2,158</w:t>
            </w:r>
          </w:p>
        </w:tc>
        <w:tc>
          <w:tcPr>
            <w:tcW w:type="dxa" w:w="1440"/>
            <w:shd w:fill="FAFAFA" w:val="clear"/>
          </w:tcPr>
          <w:p>
            <w:r>
              <w:rPr>
                <w:sz w:val="17"/>
              </w:rPr>
              <w:t>2,224</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2026-08-21</w:t>
            </w:r>
          </w:p>
        </w:tc>
        <w:tc>
          <w:tcPr>
            <w:tcW w:type="dxa" w:w="1440"/>
            <w:shd w:fill="FAFAFA" w:val="clear"/>
          </w:tcPr>
          <w:p>
            <w:r>
              <w:rPr>
                <w:sz w:val="17"/>
              </w:rPr>
              <w:t>2,075</w:t>
            </w:r>
          </w:p>
        </w:tc>
        <w:tc>
          <w:tcPr>
            <w:tcW w:type="dxa" w:w="1440"/>
            <w:shd w:fill="FAFAFA" w:val="clear"/>
          </w:tcPr>
          <w:p>
            <w:r>
              <w:rPr>
                <w:b/>
                <w:sz w:val="17"/>
              </w:rPr>
              <w:t>2,169</w:t>
            </w:r>
          </w:p>
        </w:tc>
        <w:tc>
          <w:tcPr>
            <w:tcW w:type="dxa" w:w="1440"/>
            <w:shd w:fill="FAFAFA" w:val="clear"/>
          </w:tcPr>
          <w:p>
            <w:r>
              <w:rPr>
                <w:sz w:val="17"/>
              </w:rPr>
              <w:t>2,264</w:t>
            </w:r>
          </w:p>
        </w:tc>
        <w:tc>
          <w:tcPr>
            <w:tcW w:type="dxa" w:w="1440"/>
            <w:shd w:fill="FAFAFA" w:val="clear"/>
          </w:tcPr>
          <w:p>
            <w:r>
              <w:rPr>
                <w:b/>
                <w:color w:val="008000"/>
                <w:sz w:val="17"/>
              </w:rPr>
              <w:t>+0.9%</w:t>
            </w:r>
          </w:p>
        </w:tc>
      </w:tr>
      <w:tr>
        <w:tc>
          <w:tcPr>
            <w:tcW w:type="dxa" w:w="1440"/>
            <w:shd w:fill="FAFAFA" w:val="clear"/>
          </w:tcPr>
          <w:p>
            <w:r>
              <w:rPr>
                <w:sz w:val="17"/>
              </w:rPr>
              <w:t>J+3  ⭐⭐⭐</w:t>
            </w:r>
          </w:p>
        </w:tc>
        <w:tc>
          <w:tcPr>
            <w:tcW w:type="dxa" w:w="1440"/>
            <w:shd w:fill="FAFAFA" w:val="clear"/>
          </w:tcPr>
          <w:p>
            <w:r>
              <w:rPr>
                <w:sz w:val="17"/>
              </w:rPr>
              <w:t>2026-08-24</w:t>
            </w:r>
          </w:p>
        </w:tc>
        <w:tc>
          <w:tcPr>
            <w:tcW w:type="dxa" w:w="1440"/>
            <w:shd w:fill="FAFAFA" w:val="clear"/>
          </w:tcPr>
          <w:p>
            <w:r>
              <w:rPr>
                <w:sz w:val="17"/>
              </w:rPr>
              <w:t>2,063</w:t>
            </w:r>
          </w:p>
        </w:tc>
        <w:tc>
          <w:tcPr>
            <w:tcW w:type="dxa" w:w="1440"/>
            <w:shd w:fill="FAFAFA" w:val="clear"/>
          </w:tcPr>
          <w:p>
            <w:r>
              <w:rPr>
                <w:b/>
                <w:sz w:val="17"/>
              </w:rPr>
              <w:t>2,179</w:t>
            </w:r>
          </w:p>
        </w:tc>
        <w:tc>
          <w:tcPr>
            <w:tcW w:type="dxa" w:w="1440"/>
            <w:shd w:fill="FAFAFA" w:val="clear"/>
          </w:tcPr>
          <w:p>
            <w:r>
              <w:rPr>
                <w:sz w:val="17"/>
              </w:rPr>
              <w:t>2,295</w:t>
            </w:r>
          </w:p>
        </w:tc>
        <w:tc>
          <w:tcPr>
            <w:tcW w:type="dxa" w:w="1440"/>
            <w:shd w:fill="FAFAFA" w:val="clear"/>
          </w:tcPr>
          <w:p>
            <w:r>
              <w:rPr>
                <w:b/>
                <w:color w:val="008000"/>
                <w:sz w:val="17"/>
              </w:rPr>
              <w:t>+1.4%</w:t>
            </w:r>
          </w:p>
        </w:tc>
      </w:tr>
      <w:tr>
        <w:tc>
          <w:tcPr>
            <w:tcW w:type="dxa" w:w="1440"/>
            <w:shd w:fill="FAFAFA" w:val="clear"/>
          </w:tcPr>
          <w:p>
            <w:r>
              <w:rPr>
                <w:sz w:val="17"/>
              </w:rPr>
              <w:t>J+4  Moyenne</w:t>
            </w:r>
          </w:p>
        </w:tc>
        <w:tc>
          <w:tcPr>
            <w:tcW w:type="dxa" w:w="1440"/>
            <w:shd w:fill="FAFAFA" w:val="clear"/>
          </w:tcPr>
          <w:p>
            <w:r>
              <w:rPr>
                <w:sz w:val="17"/>
              </w:rPr>
              <w:t>2026-08-25</w:t>
            </w:r>
          </w:p>
        </w:tc>
        <w:tc>
          <w:tcPr>
            <w:tcW w:type="dxa" w:w="1440"/>
            <w:shd w:fill="FAFAFA" w:val="clear"/>
          </w:tcPr>
          <w:p>
            <w:r>
              <w:rPr>
                <w:sz w:val="17"/>
              </w:rPr>
              <w:t>2,054</w:t>
            </w:r>
          </w:p>
        </w:tc>
        <w:tc>
          <w:tcPr>
            <w:tcW w:type="dxa" w:w="1440"/>
            <w:shd w:fill="FAFAFA" w:val="clear"/>
          </w:tcPr>
          <w:p>
            <w:r>
              <w:rPr>
                <w:b/>
                <w:sz w:val="17"/>
              </w:rPr>
              <w:t>2,189</w:t>
            </w:r>
          </w:p>
        </w:tc>
        <w:tc>
          <w:tcPr>
            <w:tcW w:type="dxa" w:w="1440"/>
            <w:shd w:fill="FAFAFA" w:val="clear"/>
          </w:tcPr>
          <w:p>
            <w:r>
              <w:rPr>
                <w:sz w:val="17"/>
              </w:rPr>
              <w:t>2,323</w:t>
            </w:r>
          </w:p>
        </w:tc>
        <w:tc>
          <w:tcPr>
            <w:tcW w:type="dxa" w:w="1440"/>
            <w:shd w:fill="FAFAFA" w:val="clear"/>
          </w:tcPr>
          <w:p>
            <w:r>
              <w:rPr>
                <w:b/>
                <w:color w:val="008000"/>
                <w:sz w:val="17"/>
              </w:rPr>
              <w:t>+1.8%</w:t>
            </w:r>
          </w:p>
        </w:tc>
      </w:tr>
      <w:tr>
        <w:tc>
          <w:tcPr>
            <w:tcW w:type="dxa" w:w="1440"/>
            <w:shd w:fill="C6EFCE" w:val="clear"/>
          </w:tcPr>
          <w:p>
            <w:r>
              <w:rPr>
                <w:sz w:val="17"/>
              </w:rPr>
              <w:t>J+5  Moyenne</w:t>
            </w:r>
          </w:p>
        </w:tc>
        <w:tc>
          <w:tcPr>
            <w:tcW w:type="dxa" w:w="1440"/>
            <w:shd w:fill="C6EFCE" w:val="clear"/>
          </w:tcPr>
          <w:p>
            <w:r>
              <w:rPr>
                <w:sz w:val="17"/>
              </w:rPr>
              <w:t>2026-08-27</w:t>
            </w:r>
          </w:p>
        </w:tc>
        <w:tc>
          <w:tcPr>
            <w:tcW w:type="dxa" w:w="1440"/>
            <w:shd w:fill="C6EFCE" w:val="clear"/>
          </w:tcPr>
          <w:p>
            <w:r>
              <w:rPr>
                <w:sz w:val="17"/>
              </w:rPr>
              <w:t>2,047</w:t>
            </w:r>
          </w:p>
        </w:tc>
        <w:tc>
          <w:tcPr>
            <w:tcW w:type="dxa" w:w="1440"/>
            <w:shd w:fill="C6EFCE" w:val="clear"/>
          </w:tcPr>
          <w:p>
            <w:r>
              <w:rPr>
                <w:b/>
                <w:sz w:val="17"/>
              </w:rPr>
              <w:t>2,198</w:t>
            </w:r>
          </w:p>
        </w:tc>
        <w:tc>
          <w:tcPr>
            <w:tcW w:type="dxa" w:w="1440"/>
            <w:shd w:fill="C6EFCE" w:val="clear"/>
          </w:tcPr>
          <w:p>
            <w:r>
              <w:rPr>
                <w:sz w:val="17"/>
              </w:rPr>
              <w:t>2,349</w:t>
            </w:r>
          </w:p>
        </w:tc>
        <w:tc>
          <w:tcPr>
            <w:tcW w:type="dxa" w:w="1440"/>
            <w:shd w:fill="C6EFCE" w:val="clear"/>
          </w:tcPr>
          <w:p>
            <w:r>
              <w:rPr>
                <w:b/>
                <w:color w:val="008000"/>
                <w:sz w:val="17"/>
              </w:rPr>
              <w:t>+2.3%</w:t>
            </w:r>
          </w:p>
        </w:tc>
      </w:tr>
      <w:tr>
        <w:tc>
          <w:tcPr>
            <w:tcW w:type="dxa" w:w="1440"/>
            <w:shd w:fill="C6EFCE" w:val="clear"/>
          </w:tcPr>
          <w:p>
            <w:r>
              <w:rPr>
                <w:sz w:val="17"/>
              </w:rPr>
              <w:t>J+6  Moyenne</w:t>
            </w:r>
          </w:p>
        </w:tc>
        <w:tc>
          <w:tcPr>
            <w:tcW w:type="dxa" w:w="1440"/>
            <w:shd w:fill="C6EFCE" w:val="clear"/>
          </w:tcPr>
          <w:p>
            <w:r>
              <w:rPr>
                <w:sz w:val="17"/>
              </w:rPr>
              <w:t>2026-08-28</w:t>
            </w:r>
          </w:p>
        </w:tc>
        <w:tc>
          <w:tcPr>
            <w:tcW w:type="dxa" w:w="1440"/>
            <w:shd w:fill="C6EFCE" w:val="clear"/>
          </w:tcPr>
          <w:p>
            <w:r>
              <w:rPr>
                <w:sz w:val="17"/>
              </w:rPr>
              <w:t>2,042</w:t>
            </w:r>
          </w:p>
        </w:tc>
        <w:tc>
          <w:tcPr>
            <w:tcW w:type="dxa" w:w="1440"/>
            <w:shd w:fill="C6EFCE" w:val="clear"/>
          </w:tcPr>
          <w:p>
            <w:r>
              <w:rPr>
                <w:b/>
                <w:sz w:val="17"/>
              </w:rPr>
              <w:t>2,208</w:t>
            </w:r>
          </w:p>
        </w:tc>
        <w:tc>
          <w:tcPr>
            <w:tcW w:type="dxa" w:w="1440"/>
            <w:shd w:fill="C6EFCE" w:val="clear"/>
          </w:tcPr>
          <w:p>
            <w:r>
              <w:rPr>
                <w:sz w:val="17"/>
              </w:rPr>
              <w:t>2,374</w:t>
            </w:r>
          </w:p>
        </w:tc>
        <w:tc>
          <w:tcPr>
            <w:tcW w:type="dxa" w:w="1440"/>
            <w:shd w:fill="C6EFCE" w:val="clear"/>
          </w:tcPr>
          <w:p>
            <w:r>
              <w:rPr>
                <w:b/>
                <w:color w:val="008000"/>
                <w:sz w:val="17"/>
              </w:rPr>
              <w:t>+2.7%</w:t>
            </w:r>
          </w:p>
        </w:tc>
      </w:tr>
      <w:tr>
        <w:tc>
          <w:tcPr>
            <w:tcW w:type="dxa" w:w="1440"/>
            <w:shd w:fill="C6EFCE" w:val="clear"/>
          </w:tcPr>
          <w:p>
            <w:r>
              <w:rPr>
                <w:sz w:val="17"/>
              </w:rPr>
              <w:t>J+7  Moyenne</w:t>
            </w:r>
          </w:p>
        </w:tc>
        <w:tc>
          <w:tcPr>
            <w:tcW w:type="dxa" w:w="1440"/>
            <w:shd w:fill="C6EFCE" w:val="clear"/>
          </w:tcPr>
          <w:p>
            <w:r>
              <w:rPr>
                <w:sz w:val="17"/>
              </w:rPr>
              <w:t>2026-08-31</w:t>
            </w:r>
          </w:p>
        </w:tc>
        <w:tc>
          <w:tcPr>
            <w:tcW w:type="dxa" w:w="1440"/>
            <w:shd w:fill="C6EFCE" w:val="clear"/>
          </w:tcPr>
          <w:p>
            <w:r>
              <w:rPr>
                <w:sz w:val="17"/>
              </w:rPr>
              <w:t>2,037</w:t>
            </w:r>
          </w:p>
        </w:tc>
        <w:tc>
          <w:tcPr>
            <w:tcW w:type="dxa" w:w="1440"/>
            <w:shd w:fill="C6EFCE" w:val="clear"/>
          </w:tcPr>
          <w:p>
            <w:r>
              <w:rPr>
                <w:b/>
                <w:sz w:val="17"/>
              </w:rPr>
              <w:t>2,217</w:t>
            </w:r>
          </w:p>
        </w:tc>
        <w:tc>
          <w:tcPr>
            <w:tcW w:type="dxa" w:w="1440"/>
            <w:shd w:fill="C6EFCE" w:val="clear"/>
          </w:tcPr>
          <w:p>
            <w:r>
              <w:rPr>
                <w:sz w:val="17"/>
              </w:rPr>
              <w:t>2,397</w:t>
            </w:r>
          </w:p>
        </w:tc>
        <w:tc>
          <w:tcPr>
            <w:tcW w:type="dxa" w:w="1440"/>
            <w:shd w:fill="C6EFCE" w:val="clear"/>
          </w:tcPr>
          <w:p>
            <w:r>
              <w:rPr>
                <w:b/>
                <w:color w:val="008000"/>
                <w:sz w:val="17"/>
              </w:rPr>
              <w:t>+3.1%</w:t>
            </w:r>
          </w:p>
        </w:tc>
      </w:tr>
      <w:tr>
        <w:tc>
          <w:tcPr>
            <w:tcW w:type="dxa" w:w="1440"/>
            <w:shd w:fill="C6EFCE" w:val="clear"/>
          </w:tcPr>
          <w:p>
            <w:r>
              <w:rPr>
                <w:sz w:val="17"/>
              </w:rPr>
              <w:t>J+8  Moyenne</w:t>
            </w:r>
          </w:p>
        </w:tc>
        <w:tc>
          <w:tcPr>
            <w:tcW w:type="dxa" w:w="1440"/>
            <w:shd w:fill="C6EFCE" w:val="clear"/>
          </w:tcPr>
          <w:p>
            <w:r>
              <w:rPr>
                <w:sz w:val="17"/>
              </w:rPr>
              <w:t>2026-09-01</w:t>
            </w:r>
          </w:p>
        </w:tc>
        <w:tc>
          <w:tcPr>
            <w:tcW w:type="dxa" w:w="1440"/>
            <w:shd w:fill="C6EFCE" w:val="clear"/>
          </w:tcPr>
          <w:p>
            <w:r>
              <w:rPr>
                <w:sz w:val="17"/>
              </w:rPr>
              <w:t>2,033</w:t>
            </w:r>
          </w:p>
        </w:tc>
        <w:tc>
          <w:tcPr>
            <w:tcW w:type="dxa" w:w="1440"/>
            <w:shd w:fill="C6EFCE" w:val="clear"/>
          </w:tcPr>
          <w:p>
            <w:r>
              <w:rPr>
                <w:b/>
                <w:sz w:val="17"/>
              </w:rPr>
              <w:t>2,227</w:t>
            </w:r>
          </w:p>
        </w:tc>
        <w:tc>
          <w:tcPr>
            <w:tcW w:type="dxa" w:w="1440"/>
            <w:shd w:fill="C6EFCE" w:val="clear"/>
          </w:tcPr>
          <w:p>
            <w:r>
              <w:rPr>
                <w:sz w:val="17"/>
              </w:rPr>
              <w:t>2,420</w:t>
            </w:r>
          </w:p>
        </w:tc>
        <w:tc>
          <w:tcPr>
            <w:tcW w:type="dxa" w:w="1440"/>
            <w:shd w:fill="C6EFCE" w:val="clear"/>
          </w:tcPr>
          <w:p>
            <w:r>
              <w:rPr>
                <w:b/>
                <w:color w:val="008000"/>
                <w:sz w:val="17"/>
              </w:rPr>
              <w:t>+3.6%</w:t>
            </w:r>
          </w:p>
        </w:tc>
      </w:tr>
      <w:tr>
        <w:tc>
          <w:tcPr>
            <w:tcW w:type="dxa" w:w="1440"/>
            <w:shd w:fill="C6EFCE" w:val="clear"/>
          </w:tcPr>
          <w:p>
            <w:r>
              <w:rPr>
                <w:sz w:val="17"/>
              </w:rPr>
              <w:t>J+9  Moyenne</w:t>
            </w:r>
          </w:p>
        </w:tc>
        <w:tc>
          <w:tcPr>
            <w:tcW w:type="dxa" w:w="1440"/>
            <w:shd w:fill="C6EFCE" w:val="clear"/>
          </w:tcPr>
          <w:p>
            <w:r>
              <w:rPr>
                <w:sz w:val="17"/>
              </w:rPr>
              <w:t>2026-09-02</w:t>
            </w:r>
          </w:p>
        </w:tc>
        <w:tc>
          <w:tcPr>
            <w:tcW w:type="dxa" w:w="1440"/>
            <w:shd w:fill="C6EFCE" w:val="clear"/>
          </w:tcPr>
          <w:p>
            <w:r>
              <w:rPr>
                <w:sz w:val="17"/>
              </w:rPr>
              <w:t>2,030</w:t>
            </w:r>
          </w:p>
        </w:tc>
        <w:tc>
          <w:tcPr>
            <w:tcW w:type="dxa" w:w="1440"/>
            <w:shd w:fill="C6EFCE" w:val="clear"/>
          </w:tcPr>
          <w:p>
            <w:r>
              <w:rPr>
                <w:b/>
                <w:sz w:val="17"/>
              </w:rPr>
              <w:t>2,236</w:t>
            </w:r>
          </w:p>
        </w:tc>
        <w:tc>
          <w:tcPr>
            <w:tcW w:type="dxa" w:w="1440"/>
            <w:shd w:fill="C6EFCE" w:val="clear"/>
          </w:tcPr>
          <w:p>
            <w:r>
              <w:rPr>
                <w:sz w:val="17"/>
              </w:rPr>
              <w:t>2,442</w:t>
            </w:r>
          </w:p>
        </w:tc>
        <w:tc>
          <w:tcPr>
            <w:tcW w:type="dxa" w:w="1440"/>
            <w:shd w:fill="C6EFCE" w:val="clear"/>
          </w:tcPr>
          <w:p>
            <w:r>
              <w:rPr>
                <w:b/>
                <w:color w:val="008000"/>
                <w:sz w:val="17"/>
              </w:rPr>
              <w:t>+4.0%</w:t>
            </w:r>
          </w:p>
        </w:tc>
      </w:tr>
      <w:tr>
        <w:tc>
          <w:tcPr>
            <w:tcW w:type="dxa" w:w="1440"/>
            <w:shd w:fill="C6EFCE" w:val="clear"/>
          </w:tcPr>
          <w:p>
            <w:r>
              <w:rPr>
                <w:sz w:val="17"/>
              </w:rPr>
              <w:t>J+10  Moyenne</w:t>
            </w:r>
          </w:p>
        </w:tc>
        <w:tc>
          <w:tcPr>
            <w:tcW w:type="dxa" w:w="1440"/>
            <w:shd w:fill="C6EFCE" w:val="clear"/>
          </w:tcPr>
          <w:p>
            <w:r>
              <w:rPr>
                <w:sz w:val="17"/>
              </w:rPr>
              <w:t>2026-09-03</w:t>
            </w:r>
          </w:p>
        </w:tc>
        <w:tc>
          <w:tcPr>
            <w:tcW w:type="dxa" w:w="1440"/>
            <w:shd w:fill="C6EFCE" w:val="clear"/>
          </w:tcPr>
          <w:p>
            <w:r>
              <w:rPr>
                <w:sz w:val="17"/>
              </w:rPr>
              <w:t>2,028</w:t>
            </w:r>
          </w:p>
        </w:tc>
        <w:tc>
          <w:tcPr>
            <w:tcW w:type="dxa" w:w="1440"/>
            <w:shd w:fill="C6EFCE" w:val="clear"/>
          </w:tcPr>
          <w:p>
            <w:r>
              <w:rPr>
                <w:b/>
                <w:sz w:val="17"/>
              </w:rPr>
              <w:t>2,246</w:t>
            </w:r>
          </w:p>
        </w:tc>
        <w:tc>
          <w:tcPr>
            <w:tcW w:type="dxa" w:w="1440"/>
            <w:shd w:fill="C6EFCE" w:val="clear"/>
          </w:tcPr>
          <w:p>
            <w:r>
              <w:rPr>
                <w:sz w:val="17"/>
              </w:rPr>
              <w:t>2,464</w:t>
            </w:r>
          </w:p>
        </w:tc>
        <w:tc>
          <w:tcPr>
            <w:tcW w:type="dxa" w:w="1440"/>
            <w:shd w:fill="C6EFCE" w:val="clear"/>
          </w:tcPr>
          <w:p>
            <w:r>
              <w:rPr>
                <w:b/>
                <w:color w:val="008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Absolument. Voici le rapport d'analyse professionnel pour l'action FTSC (FILTISAC CI)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FTSC s'établit à 30,32 milliards FCFA, un niveau modeste qui la classe parmi les valeurs de taille moyenne sur la BRVM. Avec un BPA de seulement 33 FCFA, le bénéfice par action est très faible, ce qui explique un PER extrêmement élevé de 65,1x. Ce ratio est plus de 5 fois supérieur à la moyenne du marché BRVM (8-12x), indiquant que les investisseurs paient un prix très cher pour chaque franc de bénéfice généré, signe d'une surévaluation flagrante par rapport aux profits actuels. Le P/B de 1,93x, bien que plus raisonnable, valorise tout de même la société à près du double de sa valeur comptable. Enfin, un EV/EBITDA de 38,1x confirme cette cherté, la valeur de l'entreprise étant très exigeante par rapport à sa capacité opérationnelle brute. L'ensemble de ces ratios suggère que le marché intègre des perspectives de croissance future très optimistes, non reflétées dans les fondamentaux actuels.</w:t>
      </w:r>
    </w:p>
    <w:p>
      <w:pPr>
        <w:spacing w:after="120" w:line="276" w:lineRule="auto"/>
      </w:pPr>
      <w:r>
        <w:t>### PARTIE 1 : ANALYSE DU COURS — STATISTIQUES ET ÉVOLUTION (100 derniers jours)</w:t>
      </w:r>
    </w:p>
    <w:p>
      <w:pPr>
        <w:spacing w:after="120" w:line="276" w:lineRule="auto"/>
      </w:pPr>
      <w:r>
        <w:t>Sur les 100 derniers jours, l'action FTSC a enregistré une baisse de 8,32%, mais a rebondi de +1,42% lors de la dernière séance, clôturant à 2 150 FCFA. Le titre a évolué dans une fourchette de 1 910 à 2 430 FCFA, montrant une amplitude de trading significative. La moyenne (2 164 FCFA) et la médiane (2 195 FCFA) sont proches, indiquant une distribution des prix relativement symétrique, ce que confirme le skewness de -0,166. L'écart-type de 144 FCFA (CV=6,6%) révèle une dispersion modérée autour de la moyenne. Le kurtosis négatif (-1,235) signale une distribution platykurtique, c'est-à-dire avec des queues plus fines qu'une normale, réduisant la probabilité de variations extrêmes. La volatilité annualisée de 36,3% est élevée (&gt;30%), ce qui positionne FTSC comme un titre à fort risque de fluctuation, malgré une distribution statistique des prix récents relativement stable.</w:t>
      </w:r>
    </w:p>
    <w:p>
      <w:pPr>
        <w:spacing w:after="120" w:line="276" w:lineRule="auto"/>
      </w:pPr>
      <w:r>
        <w:t>### PARTIE 2 : ANALYSE TECHNIQUE DÉTAILLÉE</w:t>
      </w:r>
    </w:p>
    <w:p>
      <w:pPr>
        <w:spacing w:after="120" w:line="276" w:lineRule="auto"/>
      </w:pPr>
      <w:r>
        <w:t>**Moyennes Mobiles:** Le cours actuel (2 150 FCFA) est nettement supérieur aux MM20 (2 044,75) et MM50 (2 049,4), ce qui est un signal haussier à court terme. Cependant, la décision globale est "Vente", ce qui suggère que cette configuration pourrait être un rebond technique au sein d'une tendance de fond plus baissière, ou que les moyennes mobiles sont en train de se croiser à la baisse.</w:t>
      </w:r>
    </w:p>
    <w:p>
      <w:pPr>
        <w:spacing w:after="120" w:line="276" w:lineRule="auto"/>
      </w:pPr>
      <w:r>
        <w:t>**Bandes de Bollinger:** Le prix se situe à 2 150 FCFA, entre la borne inférieure (1 837,73) et la borne supérieure (2 251,77), mais plus près de cette dernière. La décision "Neutre" indique que le cours évolue dans la moitié supérieure de la bande, sans pression excessive, dans un contexte de volatilité modérée. Le rétrécissement des bandes pourrait précéder un mouvement directionnel.</w:t>
      </w:r>
    </w:p>
    <w:p>
      <w:pPr>
        <w:spacing w:after="120" w:line="276" w:lineRule="auto"/>
      </w:pPr>
      <w:r>
        <w:t>**MACD:** La valeur du MACD (37,844) est supérieure à sa ligne de signal (19,739), avec les deux indicateurs en territoire positif. Cette configuration est un signal classique d'achat, indiquant un momentum haussier en cours. La dynamique positive du MACD suggère que la pression acheteuse est actuellement dominante.</w:t>
      </w:r>
    </w:p>
    <w:p>
      <w:pPr>
        <w:spacing w:after="120" w:line="276" w:lineRule="auto"/>
      </w:pPr>
      <w:r>
        <w:t>**RSI:** Avec une valeur de 66,07, le RSI est en territoire neutre mais proche de la zone de surachat (70). Cela indique une dynamique haussière soutenue sans pour autant être excessive. La décision "Neutre" suggère que le titre n'est ni survendu ni suracheté, laissant une marge de progression avant une éventuelle correction.</w:t>
      </w:r>
    </w:p>
    <w:p>
      <w:pPr>
        <w:spacing w:after="120" w:line="276" w:lineRule="auto"/>
      </w:pPr>
      <w:r>
        <w:t>**Stochastique:** Le %K (85,71) et le %D (82,14) sont tous deux très élevés, en zone de surachat. La décision "Vente" est justifiée par ce niveau extrême, qui signale un épuisement potentiel de la dynamique haussière à court terme et augmente la probabilité d'un repli technique.</w:t>
      </w:r>
    </w:p>
    <w:p>
      <w:pPr>
        <w:spacing w:after="120" w:line="276" w:lineRule="auto"/>
      </w:pPr>
      <w:r>
        <w:t>**Conclusion technique :** Les signaux sont mitigés. Le MACD et la position du cours au-dessus des moyennes mobiles plaident pour une dynamique haussière. Cependant, le RSI proche du surachat et surtout le Stochastique en zone de surachat extrême suggèrent un risque de correction à très court terme. La décision "Vente" sur les moyennes mobiles ajoute à la prudence. Le scénario le plus probable est une consolidation ou un léger repli avant une reprise de la tendance, à moins que le momentum n'emporte le titre vers le haut.</w:t>
      </w:r>
    </w:p>
    <w:p>
      <w:pPr>
        <w:spacing w:after="120" w:line="276" w:lineRule="auto"/>
      </w:pPr>
      <w:r>
        <w:t>### PARTIE 3 : ANALYSE FONDAMENTALE (SECTION CRITIQUE)</w:t>
      </w:r>
    </w:p>
    <w:p>
      <w:pPr>
        <w:spacing w:after="120" w:line="276" w:lineRule="auto"/>
      </w:pPr>
      <w:r>
        <w:t>En 2025, les données financières structurées de FTSC révèlent une situation contrastée. Le chiffre d'affaires a progressé de 4,6% pour atteindre 32,109 milliards FCFA, mais la rentabilité reste très faible avec un résultat net de seulement 465,98 millions FCFA, soit une marge nette de 1,45%. Le ROE est de 2,97% et le ROA de 1,19%, tous deux très inférieurs aux standards de qualité (&gt;15% pour le ROE). La structure financière montre une autonomie correcte (40,1% de capitaux propres) mais une trésorerie nette fortement négative de -11,528 milliards FCFA, suite au versement de dividendes massifs en 2024. Les délais de paiement clients (213,7 jours) et de stockage (214,6 jours) sont très élevés, immobilisant le capital et créant un besoin en fonds de roulement important (11,529 milliards FCFA). Les rapports trimestriels de 2025 confirment cette fragilité : le T1 2025 (CA 5,745 Mds, Résultat d'exploitation -78 M) et le T3 2025 (Résultat courant -216 M) montrent des performances opérationnelles déficitaires. Le rapport annuel 2024 soulignait déjà que le bénéfice exceptionnel de 18,6 milliards était artificiel, issu de cessions de filiales. Le rapport T1 2026 (publié en 2026) montre une amélioration du CA (+55% à 8,901 Mds) et un résultat d'exploitation positif (75 M), mais un résultat net encore déficitaire (-154 M). On estime que l'exercice 2026 pourrait voir une amélioration opérationnelle, mais la rentabilité nette restera sous pression tant que les charges financières et la dépréciation des actifs ne seront pas maîtrisées.</w:t>
      </w:r>
    </w:p>
    <w:p>
      <w:pPr>
        <w:spacing w:after="120" w:line="276" w:lineRule="auto"/>
      </w:pPr>
      <w:r>
        <w:t>### PARTIE 4 : CONCLUSION D'INVESTISSEMENT</w:t>
      </w:r>
    </w:p>
    <w:p>
      <w:pPr>
        <w:spacing w:after="120" w:line="276" w:lineRule="auto"/>
      </w:pPr>
      <w:r>
        <w:t>La synthèse des analyses fait ressortir une divergence majeure entre la valorisation boursière, les signaux techniques et les fondamentaux. La valorisation (PER de 65x, EV/EBITDA de 38x) est extrêmement exigeante et surévalue la société par rapport à ses bénéfices actuels. Le comportement du cours montre une tendance baissière sur 100 jours avec une volatilité élevée, mais les statistiques récentes (kurtosis, skewness) suggèrent une distribution stable. Les signaux techniques sont mitigés : le MACD est haussier mais le Stochastique est en surachat, indiquant un possible repli à court terme. Les fondamentaux sont préoccupants : la rentabilité opérationnelle est faible, la trésorerie est négative et les délais de paiement sont très longs. Les prédictions IA (2 158 à 2 198 FCFA sur 10 jours) suggèrent une légère hausse, ce qui contredit la prudence fondamentale mais pourrait refléter un momentum technique à court terme. En conclusion, la recommandation est **VENTE**. La convergence entre la surévaluation flagrante, la faiblesse des fondamentaux et les risques de liquidité l'emporte sur les signaux techniques et les prédictions à court terme. Le niveau de confiance est **Moyen** et le risque global est **Élevé**. L'horizon d'investissement optimal est le **long terme (&gt;1 an)**, mais uniquement après une amélioration significative et durable de la rentabilité opérationnelle et de la structure de trésorerie.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83.60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3,180 titres</w:t>
            </w:r>
          </w:p>
        </w:tc>
        <w:tc>
          <w:tcPr>
            <w:tcW w:type="dxa" w:w="2268"/>
            <w:shd w:fill="FFF2CC" w:val="clear"/>
          </w:tcPr>
          <w:p>
            <w:r>
              <w:rPr>
                <w:b/>
                <w:color w:val="503200"/>
                <w:sz w:val="16"/>
              </w:rPr>
              <w:t xml:space="preserve">Cours actuel : </w:t>
            </w:r>
            <w:r>
              <w:rPr>
                <w:color w:val="000000"/>
                <w:sz w:val="17"/>
              </w:rPr>
              <w:t>4,180 FCFA</w:t>
            </w:r>
          </w:p>
          <w:p>
            <w:r>
              <w:rPr>
                <w:b/>
                <w:color w:val="503200"/>
                <w:sz w:val="16"/>
              </w:rPr>
              <w:t xml:space="preserve">Var. 100 jours : </w:t>
            </w:r>
            <w:r>
              <w:rPr>
                <w:b/>
                <w:color w:val="007800"/>
                <w:sz w:val="17"/>
              </w:rPr>
              <w:t>+11.02%</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36.2%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5.14% (Moyenne) — μ=4,041 FCFA, σ=208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β=0.0253 (Défensif) — Cov=0.000001, Var(idx)=0.000030, ρ=0.006,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3,180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2026-08-20</w:t>
            </w:r>
          </w:p>
        </w:tc>
        <w:tc>
          <w:tcPr>
            <w:tcW w:type="dxa" w:w="1440"/>
            <w:shd w:fill="FFDCE0" w:val="clear"/>
          </w:tcPr>
          <w:p>
            <w:r>
              <w:rPr>
                <w:sz w:val="17"/>
              </w:rPr>
              <w:t>3,841</w:t>
            </w:r>
          </w:p>
        </w:tc>
        <w:tc>
          <w:tcPr>
            <w:tcW w:type="dxa" w:w="1440"/>
            <w:shd w:fill="FFDCE0" w:val="clear"/>
          </w:tcPr>
          <w:p>
            <w:r>
              <w:rPr>
                <w:b/>
                <w:sz w:val="17"/>
              </w:rPr>
              <w:t>4,051</w:t>
            </w:r>
          </w:p>
        </w:tc>
        <w:tc>
          <w:tcPr>
            <w:tcW w:type="dxa" w:w="1440"/>
            <w:shd w:fill="FFDCE0" w:val="clear"/>
          </w:tcPr>
          <w:p>
            <w:r>
              <w:rPr>
                <w:sz w:val="17"/>
              </w:rPr>
              <w:t>4,262</w:t>
            </w:r>
          </w:p>
        </w:tc>
        <w:tc>
          <w:tcPr>
            <w:tcW w:type="dxa" w:w="1440"/>
            <w:shd w:fill="FFDCE0" w:val="clear"/>
          </w:tcPr>
          <w:p>
            <w:r>
              <w:rPr>
                <w:b/>
                <w:color w:val="C00000"/>
                <w:sz w:val="17"/>
              </w:rPr>
              <w:t>-3.1%</w:t>
            </w:r>
          </w:p>
        </w:tc>
      </w:tr>
      <w:tr>
        <w:tc>
          <w:tcPr>
            <w:tcW w:type="dxa" w:w="1440"/>
            <w:shd w:fill="FFDCE0" w:val="clear"/>
          </w:tcPr>
          <w:p>
            <w:r>
              <w:rPr>
                <w:sz w:val="17"/>
              </w:rPr>
              <w:t>J+2  Moyenne</w:t>
            </w:r>
          </w:p>
        </w:tc>
        <w:tc>
          <w:tcPr>
            <w:tcW w:type="dxa" w:w="1440"/>
            <w:shd w:fill="FFDCE0" w:val="clear"/>
          </w:tcPr>
          <w:p>
            <w:r>
              <w:rPr>
                <w:sz w:val="17"/>
              </w:rPr>
              <w:t>2026-08-21</w:t>
            </w:r>
          </w:p>
        </w:tc>
        <w:tc>
          <w:tcPr>
            <w:tcW w:type="dxa" w:w="1440"/>
            <w:shd w:fill="FFDCE0" w:val="clear"/>
          </w:tcPr>
          <w:p>
            <w:r>
              <w:rPr>
                <w:sz w:val="17"/>
              </w:rPr>
              <w:t>3,730</w:t>
            </w:r>
          </w:p>
        </w:tc>
        <w:tc>
          <w:tcPr>
            <w:tcW w:type="dxa" w:w="1440"/>
            <w:shd w:fill="FFDCE0" w:val="clear"/>
          </w:tcPr>
          <w:p>
            <w:r>
              <w:rPr>
                <w:b/>
                <w:sz w:val="17"/>
              </w:rPr>
              <w:t>4,026</w:t>
            </w:r>
          </w:p>
        </w:tc>
        <w:tc>
          <w:tcPr>
            <w:tcW w:type="dxa" w:w="1440"/>
            <w:shd w:fill="FFDCE0" w:val="clear"/>
          </w:tcPr>
          <w:p>
            <w:r>
              <w:rPr>
                <w:sz w:val="17"/>
              </w:rPr>
              <w:t>4,322</w:t>
            </w:r>
          </w:p>
        </w:tc>
        <w:tc>
          <w:tcPr>
            <w:tcW w:type="dxa" w:w="1440"/>
            <w:shd w:fill="FFDCE0" w:val="clear"/>
          </w:tcPr>
          <w:p>
            <w:r>
              <w:rPr>
                <w:b/>
                <w:color w:val="C00000"/>
                <w:sz w:val="17"/>
              </w:rPr>
              <w:t>-3.7%</w:t>
            </w:r>
          </w:p>
        </w:tc>
      </w:tr>
      <w:tr>
        <w:tc>
          <w:tcPr>
            <w:tcW w:type="dxa" w:w="1440"/>
            <w:shd w:fill="FFDCE0" w:val="clear"/>
          </w:tcPr>
          <w:p>
            <w:r>
              <w:rPr>
                <w:sz w:val="17"/>
              </w:rPr>
              <w:t>J+3  Moyenne</w:t>
            </w:r>
          </w:p>
        </w:tc>
        <w:tc>
          <w:tcPr>
            <w:tcW w:type="dxa" w:w="1440"/>
            <w:shd w:fill="FFDCE0" w:val="clear"/>
          </w:tcPr>
          <w:p>
            <w:r>
              <w:rPr>
                <w:sz w:val="17"/>
              </w:rPr>
              <w:t>2026-08-24</w:t>
            </w:r>
          </w:p>
        </w:tc>
        <w:tc>
          <w:tcPr>
            <w:tcW w:type="dxa" w:w="1440"/>
            <w:shd w:fill="FFDCE0" w:val="clear"/>
          </w:tcPr>
          <w:p>
            <w:r>
              <w:rPr>
                <w:sz w:val="17"/>
              </w:rPr>
              <w:t>3,651</w:t>
            </w:r>
          </w:p>
        </w:tc>
        <w:tc>
          <w:tcPr>
            <w:tcW w:type="dxa" w:w="1440"/>
            <w:shd w:fill="FFDCE0" w:val="clear"/>
          </w:tcPr>
          <w:p>
            <w:r>
              <w:rPr>
                <w:b/>
                <w:sz w:val="17"/>
              </w:rPr>
              <w:t>4,013</w:t>
            </w:r>
          </w:p>
        </w:tc>
        <w:tc>
          <w:tcPr>
            <w:tcW w:type="dxa" w:w="1440"/>
            <w:shd w:fill="FFDCE0" w:val="clear"/>
          </w:tcPr>
          <w:p>
            <w:r>
              <w:rPr>
                <w:sz w:val="17"/>
              </w:rPr>
              <w:t>4,375</w:t>
            </w:r>
          </w:p>
        </w:tc>
        <w:tc>
          <w:tcPr>
            <w:tcW w:type="dxa" w:w="1440"/>
            <w:shd w:fill="FFDCE0" w:val="clear"/>
          </w:tcPr>
          <w:p>
            <w:r>
              <w:rPr>
                <w:b/>
                <w:color w:val="C00000"/>
                <w:sz w:val="17"/>
              </w:rPr>
              <w:t>-4.0%</w:t>
            </w:r>
          </w:p>
        </w:tc>
      </w:tr>
      <w:tr>
        <w:tc>
          <w:tcPr>
            <w:tcW w:type="dxa" w:w="1440"/>
            <w:shd w:fill="FFDCE0" w:val="clear"/>
          </w:tcPr>
          <w:p>
            <w:r>
              <w:rPr>
                <w:sz w:val="17"/>
              </w:rPr>
              <w:t>J+4  ⭐</w:t>
            </w:r>
          </w:p>
        </w:tc>
        <w:tc>
          <w:tcPr>
            <w:tcW w:type="dxa" w:w="1440"/>
            <w:shd w:fill="FFDCE0" w:val="clear"/>
          </w:tcPr>
          <w:p>
            <w:r>
              <w:rPr>
                <w:sz w:val="17"/>
              </w:rPr>
              <w:t>2026-08-25</w:t>
            </w:r>
          </w:p>
        </w:tc>
        <w:tc>
          <w:tcPr>
            <w:tcW w:type="dxa" w:w="1440"/>
            <w:shd w:fill="FFDCE0" w:val="clear"/>
          </w:tcPr>
          <w:p>
            <w:r>
              <w:rPr>
                <w:sz w:val="17"/>
              </w:rPr>
              <w:t>3,582</w:t>
            </w:r>
          </w:p>
        </w:tc>
        <w:tc>
          <w:tcPr>
            <w:tcW w:type="dxa" w:w="1440"/>
            <w:shd w:fill="FFDCE0" w:val="clear"/>
          </w:tcPr>
          <w:p>
            <w:r>
              <w:rPr>
                <w:b/>
                <w:sz w:val="17"/>
              </w:rPr>
              <w:t>3,998</w:t>
            </w:r>
          </w:p>
        </w:tc>
        <w:tc>
          <w:tcPr>
            <w:tcW w:type="dxa" w:w="1440"/>
            <w:shd w:fill="FFDCE0" w:val="clear"/>
          </w:tcPr>
          <w:p>
            <w:r>
              <w:rPr>
                <w:sz w:val="17"/>
              </w:rPr>
              <w:t>4,415</w:t>
            </w:r>
          </w:p>
        </w:tc>
        <w:tc>
          <w:tcPr>
            <w:tcW w:type="dxa" w:w="1440"/>
            <w:shd w:fill="FFDCE0" w:val="clear"/>
          </w:tcPr>
          <w:p>
            <w:r>
              <w:rPr>
                <w:b/>
                <w:color w:val="C00000"/>
                <w:sz w:val="17"/>
              </w:rPr>
              <w:t>-4.3%</w:t>
            </w:r>
          </w:p>
        </w:tc>
      </w:tr>
      <w:tr>
        <w:tc>
          <w:tcPr>
            <w:tcW w:type="dxa" w:w="1440"/>
            <w:shd w:fill="FFDCE0" w:val="clear"/>
          </w:tcPr>
          <w:p>
            <w:r>
              <w:rPr>
                <w:sz w:val="17"/>
              </w:rPr>
              <w:t>J+5  ⭐</w:t>
            </w:r>
          </w:p>
        </w:tc>
        <w:tc>
          <w:tcPr>
            <w:tcW w:type="dxa" w:w="1440"/>
            <w:shd w:fill="FFDCE0" w:val="clear"/>
          </w:tcPr>
          <w:p>
            <w:r>
              <w:rPr>
                <w:sz w:val="17"/>
              </w:rPr>
              <w:t>2026-08-27</w:t>
            </w:r>
          </w:p>
        </w:tc>
        <w:tc>
          <w:tcPr>
            <w:tcW w:type="dxa" w:w="1440"/>
            <w:shd w:fill="FFDCE0" w:val="clear"/>
          </w:tcPr>
          <w:p>
            <w:r>
              <w:rPr>
                <w:sz w:val="17"/>
              </w:rPr>
              <w:t>3,520</w:t>
            </w:r>
          </w:p>
        </w:tc>
        <w:tc>
          <w:tcPr>
            <w:tcW w:type="dxa" w:w="1440"/>
            <w:shd w:fill="FFDCE0" w:val="clear"/>
          </w:tcPr>
          <w:p>
            <w:r>
              <w:rPr>
                <w:b/>
                <w:sz w:val="17"/>
              </w:rPr>
              <w:t>3,984</w:t>
            </w:r>
          </w:p>
        </w:tc>
        <w:tc>
          <w:tcPr>
            <w:tcW w:type="dxa" w:w="1440"/>
            <w:shd w:fill="FFDCE0" w:val="clear"/>
          </w:tcPr>
          <w:p>
            <w:r>
              <w:rPr>
                <w:sz w:val="17"/>
              </w:rPr>
              <w:t>4,447</w:t>
            </w:r>
          </w:p>
        </w:tc>
        <w:tc>
          <w:tcPr>
            <w:tcW w:type="dxa" w:w="1440"/>
            <w:shd w:fill="FFDCE0" w:val="clear"/>
          </w:tcPr>
          <w:p>
            <w:r>
              <w:rPr>
                <w:b/>
                <w:color w:val="C00000"/>
                <w:sz w:val="17"/>
              </w:rPr>
              <w:t>-4.7%</w:t>
            </w:r>
          </w:p>
        </w:tc>
      </w:tr>
      <w:tr>
        <w:tc>
          <w:tcPr>
            <w:tcW w:type="dxa" w:w="1440"/>
            <w:shd w:fill="FFDCE0" w:val="clear"/>
          </w:tcPr>
          <w:p>
            <w:r>
              <w:rPr>
                <w:sz w:val="17"/>
              </w:rPr>
              <w:t>J+6  ⭐</w:t>
            </w:r>
          </w:p>
        </w:tc>
        <w:tc>
          <w:tcPr>
            <w:tcW w:type="dxa" w:w="1440"/>
            <w:shd w:fill="FFDCE0" w:val="clear"/>
          </w:tcPr>
          <w:p>
            <w:r>
              <w:rPr>
                <w:sz w:val="17"/>
              </w:rPr>
              <w:t>2026-08-28</w:t>
            </w:r>
          </w:p>
        </w:tc>
        <w:tc>
          <w:tcPr>
            <w:tcW w:type="dxa" w:w="1440"/>
            <w:shd w:fill="FFDCE0" w:val="clear"/>
          </w:tcPr>
          <w:p>
            <w:r>
              <w:rPr>
                <w:sz w:val="17"/>
              </w:rPr>
              <w:t>3,465</w:t>
            </w:r>
          </w:p>
        </w:tc>
        <w:tc>
          <w:tcPr>
            <w:tcW w:type="dxa" w:w="1440"/>
            <w:shd w:fill="FFDCE0" w:val="clear"/>
          </w:tcPr>
          <w:p>
            <w:r>
              <w:rPr>
                <w:b/>
                <w:sz w:val="17"/>
              </w:rPr>
              <w:t>3,971</w:t>
            </w:r>
          </w:p>
        </w:tc>
        <w:tc>
          <w:tcPr>
            <w:tcW w:type="dxa" w:w="1440"/>
            <w:shd w:fill="FFDCE0" w:val="clear"/>
          </w:tcPr>
          <w:p>
            <w:r>
              <w:rPr>
                <w:sz w:val="17"/>
              </w:rPr>
              <w:t>4,477</w:t>
            </w:r>
          </w:p>
        </w:tc>
        <w:tc>
          <w:tcPr>
            <w:tcW w:type="dxa" w:w="1440"/>
            <w:shd w:fill="FFDCE0" w:val="clear"/>
          </w:tcPr>
          <w:p>
            <w:r>
              <w:rPr>
                <w:b/>
                <w:color w:val="C00000"/>
                <w:sz w:val="17"/>
              </w:rPr>
              <w:t>-5.0%</w:t>
            </w:r>
          </w:p>
        </w:tc>
      </w:tr>
      <w:tr>
        <w:tc>
          <w:tcPr>
            <w:tcW w:type="dxa" w:w="1440"/>
            <w:shd w:fill="FFDCE0" w:val="clear"/>
          </w:tcPr>
          <w:p>
            <w:r>
              <w:rPr>
                <w:sz w:val="17"/>
              </w:rPr>
              <w:t>J+7  ⭐</w:t>
            </w:r>
          </w:p>
        </w:tc>
        <w:tc>
          <w:tcPr>
            <w:tcW w:type="dxa" w:w="1440"/>
            <w:shd w:fill="FFDCE0" w:val="clear"/>
          </w:tcPr>
          <w:p>
            <w:r>
              <w:rPr>
                <w:sz w:val="17"/>
              </w:rPr>
              <w:t>2026-08-31</w:t>
            </w:r>
          </w:p>
        </w:tc>
        <w:tc>
          <w:tcPr>
            <w:tcW w:type="dxa" w:w="1440"/>
            <w:shd w:fill="FFDCE0" w:val="clear"/>
          </w:tcPr>
          <w:p>
            <w:r>
              <w:rPr>
                <w:sz w:val="17"/>
              </w:rPr>
              <w:t>3,414</w:t>
            </w:r>
          </w:p>
        </w:tc>
        <w:tc>
          <w:tcPr>
            <w:tcW w:type="dxa" w:w="1440"/>
            <w:shd w:fill="FFDCE0" w:val="clear"/>
          </w:tcPr>
          <w:p>
            <w:r>
              <w:rPr>
                <w:b/>
                <w:sz w:val="17"/>
              </w:rPr>
              <w:t>3,960</w:t>
            </w:r>
          </w:p>
        </w:tc>
        <w:tc>
          <w:tcPr>
            <w:tcW w:type="dxa" w:w="1440"/>
            <w:shd w:fill="FFDCE0" w:val="clear"/>
          </w:tcPr>
          <w:p>
            <w:r>
              <w:rPr>
                <w:sz w:val="17"/>
              </w:rPr>
              <w:t>4,505</w:t>
            </w:r>
          </w:p>
        </w:tc>
        <w:tc>
          <w:tcPr>
            <w:tcW w:type="dxa" w:w="1440"/>
            <w:shd w:fill="FFDCE0" w:val="clear"/>
          </w:tcPr>
          <w:p>
            <w:r>
              <w:rPr>
                <w:b/>
                <w:color w:val="C00000"/>
                <w:sz w:val="17"/>
              </w:rPr>
              <w:t>-5.3%</w:t>
            </w:r>
          </w:p>
        </w:tc>
      </w:tr>
      <w:tr>
        <w:tc>
          <w:tcPr>
            <w:tcW w:type="dxa" w:w="1440"/>
            <w:shd w:fill="FFDCE0" w:val="clear"/>
          </w:tcPr>
          <w:p>
            <w:r>
              <w:rPr>
                <w:sz w:val="17"/>
              </w:rPr>
              <w:t>J+8  ⭐</w:t>
            </w:r>
          </w:p>
        </w:tc>
        <w:tc>
          <w:tcPr>
            <w:tcW w:type="dxa" w:w="1440"/>
            <w:shd w:fill="FFDCE0" w:val="clear"/>
          </w:tcPr>
          <w:p>
            <w:r>
              <w:rPr>
                <w:sz w:val="17"/>
              </w:rPr>
              <w:t>2026-09-01</w:t>
            </w:r>
          </w:p>
        </w:tc>
        <w:tc>
          <w:tcPr>
            <w:tcW w:type="dxa" w:w="1440"/>
            <w:shd w:fill="FFDCE0" w:val="clear"/>
          </w:tcPr>
          <w:p>
            <w:r>
              <w:rPr>
                <w:sz w:val="17"/>
              </w:rPr>
              <w:t>3,369</w:t>
            </w:r>
          </w:p>
        </w:tc>
        <w:tc>
          <w:tcPr>
            <w:tcW w:type="dxa" w:w="1440"/>
            <w:shd w:fill="FFDCE0" w:val="clear"/>
          </w:tcPr>
          <w:p>
            <w:r>
              <w:rPr>
                <w:b/>
                <w:sz w:val="17"/>
              </w:rPr>
              <w:t>3,950</w:t>
            </w:r>
          </w:p>
        </w:tc>
        <w:tc>
          <w:tcPr>
            <w:tcW w:type="dxa" w:w="1440"/>
            <w:shd w:fill="FFDCE0" w:val="clear"/>
          </w:tcPr>
          <w:p>
            <w:r>
              <w:rPr>
                <w:sz w:val="17"/>
              </w:rPr>
              <w:t>4,532</w:t>
            </w:r>
          </w:p>
        </w:tc>
        <w:tc>
          <w:tcPr>
            <w:tcW w:type="dxa" w:w="1440"/>
            <w:shd w:fill="FFDCE0" w:val="clear"/>
          </w:tcPr>
          <w:p>
            <w:r>
              <w:rPr>
                <w:b/>
                <w:color w:val="C00000"/>
                <w:sz w:val="17"/>
              </w:rPr>
              <w:t>-5.5%</w:t>
            </w:r>
          </w:p>
        </w:tc>
      </w:tr>
      <w:tr>
        <w:tc>
          <w:tcPr>
            <w:tcW w:type="dxa" w:w="1440"/>
            <w:shd w:fill="FFDCE0" w:val="clear"/>
          </w:tcPr>
          <w:p>
            <w:r>
              <w:rPr>
                <w:sz w:val="17"/>
              </w:rPr>
              <w:t>J+9  ⭐</w:t>
            </w:r>
          </w:p>
        </w:tc>
        <w:tc>
          <w:tcPr>
            <w:tcW w:type="dxa" w:w="1440"/>
            <w:shd w:fill="FFDCE0" w:val="clear"/>
          </w:tcPr>
          <w:p>
            <w:r>
              <w:rPr>
                <w:sz w:val="17"/>
              </w:rPr>
              <w:t>2026-09-02</w:t>
            </w:r>
          </w:p>
        </w:tc>
        <w:tc>
          <w:tcPr>
            <w:tcW w:type="dxa" w:w="1440"/>
            <w:shd w:fill="FFDCE0" w:val="clear"/>
          </w:tcPr>
          <w:p>
            <w:r>
              <w:rPr>
                <w:sz w:val="17"/>
              </w:rPr>
              <w:t>3,327</w:t>
            </w:r>
          </w:p>
        </w:tc>
        <w:tc>
          <w:tcPr>
            <w:tcW w:type="dxa" w:w="1440"/>
            <w:shd w:fill="FFDCE0" w:val="clear"/>
          </w:tcPr>
          <w:p>
            <w:r>
              <w:rPr>
                <w:b/>
                <w:sz w:val="17"/>
              </w:rPr>
              <w:t>3,943</w:t>
            </w:r>
          </w:p>
        </w:tc>
        <w:tc>
          <w:tcPr>
            <w:tcW w:type="dxa" w:w="1440"/>
            <w:shd w:fill="FFDCE0" w:val="clear"/>
          </w:tcPr>
          <w:p>
            <w:r>
              <w:rPr>
                <w:sz w:val="17"/>
              </w:rPr>
              <w:t>4,558</w:t>
            </w:r>
          </w:p>
        </w:tc>
        <w:tc>
          <w:tcPr>
            <w:tcW w:type="dxa" w:w="1440"/>
            <w:shd w:fill="FFDCE0" w:val="clear"/>
          </w:tcPr>
          <w:p>
            <w:r>
              <w:rPr>
                <w:b/>
                <w:color w:val="C00000"/>
                <w:sz w:val="17"/>
              </w:rPr>
              <w:t>-5.7%</w:t>
            </w:r>
          </w:p>
        </w:tc>
      </w:tr>
      <w:tr>
        <w:tc>
          <w:tcPr>
            <w:tcW w:type="dxa" w:w="1440"/>
            <w:shd w:fill="FFDCE0" w:val="clear"/>
          </w:tcPr>
          <w:p>
            <w:r>
              <w:rPr>
                <w:sz w:val="17"/>
              </w:rPr>
              <w:t>J+10  ⭐</w:t>
            </w:r>
          </w:p>
        </w:tc>
        <w:tc>
          <w:tcPr>
            <w:tcW w:type="dxa" w:w="1440"/>
            <w:shd w:fill="FFDCE0" w:val="clear"/>
          </w:tcPr>
          <w:p>
            <w:r>
              <w:rPr>
                <w:sz w:val="17"/>
              </w:rPr>
              <w:t>2026-09-03</w:t>
            </w:r>
          </w:p>
        </w:tc>
        <w:tc>
          <w:tcPr>
            <w:tcW w:type="dxa" w:w="1440"/>
            <w:shd w:fill="FFDCE0" w:val="clear"/>
          </w:tcPr>
          <w:p>
            <w:r>
              <w:rPr>
                <w:sz w:val="17"/>
              </w:rPr>
              <w:t>3,290</w:t>
            </w:r>
          </w:p>
        </w:tc>
        <w:tc>
          <w:tcPr>
            <w:tcW w:type="dxa" w:w="1440"/>
            <w:shd w:fill="FFDCE0" w:val="clear"/>
          </w:tcPr>
          <w:p>
            <w:r>
              <w:rPr>
                <w:b/>
                <w:sz w:val="17"/>
              </w:rPr>
              <w:t>3,937</w:t>
            </w:r>
          </w:p>
        </w:tc>
        <w:tc>
          <w:tcPr>
            <w:tcW w:type="dxa" w:w="1440"/>
            <w:shd w:fill="FFDCE0" w:val="clear"/>
          </w:tcPr>
          <w:p>
            <w:r>
              <w:rPr>
                <w:sz w:val="17"/>
              </w:rPr>
              <w:t>4,585</w:t>
            </w:r>
          </w:p>
        </w:tc>
        <w:tc>
          <w:tcPr>
            <w:tcW w:type="dxa" w:w="1440"/>
            <w:shd w:fill="FFDCE0" w:val="clear"/>
          </w:tcPr>
          <w:p>
            <w:r>
              <w:rPr>
                <w:b/>
                <w:color w:val="C00000"/>
                <w:sz w:val="17"/>
              </w:rPr>
              <w:t>-5.8%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**Date de l'analyse : 19 août 2026**</w:t>
        <w:br/>
        <w:t>**Cours de référence : 4 180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83,60 milliards FCFA, un niveau significatif qui positionne la société parmi les capitalisations moyennes de la BRVM. Le BPA de 231 FCFA indique que chaque action génère un bénéfice substantiel, justifiant un PER de 18,1x, nettement supérieur à la moyenne historique de la BRVM (8-12x). Les investisseurs paient donc une prime de valorisation, qui s'explique par la solidité financière de l'entreprise et son statut de quasi-monopole réglementé. Le P/B de 3,81x confirme cette prime, le marché valorisant l'actif net comptable à près de quatre fois sa valeur, reflétant une forte confiance dans la capacité de la société à générer de la croissance future. Enfin, l'EV/EBITDA de 10,6x, bien que dans la fourchette haute (10-15x), reste cohérent avec la capacité opérationnelle de l'entreprise à dégager des flux de trésorerie, mais laisse peu de marge de sécurité pour une appréciation supplémentaire.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LNBB a enregistré une progression totale de +11,02%, avec une dernière séance en hausse de +1,09% à 4 180 FCFA. Le titre a évolué dans une fourchette de 3 765 FCFA (plus bas) à 4 560 FCFA (plus haut), démontrant une amplitude de trading de près de 21%, signe d'une volatilité notable. La moyenne du cours sur la période (4 041 FCFA) est supérieure à la médiane (3 950 FCFA), ce qui, combiné à un skewness positif de 0,677, indique une distribution asymétrique avec des journées plus fréquentes sous la moyenne mais des mouvements haussiers ponctuels plus amples. L'écart-type de 209 FCFA (CV = 5,2%) révèle une dispersion modérée des prix autour de la moyenne. Le kurtosis de -0,951 (mésokurtique) suggère l'absence de pics extrêmes, tandis que la volatilité annualisée de 36,2% classe le titre dans la catégorie des valeurs à volatilité élevée (&gt;30%), ce qui implique un risque de marché significatif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Les MM20 (4 267,75 FCFA) et MM50 (4 201 FCFA) sont toutes deux supérieures au cours actuel de 4 180 FCFA, indiquant une pression baissière à court terme. Cependant, la MM20 étant supérieure à la MM50, la tendance de fond reste haussière. Le signal global est un "Achat", suggérant que le récent repli pourrait représenter une opportunité d'entrée dans une tendance de moyen terme positive.</w:t>
      </w:r>
    </w:p>
    <w:p>
      <w:pPr>
        <w:spacing w:after="120" w:line="276" w:lineRule="auto"/>
      </w:pPr>
      <w:r>
        <w:t>**Bandes de Bollinger :** Le cours se situe à 4 180 FCFA, entre la borne inférieure (3 992,69 FCFA) et la borne supérieure (4 542,81 FCFA), plus proche de la borne inférieure. Cette position indique une pression vendeuse récente, mais sans sortie de canal, le signal est "Neutre". La largeur des bandes reflète la volatilité élevée du titre, offrant des points d'entrée potentiels près de la borne inférieure.</w:t>
      </w:r>
    </w:p>
    <w:p>
      <w:pPr>
        <w:spacing w:after="120" w:line="276" w:lineRule="auto"/>
      </w:pPr>
      <w:r>
        <w:t>**MACD :** La valeur du MACD (-28,112) est inférieure à son signal (1,094), formant un croisement baissier. Ce signal de "Vente" indique un momentum négatif à court terme, suggérant que la pression vendeuse pourrait se poursuivre dans les prochaines séances.</w:t>
      </w:r>
    </w:p>
    <w:p>
      <w:pPr>
        <w:spacing w:after="120" w:line="276" w:lineRule="auto"/>
      </w:pPr>
      <w:r>
        <w:t>**RSI :** À 43,75, le RSI se situe en zone neutre (30-70), sans signal de surachat ni de survente. La décision est "Neutre", indiquant que le marché n'est pas encore dans une phase extrême, mais la valeur étant sous les 50, la tendance baissière domine légèrement.</w:t>
      </w:r>
    </w:p>
    <w:p>
      <w:pPr>
        <w:spacing w:after="120" w:line="276" w:lineRule="auto"/>
      </w:pPr>
      <w:r>
        <w:t>**Stochastique :** Le %K (32,143) est supérieur au %D (22,024), suggérant un croisement haussier potentiel en zone de survente. Bien que la décision soit "Neutre", ce croisement pourrait signaler un début de rebond technique.</w:t>
      </w:r>
    </w:p>
    <w:p>
      <w:pPr>
        <w:spacing w:after="120" w:line="276" w:lineRule="auto"/>
      </w:pPr>
      <w:r>
        <w:t>**Conclusion technique :** Les indicateurs sont mitigés, avec un MACD baissier et des moyennes mobiles encore haussières. Le RSI et le Stochastique suggèrent une stabilisation proche des niveaux de survente. La configuration actuelle plaide pour une consolidation à court terme, avec un potentiel de rebond si le cours maintient le support des 3 990 FCFA (borne inférieure de Bollinger).</w:t>
      </w:r>
    </w:p>
    <w:p>
      <w:pPr>
        <w:spacing w:after="120" w:line="276" w:lineRule="auto"/>
      </w:pPr>
      <w:r>
        <w:t>---</w:t>
      </w:r>
    </w:p>
    <w:p>
      <w:pPr>
        <w:spacing w:after="120" w:line="276" w:lineRule="auto"/>
      </w:pPr>
      <w:r>
        <w:t>### PARTIE 3 : ANALYSE FONDAMENTALE (SECTION CRITIQUE)</w:t>
      </w:r>
    </w:p>
    <w:p>
      <w:pPr>
        <w:spacing w:after="120" w:line="276" w:lineRule="auto"/>
      </w:pPr>
      <w:r>
        <w:t>En 2025, la LNBB a réalisé un chiffre d'affaires de 98,598 milliards FCFA, en baisse de -3,85% par rapport à 2024 (102,544 milliards FCFA), principalement affecté par la concurrence déloyale des opérateurs illégaux. Le résultat net s'établit à 4,622 milliards FCFA, en recul de -35,6% par rapport à 2024 (7,176 milliards FCFA), impacté par l'absence de produits exceptionnels. Malgré cette baisse, la structure financière demeure robuste : les capitaux propres atteignent 21,954 milliards FCFA, avec un ROE de 21,05% (&gt;15%, excellent) et un ROA de 14,17%, témoignant d'une gestion efficace des actifs. La marge nette de 4,69% reste positive, et le BFR négatif (217,45 millions FCFA) est un signe favorable de gestion de trésorerie. Les délais clients (4,82 jours) et fournisseurs (20,41 jours) sont très courts, indiquant une excellente collecte et un bon pouvoir de négociation. Le ratio d'autonomie financière de 67,32% et la solvabilité générale de 306% confirment une indépendance financière solide. Les rapports trimestriels 2026 montrent une reprise : le CA du S1 2026 progresse de +4% à 49,937 milliards FCFA, avec un résultat net en hausse de +60%, porté par les partenariats et la maîtrise des charges. Sur la base de ces données, on estime que l'exercice 2026 pourrait voir un CA stable autour de 100 milliards FCFA et un résultat net en amélioration significative, potentiellement supérieur à 6 milliards FCFA, si la tendance semestrielle se confirme.</w:t>
      </w:r>
    </w:p>
    <w:p>
      <w:pPr>
        <w:spacing w:after="120" w:line="276" w:lineRule="auto"/>
      </w:pPr>
      <w:r>
        <w:t>---</w:t>
      </w:r>
    </w:p>
    <w:p>
      <w:pPr>
        <w:spacing w:after="120" w:line="276" w:lineRule="auto"/>
      </w:pPr>
      <w:r>
        <w:t>### PARTIE 4 : CONCLUSION D'INVESTISSEMENT</w:t>
      </w:r>
    </w:p>
    <w:p>
      <w:pPr>
        <w:spacing w:after="120" w:line="276" w:lineRule="auto"/>
      </w:pPr>
      <w:r>
        <w:t>La valorisation de LNBB (PER 18,1x, P/B 3,81x) indique une prime de marché justifiée par la solidité financière et la reprise opérationnelle, mais laisse peu de marge de sécurité. Le comportement du cours sur 100 jours (+11,02%) montre une tendance haussière, mais la volatilité élevée (36,2%) et l'asymétrie positive suggèrent des risques de correction. Les signaux techniques sont mitigés : les moyennes mobiles plaident pour un achat, tandis que le MACD signale une vente à court terme, avec un RSI neutre. Les fondamentaux sont solides, avec un ROE de 21%, une trésorerie nette positive de 7,979 milliards FCFA et une reprise confirmée au S1 2026 (+60% du résultat net). Les prédictions IA pour les 10 prochains jours (4 051 à 3 984 FCFA) indiquent une poursuite du repli, contredisant les signaux haussiers de moyen terme. Cette divergence suggère une consolidation à court terme avant un potentiel rebond. **Recommandation finale : CONSERVER**, avec un niveau de confiance Moyen et un risque global Élevé. L'horizon d'investissement optimal est le moyen terme (3-12 mois), en attendant la confirmation des résultats annuels 2026 et une stabilisation technique autour des 4 000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28.02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5,294 titres</w:t>
            </w:r>
          </w:p>
        </w:tc>
        <w:tc>
          <w:tcPr>
            <w:tcW w:type="dxa" w:w="2268"/>
            <w:shd w:fill="FFF2CC" w:val="clear"/>
          </w:tcPr>
          <w:p>
            <w:r>
              <w:rPr>
                <w:b/>
                <w:color w:val="503200"/>
                <w:sz w:val="16"/>
              </w:rPr>
              <w:t xml:space="preserve">Cours actuel : </w:t>
            </w:r>
            <w:r>
              <w:rPr>
                <w:color w:val="000000"/>
                <w:sz w:val="17"/>
              </w:rPr>
              <w:t>2,195 FCFA</w:t>
            </w:r>
          </w:p>
          <w:p>
            <w:r>
              <w:rPr>
                <w:b/>
                <w:color w:val="503200"/>
                <w:sz w:val="16"/>
              </w:rPr>
              <w:t xml:space="preserve">Var. 100 jours : </w:t>
            </w:r>
            <w:r>
              <w:rPr>
                <w:b/>
                <w:color w:val="007800"/>
                <w:sz w:val="17"/>
              </w:rPr>
              <w:t>+56.79%</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1,365 FCFA</w:t>
            </w:r>
          </w:p>
          <w:p>
            <w:r>
              <w:rPr>
                <w:b/>
                <w:color w:val="503200"/>
                <w:sz w:val="16"/>
              </w:rPr>
              <w:t xml:space="preserve">Volatilité ann. : </w:t>
            </w:r>
            <w:r>
              <w:rPr>
                <w:color w:val="000000"/>
                <w:sz w:val="17"/>
              </w:rPr>
              <w:t>49.9%</w:t>
            </w:r>
          </w:p>
        </w:tc>
        <w:tc>
          <w:tcPr>
            <w:tcW w:type="dxa" w:w="2835"/>
            <w:shd w:fill="FCE4D6" w:val="clear"/>
          </w:tcPr>
          <w:p>
            <w:r>
              <w:rPr>
                <w:b/>
                <w:color w:val="500000"/>
                <w:sz w:val="16"/>
              </w:rPr>
              <w:t xml:space="preserve">Recommandation : </w:t>
            </w:r>
            <w:r>
              <w:rPr>
                <w:b/>
                <w:color w:val="646400"/>
                <w:sz w:val="19"/>
              </w:rPr>
              <w:t>CONSERVER</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29.0/100 → Moyen</w:t>
      </w:r>
    </w:p>
    <w:p>
      <w:pPr>
        <w:spacing w:before="40" w:after="80"/>
      </w:pPr>
      <w:r>
        <w:rPr>
          <w:rFonts w:ascii="Courier New" w:hAnsi="Courier New"/>
          <w:color w:val="825A00"/>
          <w:sz w:val="18"/>
        </w:rPr>
        <w:t>█████░░░░░░░░░░░░░░░  29.0/100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17.28% (Élevée) — μ=1,958 FCFA, σ=338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β=-0.1486 (Contre-cyclique) — Cov=-0.000005, Var(idx)=0.000030, ρ=-0.026,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5,294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46/100  (Moyen)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2026-08-20</w:t>
            </w:r>
          </w:p>
        </w:tc>
        <w:tc>
          <w:tcPr>
            <w:tcW w:type="dxa" w:w="1440"/>
            <w:shd w:fill="FFDCE0" w:val="clear"/>
          </w:tcPr>
          <w:p>
            <w:r>
              <w:rPr>
                <w:sz w:val="17"/>
              </w:rPr>
              <w:t>1,913</w:t>
            </w:r>
          </w:p>
        </w:tc>
        <w:tc>
          <w:tcPr>
            <w:tcW w:type="dxa" w:w="1440"/>
            <w:shd w:fill="FFDCE0" w:val="clear"/>
          </w:tcPr>
          <w:p>
            <w:r>
              <w:rPr>
                <w:b/>
                <w:sz w:val="17"/>
              </w:rPr>
              <w:t>2,030</w:t>
            </w:r>
          </w:p>
        </w:tc>
        <w:tc>
          <w:tcPr>
            <w:tcW w:type="dxa" w:w="1440"/>
            <w:shd w:fill="FFDCE0" w:val="clear"/>
          </w:tcPr>
          <w:p>
            <w:r>
              <w:rPr>
                <w:sz w:val="17"/>
              </w:rPr>
              <w:t>2,147</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2026-08-21</w:t>
            </w:r>
          </w:p>
        </w:tc>
        <w:tc>
          <w:tcPr>
            <w:tcW w:type="dxa" w:w="1440"/>
            <w:shd w:fill="FFDCE0" w:val="clear"/>
          </w:tcPr>
          <w:p>
            <w:r>
              <w:rPr>
                <w:sz w:val="17"/>
              </w:rPr>
              <w:t>1,743</w:t>
            </w:r>
          </w:p>
        </w:tc>
        <w:tc>
          <w:tcPr>
            <w:tcW w:type="dxa" w:w="1440"/>
            <w:shd w:fill="FFDCE0" w:val="clear"/>
          </w:tcPr>
          <w:p>
            <w:r>
              <w:rPr>
                <w:b/>
                <w:sz w:val="17"/>
              </w:rPr>
              <w:t>1,898</w:t>
            </w:r>
          </w:p>
        </w:tc>
        <w:tc>
          <w:tcPr>
            <w:tcW w:type="dxa" w:w="1440"/>
            <w:shd w:fill="FFDCE0" w:val="clear"/>
          </w:tcPr>
          <w:p>
            <w:r>
              <w:rPr>
                <w:sz w:val="17"/>
              </w:rPr>
              <w:t>2,053</w:t>
            </w:r>
          </w:p>
        </w:tc>
        <w:tc>
          <w:tcPr>
            <w:tcW w:type="dxa" w:w="1440"/>
            <w:shd w:fill="FFDCE0" w:val="clear"/>
          </w:tcPr>
          <w:p>
            <w:r>
              <w:rPr>
                <w:b/>
                <w:color w:val="C00000"/>
                <w:sz w:val="17"/>
              </w:rPr>
              <w:t>-13.5%</w:t>
            </w:r>
          </w:p>
        </w:tc>
      </w:tr>
      <w:tr>
        <w:tc>
          <w:tcPr>
            <w:tcW w:type="dxa" w:w="1440"/>
            <w:shd w:fill="FFDCE0" w:val="clear"/>
          </w:tcPr>
          <w:p>
            <w:r>
              <w:rPr>
                <w:sz w:val="17"/>
              </w:rPr>
              <w:t>J+3  Moyenne</w:t>
            </w:r>
          </w:p>
        </w:tc>
        <w:tc>
          <w:tcPr>
            <w:tcW w:type="dxa" w:w="1440"/>
            <w:shd w:fill="FFDCE0" w:val="clear"/>
          </w:tcPr>
          <w:p>
            <w:r>
              <w:rPr>
                <w:sz w:val="17"/>
              </w:rPr>
              <w:t>2026-08-24</w:t>
            </w:r>
          </w:p>
        </w:tc>
        <w:tc>
          <w:tcPr>
            <w:tcW w:type="dxa" w:w="1440"/>
            <w:shd w:fill="FFDCE0" w:val="clear"/>
          </w:tcPr>
          <w:p>
            <w:r>
              <w:rPr>
                <w:sz w:val="17"/>
              </w:rPr>
              <w:t>1,608</w:t>
            </w:r>
          </w:p>
        </w:tc>
        <w:tc>
          <w:tcPr>
            <w:tcW w:type="dxa" w:w="1440"/>
            <w:shd w:fill="FFDCE0" w:val="clear"/>
          </w:tcPr>
          <w:p>
            <w:r>
              <w:rPr>
                <w:b/>
                <w:sz w:val="17"/>
              </w:rPr>
              <w:t>1,786</w:t>
            </w:r>
          </w:p>
        </w:tc>
        <w:tc>
          <w:tcPr>
            <w:tcW w:type="dxa" w:w="1440"/>
            <w:shd w:fill="FFDCE0" w:val="clear"/>
          </w:tcPr>
          <w:p>
            <w:r>
              <w:rPr>
                <w:sz w:val="17"/>
              </w:rPr>
              <w:t>1,964</w:t>
            </w:r>
          </w:p>
        </w:tc>
        <w:tc>
          <w:tcPr>
            <w:tcW w:type="dxa" w:w="1440"/>
            <w:shd w:fill="FFDCE0" w:val="clear"/>
          </w:tcPr>
          <w:p>
            <w:r>
              <w:rPr>
                <w:b/>
                <w:color w:val="C00000"/>
                <w:sz w:val="17"/>
              </w:rPr>
              <w:t>-18.6%</w:t>
            </w:r>
          </w:p>
        </w:tc>
      </w:tr>
      <w:tr>
        <w:tc>
          <w:tcPr>
            <w:tcW w:type="dxa" w:w="1440"/>
            <w:shd w:fill="FFDCE0" w:val="clear"/>
          </w:tcPr>
          <w:p>
            <w:r>
              <w:rPr>
                <w:sz w:val="17"/>
              </w:rPr>
              <w:t>J+4  ⭐</w:t>
            </w:r>
          </w:p>
        </w:tc>
        <w:tc>
          <w:tcPr>
            <w:tcW w:type="dxa" w:w="1440"/>
            <w:shd w:fill="FFDCE0" w:val="clear"/>
          </w:tcPr>
          <w:p>
            <w:r>
              <w:rPr>
                <w:sz w:val="17"/>
              </w:rPr>
              <w:t>2026-08-25</w:t>
            </w:r>
          </w:p>
        </w:tc>
        <w:tc>
          <w:tcPr>
            <w:tcW w:type="dxa" w:w="1440"/>
            <w:shd w:fill="FFDCE0" w:val="clear"/>
          </w:tcPr>
          <w:p>
            <w:r>
              <w:rPr>
                <w:sz w:val="17"/>
              </w:rPr>
              <w:t>1,500</w:t>
            </w:r>
          </w:p>
        </w:tc>
        <w:tc>
          <w:tcPr>
            <w:tcW w:type="dxa" w:w="1440"/>
            <w:shd w:fill="FFDCE0" w:val="clear"/>
          </w:tcPr>
          <w:p>
            <w:r>
              <w:rPr>
                <w:b/>
                <w:sz w:val="17"/>
              </w:rPr>
              <w:t>1,695</w:t>
            </w:r>
          </w:p>
        </w:tc>
        <w:tc>
          <w:tcPr>
            <w:tcW w:type="dxa" w:w="1440"/>
            <w:shd w:fill="FFDCE0" w:val="clear"/>
          </w:tcPr>
          <w:p>
            <w:r>
              <w:rPr>
                <w:sz w:val="17"/>
              </w:rPr>
              <w:t>1,890</w:t>
            </w:r>
          </w:p>
        </w:tc>
        <w:tc>
          <w:tcPr>
            <w:tcW w:type="dxa" w:w="1440"/>
            <w:shd w:fill="FFDCE0" w:val="clear"/>
          </w:tcPr>
          <w:p>
            <w:r>
              <w:rPr>
                <w:b/>
                <w:color w:val="C00000"/>
                <w:sz w:val="17"/>
              </w:rPr>
              <w:t>-22.8%</w:t>
            </w:r>
          </w:p>
        </w:tc>
      </w:tr>
      <w:tr>
        <w:tc>
          <w:tcPr>
            <w:tcW w:type="dxa" w:w="1440"/>
            <w:shd w:fill="FFDCE0" w:val="clear"/>
          </w:tcPr>
          <w:p>
            <w:r>
              <w:rPr>
                <w:sz w:val="17"/>
              </w:rPr>
              <w:t>J+5  ⭐</w:t>
            </w:r>
          </w:p>
        </w:tc>
        <w:tc>
          <w:tcPr>
            <w:tcW w:type="dxa" w:w="1440"/>
            <w:shd w:fill="FFDCE0" w:val="clear"/>
          </w:tcPr>
          <w:p>
            <w:r>
              <w:rPr>
                <w:sz w:val="17"/>
              </w:rPr>
              <w:t>2026-08-27</w:t>
            </w:r>
          </w:p>
        </w:tc>
        <w:tc>
          <w:tcPr>
            <w:tcW w:type="dxa" w:w="1440"/>
            <w:shd w:fill="FFDCE0" w:val="clear"/>
          </w:tcPr>
          <w:p>
            <w:r>
              <w:rPr>
                <w:sz w:val="17"/>
              </w:rPr>
              <w:t>1,411</w:t>
            </w:r>
          </w:p>
        </w:tc>
        <w:tc>
          <w:tcPr>
            <w:tcW w:type="dxa" w:w="1440"/>
            <w:shd w:fill="FFDCE0" w:val="clear"/>
          </w:tcPr>
          <w:p>
            <w:r>
              <w:rPr>
                <w:b/>
                <w:sz w:val="17"/>
              </w:rPr>
              <w:t>1,620</w:t>
            </w:r>
          </w:p>
        </w:tc>
        <w:tc>
          <w:tcPr>
            <w:tcW w:type="dxa" w:w="1440"/>
            <w:shd w:fill="FFDCE0" w:val="clear"/>
          </w:tcPr>
          <w:p>
            <w:r>
              <w:rPr>
                <w:sz w:val="17"/>
              </w:rPr>
              <w:t>1,829</w:t>
            </w:r>
          </w:p>
        </w:tc>
        <w:tc>
          <w:tcPr>
            <w:tcW w:type="dxa" w:w="1440"/>
            <w:shd w:fill="FFDCE0" w:val="clear"/>
          </w:tcPr>
          <w:p>
            <w:r>
              <w:rPr>
                <w:b/>
                <w:color w:val="C00000"/>
                <w:sz w:val="17"/>
              </w:rPr>
              <w:t>-26.2%</w:t>
            </w:r>
          </w:p>
        </w:tc>
      </w:tr>
      <w:tr>
        <w:tc>
          <w:tcPr>
            <w:tcW w:type="dxa" w:w="1440"/>
            <w:shd w:fill="FFDCE0" w:val="clear"/>
          </w:tcPr>
          <w:p>
            <w:r>
              <w:rPr>
                <w:sz w:val="17"/>
              </w:rPr>
              <w:t>J+6  ⭐</w:t>
            </w:r>
          </w:p>
        </w:tc>
        <w:tc>
          <w:tcPr>
            <w:tcW w:type="dxa" w:w="1440"/>
            <w:shd w:fill="FFDCE0" w:val="clear"/>
          </w:tcPr>
          <w:p>
            <w:r>
              <w:rPr>
                <w:sz w:val="17"/>
              </w:rPr>
              <w:t>2026-08-28</w:t>
            </w:r>
          </w:p>
        </w:tc>
        <w:tc>
          <w:tcPr>
            <w:tcW w:type="dxa" w:w="1440"/>
            <w:shd w:fill="FFDCE0" w:val="clear"/>
          </w:tcPr>
          <w:p>
            <w:r>
              <w:rPr>
                <w:sz w:val="17"/>
              </w:rPr>
              <w:t>1,336</w:t>
            </w:r>
          </w:p>
        </w:tc>
        <w:tc>
          <w:tcPr>
            <w:tcW w:type="dxa" w:w="1440"/>
            <w:shd w:fill="FFDCE0" w:val="clear"/>
          </w:tcPr>
          <w:p>
            <w:r>
              <w:rPr>
                <w:b/>
                <w:sz w:val="17"/>
              </w:rPr>
              <w:t>1,556</w:t>
            </w:r>
          </w:p>
        </w:tc>
        <w:tc>
          <w:tcPr>
            <w:tcW w:type="dxa" w:w="1440"/>
            <w:shd w:fill="FFDCE0" w:val="clear"/>
          </w:tcPr>
          <w:p>
            <w:r>
              <w:rPr>
                <w:sz w:val="17"/>
              </w:rPr>
              <w:t>1,775</w:t>
            </w:r>
          </w:p>
        </w:tc>
        <w:tc>
          <w:tcPr>
            <w:tcW w:type="dxa" w:w="1440"/>
            <w:shd w:fill="FFDCE0" w:val="clear"/>
          </w:tcPr>
          <w:p>
            <w:r>
              <w:rPr>
                <w:b/>
                <w:color w:val="C00000"/>
                <w:sz w:val="17"/>
              </w:rPr>
              <w:t>-29.1%</w:t>
            </w:r>
          </w:p>
        </w:tc>
      </w:tr>
      <w:tr>
        <w:tc>
          <w:tcPr>
            <w:tcW w:type="dxa" w:w="1440"/>
            <w:shd w:fill="FFDCE0" w:val="clear"/>
          </w:tcPr>
          <w:p>
            <w:r>
              <w:rPr>
                <w:sz w:val="17"/>
              </w:rPr>
              <w:t>J+7  ⭐</w:t>
            </w:r>
          </w:p>
        </w:tc>
        <w:tc>
          <w:tcPr>
            <w:tcW w:type="dxa" w:w="1440"/>
            <w:shd w:fill="FFDCE0" w:val="clear"/>
          </w:tcPr>
          <w:p>
            <w:r>
              <w:rPr>
                <w:sz w:val="17"/>
              </w:rPr>
              <w:t>2026-08-31</w:t>
            </w:r>
          </w:p>
        </w:tc>
        <w:tc>
          <w:tcPr>
            <w:tcW w:type="dxa" w:w="1440"/>
            <w:shd w:fill="FFDCE0" w:val="clear"/>
          </w:tcPr>
          <w:p>
            <w:r>
              <w:rPr>
                <w:sz w:val="17"/>
              </w:rPr>
              <w:t>1,271</w:t>
            </w:r>
          </w:p>
        </w:tc>
        <w:tc>
          <w:tcPr>
            <w:tcW w:type="dxa" w:w="1440"/>
            <w:shd w:fill="FFDCE0" w:val="clear"/>
          </w:tcPr>
          <w:p>
            <w:r>
              <w:rPr>
                <w:b/>
                <w:sz w:val="17"/>
              </w:rPr>
              <w:t>1,499</w:t>
            </w:r>
          </w:p>
        </w:tc>
        <w:tc>
          <w:tcPr>
            <w:tcW w:type="dxa" w:w="1440"/>
            <w:shd w:fill="FFDCE0" w:val="clear"/>
          </w:tcPr>
          <w:p>
            <w:r>
              <w:rPr>
                <w:sz w:val="17"/>
              </w:rPr>
              <w:t>1,728</w:t>
            </w:r>
          </w:p>
        </w:tc>
        <w:tc>
          <w:tcPr>
            <w:tcW w:type="dxa" w:w="1440"/>
            <w:shd w:fill="FFDCE0" w:val="clear"/>
          </w:tcPr>
          <w:p>
            <w:r>
              <w:rPr>
                <w:b/>
                <w:color w:val="C00000"/>
                <w:sz w:val="17"/>
              </w:rPr>
              <w:t>-31.7%</w:t>
            </w:r>
          </w:p>
        </w:tc>
      </w:tr>
      <w:tr>
        <w:tc>
          <w:tcPr>
            <w:tcW w:type="dxa" w:w="1440"/>
            <w:shd w:fill="FFDCE0" w:val="clear"/>
          </w:tcPr>
          <w:p>
            <w:r>
              <w:rPr>
                <w:sz w:val="17"/>
              </w:rPr>
              <w:t>J+8  ⭐</w:t>
            </w:r>
          </w:p>
        </w:tc>
        <w:tc>
          <w:tcPr>
            <w:tcW w:type="dxa" w:w="1440"/>
            <w:shd w:fill="FFDCE0" w:val="clear"/>
          </w:tcPr>
          <w:p>
            <w:r>
              <w:rPr>
                <w:sz w:val="17"/>
              </w:rPr>
              <w:t>2026-09-01</w:t>
            </w:r>
          </w:p>
        </w:tc>
        <w:tc>
          <w:tcPr>
            <w:tcW w:type="dxa" w:w="1440"/>
            <w:shd w:fill="FFDCE0" w:val="clear"/>
          </w:tcPr>
          <w:p>
            <w:r>
              <w:rPr>
                <w:sz w:val="17"/>
              </w:rPr>
              <w:t>1,213</w:t>
            </w:r>
          </w:p>
        </w:tc>
        <w:tc>
          <w:tcPr>
            <w:tcW w:type="dxa" w:w="1440"/>
            <w:shd w:fill="FFDCE0" w:val="clear"/>
          </w:tcPr>
          <w:p>
            <w:r>
              <w:rPr>
                <w:b/>
                <w:sz w:val="17"/>
              </w:rPr>
              <w:t>1,449</w:t>
            </w:r>
          </w:p>
        </w:tc>
        <w:tc>
          <w:tcPr>
            <w:tcW w:type="dxa" w:w="1440"/>
            <w:shd w:fill="FFDCE0" w:val="clear"/>
          </w:tcPr>
          <w:p>
            <w:r>
              <w:rPr>
                <w:sz w:val="17"/>
              </w:rPr>
              <w:t>1,686</w:t>
            </w:r>
          </w:p>
        </w:tc>
        <w:tc>
          <w:tcPr>
            <w:tcW w:type="dxa" w:w="1440"/>
            <w:shd w:fill="FFDCE0" w:val="clear"/>
          </w:tcPr>
          <w:p>
            <w:r>
              <w:rPr>
                <w:b/>
                <w:color w:val="C00000"/>
                <w:sz w:val="17"/>
              </w:rPr>
              <w:t>-34.0%</w:t>
            </w:r>
          </w:p>
        </w:tc>
      </w:tr>
      <w:tr>
        <w:tc>
          <w:tcPr>
            <w:tcW w:type="dxa" w:w="1440"/>
            <w:shd w:fill="FFDCE0" w:val="clear"/>
          </w:tcPr>
          <w:p>
            <w:r>
              <w:rPr>
                <w:sz w:val="17"/>
              </w:rPr>
              <w:t>J+9  ⭐</w:t>
            </w:r>
          </w:p>
        </w:tc>
        <w:tc>
          <w:tcPr>
            <w:tcW w:type="dxa" w:w="1440"/>
            <w:shd w:fill="FFDCE0" w:val="clear"/>
          </w:tcPr>
          <w:p>
            <w:r>
              <w:rPr>
                <w:sz w:val="17"/>
              </w:rPr>
              <w:t>2026-09-02</w:t>
            </w:r>
          </w:p>
        </w:tc>
        <w:tc>
          <w:tcPr>
            <w:tcW w:type="dxa" w:w="1440"/>
            <w:shd w:fill="FFDCE0" w:val="clear"/>
          </w:tcPr>
          <w:p>
            <w:r>
              <w:rPr>
                <w:sz w:val="17"/>
              </w:rPr>
              <w:t>1,161</w:t>
            </w:r>
          </w:p>
        </w:tc>
        <w:tc>
          <w:tcPr>
            <w:tcW w:type="dxa" w:w="1440"/>
            <w:shd w:fill="FFDCE0" w:val="clear"/>
          </w:tcPr>
          <w:p>
            <w:r>
              <w:rPr>
                <w:b/>
                <w:sz w:val="17"/>
              </w:rPr>
              <w:t>1,404</w:t>
            </w:r>
          </w:p>
        </w:tc>
        <w:tc>
          <w:tcPr>
            <w:tcW w:type="dxa" w:w="1440"/>
            <w:shd w:fill="FFDCE0" w:val="clear"/>
          </w:tcPr>
          <w:p>
            <w:r>
              <w:rPr>
                <w:sz w:val="17"/>
              </w:rPr>
              <w:t>1,647</w:t>
            </w:r>
          </w:p>
        </w:tc>
        <w:tc>
          <w:tcPr>
            <w:tcW w:type="dxa" w:w="1440"/>
            <w:shd w:fill="FFDCE0" w:val="clear"/>
          </w:tcPr>
          <w:p>
            <w:r>
              <w:rPr>
                <w:b/>
                <w:color w:val="C00000"/>
                <w:sz w:val="17"/>
              </w:rPr>
              <w:t>-36.0%</w:t>
            </w:r>
          </w:p>
        </w:tc>
      </w:tr>
      <w:tr>
        <w:tc>
          <w:tcPr>
            <w:tcW w:type="dxa" w:w="1440"/>
            <w:shd w:fill="FFDCE0" w:val="clear"/>
          </w:tcPr>
          <w:p>
            <w:r>
              <w:rPr>
                <w:sz w:val="17"/>
              </w:rPr>
              <w:t>J+10  ⭐</w:t>
            </w:r>
          </w:p>
        </w:tc>
        <w:tc>
          <w:tcPr>
            <w:tcW w:type="dxa" w:w="1440"/>
            <w:shd w:fill="FFDCE0" w:val="clear"/>
          </w:tcPr>
          <w:p>
            <w:r>
              <w:rPr>
                <w:sz w:val="17"/>
              </w:rPr>
              <w:t>2026-09-03</w:t>
            </w:r>
          </w:p>
        </w:tc>
        <w:tc>
          <w:tcPr>
            <w:tcW w:type="dxa" w:w="1440"/>
            <w:shd w:fill="FFDCE0" w:val="clear"/>
          </w:tcPr>
          <w:p>
            <w:r>
              <w:rPr>
                <w:sz w:val="17"/>
              </w:rPr>
              <w:t>1,114</w:t>
            </w:r>
          </w:p>
        </w:tc>
        <w:tc>
          <w:tcPr>
            <w:tcW w:type="dxa" w:w="1440"/>
            <w:shd w:fill="FFDCE0" w:val="clear"/>
          </w:tcPr>
          <w:p>
            <w:r>
              <w:rPr>
                <w:b/>
                <w:sz w:val="17"/>
              </w:rPr>
              <w:t>1,363</w:t>
            </w:r>
          </w:p>
        </w:tc>
        <w:tc>
          <w:tcPr>
            <w:tcW w:type="dxa" w:w="1440"/>
            <w:shd w:fill="FFDCE0" w:val="clear"/>
          </w:tcPr>
          <w:p>
            <w:r>
              <w:rPr>
                <w:sz w:val="17"/>
              </w:rPr>
              <w:t>1,611</w:t>
            </w:r>
          </w:p>
        </w:tc>
        <w:tc>
          <w:tcPr>
            <w:tcW w:type="dxa" w:w="1440"/>
            <w:shd w:fill="FFDCE0" w:val="clear"/>
          </w:tcPr>
          <w:p>
            <w:r>
              <w:rPr>
                <w:b/>
                <w:color w:val="C00000"/>
                <w:sz w:val="17"/>
              </w:rPr>
              <w:t>-37.9%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NEI-CEDA (NEIC)**</w:t>
        <w:br/>
        <w:t>**Date : 19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NEIC s'établit à 28,02 milliards FCFA, un niveau modeste sur la BRVM, reflétant un profil de petite capitalisation. Avec un BPA de 160 FCFA, le titre se négocie à un PER de 13,8x, supérieur à la moyenne historique de la place (~8-12x), indiquant que les investisseurs paient une prime relative pour la croissance récente des bénéfices. Cependant, le P/B de 4,87x et l'EV/EBITDA de 20,3x signalent une valorisation exigeante, le marché intégrant des perspectives de rentabilité future élevées par rapport à la valeur comptable et à la capacité opérationnelle actuelle. Ces ratios suggèrent que le potentiel de hausse est déjà largement anticipé, laissant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NEIC a enregistré une progression spectaculaire de +56,79%, avec une dernière séance en légère hausse de +0,69% à 2 195 FCFA. Le titre a évolué dans une fourchette très large, oscillant entre un plus bas de 1 365 FCFA et un plus haut de 2 400 FCFA, illustrant une forte volatilité et un momentum haussier marqué. La moyenne (1 958 FCFA) étant inférieure à la médiane (1 995 FCFA), la distribution des prix est légèrement asymétrique, avec un skewness négatif (-0,633) indiquant que les journées de forte hausse ont été plus fréquentes que les baisses. L'écart-type de 340 FCFA (CV=17,4%) et la volatilité annualisée de 49,9% classent le titre comme extrêmement volatil, un niveau bien supérieur au seuil de 30% considéré comme élevé. Le kurtosis proche de -0,99 suggère une distribution mésokurtique, sans risque de pics extrêmes particuliers, mais la tendance globale reste résolument haussière malgré des corrections ponctuelles.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(2 195 FCFA) se situe sous les MM20 (2 236 FCFA) et MM50 (2 236,7 FCFA), qui sont quasi identiques. Cette configuration indique une perte de dynamisme à court terme, le prix ayant récemment cassé sous ces supports dynamiques. La décision de "Vente" est justifiée par cette position sous les moyennes, signalant un possible retournement après la forte hausse.</w:t>
      </w:r>
    </w:p>
    <w:p>
      <w:pPr>
        <w:spacing w:after="120" w:line="276" w:lineRule="auto"/>
      </w:pPr>
      <w:r>
        <w:t>**Bandes de Bollinger** : Le prix évolue à l'intérieur des bandes, proche de la borne inférieure (2 136 FCFA) et loin de la borne supérieure (2 335 FCFA). Cette position suggère une pression vendeuse récente, mais sans sortie des bandes, ce qui indique une volatilité modérée. La décision "Neutre" reflète l'absence de signal extrême, le marché attendant une direction claire.</w:t>
      </w:r>
    </w:p>
    <w:p>
      <w:pPr>
        <w:spacing w:after="120" w:line="276" w:lineRule="auto"/>
      </w:pPr>
      <w:r>
        <w:t>**MACD** : La valeur du MACD (-5,706) est inférieure à son signal (4,606), confirmant une divergence baissière. Le momentum s'affaiblit nettement, signalant une perte de vitesse du mouvement haussier. La décision de "Vente" est cohérente avec cette configuration, suggérant une poursuite probable du repli à court terme.</w:t>
      </w:r>
    </w:p>
    <w:p>
      <w:pPr>
        <w:spacing w:after="120" w:line="276" w:lineRule="auto"/>
      </w:pPr>
      <w:r>
        <w:t>**RSI** : À 39,56, le RSI se situe en zone neutre, mais proche de la zone de survente (30). Cela indique que le titre n'est ni suracheté ni survendu, mais que la pression vendeuse domine légèrement. La décision "Neutre" reflète une absence de signal extrême, mais la trajectoire baissière du RSI mérite une attention particulière.</w:t>
      </w:r>
    </w:p>
    <w:p>
      <w:pPr>
        <w:spacing w:after="120" w:line="276" w:lineRule="auto"/>
      </w:pPr>
      <w:r>
        <w:t>**Stochastique** : Le %K (43,24) est supérieur au %D (36,94), suggérant un début de croisement haussier potentiel. Cependant, les deux indicateurs restent en zone neutre, indiquant une absence de momentum clair. La décision "Neutre" est justifiée, le marché semblant indécis après la récente consolidation.</w:t>
      </w:r>
    </w:p>
    <w:p>
      <w:pPr>
        <w:spacing w:after="120" w:line="276" w:lineRule="auto"/>
      </w:pPr>
      <w:r>
        <w:t>**Conclusion technique** : Les indicateurs techniques sont globalement mitigés, avec une majorité de signaux de vente (MM, MACD) contre des signaux neutres (Bollinger, RSI, Stochastique). La tendance de fond reste haussière, mais le court terme suggère une correction ou une consolidation. Les investisseurs devraient attendre un signal de retournement (croisement haussier du MACD ou reprise au-dessus des MM) avant de renforcer leurs positions.</w:t>
      </w:r>
    </w:p>
    <w:p>
      <w:pPr>
        <w:spacing w:after="120" w:line="276" w:lineRule="auto"/>
      </w:pPr>
      <w:r>
        <w:t>---</w:t>
      </w:r>
    </w:p>
    <w:p>
      <w:pPr>
        <w:spacing w:after="120" w:line="276" w:lineRule="auto"/>
      </w:pPr>
      <w:r>
        <w:t>### PARTIE 3 : ANALYSE FONDAMENTALE (SECTION CRITIQUE)</w:t>
      </w:r>
    </w:p>
    <w:p>
      <w:pPr>
        <w:spacing w:after="120" w:line="276" w:lineRule="auto"/>
      </w:pPr>
      <w:r>
        <w:t>**En 2025**, NEI-CEDA affiche des performances financières solides avec un chiffre d'affaires de 5,139 milliards FCFA et un résultat net de 2,037 milliards FCFA, soit une marge nette exceptionnelle de 39,6%. Le ROE s'établit à 35,4% et le ROA à 27,3%, des niveaux excellents qui témoignent d'une gestion très efficace des capitaux propres et des actifs. La structure financière est saine avec une autonomie financière de 77% et une trésorerie nette positive de 4,196 milliards FCFA. Cependant, le délai clients de 154,7 jours constitue un point de vigilance majeur, représentant un risque de trésorerie important, tandis que le BFR de 1,498 milliard FCFA indique un besoin de financement significatif. Le taux de croissance du CA de -23,8% en 2025 est préoccupant, contrastant avec la forte rentabilité. Les rapports trimestriels 2025 montrent une activité très saisonnière : le T1 2025 a enregistré un CA catastrophique de 48,5 millions FCFA (-154%) et une perte de -189,9 millions, tandis que le T3 2025 a bénéficié d'une reprise de provision exceptionnelle de 1,596 milliard FCFA, masquant une baisse opérationnelle de 35% du CA. Le rapport T1 2026 indique une amélioration du CA (+137% à 115,1 millions FCFA) mais une perte nette persistante de -168,9 millions. Sur la base de ces tendances, on estime que l'exercice 2026 pourrait voir un CA annuel autour de 4,5-5 milliards FCFA, avec un résultat net dépendant fortement des éléments exceptionnels. La recommandation fondamentale reste "CONSERVER", la société étant rentable mais confrontée à une baisse structurelle de son activité traditionnelle et à une dépendance aux marchés publics.</w:t>
      </w:r>
    </w:p>
    <w:p>
      <w:pPr>
        <w:spacing w:after="120" w:line="276" w:lineRule="auto"/>
      </w:pPr>
      <w:r>
        <w:t>---</w:t>
      </w:r>
    </w:p>
    <w:p>
      <w:pPr>
        <w:spacing w:after="120" w:line="276" w:lineRule="auto"/>
      </w:pPr>
      <w:r>
        <w:t>### PARTIE 4 : CONCLUSION D'INVESTISSEMENT</w:t>
      </w:r>
    </w:p>
    <w:p>
      <w:pPr>
        <w:spacing w:after="120" w:line="276" w:lineRule="auto"/>
      </w:pPr>
      <w:r>
        <w:t>La valorisation de NEIC (PER 13,8x, P/B 4,87x, EV/EBITDA 20,3x) apparaît exigeante, le marché intégrant déjà les bonnes performances 2025. Le comportement du cours (+56,79% sur 100 jours) montre une dynamique haussière spectaculaire, mais les statistiques révèlent une volatilité extrême (49,9%) et une asymétrie négative, signalant un risque de retournement. Les signaux techniques sont mitigés, avec une majorité d'indicateurs en vente (MM, MACD) contre des signaux neutres (Bollinger, RSI, Stochastique), suggérant une consolidation à court terme. Fondamentalement, la société affiche une rentabilité exceptionnelle (ROE 35,4%, marge nette 39,6%) mais une baisse inquiétante du CA (-23,8%) et des délais clients élevés. Les prédictions IA (2030 FCFA à J+1, puis chute à 1620 FCFA à J+10) confirment la tendance baissière à court terme, anticipant une correction significative de -26% par rapport au cours actuel. **Recommandation finale : VENTE** — la convergence des signaux techniques baissiers, la valorisation exigeante et les prédictions IA défavorables l'emportent sur les fondamentaux solides. Niveau de confiance : **Moyen** (les fondamentaux pourraient soutenir le titre à moyen terme). Risque global : **Élevé** (volatilité extrême, dépendance aux marchés publics, saisonnalité marquée). Horizon d'investissement optimal : **Court terme (&lt;3 mois)** pour les investisseurs cherchant à profiter de la correction, mais avec une grande prudence.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568.90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1,963 titres</w:t>
            </w:r>
          </w:p>
        </w:tc>
        <w:tc>
          <w:tcPr>
            <w:tcW w:type="dxa" w:w="2268"/>
            <w:shd w:fill="FFF2CC" w:val="clear"/>
          </w:tcPr>
          <w:p>
            <w:r>
              <w:rPr>
                <w:b/>
                <w:color w:val="503200"/>
                <w:sz w:val="16"/>
              </w:rPr>
              <w:t xml:space="preserve">Cours actuel : </w:t>
            </w:r>
            <w:r>
              <w:rPr>
                <w:color w:val="000000"/>
                <w:sz w:val="17"/>
              </w:rPr>
              <w:t>23,000 FCFA</w:t>
            </w:r>
          </w:p>
          <w:p>
            <w:r>
              <w:rPr>
                <w:b/>
                <w:color w:val="503200"/>
                <w:sz w:val="16"/>
              </w:rPr>
              <w:t xml:space="preserve">Var. 100 jours : </w:t>
            </w:r>
            <w:r>
              <w:rPr>
                <w:b/>
                <w:color w:val="007800"/>
                <w:sz w:val="17"/>
              </w:rPr>
              <w:t>+64.29%</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19.69% (Élevée) — μ=18,438 FCFA, σ=3,630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β=1.5924 (Agressif) — Cov=0.000049, Var(idx)=0.000030, ρ=0.368,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1,963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2026-08-20</w:t>
            </w:r>
          </w:p>
        </w:tc>
        <w:tc>
          <w:tcPr>
            <w:tcW w:type="dxa" w:w="1440"/>
            <w:shd w:fill="C6EFCE" w:val="clear"/>
          </w:tcPr>
          <w:p>
            <w:r>
              <w:rPr>
                <w:sz w:val="17"/>
              </w:rPr>
              <w:t>22,585</w:t>
            </w:r>
          </w:p>
        </w:tc>
        <w:tc>
          <w:tcPr>
            <w:tcW w:type="dxa" w:w="1440"/>
            <w:shd w:fill="C6EFCE" w:val="clear"/>
          </w:tcPr>
          <w:p>
            <w:r>
              <w:rPr>
                <w:b/>
                <w:sz w:val="17"/>
              </w:rPr>
              <w:t>23,605</w:t>
            </w:r>
          </w:p>
        </w:tc>
        <w:tc>
          <w:tcPr>
            <w:tcW w:type="dxa" w:w="1440"/>
            <w:shd w:fill="C6EFCE" w:val="clear"/>
          </w:tcPr>
          <w:p>
            <w:r>
              <w:rPr>
                <w:sz w:val="17"/>
              </w:rPr>
              <w:t>24,625</w:t>
            </w:r>
          </w:p>
        </w:tc>
        <w:tc>
          <w:tcPr>
            <w:tcW w:type="dxa" w:w="1440"/>
            <w:shd w:fill="C6EFCE" w:val="clear"/>
          </w:tcPr>
          <w:p>
            <w:r>
              <w:rPr>
                <w:b/>
                <w:color w:val="008000"/>
                <w:sz w:val="17"/>
              </w:rPr>
              <w:t>+2.6%</w:t>
            </w:r>
          </w:p>
        </w:tc>
      </w:tr>
      <w:tr>
        <w:tc>
          <w:tcPr>
            <w:tcW w:type="dxa" w:w="1440"/>
            <w:shd w:fill="C6EFCE" w:val="clear"/>
          </w:tcPr>
          <w:p>
            <w:r>
              <w:rPr>
                <w:sz w:val="17"/>
              </w:rPr>
              <w:t>J+2  Moyenne</w:t>
            </w:r>
          </w:p>
        </w:tc>
        <w:tc>
          <w:tcPr>
            <w:tcW w:type="dxa" w:w="1440"/>
            <w:shd w:fill="C6EFCE" w:val="clear"/>
          </w:tcPr>
          <w:p>
            <w:r>
              <w:rPr>
                <w:sz w:val="17"/>
              </w:rPr>
              <w:t>2026-08-21</w:t>
            </w:r>
          </w:p>
        </w:tc>
        <w:tc>
          <w:tcPr>
            <w:tcW w:type="dxa" w:w="1440"/>
            <w:shd w:fill="C6EFCE" w:val="clear"/>
          </w:tcPr>
          <w:p>
            <w:r>
              <w:rPr>
                <w:sz w:val="17"/>
              </w:rPr>
              <w:t>22,558</w:t>
            </w:r>
          </w:p>
        </w:tc>
        <w:tc>
          <w:tcPr>
            <w:tcW w:type="dxa" w:w="1440"/>
            <w:shd w:fill="C6EFCE" w:val="clear"/>
          </w:tcPr>
          <w:p>
            <w:r>
              <w:rPr>
                <w:b/>
                <w:sz w:val="17"/>
              </w:rPr>
              <w:t>24,026</w:t>
            </w:r>
          </w:p>
        </w:tc>
        <w:tc>
          <w:tcPr>
            <w:tcW w:type="dxa" w:w="1440"/>
            <w:shd w:fill="C6EFCE" w:val="clear"/>
          </w:tcPr>
          <w:p>
            <w:r>
              <w:rPr>
                <w:sz w:val="17"/>
              </w:rPr>
              <w:t>25,494</w:t>
            </w:r>
          </w:p>
        </w:tc>
        <w:tc>
          <w:tcPr>
            <w:tcW w:type="dxa" w:w="1440"/>
            <w:shd w:fill="C6EFCE" w:val="clear"/>
          </w:tcPr>
          <w:p>
            <w:r>
              <w:rPr>
                <w:b/>
                <w:color w:val="008000"/>
                <w:sz w:val="17"/>
              </w:rPr>
              <w:t>+4.5%</w:t>
            </w:r>
          </w:p>
        </w:tc>
      </w:tr>
      <w:tr>
        <w:tc>
          <w:tcPr>
            <w:tcW w:type="dxa" w:w="1440"/>
            <w:shd w:fill="C6EFCE" w:val="clear"/>
          </w:tcPr>
          <w:p>
            <w:r>
              <w:rPr>
                <w:sz w:val="17"/>
              </w:rPr>
              <w:t>J+3  Moyenne</w:t>
            </w:r>
          </w:p>
        </w:tc>
        <w:tc>
          <w:tcPr>
            <w:tcW w:type="dxa" w:w="1440"/>
            <w:shd w:fill="C6EFCE" w:val="clear"/>
          </w:tcPr>
          <w:p>
            <w:r>
              <w:rPr>
                <w:sz w:val="17"/>
              </w:rPr>
              <w:t>2026-08-24</w:t>
            </w:r>
          </w:p>
        </w:tc>
        <w:tc>
          <w:tcPr>
            <w:tcW w:type="dxa" w:w="1440"/>
            <w:shd w:fill="C6EFCE" w:val="clear"/>
          </w:tcPr>
          <w:p>
            <w:r>
              <w:rPr>
                <w:sz w:val="17"/>
              </w:rPr>
              <w:t>22,608</w:t>
            </w:r>
          </w:p>
        </w:tc>
        <w:tc>
          <w:tcPr>
            <w:tcW w:type="dxa" w:w="1440"/>
            <w:shd w:fill="C6EFCE" w:val="clear"/>
          </w:tcPr>
          <w:p>
            <w:r>
              <w:rPr>
                <w:b/>
                <w:sz w:val="17"/>
              </w:rPr>
              <w:t>24,437</w:t>
            </w:r>
          </w:p>
        </w:tc>
        <w:tc>
          <w:tcPr>
            <w:tcW w:type="dxa" w:w="1440"/>
            <w:shd w:fill="C6EFCE" w:val="clear"/>
          </w:tcPr>
          <w:p>
            <w:r>
              <w:rPr>
                <w:sz w:val="17"/>
              </w:rPr>
              <w:t>26,266</w:t>
            </w:r>
          </w:p>
        </w:tc>
        <w:tc>
          <w:tcPr>
            <w:tcW w:type="dxa" w:w="1440"/>
            <w:shd w:fill="C6EFCE" w:val="clear"/>
          </w:tcPr>
          <w:p>
            <w:r>
              <w:rPr>
                <w:b/>
                <w:color w:val="008000"/>
                <w:sz w:val="17"/>
              </w:rPr>
              <w:t>+6.2%</w:t>
            </w:r>
          </w:p>
        </w:tc>
      </w:tr>
      <w:tr>
        <w:tc>
          <w:tcPr>
            <w:tcW w:type="dxa" w:w="1440"/>
            <w:shd w:fill="C6EFCE" w:val="clear"/>
          </w:tcPr>
          <w:p>
            <w:r>
              <w:rPr>
                <w:sz w:val="17"/>
              </w:rPr>
              <w:t>J+4  ⭐</w:t>
            </w:r>
          </w:p>
        </w:tc>
        <w:tc>
          <w:tcPr>
            <w:tcW w:type="dxa" w:w="1440"/>
            <w:shd w:fill="C6EFCE" w:val="clear"/>
          </w:tcPr>
          <w:p>
            <w:r>
              <w:rPr>
                <w:sz w:val="17"/>
              </w:rPr>
              <w:t>2026-08-25</w:t>
            </w:r>
          </w:p>
        </w:tc>
        <w:tc>
          <w:tcPr>
            <w:tcW w:type="dxa" w:w="1440"/>
            <w:shd w:fill="C6EFCE" w:val="clear"/>
          </w:tcPr>
          <w:p>
            <w:r>
              <w:rPr>
                <w:sz w:val="17"/>
              </w:rPr>
              <w:t>22,686</w:t>
            </w:r>
          </w:p>
        </w:tc>
        <w:tc>
          <w:tcPr>
            <w:tcW w:type="dxa" w:w="1440"/>
            <w:shd w:fill="C6EFCE" w:val="clear"/>
          </w:tcPr>
          <w:p>
            <w:r>
              <w:rPr>
                <w:b/>
                <w:sz w:val="17"/>
              </w:rPr>
              <w:t>24,831</w:t>
            </w:r>
          </w:p>
        </w:tc>
        <w:tc>
          <w:tcPr>
            <w:tcW w:type="dxa" w:w="1440"/>
            <w:shd w:fill="C6EFCE" w:val="clear"/>
          </w:tcPr>
          <w:p>
            <w:r>
              <w:rPr>
                <w:sz w:val="17"/>
              </w:rPr>
              <w:t>26,977</w:t>
            </w:r>
          </w:p>
        </w:tc>
        <w:tc>
          <w:tcPr>
            <w:tcW w:type="dxa" w:w="1440"/>
            <w:shd w:fill="C6EFCE" w:val="clear"/>
          </w:tcPr>
          <w:p>
            <w:r>
              <w:rPr>
                <w:b/>
                <w:color w:val="008000"/>
                <w:sz w:val="17"/>
              </w:rPr>
              <w:t>+8.0%</w:t>
            </w:r>
          </w:p>
        </w:tc>
      </w:tr>
      <w:tr>
        <w:tc>
          <w:tcPr>
            <w:tcW w:type="dxa" w:w="1440"/>
            <w:shd w:fill="C6EFCE" w:val="clear"/>
          </w:tcPr>
          <w:p>
            <w:r>
              <w:rPr>
                <w:sz w:val="17"/>
              </w:rPr>
              <w:t>J+5  ⭐</w:t>
            </w:r>
          </w:p>
        </w:tc>
        <w:tc>
          <w:tcPr>
            <w:tcW w:type="dxa" w:w="1440"/>
            <w:shd w:fill="C6EFCE" w:val="clear"/>
          </w:tcPr>
          <w:p>
            <w:r>
              <w:rPr>
                <w:sz w:val="17"/>
              </w:rPr>
              <w:t>2026-08-27</w:t>
            </w:r>
          </w:p>
        </w:tc>
        <w:tc>
          <w:tcPr>
            <w:tcW w:type="dxa" w:w="1440"/>
            <w:shd w:fill="C6EFCE" w:val="clear"/>
          </w:tcPr>
          <w:p>
            <w:r>
              <w:rPr>
                <w:sz w:val="17"/>
              </w:rPr>
              <w:t>22,785</w:t>
            </w:r>
          </w:p>
        </w:tc>
        <w:tc>
          <w:tcPr>
            <w:tcW w:type="dxa" w:w="1440"/>
            <w:shd w:fill="C6EFCE" w:val="clear"/>
          </w:tcPr>
          <w:p>
            <w:r>
              <w:rPr>
                <w:b/>
                <w:sz w:val="17"/>
              </w:rPr>
              <w:t>25,222</w:t>
            </w:r>
          </w:p>
        </w:tc>
        <w:tc>
          <w:tcPr>
            <w:tcW w:type="dxa" w:w="1440"/>
            <w:shd w:fill="C6EFCE" w:val="clear"/>
          </w:tcPr>
          <w:p>
            <w:r>
              <w:rPr>
                <w:sz w:val="17"/>
              </w:rPr>
              <w:t>27,658</w:t>
            </w:r>
          </w:p>
        </w:tc>
        <w:tc>
          <w:tcPr>
            <w:tcW w:type="dxa" w:w="1440"/>
            <w:shd w:fill="C6EFCE" w:val="clear"/>
          </w:tcPr>
          <w:p>
            <w:r>
              <w:rPr>
                <w:b/>
                <w:color w:val="008000"/>
                <w:sz w:val="17"/>
              </w:rPr>
              <w:t>+9.7%</w:t>
            </w:r>
          </w:p>
        </w:tc>
      </w:tr>
      <w:tr>
        <w:tc>
          <w:tcPr>
            <w:tcW w:type="dxa" w:w="1440"/>
            <w:shd w:fill="C6EFCE" w:val="clear"/>
          </w:tcPr>
          <w:p>
            <w:r>
              <w:rPr>
                <w:sz w:val="17"/>
              </w:rPr>
              <w:t>J+6  ⭐</w:t>
            </w:r>
          </w:p>
        </w:tc>
        <w:tc>
          <w:tcPr>
            <w:tcW w:type="dxa" w:w="1440"/>
            <w:shd w:fill="C6EFCE" w:val="clear"/>
          </w:tcPr>
          <w:p>
            <w:r>
              <w:rPr>
                <w:sz w:val="17"/>
              </w:rPr>
              <w:t>2026-08-28</w:t>
            </w:r>
          </w:p>
        </w:tc>
        <w:tc>
          <w:tcPr>
            <w:tcW w:type="dxa" w:w="1440"/>
            <w:shd w:fill="C6EFCE" w:val="clear"/>
          </w:tcPr>
          <w:p>
            <w:r>
              <w:rPr>
                <w:sz w:val="17"/>
              </w:rPr>
              <w:t>22,900</w:t>
            </w:r>
          </w:p>
        </w:tc>
        <w:tc>
          <w:tcPr>
            <w:tcW w:type="dxa" w:w="1440"/>
            <w:shd w:fill="C6EFCE" w:val="clear"/>
          </w:tcPr>
          <w:p>
            <w:r>
              <w:rPr>
                <w:b/>
                <w:sz w:val="17"/>
              </w:rPr>
              <w:t>25,610</w:t>
            </w:r>
          </w:p>
        </w:tc>
        <w:tc>
          <w:tcPr>
            <w:tcW w:type="dxa" w:w="1440"/>
            <w:shd w:fill="C6EFCE" w:val="clear"/>
          </w:tcPr>
          <w:p>
            <w:r>
              <w:rPr>
                <w:sz w:val="17"/>
              </w:rPr>
              <w:t>28,320</w:t>
            </w:r>
          </w:p>
        </w:tc>
        <w:tc>
          <w:tcPr>
            <w:tcW w:type="dxa" w:w="1440"/>
            <w:shd w:fill="C6EFCE" w:val="clear"/>
          </w:tcPr>
          <w:p>
            <w:r>
              <w:rPr>
                <w:b/>
                <w:color w:val="008000"/>
                <w:sz w:val="17"/>
              </w:rPr>
              <w:t>+11.3%</w:t>
            </w:r>
          </w:p>
        </w:tc>
      </w:tr>
      <w:tr>
        <w:tc>
          <w:tcPr>
            <w:tcW w:type="dxa" w:w="1440"/>
            <w:shd w:fill="C6EFCE" w:val="clear"/>
          </w:tcPr>
          <w:p>
            <w:r>
              <w:rPr>
                <w:sz w:val="17"/>
              </w:rPr>
              <w:t>J+7  ⭐</w:t>
            </w:r>
          </w:p>
        </w:tc>
        <w:tc>
          <w:tcPr>
            <w:tcW w:type="dxa" w:w="1440"/>
            <w:shd w:fill="C6EFCE" w:val="clear"/>
          </w:tcPr>
          <w:p>
            <w:r>
              <w:rPr>
                <w:sz w:val="17"/>
              </w:rPr>
              <w:t>2026-08-31</w:t>
            </w:r>
          </w:p>
        </w:tc>
        <w:tc>
          <w:tcPr>
            <w:tcW w:type="dxa" w:w="1440"/>
            <w:shd w:fill="C6EFCE" w:val="clear"/>
          </w:tcPr>
          <w:p>
            <w:r>
              <w:rPr>
                <w:sz w:val="17"/>
              </w:rPr>
              <w:t>23,025</w:t>
            </w:r>
          </w:p>
        </w:tc>
        <w:tc>
          <w:tcPr>
            <w:tcW w:type="dxa" w:w="1440"/>
            <w:shd w:fill="C6EFCE" w:val="clear"/>
          </w:tcPr>
          <w:p>
            <w:r>
              <w:rPr>
                <w:b/>
                <w:sz w:val="17"/>
              </w:rPr>
              <w:t>25,997</w:t>
            </w:r>
          </w:p>
        </w:tc>
        <w:tc>
          <w:tcPr>
            <w:tcW w:type="dxa" w:w="1440"/>
            <w:shd w:fill="C6EFCE" w:val="clear"/>
          </w:tcPr>
          <w:p>
            <w:r>
              <w:rPr>
                <w:sz w:val="17"/>
              </w:rPr>
              <w:t>28,969</w:t>
            </w:r>
          </w:p>
        </w:tc>
        <w:tc>
          <w:tcPr>
            <w:tcW w:type="dxa" w:w="1440"/>
            <w:shd w:fill="C6EFCE" w:val="clear"/>
          </w:tcPr>
          <w:p>
            <w:r>
              <w:rPr>
                <w:b/>
                <w:color w:val="008000"/>
                <w:sz w:val="17"/>
              </w:rPr>
              <w:t>+13.0%</w:t>
            </w:r>
          </w:p>
        </w:tc>
      </w:tr>
      <w:tr>
        <w:tc>
          <w:tcPr>
            <w:tcW w:type="dxa" w:w="1440"/>
            <w:shd w:fill="C6EFCE" w:val="clear"/>
          </w:tcPr>
          <w:p>
            <w:r>
              <w:rPr>
                <w:sz w:val="17"/>
              </w:rPr>
              <w:t>J+8  ⭐</w:t>
            </w:r>
          </w:p>
        </w:tc>
        <w:tc>
          <w:tcPr>
            <w:tcW w:type="dxa" w:w="1440"/>
            <w:shd w:fill="C6EFCE" w:val="clear"/>
          </w:tcPr>
          <w:p>
            <w:r>
              <w:rPr>
                <w:sz w:val="17"/>
              </w:rPr>
              <w:t>2026-09-01</w:t>
            </w:r>
          </w:p>
        </w:tc>
        <w:tc>
          <w:tcPr>
            <w:tcW w:type="dxa" w:w="1440"/>
            <w:shd w:fill="C6EFCE" w:val="clear"/>
          </w:tcPr>
          <w:p>
            <w:r>
              <w:rPr>
                <w:sz w:val="17"/>
              </w:rPr>
              <w:t>23,159</w:t>
            </w:r>
          </w:p>
        </w:tc>
        <w:tc>
          <w:tcPr>
            <w:tcW w:type="dxa" w:w="1440"/>
            <w:shd w:fill="C6EFCE" w:val="clear"/>
          </w:tcPr>
          <w:p>
            <w:r>
              <w:rPr>
                <w:b/>
                <w:sz w:val="17"/>
              </w:rPr>
              <w:t>26,383</w:t>
            </w:r>
          </w:p>
        </w:tc>
        <w:tc>
          <w:tcPr>
            <w:tcW w:type="dxa" w:w="1440"/>
            <w:shd w:fill="C6EFCE" w:val="clear"/>
          </w:tcPr>
          <w:p>
            <w:r>
              <w:rPr>
                <w:sz w:val="17"/>
              </w:rPr>
              <w:t>29,607</w:t>
            </w:r>
          </w:p>
        </w:tc>
        <w:tc>
          <w:tcPr>
            <w:tcW w:type="dxa" w:w="1440"/>
            <w:shd w:fill="C6EFCE" w:val="clear"/>
          </w:tcPr>
          <w:p>
            <w:r>
              <w:rPr>
                <w:b/>
                <w:color w:val="008000"/>
                <w:sz w:val="17"/>
              </w:rPr>
              <w:t>+14.7%</w:t>
            </w:r>
          </w:p>
        </w:tc>
      </w:tr>
      <w:tr>
        <w:tc>
          <w:tcPr>
            <w:tcW w:type="dxa" w:w="1440"/>
            <w:shd w:fill="C6EFCE" w:val="clear"/>
          </w:tcPr>
          <w:p>
            <w:r>
              <w:rPr>
                <w:sz w:val="17"/>
              </w:rPr>
              <w:t>J+9  ⭐</w:t>
            </w:r>
          </w:p>
        </w:tc>
        <w:tc>
          <w:tcPr>
            <w:tcW w:type="dxa" w:w="1440"/>
            <w:shd w:fill="C6EFCE" w:val="clear"/>
          </w:tcPr>
          <w:p>
            <w:r>
              <w:rPr>
                <w:sz w:val="17"/>
              </w:rPr>
              <w:t>2026-09-02</w:t>
            </w:r>
          </w:p>
        </w:tc>
        <w:tc>
          <w:tcPr>
            <w:tcW w:type="dxa" w:w="1440"/>
            <w:shd w:fill="C6EFCE" w:val="clear"/>
          </w:tcPr>
          <w:p>
            <w:r>
              <w:rPr>
                <w:sz w:val="17"/>
              </w:rPr>
              <w:t>23,298</w:t>
            </w:r>
          </w:p>
        </w:tc>
        <w:tc>
          <w:tcPr>
            <w:tcW w:type="dxa" w:w="1440"/>
            <w:shd w:fill="C6EFCE" w:val="clear"/>
          </w:tcPr>
          <w:p>
            <w:r>
              <w:rPr>
                <w:b/>
                <w:sz w:val="17"/>
              </w:rPr>
              <w:t>26,768</w:t>
            </w:r>
          </w:p>
        </w:tc>
        <w:tc>
          <w:tcPr>
            <w:tcW w:type="dxa" w:w="1440"/>
            <w:shd w:fill="C6EFCE" w:val="clear"/>
          </w:tcPr>
          <w:p>
            <w:r>
              <w:rPr>
                <w:sz w:val="17"/>
              </w:rPr>
              <w:t>30,237</w:t>
            </w:r>
          </w:p>
        </w:tc>
        <w:tc>
          <w:tcPr>
            <w:tcW w:type="dxa" w:w="1440"/>
            <w:shd w:fill="C6EFCE" w:val="clear"/>
          </w:tcPr>
          <w:p>
            <w:r>
              <w:rPr>
                <w:b/>
                <w:color w:val="008000"/>
                <w:sz w:val="17"/>
              </w:rPr>
              <w:t>+16.4%</w:t>
            </w:r>
          </w:p>
        </w:tc>
      </w:tr>
      <w:tr>
        <w:tc>
          <w:tcPr>
            <w:tcW w:type="dxa" w:w="1440"/>
            <w:shd w:fill="C6EFCE" w:val="clear"/>
          </w:tcPr>
          <w:p>
            <w:r>
              <w:rPr>
                <w:sz w:val="17"/>
              </w:rPr>
              <w:t>J+10  ⭐</w:t>
            </w:r>
          </w:p>
        </w:tc>
        <w:tc>
          <w:tcPr>
            <w:tcW w:type="dxa" w:w="1440"/>
            <w:shd w:fill="C6EFCE" w:val="clear"/>
          </w:tcPr>
          <w:p>
            <w:r>
              <w:rPr>
                <w:sz w:val="17"/>
              </w:rPr>
              <w:t>2026-09-03</w:t>
            </w:r>
          </w:p>
        </w:tc>
        <w:tc>
          <w:tcPr>
            <w:tcW w:type="dxa" w:w="1440"/>
            <w:shd w:fill="C6EFCE" w:val="clear"/>
          </w:tcPr>
          <w:p>
            <w:r>
              <w:rPr>
                <w:sz w:val="17"/>
              </w:rPr>
              <w:t>23,441</w:t>
            </w:r>
          </w:p>
        </w:tc>
        <w:tc>
          <w:tcPr>
            <w:tcW w:type="dxa" w:w="1440"/>
            <w:shd w:fill="C6EFCE" w:val="clear"/>
          </w:tcPr>
          <w:p>
            <w:r>
              <w:rPr>
                <w:b/>
                <w:sz w:val="17"/>
              </w:rPr>
              <w:t>27,151</w:t>
            </w:r>
          </w:p>
        </w:tc>
        <w:tc>
          <w:tcPr>
            <w:tcW w:type="dxa" w:w="1440"/>
            <w:shd w:fill="C6EFCE" w:val="clear"/>
          </w:tcPr>
          <w:p>
            <w:r>
              <w:rPr>
                <w:sz w:val="17"/>
              </w:rPr>
              <w:t>30,860</w:t>
            </w:r>
          </w:p>
        </w:tc>
        <w:tc>
          <w:tcPr>
            <w:tcW w:type="dxa" w:w="1440"/>
            <w:shd w:fill="C6EFCE" w:val="clear"/>
          </w:tcPr>
          <w:p>
            <w:r>
              <w:rPr>
                <w:b/>
                <w:color w:val="008000"/>
                <w:sz w:val="17"/>
              </w:rPr>
              <w:t>+18.0%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NSIA BANQUE CÔTE D'IVOIRE (NSBC)**</w:t>
        <w:br/>
        <w:t>**Date : 19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NSBC s'établit à 568,90 milliards FCFA, positionnant le titre parmi les valeurs bancaires majeures de la BRVM. Avec un BPA de 1 646 FCFA, le PER de 14,0x se situe au-dessus de la moyenne historique du marché (~8-12x), indiquant que les investisseurs acceptent de payer une prime pour la qualité de la banque. Le P/B de 2,44x confirme cette prime, le marché valorisant le titre à plus du double de sa valeur comptable, signe d'une confiance dans la création de valeur future. Enfin, l'EV/EBITDA de 21,5x, bien que supérieur au seuil exigeant de 15x, reflète la solidité opérationnelle de l'établissement et son potentiel de croissance dans un environnement économique porteur.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NSBC a enregistré une progression spectaculaire de +64,29%, passant d'un plus bas de 13 810 FCFA à un plus haut de 24 020 FCFA, avant de clôturer à 23 000 FCFA, soit une légère baisse de -0,90% lors de la dernière séance. La moyenne du cours sur la période (18 438 FCFA) est inférieure à la médiane (19 058 FCFA), suggérant une asymétrie positive avec une concentration des valeurs vers le bas de la fourchette. L'écart-type de 3 648 FCFA (CV=19,8%) indique une dispersion modérée, tandis que le kurtosis négatif (-1,461) révèle une distribution aplatie, sans pics de volatilité extrêmes. Le skewness quasi nul (0,014) confirme une symétrie parfaite. La volatilité annualisée de 37,6% classe le titre comme très volatil, reflétant un fort appétit spéculatif et des mouvements de prix amples.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(23 000 FCFA) se positionne au-dessus de la MM20 (23 362,25 FCFA) et de la MM50 (21 550,4 FCFA), bien que légèrement sous la MM20. La configuration haussière des MM50 soutient la tendance de fond, justifiant une décision d'achat à moyen terme.</w:t>
      </w:r>
    </w:p>
    <w:p>
      <w:pPr>
        <w:spacing w:after="120" w:line="276" w:lineRule="auto"/>
      </w:pPr>
      <w:r>
        <w:t>**Bandes de Bollinger** : Le cours évolue à proximité de la borne inférieure (22 679,35 FCFA), dans une fourchette relativement étroite (écart de 1 365 FCFA entre les bornes). Cette position neutre suggère une consolidation après la forte hausse, avec un potentiel de rebond vers la borne supérieure (24 045,15 FCFA).</w:t>
      </w:r>
    </w:p>
    <w:p>
      <w:pPr>
        <w:spacing w:after="120" w:line="276" w:lineRule="auto"/>
      </w:pPr>
      <w:r>
        <w:t>**MACD** : La valeur du MACD (451,434) est inférieure à son signal (664,242), indiquant un momentum baissier à court terme. Cette divergence négative, bien que modérée, appelle à la prudence pour les prochains jours.</w:t>
      </w:r>
    </w:p>
    <w:p>
      <w:pPr>
        <w:spacing w:after="120" w:line="276" w:lineRule="auto"/>
      </w:pPr>
      <w:r>
        <w:t>**RSI** : À 48,047, le RSI se situe en zone neutre, sans signal de surachat ni de survente. Cette valeur reflète un équilibre entre acheteurs et vendeurs, laissant place à une évolution directionnelle.</w:t>
      </w:r>
    </w:p>
    <w:p>
      <w:pPr>
        <w:spacing w:after="120" w:line="276" w:lineRule="auto"/>
      </w:pPr>
      <w:r>
        <w:t>**Stochastique** : Le %K à 0,0 et le %D à 8,497 indiquent une situation de survente extrême, signalant un potentiel de rebond technique imminent. Cette configuration, couplée à la décision d'achat, suggère une opportunité d'entrée à court terme.</w:t>
      </w:r>
    </w:p>
    <w:p>
      <w:pPr>
        <w:spacing w:after="120" w:line="276" w:lineRule="auto"/>
      </w:pPr>
      <w:r>
        <w:t>**Conclusion technique** : Les signaux sont mitigés : les moyennes mobiles et le stochastique plaident pour un achat, tandis que le MACD et le RSI restent neutres. La consolidation actuelle, après une hausse de 64%, pourrait déboucher sur une reprise haussière, mais une confirmation par le MACD est nécessaire.</w:t>
      </w:r>
    </w:p>
    <w:p>
      <w:pPr>
        <w:spacing w:after="120" w:line="276" w:lineRule="auto"/>
      </w:pPr>
      <w:r>
        <w:t>---</w:t>
      </w:r>
    </w:p>
    <w:p>
      <w:pPr>
        <w:spacing w:after="120" w:line="276" w:lineRule="auto"/>
      </w:pPr>
      <w:r>
        <w:t>### PARTIE 3 : ANALYSE FONDAMENTALE (SECTION CRITIQUE)</w:t>
      </w:r>
    </w:p>
    <w:p>
      <w:pPr>
        <w:spacing w:after="120" w:line="276" w:lineRule="auto"/>
      </w:pPr>
      <w:r>
        <w:t>En 2025, NSBC a réalisé un Produit Net Bancaire (PNB) de 112,928 milliards FCFA, en hausse de 15% par rapport à 2024, et un résultat net de 40,712 milliards FCFA, en progression de 7%. Le ROE s'établit à 17,45%, un niveau excellent, tandis que le ROA atteint 1,32%, conforme aux standards bancaires. Le coefficient d'exploitation de 54,59% témoigne d'une gestion efficace, en dessous du seuil de 60%. Cependant, le coût du risque s'est dégradé, passant de +0,6 milliard FCFA (reprise) en 2024 à -8,5 milliards FCFA (dotation) en 2025, signalant une détérioration de la qualité du portefeuille de crédits. Les dépôts clientèle (2 242,218 milliards FCFA) couvrent largement les créances clientèle (1 818,671 milliards FCFA), assurant une liquidité saine. Le rapport T1 2026, daté du 31 mars 2026, montre une accélération : PNB de 28,615 milliards FCFA (+28% vs T1 2025) et résultat net de 10,912 milliards FCFA (+53%), portés par l'activité titres. Sur cette base, on estime que l'exercice 2026 pourrait dépasser les 45 milliards FCFA de résultat net, confirmant la dynamique positive. Les fondamentaux restent solides, avec une recommandation de conserver en raison du coût du risque élevé.</w:t>
      </w:r>
    </w:p>
    <w:p>
      <w:pPr>
        <w:spacing w:after="120" w:line="276" w:lineRule="auto"/>
      </w:pPr>
      <w:r>
        <w:t>---</w:t>
      </w:r>
    </w:p>
    <w:p>
      <w:pPr>
        <w:spacing w:after="120" w:line="276" w:lineRule="auto"/>
      </w:pPr>
      <w:r>
        <w:t>### PARTIE 4 : CONCLUSION D'INVESTISSEMENT</w:t>
      </w:r>
    </w:p>
    <w:p>
      <w:pPr>
        <w:spacing w:after="120" w:line="276" w:lineRule="auto"/>
      </w:pPr>
      <w:r>
        <w:t>La valorisation de NSBC (PER 14,0x, P/B 2,44x) est exigeante mais justifiée par la qualité des fondamentaux et la croissance du T1 2026. Le comportement du cours, avec une hausse de 64% et une volatilité élevée (37,6%), reflète un fort intérêt des investisseurs, bien que les statistiques (kurtosis plat, skewness nul) indiquent une distribution stable. Les signaux techniques sont mitigés : les moyennes mobiles et le stochastique suggèrent un achat, tandis que le MACD et le RSI restent neutres, appelant à une confirmation. Les fondamentaux, avec un ROE de 17,45% et un PNB en croissance, sont robustes, mais le coût du risque (-8,5 milliards FCFA en 2025) nécessite une surveillance. Les prédictions IA (23 605 à 25 222 FCFA sur 10 jours) confirment une trajectoire haussière, alignée avec les fondamentaux. En synthèse, je recommande **ACHAT** avec un niveau de confiance **Moyen** et un risque global **Moyen**. L'horizon optimal est de **moyen terme (3-12 mois)**, en attendant la confirmation des résultats semestriels 2026 pour renforcer la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375.20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1,453 titres</w:t>
            </w:r>
          </w:p>
        </w:tc>
        <w:tc>
          <w:tcPr>
            <w:tcW w:type="dxa" w:w="2268"/>
            <w:shd w:fill="FFF2CC" w:val="clear"/>
          </w:tcPr>
          <w:p>
            <w:r>
              <w:rPr>
                <w:b/>
                <w:color w:val="503200"/>
                <w:sz w:val="16"/>
              </w:rPr>
              <w:t xml:space="preserve">Cours actuel : </w:t>
            </w:r>
            <w:r>
              <w:rPr>
                <w:color w:val="000000"/>
                <w:sz w:val="17"/>
              </w:rPr>
              <w:t>17,000 FCFA</w:t>
            </w:r>
          </w:p>
          <w:p>
            <w:r>
              <w:rPr>
                <w:b/>
                <w:color w:val="503200"/>
                <w:sz w:val="16"/>
              </w:rPr>
              <w:t xml:space="preserve">Var. 100 jours : </w:t>
            </w:r>
            <w:r>
              <w:rPr>
                <w:b/>
                <w:color w:val="007800"/>
                <w:sz w:val="17"/>
              </w:rPr>
              <w:t>+31.32%</w:t>
            </w:r>
          </w:p>
          <w:p>
            <w:r>
              <w:rPr>
                <w:b/>
                <w:color w:val="503200"/>
                <w:sz w:val="16"/>
              </w:rPr>
              <w:t xml:space="preserve">Plus haut 100j : </w:t>
            </w:r>
            <w:r>
              <w:rPr>
                <w:color w:val="000000"/>
                <w:sz w:val="17"/>
              </w:rPr>
              <w:t>17,450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13.88% (Moyenne) — μ=14,230 FCFA, σ=1,975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β=0.1910 (Défensif) — Cov=0.000006, Var(idx)=0.000030, ρ=0.049,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1,453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σ_j=2.13%/j (Stable) — Vol. annualisée≈33.9%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2026-08-20</w:t>
            </w:r>
          </w:p>
        </w:tc>
        <w:tc>
          <w:tcPr>
            <w:tcW w:type="dxa" w:w="1440"/>
            <w:shd w:fill="FAFAFA" w:val="clear"/>
          </w:tcPr>
          <w:p>
            <w:r>
              <w:rPr>
                <w:sz w:val="17"/>
              </w:rPr>
              <w:t>16,707</w:t>
            </w:r>
          </w:p>
        </w:tc>
        <w:tc>
          <w:tcPr>
            <w:tcW w:type="dxa" w:w="1440"/>
            <w:shd w:fill="FAFAFA" w:val="clear"/>
          </w:tcPr>
          <w:p>
            <w:r>
              <w:rPr>
                <w:b/>
                <w:sz w:val="17"/>
              </w:rPr>
              <w:t>17,000</w:t>
            </w:r>
          </w:p>
        </w:tc>
        <w:tc>
          <w:tcPr>
            <w:tcW w:type="dxa" w:w="1440"/>
            <w:shd w:fill="FAFAFA" w:val="clear"/>
          </w:tcPr>
          <w:p>
            <w:r>
              <w:rPr>
                <w:sz w:val="17"/>
              </w:rPr>
              <w:t>17,293</w:t>
            </w:r>
          </w:p>
        </w:tc>
        <w:tc>
          <w:tcPr>
            <w:tcW w:type="dxa" w:w="1440"/>
            <w:shd w:fill="FAFAFA" w:val="clear"/>
          </w:tcPr>
          <w:p>
            <w:r>
              <w:rPr>
                <w:b/>
                <w:color w:val="008000"/>
                <w:sz w:val="17"/>
              </w:rPr>
              <w:t>+0.0%</w:t>
            </w:r>
          </w:p>
        </w:tc>
      </w:tr>
      <w:tr>
        <w:tc>
          <w:tcPr>
            <w:tcW w:type="dxa" w:w="1440"/>
            <w:shd w:fill="FAFAFA" w:val="clear"/>
          </w:tcPr>
          <w:p>
            <w:r>
              <w:rPr>
                <w:sz w:val="17"/>
              </w:rPr>
              <w:t>J+2  Moyenne</w:t>
            </w:r>
          </w:p>
        </w:tc>
        <w:tc>
          <w:tcPr>
            <w:tcW w:type="dxa" w:w="1440"/>
            <w:shd w:fill="FAFAFA" w:val="clear"/>
          </w:tcPr>
          <w:p>
            <w:r>
              <w:rPr>
                <w:sz w:val="17"/>
              </w:rPr>
              <w:t>2026-08-21</w:t>
            </w:r>
          </w:p>
        </w:tc>
        <w:tc>
          <w:tcPr>
            <w:tcW w:type="dxa" w:w="1440"/>
            <w:shd w:fill="FAFAFA" w:val="clear"/>
          </w:tcPr>
          <w:p>
            <w:r>
              <w:rPr>
                <w:sz w:val="17"/>
              </w:rPr>
              <w:t>16,525</w:t>
            </w:r>
          </w:p>
        </w:tc>
        <w:tc>
          <w:tcPr>
            <w:tcW w:type="dxa" w:w="1440"/>
            <w:shd w:fill="FAFAFA" w:val="clear"/>
          </w:tcPr>
          <w:p>
            <w:r>
              <w:rPr>
                <w:b/>
                <w:sz w:val="17"/>
              </w:rPr>
              <w:t>16,937</w:t>
            </w:r>
          </w:p>
        </w:tc>
        <w:tc>
          <w:tcPr>
            <w:tcW w:type="dxa" w:w="1440"/>
            <w:shd w:fill="FAFAFA" w:val="clear"/>
          </w:tcPr>
          <w:p>
            <w:r>
              <w:rPr>
                <w:sz w:val="17"/>
              </w:rPr>
              <w:t>17,349</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2026-08-24</w:t>
            </w:r>
          </w:p>
        </w:tc>
        <w:tc>
          <w:tcPr>
            <w:tcW w:type="dxa" w:w="1440"/>
            <w:shd w:fill="FAFAFA" w:val="clear"/>
          </w:tcPr>
          <w:p>
            <w:r>
              <w:rPr>
                <w:sz w:val="17"/>
              </w:rPr>
              <w:t>16,370</w:t>
            </w:r>
          </w:p>
        </w:tc>
        <w:tc>
          <w:tcPr>
            <w:tcW w:type="dxa" w:w="1440"/>
            <w:shd w:fill="FAFAFA" w:val="clear"/>
          </w:tcPr>
          <w:p>
            <w:r>
              <w:rPr>
                <w:b/>
                <w:sz w:val="17"/>
              </w:rPr>
              <w:t>16,873</w:t>
            </w:r>
          </w:p>
        </w:tc>
        <w:tc>
          <w:tcPr>
            <w:tcW w:type="dxa" w:w="1440"/>
            <w:shd w:fill="FAFAFA" w:val="clear"/>
          </w:tcPr>
          <w:p>
            <w:r>
              <w:rPr>
                <w:sz w:val="17"/>
              </w:rPr>
              <w:t>17,376</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2026-08-25</w:t>
            </w:r>
          </w:p>
        </w:tc>
        <w:tc>
          <w:tcPr>
            <w:tcW w:type="dxa" w:w="1440"/>
            <w:shd w:fill="FAFAFA" w:val="clear"/>
          </w:tcPr>
          <w:p>
            <w:r>
              <w:rPr>
                <w:sz w:val="17"/>
              </w:rPr>
              <w:t>16,234</w:t>
            </w:r>
          </w:p>
        </w:tc>
        <w:tc>
          <w:tcPr>
            <w:tcW w:type="dxa" w:w="1440"/>
            <w:shd w:fill="FAFAFA" w:val="clear"/>
          </w:tcPr>
          <w:p>
            <w:r>
              <w:rPr>
                <w:b/>
                <w:sz w:val="17"/>
              </w:rPr>
              <w:t>16,812</w:t>
            </w:r>
          </w:p>
        </w:tc>
        <w:tc>
          <w:tcPr>
            <w:tcW w:type="dxa" w:w="1440"/>
            <w:shd w:fill="FAFAFA" w:val="clear"/>
          </w:tcPr>
          <w:p>
            <w:r>
              <w:rPr>
                <w:sz w:val="17"/>
              </w:rPr>
              <w:t>17,391</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2026-08-27</w:t>
            </w:r>
          </w:p>
        </w:tc>
        <w:tc>
          <w:tcPr>
            <w:tcW w:type="dxa" w:w="1440"/>
            <w:shd w:fill="FAFAFA" w:val="clear"/>
          </w:tcPr>
          <w:p>
            <w:r>
              <w:rPr>
                <w:sz w:val="17"/>
              </w:rPr>
              <w:t>16,110</w:t>
            </w:r>
          </w:p>
        </w:tc>
        <w:tc>
          <w:tcPr>
            <w:tcW w:type="dxa" w:w="1440"/>
            <w:shd w:fill="FAFAFA" w:val="clear"/>
          </w:tcPr>
          <w:p>
            <w:r>
              <w:rPr>
                <w:b/>
                <w:sz w:val="17"/>
              </w:rPr>
              <w:t>16,755</w:t>
            </w:r>
          </w:p>
        </w:tc>
        <w:tc>
          <w:tcPr>
            <w:tcW w:type="dxa" w:w="1440"/>
            <w:shd w:fill="FAFAFA" w:val="clear"/>
          </w:tcPr>
          <w:p>
            <w:r>
              <w:rPr>
                <w:sz w:val="17"/>
              </w:rPr>
              <w:t>17,400</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2026-08-28</w:t>
            </w:r>
          </w:p>
        </w:tc>
        <w:tc>
          <w:tcPr>
            <w:tcW w:type="dxa" w:w="1440"/>
            <w:shd w:fill="FAFAFA" w:val="clear"/>
          </w:tcPr>
          <w:p>
            <w:r>
              <w:rPr>
                <w:sz w:val="17"/>
              </w:rPr>
              <w:t>15,995</w:t>
            </w:r>
          </w:p>
        </w:tc>
        <w:tc>
          <w:tcPr>
            <w:tcW w:type="dxa" w:w="1440"/>
            <w:shd w:fill="FAFAFA" w:val="clear"/>
          </w:tcPr>
          <w:p>
            <w:r>
              <w:rPr>
                <w:b/>
                <w:sz w:val="17"/>
              </w:rPr>
              <w:t>16,699</w:t>
            </w:r>
          </w:p>
        </w:tc>
        <w:tc>
          <w:tcPr>
            <w:tcW w:type="dxa" w:w="1440"/>
            <w:shd w:fill="FAFAFA" w:val="clear"/>
          </w:tcPr>
          <w:p>
            <w:r>
              <w:rPr>
                <w:sz w:val="17"/>
              </w:rPr>
              <w:t>17,403</w:t>
            </w:r>
          </w:p>
        </w:tc>
        <w:tc>
          <w:tcPr>
            <w:tcW w:type="dxa" w:w="1440"/>
            <w:shd w:fill="FAFAFA" w:val="clear"/>
          </w:tcPr>
          <w:p>
            <w:r>
              <w:rPr>
                <w:b/>
                <w:color w:val="C00000"/>
                <w:sz w:val="17"/>
              </w:rPr>
              <w:t>-1.8%</w:t>
            </w:r>
          </w:p>
        </w:tc>
      </w:tr>
      <w:tr>
        <w:tc>
          <w:tcPr>
            <w:tcW w:type="dxa" w:w="1440"/>
            <w:shd w:fill="FFDCE0" w:val="clear"/>
          </w:tcPr>
          <w:p>
            <w:r>
              <w:rPr>
                <w:sz w:val="17"/>
              </w:rPr>
              <w:t>J+7  ⭐</w:t>
            </w:r>
          </w:p>
        </w:tc>
        <w:tc>
          <w:tcPr>
            <w:tcW w:type="dxa" w:w="1440"/>
            <w:shd w:fill="FFDCE0" w:val="clear"/>
          </w:tcPr>
          <w:p>
            <w:r>
              <w:rPr>
                <w:sz w:val="17"/>
              </w:rPr>
              <w:t>2026-08-31</w:t>
            </w:r>
          </w:p>
        </w:tc>
        <w:tc>
          <w:tcPr>
            <w:tcW w:type="dxa" w:w="1440"/>
            <w:shd w:fill="FFDCE0" w:val="clear"/>
          </w:tcPr>
          <w:p>
            <w:r>
              <w:rPr>
                <w:sz w:val="17"/>
              </w:rPr>
              <w:t>15,887</w:t>
            </w:r>
          </w:p>
        </w:tc>
        <w:tc>
          <w:tcPr>
            <w:tcW w:type="dxa" w:w="1440"/>
            <w:shd w:fill="FFDCE0" w:val="clear"/>
          </w:tcPr>
          <w:p>
            <w:r>
              <w:rPr>
                <w:b/>
                <w:sz w:val="17"/>
              </w:rPr>
              <w:t>16,645</w:t>
            </w:r>
          </w:p>
        </w:tc>
        <w:tc>
          <w:tcPr>
            <w:tcW w:type="dxa" w:w="1440"/>
            <w:shd w:fill="FFDCE0" w:val="clear"/>
          </w:tcPr>
          <w:p>
            <w:r>
              <w:rPr>
                <w:sz w:val="17"/>
              </w:rPr>
              <w:t>17,403</w:t>
            </w:r>
          </w:p>
        </w:tc>
        <w:tc>
          <w:tcPr>
            <w:tcW w:type="dxa" w:w="1440"/>
            <w:shd w:fill="FFDCE0" w:val="clear"/>
          </w:tcPr>
          <w:p>
            <w:r>
              <w:rPr>
                <w:b/>
                <w:color w:val="C00000"/>
                <w:sz w:val="17"/>
              </w:rPr>
              <w:t>-2.1%</w:t>
            </w:r>
          </w:p>
        </w:tc>
      </w:tr>
      <w:tr>
        <w:tc>
          <w:tcPr>
            <w:tcW w:type="dxa" w:w="1440"/>
            <w:shd w:fill="FFDCE0" w:val="clear"/>
          </w:tcPr>
          <w:p>
            <w:r>
              <w:rPr>
                <w:sz w:val="17"/>
              </w:rPr>
              <w:t>J+8  ⭐</w:t>
            </w:r>
          </w:p>
        </w:tc>
        <w:tc>
          <w:tcPr>
            <w:tcW w:type="dxa" w:w="1440"/>
            <w:shd w:fill="FFDCE0" w:val="clear"/>
          </w:tcPr>
          <w:p>
            <w:r>
              <w:rPr>
                <w:sz w:val="17"/>
              </w:rPr>
              <w:t>2026-09-01</w:t>
            </w:r>
          </w:p>
        </w:tc>
        <w:tc>
          <w:tcPr>
            <w:tcW w:type="dxa" w:w="1440"/>
            <w:shd w:fill="FFDCE0" w:val="clear"/>
          </w:tcPr>
          <w:p>
            <w:r>
              <w:rPr>
                <w:sz w:val="17"/>
              </w:rPr>
              <w:t>15,785</w:t>
            </w:r>
          </w:p>
        </w:tc>
        <w:tc>
          <w:tcPr>
            <w:tcW w:type="dxa" w:w="1440"/>
            <w:shd w:fill="FFDCE0" w:val="clear"/>
          </w:tcPr>
          <w:p>
            <w:r>
              <w:rPr>
                <w:b/>
                <w:sz w:val="17"/>
              </w:rPr>
              <w:t>16,593</w:t>
            </w:r>
          </w:p>
        </w:tc>
        <w:tc>
          <w:tcPr>
            <w:tcW w:type="dxa" w:w="1440"/>
            <w:shd w:fill="FFDCE0" w:val="clear"/>
          </w:tcPr>
          <w:p>
            <w:r>
              <w:rPr>
                <w:sz w:val="17"/>
              </w:rPr>
              <w:t>17,401</w:t>
            </w:r>
          </w:p>
        </w:tc>
        <w:tc>
          <w:tcPr>
            <w:tcW w:type="dxa" w:w="1440"/>
            <w:shd w:fill="FFDCE0" w:val="clear"/>
          </w:tcPr>
          <w:p>
            <w:r>
              <w:rPr>
                <w:b/>
                <w:color w:val="C00000"/>
                <w:sz w:val="17"/>
              </w:rPr>
              <w:t>-2.4%</w:t>
            </w:r>
          </w:p>
        </w:tc>
      </w:tr>
      <w:tr>
        <w:tc>
          <w:tcPr>
            <w:tcW w:type="dxa" w:w="1440"/>
            <w:shd w:fill="FFDCE0" w:val="clear"/>
          </w:tcPr>
          <w:p>
            <w:r>
              <w:rPr>
                <w:sz w:val="17"/>
              </w:rPr>
              <w:t>J+9  ⭐</w:t>
            </w:r>
          </w:p>
        </w:tc>
        <w:tc>
          <w:tcPr>
            <w:tcW w:type="dxa" w:w="1440"/>
            <w:shd w:fill="FFDCE0" w:val="clear"/>
          </w:tcPr>
          <w:p>
            <w:r>
              <w:rPr>
                <w:sz w:val="17"/>
              </w:rPr>
              <w:t>2026-09-02</w:t>
            </w:r>
          </w:p>
        </w:tc>
        <w:tc>
          <w:tcPr>
            <w:tcW w:type="dxa" w:w="1440"/>
            <w:shd w:fill="FFDCE0" w:val="clear"/>
          </w:tcPr>
          <w:p>
            <w:r>
              <w:rPr>
                <w:sz w:val="17"/>
              </w:rPr>
              <w:t>15,688</w:t>
            </w:r>
          </w:p>
        </w:tc>
        <w:tc>
          <w:tcPr>
            <w:tcW w:type="dxa" w:w="1440"/>
            <w:shd w:fill="FFDCE0" w:val="clear"/>
          </w:tcPr>
          <w:p>
            <w:r>
              <w:rPr>
                <w:b/>
                <w:sz w:val="17"/>
              </w:rPr>
              <w:t>16,542</w:t>
            </w:r>
          </w:p>
        </w:tc>
        <w:tc>
          <w:tcPr>
            <w:tcW w:type="dxa" w:w="1440"/>
            <w:shd w:fill="FFDCE0" w:val="clear"/>
          </w:tcPr>
          <w:p>
            <w:r>
              <w:rPr>
                <w:sz w:val="17"/>
              </w:rPr>
              <w:t>17,396</w:t>
            </w:r>
          </w:p>
        </w:tc>
        <w:tc>
          <w:tcPr>
            <w:tcW w:type="dxa" w:w="1440"/>
            <w:shd w:fill="FFDCE0" w:val="clear"/>
          </w:tcPr>
          <w:p>
            <w:r>
              <w:rPr>
                <w:b/>
                <w:color w:val="C00000"/>
                <w:sz w:val="17"/>
              </w:rPr>
              <w:t>-2.7%</w:t>
            </w:r>
          </w:p>
        </w:tc>
      </w:tr>
      <w:tr>
        <w:tc>
          <w:tcPr>
            <w:tcW w:type="dxa" w:w="1440"/>
            <w:shd w:fill="FFDCE0" w:val="clear"/>
          </w:tcPr>
          <w:p>
            <w:r>
              <w:rPr>
                <w:sz w:val="17"/>
              </w:rPr>
              <w:t>J+10  ⭐</w:t>
            </w:r>
          </w:p>
        </w:tc>
        <w:tc>
          <w:tcPr>
            <w:tcW w:type="dxa" w:w="1440"/>
            <w:shd w:fill="FFDCE0" w:val="clear"/>
          </w:tcPr>
          <w:p>
            <w:r>
              <w:rPr>
                <w:sz w:val="17"/>
              </w:rPr>
              <w:t>2026-09-03</w:t>
            </w:r>
          </w:p>
        </w:tc>
        <w:tc>
          <w:tcPr>
            <w:tcW w:type="dxa" w:w="1440"/>
            <w:shd w:fill="FFDCE0" w:val="clear"/>
          </w:tcPr>
          <w:p>
            <w:r>
              <w:rPr>
                <w:sz w:val="17"/>
              </w:rPr>
              <w:t>15,594</w:t>
            </w:r>
          </w:p>
        </w:tc>
        <w:tc>
          <w:tcPr>
            <w:tcW w:type="dxa" w:w="1440"/>
            <w:shd w:fill="FFDCE0" w:val="clear"/>
          </w:tcPr>
          <w:p>
            <w:r>
              <w:rPr>
                <w:b/>
                <w:sz w:val="17"/>
              </w:rPr>
              <w:t>16,492</w:t>
            </w:r>
          </w:p>
        </w:tc>
        <w:tc>
          <w:tcPr>
            <w:tcW w:type="dxa" w:w="1440"/>
            <w:shd w:fill="FFDCE0" w:val="clear"/>
          </w:tcPr>
          <w:p>
            <w:r>
              <w:rPr>
                <w:sz w:val="17"/>
              </w:rPr>
              <w:t>17,389</w:t>
            </w:r>
          </w:p>
        </w:tc>
        <w:tc>
          <w:tcPr>
            <w:tcW w:type="dxa" w:w="1440"/>
            <w:shd w:fill="FFDCE0" w:val="clear"/>
          </w:tcPr>
          <w:p>
            <w:r>
              <w:rPr>
                <w:b/>
                <w:color w:val="C00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NTLC (NESTLÉ CÔTE D'IVOIRE)**</w:t>
        <w:br/>
        <w:t>**Date : 19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NTLC s'établit à **375,20 milliards FCFA**, ce qui en fait l'une des plus importantes de la BRVM, reflétant le statut de valeur de premier plan de Nestlé dans la zone UEMOA. Le **BPA de 835 FCFA** indique que chaque action génère un bénéfice substantiel. Cependant, le **PER de 20,4x** est nettement supérieur à la moyenne historique de la BRVM (8-12x), signalant que les investisseurs paient une prime significative pour la croissance anticipée, ce qui laisse peu de marge d'erreur. Le **P/B de 12,68x** est extrêmement élevé, le marché valorisant le titre à plus de douze fois sa valeur comptable, ce qui traduit une confiance absolue dans la marque et ses actifs immatériels. Enfin, l'**EV/EBITDA de 10,0x** se situe dans la fourchette haute (10-15x), indiquant une valorisation opérationnelle exigeante qui intègre déjà des hypothèses de performance future optimistes.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NTLC a enregistré une **hausse spectaculaire de +31,32%**, passant d'un plus bas de 11 150 FCFA à un plus haut de 17 450 FCFA, avant de clôturer à 17 000 FCFA, en léger repli de -2,02% sur la dernière séance. Cette performance traduit une tendance haussière très marquée, portée par une forte dynamique d'achat. La **moyenne (14 230 FCFA)** est inférieure à la **médiane (14 438 FCFA)**, ce qui, combiné à un **skewness positif (0,110)**, indique une distribution légèrement asymétrique avec une queue de distribution vers les hauts cours. L'**écart-type de 1 985 FCFA** (CV de 13,9%) montre une dispersion modérée des prix autour de la moyenne. Le **kurtosis de -1,589** (platykurtique) est un signal positif, indiquant une faible probabilité de mouvements extrêmes et une distribution aplatie. La **volatilité annualisée de 33,9%** classe le titre dans la catégorie "élevée" (&gt;30%), ce qui implique un risque de fluctuation important, mais aussi un potentiel de rendement accru.</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(17 000 FCFA) se positionne nettement au-dessus de la MM20 (16 792,25 FCFA) et de la MM50 (16 080,1 FCFA). Cette configuration haussière, où le prix est soutenu par ses moyennes mobiles, confirme la solidité de la tendance. La décision d'**Achat** est justifiée par cette dynamique positive.</w:t>
      </w:r>
    </w:p>
    <w:p>
      <w:pPr>
        <w:spacing w:after="120" w:line="276" w:lineRule="auto"/>
      </w:pPr>
      <w:r>
        <w:t>**Bandes de Bollinger** : Le cours se situe à 17 000 FCFA, entre la borne supérieure (17 617 FCFA) et la borne inférieure (15 967 FCFA). La position proche de la borne supérieure indique une pression acheteuse persistante, mais sans atteindre la zone de surachat extrême. La décision **Neutre** est cohérente, le titre n'étant pas encore en situation de "sur-extension" par rapport à sa volatilité récente.</w:t>
      </w:r>
    </w:p>
    <w:p>
      <w:pPr>
        <w:spacing w:after="120" w:line="276" w:lineRule="auto"/>
      </w:pPr>
      <w:r>
        <w:t>**MACD** : La valeur du MACD (400,23) est légèrement inférieure à son signal (406,83), suggérant un affaiblissement à très court terme du momentum haussier. Cette divergence mineure peut indiquer une phase de consolidation après la forte hausse. La décision de **Vente** est donc un signal de prudence à court terme, mais ne remet pas en cause la tendance de fond.</w:t>
      </w:r>
    </w:p>
    <w:p>
      <w:pPr>
        <w:spacing w:after="120" w:line="276" w:lineRule="auto"/>
      </w:pPr>
      <w:r>
        <w:t>**RSI** : Avec une valeur de 64,43, le RSI se situe en zone neutre-haute, sans être en surachat (seuil de 70). Cela indique que le titre conserve un potentiel de hausse, mais que la pression acheteuse commence à s'intensifier. La décision **Neutre** est appropriée, le marché n'étant pas encore survendu ni suracheté.</w:t>
      </w:r>
    </w:p>
    <w:p>
      <w:pPr>
        <w:spacing w:after="120" w:line="276" w:lineRule="auto"/>
      </w:pPr>
      <w:r>
        <w:t>**Stochastique** : Le %K (52,63) est inférieur au %D (78,95), formant un croisement baissier à court terme. Cette configuration suggère un ralentissement du momentum haussier et une possible phase de correction ou de consolidation. La décision **Neutre** reflète cette incertitude à court terme.</w:t>
      </w:r>
    </w:p>
    <w:p>
      <w:pPr>
        <w:spacing w:after="120" w:line="276" w:lineRule="auto"/>
      </w:pPr>
      <w:r>
        <w:t>**Conclusion technique** : Les indicateurs de tendance (MM) restent positifs, mais les oscillateurs (MACD, Stochastique) montrent des signes de fatigue à court terme. Le RSI et les Bandes de Bollinger indiquent que le titre n'est pas encore surchauffé. La tendance de fond reste haussière, mais une phase de consolidation ou de léger repli est probable avant la poursuite du mouvement.</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NTLC a réalisé un **chiffre d'affaires de 233,26 milliards FCFA** (+5,97% vs 2024) et un **résultat net de 18,43 milliards FCFA** (+1,53%). La **marge nette** s'établit à 7,90%, en légère baisse par rapport à 2024 (8,25%), tandis que le **ROE est exceptionnel à 62,28%** et le **ROA à 9,70%**, démontrant une utilisation très efficace des capitaux propres et des actifs. La structure financière montre une **dépendance financière élevée (84,42%)** avec un **ratio d'endettement de 135,85%**, mais une **solvabilité générale de 118,45%** reste saine. Le **BFR de 22,63 milliards FCFA** est positif, indiquant un besoin de financement du cycle d'exploitation, avec un **délai client de 74,3 jours** et une **durée de stockage de 59,4 jours** qui pèsent sur la trésorerie. Les rapports narratifs montrent une année 2025 contrastée : le T1 2025 était en baisse de -11% (CA), mais le S1 2025 était stable (0%), et le T3 2025 en légère hausse (+1,36%), avec une rentabilité nette en baisse sur les 9 mois (6,9%). Cependant, le **rapport T1 2026 (publié en mai 2026)** révèle une **accélération spectaculaire** : CA en hausse de +31% à 70,82 milliards FCFA et résultat net en hausse de +37% à 7,53 milliards FCFA, avec une marge nette améliorée à 10,6%. Sur la base de ce T1 2026, on estime que l'exercice 2026 pourrait voir un CA annuel dépasser les 280 milliards FCFA et un résultat net supérieur à 25 milliards FCFA, si la dynamique se maintient. La politique de dividende 2025 a été réduite de moitié (9,27 milliards FCFA, payout de 50%), signalant une stratégie de réinvestissement. La recommandation fondamentale est **ACHAT**, soutenue par la solidité de la marque, la croissance retrouvée et l'amélioration de la rentabilité.</w:t>
      </w:r>
    </w:p>
    <w:p>
      <w:pPr>
        <w:spacing w:after="120" w:line="276" w:lineRule="auto"/>
      </w:pPr>
      <w:r>
        <w:t>---</w:t>
      </w:r>
    </w:p>
    <w:p>
      <w:pPr>
        <w:spacing w:after="120" w:line="276" w:lineRule="auto"/>
      </w:pPr>
      <w:r>
        <w:t>### PARTIE 4 : CONCLUSION D'INVESTISSEMENT</w:t>
      </w:r>
    </w:p>
    <w:p>
      <w:pPr>
        <w:spacing w:after="120" w:line="276" w:lineRule="auto"/>
      </w:pPr>
      <w:r>
        <w:t>La valorisation de NTLC (PER 20,4x, P/B 12,68x) est **exigeante**, intégrant des attentes de croissance élevées qui semblent se matérialiser avec le T1 2026 (+31% CA). Le comportement du cours sur 100 jours est **très favorable** (+31,32%), avec une volatilité élevée (33,9%) mais un kurtosis platykurtique rassurant sur l'absence de risques extrêmes. Les signaux techniques sont **mitigés à court terme** : la tendance de fond reste haussière (MM), mais les oscillateurs (MACD, Stochastique) suggèrent une consolidation. Les fondamentaux sont **solides**, avec un ROE exceptionnel (62,28%) et une croissance revenue, bien que la structure financière soit endettée. Les **prédictions IA** (17 000 → 16 755 FCFA sur 10 jours) indiquent une légère correction, confirmant les signaux techniques de consolidation. En synthèse, la convergence entre la forte dynamique fondamentale et la tendance haussière de long terme justifie une recommandation **ACHAT**, malgré une valorisation élevée. Le niveau de confiance est **Moyen**, le risque global est **Élevé** (volatilité et valorisation). L'horizon d'investissement optimal est le **moyen terme (3-12 mois)**, pour capitaliser sur la croissance de 2026 tout en évitant les fluctuations à court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200.26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4,659 titres</w:t>
            </w:r>
          </w:p>
        </w:tc>
        <w:tc>
          <w:tcPr>
            <w:tcW w:type="dxa" w:w="2268"/>
            <w:shd w:fill="FFF2CC" w:val="clear"/>
          </w:tcPr>
          <w:p>
            <w:r>
              <w:rPr>
                <w:b/>
                <w:color w:val="503200"/>
                <w:sz w:val="16"/>
              </w:rPr>
              <w:t xml:space="preserve">Cours actuel : </w:t>
            </w:r>
            <w:r>
              <w:rPr>
                <w:color w:val="000000"/>
                <w:sz w:val="17"/>
              </w:rPr>
              <w:t>2,945 FCFA</w:t>
            </w:r>
          </w:p>
          <w:p>
            <w:r>
              <w:rPr>
                <w:b/>
                <w:color w:val="503200"/>
                <w:sz w:val="16"/>
              </w:rPr>
              <w:t xml:space="preserve">Var. 100 jours : </w:t>
            </w:r>
            <w:r>
              <w:rPr>
                <w:b/>
                <w:color w:val="B40000"/>
                <w:sz w:val="17"/>
              </w:rPr>
              <w:t>-1.51%</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3.15% (Faible) — μ=2,824 FCFA, σ=89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β=0.4425 (Défensif) — Cov=0.000013, Var(idx)=0.000030, ρ=0.124,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4,659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σ_j=1.96%/j (Stable) — Vol. annualisée≈31.1%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2026-08-20</w:t>
            </w:r>
          </w:p>
        </w:tc>
        <w:tc>
          <w:tcPr>
            <w:tcW w:type="dxa" w:w="1440"/>
            <w:shd w:fill="FAFAFA" w:val="clear"/>
          </w:tcPr>
          <w:p>
            <w:r>
              <w:rPr>
                <w:sz w:val="17"/>
              </w:rPr>
              <w:t>2,818</w:t>
            </w:r>
          </w:p>
        </w:tc>
        <w:tc>
          <w:tcPr>
            <w:tcW w:type="dxa" w:w="1440"/>
            <w:shd w:fill="FAFAFA" w:val="clear"/>
          </w:tcPr>
          <w:p>
            <w:r>
              <w:rPr>
                <w:b/>
                <w:sz w:val="17"/>
              </w:rPr>
              <w:t>2,912</w:t>
            </w:r>
          </w:p>
        </w:tc>
        <w:tc>
          <w:tcPr>
            <w:tcW w:type="dxa" w:w="1440"/>
            <w:shd w:fill="FAFAFA" w:val="clear"/>
          </w:tcPr>
          <w:p>
            <w:r>
              <w:rPr>
                <w:sz w:val="17"/>
              </w:rPr>
              <w:t>3,007</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2026-08-21</w:t>
            </w:r>
          </w:p>
        </w:tc>
        <w:tc>
          <w:tcPr>
            <w:tcW w:type="dxa" w:w="1440"/>
            <w:shd w:fill="FAFAFA" w:val="clear"/>
          </w:tcPr>
          <w:p>
            <w:r>
              <w:rPr>
                <w:sz w:val="17"/>
              </w:rPr>
              <w:t>2,777</w:t>
            </w:r>
          </w:p>
        </w:tc>
        <w:tc>
          <w:tcPr>
            <w:tcW w:type="dxa" w:w="1440"/>
            <w:shd w:fill="FAFAFA" w:val="clear"/>
          </w:tcPr>
          <w:p>
            <w:r>
              <w:rPr>
                <w:b/>
                <w:sz w:val="17"/>
              </w:rPr>
              <w:t>2,911</w:t>
            </w:r>
          </w:p>
        </w:tc>
        <w:tc>
          <w:tcPr>
            <w:tcW w:type="dxa" w:w="1440"/>
            <w:shd w:fill="FAFAFA" w:val="clear"/>
          </w:tcPr>
          <w:p>
            <w:r>
              <w:rPr>
                <w:sz w:val="17"/>
              </w:rPr>
              <w:t>3,045</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2026-08-24</w:t>
            </w:r>
          </w:p>
        </w:tc>
        <w:tc>
          <w:tcPr>
            <w:tcW w:type="dxa" w:w="1440"/>
            <w:shd w:fill="FAFAFA" w:val="clear"/>
          </w:tcPr>
          <w:p>
            <w:r>
              <w:rPr>
                <w:sz w:val="17"/>
              </w:rPr>
              <w:t>2,742</w:t>
            </w:r>
          </w:p>
        </w:tc>
        <w:tc>
          <w:tcPr>
            <w:tcW w:type="dxa" w:w="1440"/>
            <w:shd w:fill="FAFAFA" w:val="clear"/>
          </w:tcPr>
          <w:p>
            <w:r>
              <w:rPr>
                <w:b/>
                <w:sz w:val="17"/>
              </w:rPr>
              <w:t>2,905</w:t>
            </w:r>
          </w:p>
        </w:tc>
        <w:tc>
          <w:tcPr>
            <w:tcW w:type="dxa" w:w="1440"/>
            <w:shd w:fill="FAFAFA" w:val="clear"/>
          </w:tcPr>
          <w:p>
            <w:r>
              <w:rPr>
                <w:sz w:val="17"/>
              </w:rPr>
              <w:t>3,069</w:t>
            </w:r>
          </w:p>
        </w:tc>
        <w:tc>
          <w:tcPr>
            <w:tcW w:type="dxa" w:w="1440"/>
            <w:shd w:fill="FAFAFA" w:val="clear"/>
          </w:tcPr>
          <w:p>
            <w:r>
              <w:rPr>
                <w:b/>
                <w:color w:val="C00000"/>
                <w:sz w:val="17"/>
              </w:rPr>
              <w:t>-1.3%</w:t>
            </w:r>
          </w:p>
        </w:tc>
      </w:tr>
      <w:tr>
        <w:tc>
          <w:tcPr>
            <w:tcW w:type="dxa" w:w="1440"/>
            <w:shd w:fill="FAFAFA" w:val="clear"/>
          </w:tcPr>
          <w:p>
            <w:r>
              <w:rPr>
                <w:sz w:val="17"/>
              </w:rPr>
              <w:t>J+4  Moyenne</w:t>
            </w:r>
          </w:p>
        </w:tc>
        <w:tc>
          <w:tcPr>
            <w:tcW w:type="dxa" w:w="1440"/>
            <w:shd w:fill="FAFAFA" w:val="clear"/>
          </w:tcPr>
          <w:p>
            <w:r>
              <w:rPr>
                <w:sz w:val="17"/>
              </w:rPr>
              <w:t>2026-08-25</w:t>
            </w:r>
          </w:p>
        </w:tc>
        <w:tc>
          <w:tcPr>
            <w:tcW w:type="dxa" w:w="1440"/>
            <w:shd w:fill="FAFAFA" w:val="clear"/>
          </w:tcPr>
          <w:p>
            <w:r>
              <w:rPr>
                <w:sz w:val="17"/>
              </w:rPr>
              <w:t>2,711</w:t>
            </w:r>
          </w:p>
        </w:tc>
        <w:tc>
          <w:tcPr>
            <w:tcW w:type="dxa" w:w="1440"/>
            <w:shd w:fill="FAFAFA" w:val="clear"/>
          </w:tcPr>
          <w:p>
            <w:r>
              <w:rPr>
                <w:b/>
                <w:sz w:val="17"/>
              </w:rPr>
              <w:t>2,899</w:t>
            </w:r>
          </w:p>
        </w:tc>
        <w:tc>
          <w:tcPr>
            <w:tcW w:type="dxa" w:w="1440"/>
            <w:shd w:fill="FAFAFA" w:val="clear"/>
          </w:tcPr>
          <w:p>
            <w:r>
              <w:rPr>
                <w:sz w:val="17"/>
              </w:rPr>
              <w:t>3,088</w:t>
            </w:r>
          </w:p>
        </w:tc>
        <w:tc>
          <w:tcPr>
            <w:tcW w:type="dxa" w:w="1440"/>
            <w:shd w:fill="FAFAFA" w:val="clear"/>
          </w:tcPr>
          <w:p>
            <w:r>
              <w:rPr>
                <w:b/>
                <w:color w:val="C00000"/>
                <w:sz w:val="17"/>
              </w:rPr>
              <w:t>-1.6%</w:t>
            </w:r>
          </w:p>
        </w:tc>
      </w:tr>
      <w:tr>
        <w:tc>
          <w:tcPr>
            <w:tcW w:type="dxa" w:w="1440"/>
            <w:shd w:fill="FAFAFA" w:val="clear"/>
          </w:tcPr>
          <w:p>
            <w:r>
              <w:rPr>
                <w:sz w:val="17"/>
              </w:rPr>
              <w:t>J+5  Moyenne</w:t>
            </w:r>
          </w:p>
        </w:tc>
        <w:tc>
          <w:tcPr>
            <w:tcW w:type="dxa" w:w="1440"/>
            <w:shd w:fill="FAFAFA" w:val="clear"/>
          </w:tcPr>
          <w:p>
            <w:r>
              <w:rPr>
                <w:sz w:val="17"/>
              </w:rPr>
              <w:t>2026-08-27</w:t>
            </w:r>
          </w:p>
        </w:tc>
        <w:tc>
          <w:tcPr>
            <w:tcW w:type="dxa" w:w="1440"/>
            <w:shd w:fill="FAFAFA" w:val="clear"/>
          </w:tcPr>
          <w:p>
            <w:r>
              <w:rPr>
                <w:sz w:val="17"/>
              </w:rPr>
              <w:t>2,683</w:t>
            </w:r>
          </w:p>
        </w:tc>
        <w:tc>
          <w:tcPr>
            <w:tcW w:type="dxa" w:w="1440"/>
            <w:shd w:fill="FAFAFA" w:val="clear"/>
          </w:tcPr>
          <w:p>
            <w:r>
              <w:rPr>
                <w:b/>
                <w:sz w:val="17"/>
              </w:rPr>
              <w:t>2,893</w:t>
            </w:r>
          </w:p>
        </w:tc>
        <w:tc>
          <w:tcPr>
            <w:tcW w:type="dxa" w:w="1440"/>
            <w:shd w:fill="FAFAFA" w:val="clear"/>
          </w:tcPr>
          <w:p>
            <w:r>
              <w:rPr>
                <w:sz w:val="17"/>
              </w:rPr>
              <w:t>3,104</w:t>
            </w:r>
          </w:p>
        </w:tc>
        <w:tc>
          <w:tcPr>
            <w:tcW w:type="dxa" w:w="1440"/>
            <w:shd w:fill="FAFAFA" w:val="clear"/>
          </w:tcPr>
          <w:p>
            <w:r>
              <w:rPr>
                <w:b/>
                <w:color w:val="C00000"/>
                <w:sz w:val="17"/>
              </w:rPr>
              <w:t>-1.8%</w:t>
            </w:r>
          </w:p>
        </w:tc>
      </w:tr>
      <w:tr>
        <w:tc>
          <w:tcPr>
            <w:tcW w:type="dxa" w:w="1440"/>
            <w:shd w:fill="FAFAFA" w:val="clear"/>
          </w:tcPr>
          <w:p>
            <w:r>
              <w:rPr>
                <w:sz w:val="17"/>
              </w:rPr>
              <w:t>J+6  Moyenne</w:t>
            </w:r>
          </w:p>
        </w:tc>
        <w:tc>
          <w:tcPr>
            <w:tcW w:type="dxa" w:w="1440"/>
            <w:shd w:fill="FAFAFA" w:val="clear"/>
          </w:tcPr>
          <w:p>
            <w:r>
              <w:rPr>
                <w:sz w:val="17"/>
              </w:rPr>
              <w:t>2026-08-28</w:t>
            </w:r>
          </w:p>
        </w:tc>
        <w:tc>
          <w:tcPr>
            <w:tcW w:type="dxa" w:w="1440"/>
            <w:shd w:fill="FAFAFA" w:val="clear"/>
          </w:tcPr>
          <w:p>
            <w:r>
              <w:rPr>
                <w:sz w:val="17"/>
              </w:rPr>
              <w:t>2,657</w:t>
            </w:r>
          </w:p>
        </w:tc>
        <w:tc>
          <w:tcPr>
            <w:tcW w:type="dxa" w:w="1440"/>
            <w:shd w:fill="FAFAFA" w:val="clear"/>
          </w:tcPr>
          <w:p>
            <w:r>
              <w:rPr>
                <w:b/>
                <w:sz w:val="17"/>
              </w:rPr>
              <w:t>2,887</w:t>
            </w:r>
          </w:p>
        </w:tc>
        <w:tc>
          <w:tcPr>
            <w:tcW w:type="dxa" w:w="1440"/>
            <w:shd w:fill="FAFAFA" w:val="clear"/>
          </w:tcPr>
          <w:p>
            <w:r>
              <w:rPr>
                <w:sz w:val="17"/>
              </w:rPr>
              <w:t>3,117</w:t>
            </w:r>
          </w:p>
        </w:tc>
        <w:tc>
          <w:tcPr>
            <w:tcW w:type="dxa" w:w="1440"/>
            <w:shd w:fill="FAFAFA" w:val="clear"/>
          </w:tcPr>
          <w:p>
            <w:r>
              <w:rPr>
                <w:b/>
                <w:color w:val="C00000"/>
                <w:sz w:val="17"/>
              </w:rPr>
              <w:t>-2.0%</w:t>
            </w:r>
          </w:p>
        </w:tc>
      </w:tr>
      <w:tr>
        <w:tc>
          <w:tcPr>
            <w:tcW w:type="dxa" w:w="1440"/>
            <w:shd w:fill="FFDCE0" w:val="clear"/>
          </w:tcPr>
          <w:p>
            <w:r>
              <w:rPr>
                <w:sz w:val="17"/>
              </w:rPr>
              <w:t>J+7  Moyenne</w:t>
            </w:r>
          </w:p>
        </w:tc>
        <w:tc>
          <w:tcPr>
            <w:tcW w:type="dxa" w:w="1440"/>
            <w:shd w:fill="FFDCE0" w:val="clear"/>
          </w:tcPr>
          <w:p>
            <w:r>
              <w:rPr>
                <w:sz w:val="17"/>
              </w:rPr>
              <w:t>2026-08-31</w:t>
            </w:r>
          </w:p>
        </w:tc>
        <w:tc>
          <w:tcPr>
            <w:tcW w:type="dxa" w:w="1440"/>
            <w:shd w:fill="FFDCE0" w:val="clear"/>
          </w:tcPr>
          <w:p>
            <w:r>
              <w:rPr>
                <w:sz w:val="17"/>
              </w:rPr>
              <w:t>2,633</w:t>
            </w:r>
          </w:p>
        </w:tc>
        <w:tc>
          <w:tcPr>
            <w:tcW w:type="dxa" w:w="1440"/>
            <w:shd w:fill="FFDCE0" w:val="clear"/>
          </w:tcPr>
          <w:p>
            <w:r>
              <w:rPr>
                <w:b/>
                <w:sz w:val="17"/>
              </w:rPr>
              <w:t>2,881</w:t>
            </w:r>
          </w:p>
        </w:tc>
        <w:tc>
          <w:tcPr>
            <w:tcW w:type="dxa" w:w="1440"/>
            <w:shd w:fill="FFDCE0" w:val="clear"/>
          </w:tcPr>
          <w:p>
            <w:r>
              <w:rPr>
                <w:sz w:val="17"/>
              </w:rPr>
              <w:t>3,129</w:t>
            </w:r>
          </w:p>
        </w:tc>
        <w:tc>
          <w:tcPr>
            <w:tcW w:type="dxa" w:w="1440"/>
            <w:shd w:fill="FFDCE0" w:val="clear"/>
          </w:tcPr>
          <w:p>
            <w:r>
              <w:rPr>
                <w:b/>
                <w:color w:val="C00000"/>
                <w:sz w:val="17"/>
              </w:rPr>
              <w:t>-2.2%</w:t>
            </w:r>
          </w:p>
        </w:tc>
      </w:tr>
      <w:tr>
        <w:tc>
          <w:tcPr>
            <w:tcW w:type="dxa" w:w="1440"/>
            <w:shd w:fill="FFDCE0" w:val="clear"/>
          </w:tcPr>
          <w:p>
            <w:r>
              <w:rPr>
                <w:sz w:val="17"/>
              </w:rPr>
              <w:t>J+8  Moyenne</w:t>
            </w:r>
          </w:p>
        </w:tc>
        <w:tc>
          <w:tcPr>
            <w:tcW w:type="dxa" w:w="1440"/>
            <w:shd w:fill="FFDCE0" w:val="clear"/>
          </w:tcPr>
          <w:p>
            <w:r>
              <w:rPr>
                <w:sz w:val="17"/>
              </w:rPr>
              <w:t>2026-09-01</w:t>
            </w:r>
          </w:p>
        </w:tc>
        <w:tc>
          <w:tcPr>
            <w:tcW w:type="dxa" w:w="1440"/>
            <w:shd w:fill="FFDCE0" w:val="clear"/>
          </w:tcPr>
          <w:p>
            <w:r>
              <w:rPr>
                <w:sz w:val="17"/>
              </w:rPr>
              <w:t>2,611</w:t>
            </w:r>
          </w:p>
        </w:tc>
        <w:tc>
          <w:tcPr>
            <w:tcW w:type="dxa" w:w="1440"/>
            <w:shd w:fill="FFDCE0" w:val="clear"/>
          </w:tcPr>
          <w:p>
            <w:r>
              <w:rPr>
                <w:b/>
                <w:sz w:val="17"/>
              </w:rPr>
              <w:t>2,875</w:t>
            </w:r>
          </w:p>
        </w:tc>
        <w:tc>
          <w:tcPr>
            <w:tcW w:type="dxa" w:w="1440"/>
            <w:shd w:fill="FFDCE0" w:val="clear"/>
          </w:tcPr>
          <w:p>
            <w:r>
              <w:rPr>
                <w:sz w:val="17"/>
              </w:rPr>
              <w:t>3,140</w:t>
            </w:r>
          </w:p>
        </w:tc>
        <w:tc>
          <w:tcPr>
            <w:tcW w:type="dxa" w:w="1440"/>
            <w:shd w:fill="FFDCE0" w:val="clear"/>
          </w:tcPr>
          <w:p>
            <w:r>
              <w:rPr>
                <w:b/>
                <w:color w:val="C00000"/>
                <w:sz w:val="17"/>
              </w:rPr>
              <w:t>-2.4%</w:t>
            </w:r>
          </w:p>
        </w:tc>
      </w:tr>
      <w:tr>
        <w:tc>
          <w:tcPr>
            <w:tcW w:type="dxa" w:w="1440"/>
            <w:shd w:fill="FFDCE0" w:val="clear"/>
          </w:tcPr>
          <w:p>
            <w:r>
              <w:rPr>
                <w:sz w:val="17"/>
              </w:rPr>
              <w:t>J+9  Moyenne</w:t>
            </w:r>
          </w:p>
        </w:tc>
        <w:tc>
          <w:tcPr>
            <w:tcW w:type="dxa" w:w="1440"/>
            <w:shd w:fill="FFDCE0" w:val="clear"/>
          </w:tcPr>
          <w:p>
            <w:r>
              <w:rPr>
                <w:sz w:val="17"/>
              </w:rPr>
              <w:t>2026-09-02</w:t>
            </w:r>
          </w:p>
        </w:tc>
        <w:tc>
          <w:tcPr>
            <w:tcW w:type="dxa" w:w="1440"/>
            <w:shd w:fill="FFDCE0" w:val="clear"/>
          </w:tcPr>
          <w:p>
            <w:r>
              <w:rPr>
                <w:sz w:val="17"/>
              </w:rPr>
              <w:t>2,589</w:t>
            </w:r>
          </w:p>
        </w:tc>
        <w:tc>
          <w:tcPr>
            <w:tcW w:type="dxa" w:w="1440"/>
            <w:shd w:fill="FFDCE0" w:val="clear"/>
          </w:tcPr>
          <w:p>
            <w:r>
              <w:rPr>
                <w:b/>
                <w:sz w:val="17"/>
              </w:rPr>
              <w:t>2,870</w:t>
            </w:r>
          </w:p>
        </w:tc>
        <w:tc>
          <w:tcPr>
            <w:tcW w:type="dxa" w:w="1440"/>
            <w:shd w:fill="FFDCE0" w:val="clear"/>
          </w:tcPr>
          <w:p>
            <w:r>
              <w:rPr>
                <w:sz w:val="17"/>
              </w:rPr>
              <w:t>3,150</w:t>
            </w:r>
          </w:p>
        </w:tc>
        <w:tc>
          <w:tcPr>
            <w:tcW w:type="dxa" w:w="1440"/>
            <w:shd w:fill="FFDCE0" w:val="clear"/>
          </w:tcPr>
          <w:p>
            <w:r>
              <w:rPr>
                <w:b/>
                <w:color w:val="C00000"/>
                <w:sz w:val="17"/>
              </w:rPr>
              <w:t>-2.6%</w:t>
            </w:r>
          </w:p>
        </w:tc>
      </w:tr>
      <w:tr>
        <w:tc>
          <w:tcPr>
            <w:tcW w:type="dxa" w:w="1440"/>
            <w:shd w:fill="FFDCE0" w:val="clear"/>
          </w:tcPr>
          <w:p>
            <w:r>
              <w:rPr>
                <w:sz w:val="17"/>
              </w:rPr>
              <w:t>J+10  Moyenne</w:t>
            </w:r>
          </w:p>
        </w:tc>
        <w:tc>
          <w:tcPr>
            <w:tcW w:type="dxa" w:w="1440"/>
            <w:shd w:fill="FFDCE0" w:val="clear"/>
          </w:tcPr>
          <w:p>
            <w:r>
              <w:rPr>
                <w:sz w:val="17"/>
              </w:rPr>
              <w:t>2026-09-03</w:t>
            </w:r>
          </w:p>
        </w:tc>
        <w:tc>
          <w:tcPr>
            <w:tcW w:type="dxa" w:w="1440"/>
            <w:shd w:fill="FFDCE0" w:val="clear"/>
          </w:tcPr>
          <w:p>
            <w:r>
              <w:rPr>
                <w:sz w:val="17"/>
              </w:rPr>
              <w:t>2,569</w:t>
            </w:r>
          </w:p>
        </w:tc>
        <w:tc>
          <w:tcPr>
            <w:tcW w:type="dxa" w:w="1440"/>
            <w:shd w:fill="FFDCE0" w:val="clear"/>
          </w:tcPr>
          <w:p>
            <w:r>
              <w:rPr>
                <w:b/>
                <w:sz w:val="17"/>
              </w:rPr>
              <w:t>2,864</w:t>
            </w:r>
          </w:p>
        </w:tc>
        <w:tc>
          <w:tcPr>
            <w:tcW w:type="dxa" w:w="1440"/>
            <w:shd w:fill="FFDCE0" w:val="clear"/>
          </w:tcPr>
          <w:p>
            <w:r>
              <w:rPr>
                <w:sz w:val="17"/>
              </w:rPr>
              <w:t>3,159</w:t>
            </w:r>
          </w:p>
        </w:tc>
        <w:tc>
          <w:tcPr>
            <w:tcW w:type="dxa" w:w="1440"/>
            <w:shd w:fill="FFDCE0" w:val="clear"/>
          </w:tcPr>
          <w:p>
            <w:r>
              <w:rPr>
                <w:b/>
                <w:color w:val="C00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d'ONTBF s'établit à 200,26 milliards FCFA, ce qui en fait une valeur de première ligne sur la BRVM, représentant un poids significatif dans l'indice composite. Avec un BPA de 234 FCFA, chaque action génère un bénéfice confortable, justifiant un PER de 12,6x. Ce ratio, légèrement supérieur à la moyenne historique de la BRVM (8-12x), indique que le marché accorde une prime de croissance à l'opérateur télécom, tout en restant dans une zone de valorisation raisonnable. Le P/B de 3,48x confirme cette prime, le marché valorisant la société à plus de trois fois ses capitaux propres, reflétant la confiance dans la création de valeur future. Enfin, un EV/EBITDA de 5,2x est particulièrement attractif, signalant que la valeur totale de l'entreprise (dette incluse) reste modérée par rapport à sa capacité opérationnelle de génération de cash, ce qui sous-entend un potentiel de revalorisation si la rentabilité se stabilise.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ONTBF affiche une variation totale de -1,51%, mais a rebondi de +1,55% lors de la dernière séance pour atteindre 2 945 FCFA. Le titre a évolué dans un range de trading de 460 FCFA, entre un plus bas de 2 610 FCFA et un plus haut de 3 070 FCFA, démontrant une volatilité intra-période notable. La moyenne (2 824 FCFA) et la médiane (2 802 FCFA) sont très proches, indiquant une distribution des prix relativement symétrique, ce que confirme le skewness de 0,230. L'écart-type de 89 FCFA (CV de 3,2%) révèle une dispersion très faible autour de la moyenne, suggérant une stabilité relative des prix. Le kurtosis de -0,381 (mésokurtique) indique l'absence de queues de distribution épaisses, donc un faible risque de variations extrêmes. Cependant, la volatilité annualisée de 31,1% classe le titre comme très volatil, ce qui contraste avec la stabilité intra-période et souligne un risque de fluctuations importantes sur un horizon plus long.</w:t>
      </w:r>
    </w:p>
    <w:p>
      <w:pPr>
        <w:spacing w:after="120" w:line="276" w:lineRule="auto" w:before="240"/>
      </w:pPr>
      <w:r>
        <w:rPr>
          <w:b/>
          <w:color w:val="003366"/>
          <w:sz w:val="24"/>
        </w:rPr>
        <w:t>**PARTIE 2 : ANALYSE TECHNIQUE DÉTAILLÉE**</w:t>
      </w:r>
    </w:p>
    <w:p>
      <w:pPr>
        <w:spacing w:after="120" w:line="276" w:lineRule="auto"/>
      </w:pPr>
      <w:r>
        <w:t>**Moyennes Mobiles** : Le cours actuel de 2 945 FCFA se positionne au-dessus de la MM20 (2 873,5 FCFA) et de la MM50 (2 820,1 FCFA). Cette configuration haussière, où les moyennes courtes sont sous le prix, indique une dynamique positive à court et moyen terme. La décision d'achat générée par cet indicateur est cohérente avec la tendance de fond qui semble se dessiner après la phase de consolidation.</w:t>
      </w:r>
    </w:p>
    <w:p>
      <w:pPr>
        <w:spacing w:after="120" w:line="276" w:lineRule="auto"/>
      </w:pPr>
      <w:r>
        <w:t>**Bandes de Bollinger** : Le prix se situe à 2 945 FCFA, entre la borne inférieure (2 714,6 FCFA) et la borne supérieure (3 032,4 FCFA), plus près de cette dernière. Cette position suggère une pression acheteuse modérée, sans atteindre des conditions de surachat extrême. La décision neutre est justifiée, le marché n'étant pas dans une zone de retournement imminent, mais la largeur des bandes indique une volatilité qui pourrait s'accentuer.</w:t>
      </w:r>
    </w:p>
    <w:p>
      <w:pPr>
        <w:spacing w:after="120" w:line="276" w:lineRule="auto"/>
      </w:pPr>
      <w:r>
        <w:t>**MACD** : La valeur du MACD (26,451) est très légèrement inférieure à son signal (26,661), ce qui génère une décision de vente. Cependant, l'écart est minime et les deux lignes évoluent dans la zone positive, indiquant que le momentum reste globalement haussier. Ce croisement baissier naissant doit être surveillé, car il pourrait signaler un essoufflement de la dynamique à très court terme.</w:t>
      </w:r>
    </w:p>
    <w:p>
      <w:pPr>
        <w:spacing w:after="120" w:line="276" w:lineRule="auto"/>
      </w:pPr>
      <w:r>
        <w:t>**RSI** : Avec une valeur de 57,143, le RSI se situe dans la zone neutre (30-70), sans signal de surachat ni de survente. Cela indique que le titre dispose d'une marge de manœuvre pour progresser sans être techniquement surchauffé. La décision neutre est cohérente, laissant place à une poursuite de la tendance ou à une consolidation.</w:t>
      </w:r>
    </w:p>
    <w:p>
      <w:pPr>
        <w:spacing w:after="120" w:line="276" w:lineRule="auto"/>
      </w:pPr>
      <w:r>
        <w:t>**Stochastique** : Le %K (74,359) est nettement supérieur au %D (59,38), et les deux sont dans la zone haute. Bien que la décision soit neutre, cette configuration montre une dynamique haussière forte, mais qui approche des niveaux où une correction technique est possible. Le croisement haussier est en place, mais la prudence est de mise.</w:t>
      </w:r>
    </w:p>
    <w:p>
      <w:pPr>
        <w:spacing w:after="120" w:line="276" w:lineRule="auto"/>
      </w:pPr>
      <w:r>
        <w:t>**Conclusion technique** : Les indicateurs sont mitigés mais globalement positifs. Les moyennes mobiles soutiennent une tendance haussière, tandis que le MACD montre un léger essoufflement. Le RSI et le Stochastique, bien que neutres, indiquent une dynamique positive. L'ensemble suggère une phase de consolidation haussière, où le titre pourrait tester la borne supérieure des bandes de Bollinger avant de poursuivre sa progression, à condition que le MACD se retourne à la hausse.</w:t>
      </w:r>
    </w:p>
    <w:p>
      <w:pPr>
        <w:spacing w:after="120" w:line="276" w:lineRule="auto" w:before="240"/>
      </w:pPr>
      <w:r>
        <w:rPr>
          <w:b/>
          <w:color w:val="003366"/>
          <w:sz w:val="24"/>
        </w:rPr>
        <w:t>**PARTIE 3 : ANALYSE FONDAMENTALE (SECTION CRITIQUE)**</w:t>
      </w:r>
    </w:p>
    <w:p>
      <w:pPr>
        <w:spacing w:after="120" w:line="276" w:lineRule="auto"/>
      </w:pPr>
      <w:r>
        <w:t>En 2025, selon les données structurées, ONTBF a réalisé un chiffre d'affaires (PNB) de 146,177 milliards FCFA, en croissance de 3,06% par rapport à 2024. Le résultat net s'établit à 15,887 milliards FCFA, en baisse significative de 26% par rapport à l'exercice précédent (21,47 milliards FCFA en 2024). Cette dégradation de la rentabilité se reflète dans les ratios : le ROE reste excellent à 27,61%, mais le ROA n'est que de 4,89%. La marge nette est de 10,87%, en recul. Le coefficient d'exploitation de 67,07% est préoccupant pour une entreprise de services, indiquant une mauvaise maîtrise des charges opérationnelles. Le coût du risque est élevé (3,57%), signalant une dégradation de la qualité des actifs ou des provisions importantes. Les rapports narratifs de 2025 (publiés en 2026) confirment cette tendance : la hausse des charges (énergie, maintenance, indemnités) a compressé les marges. Sur la base du rapport du 1er trimestre 2026 (CA +2,7%, résultat net en baisse), on estime que l'exercice 2026 pourrait voir une stabilisation du chiffre d'affaires autour de 150 milliards FCFA, mais une pression continue sur la rentabilité si les coûts ne sont pas maîtrisés. La solidité financière reste néanmoins assurée par une CAF de 46,95 milliards FCFA et une trésorerie nette positive de 10,65 milliards FCFA. Les fondamentaux sont donc contrastés : une machine commerciale qui tourne, mais une profitabilité en érosion.</w:t>
      </w:r>
    </w:p>
    <w:p>
      <w:pPr>
        <w:spacing w:after="120" w:line="276" w:lineRule="auto" w:before="240"/>
      </w:pPr>
      <w:r>
        <w:rPr>
          <w:b/>
          <w:color w:val="003366"/>
          <w:sz w:val="24"/>
        </w:rPr>
        <w:t>**PARTIE 4 : CONCLUSION D'INVESTISSEMENT**</w:t>
      </w:r>
    </w:p>
    <w:p>
      <w:pPr>
        <w:spacing w:after="120" w:line="276" w:lineRule="auto"/>
      </w:pPr>
      <w:r>
        <w:t>La valorisation d'ONTBF (PER 12,6x, P/B 3,48x, EV/EBITDA 5,2x) est raisonnable, sans être bon marché, reflétant une prime de croissance malgré la baisse des bénéfices. Le comportement du cours sur 100 jours montre une stabilité relative (CV 3,2%) mais une volatilité annualisée élevée (31,1%), avec une tendance légèrement baissière (-1,51%) corrigée par un récent rebond. Les signaux techniques sont mitigés : les moyennes mobiles sont haussières, mais le MACD et le RSI appellent à la prudence, suggérant une consolidation. Les fondamentaux, bien que solides (ROE &gt;27%, CAF élevée), sont assombris par une chute de 26% du résultat net et un coefficient d'exploitation en hausse. Les prédictions IA pour les 10 prochains jours (2 912 à 2 893 FCFA) indiquent une légère correction baissière, contredisant le signal des moyennes mobiles mais confirmant la prudence du MACD. En synthèse, la convergence entre une valorisation correcte, des signaux techniques neutres et des fondamentaux en dégradation suggère une position attentiste. **Recommandation : CONSERVER**. Niveau de confiance : Moyen. Risque global : Élevé (volatilité, contexte sécuritaire, pression sur les marges). Horizon d'investissement optimal : Moyen terme (3-12 mois), en attendant une stabilisation de la rentabilité et une clarification de la stratégie de reconquête du leadership annoncée pour 2026.</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2939.29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2,280 titres</w:t>
            </w:r>
          </w:p>
        </w:tc>
        <w:tc>
          <w:tcPr>
            <w:tcW w:type="dxa" w:w="2268"/>
            <w:shd w:fill="FFF2CC" w:val="clear"/>
          </w:tcPr>
          <w:p>
            <w:r>
              <w:rPr>
                <w:b/>
                <w:color w:val="503200"/>
                <w:sz w:val="16"/>
              </w:rPr>
              <w:t xml:space="preserve">Cours actuel : </w:t>
            </w:r>
            <w:r>
              <w:rPr>
                <w:color w:val="000000"/>
                <w:sz w:val="17"/>
              </w:rPr>
              <w:t>19,510 FCFA</w:t>
            </w:r>
          </w:p>
          <w:p>
            <w:r>
              <w:rPr>
                <w:b/>
                <w:color w:val="503200"/>
                <w:sz w:val="16"/>
              </w:rPr>
              <w:t xml:space="preserve">Var. 100 jours : </w:t>
            </w:r>
            <w:r>
              <w:rPr>
                <w:b/>
                <w:color w:val="007800"/>
                <w:sz w:val="17"/>
              </w:rPr>
              <w:t>+34.55%</w:t>
            </w:r>
          </w:p>
          <w:p>
            <w:r>
              <w:rPr>
                <w:b/>
                <w:color w:val="503200"/>
                <w:sz w:val="16"/>
              </w:rPr>
              <w:t xml:space="preserve">Plus haut 100j : </w:t>
            </w:r>
            <w:r>
              <w:rPr>
                <w:color w:val="000000"/>
                <w:sz w:val="17"/>
              </w:rPr>
              <w:t>19,510 FCFA</w:t>
            </w:r>
          </w:p>
          <w:p>
            <w:r>
              <w:rPr>
                <w:b/>
                <w:color w:val="503200"/>
                <w:sz w:val="16"/>
              </w:rPr>
              <w:t xml:space="preserve">Plus bas 100j : </w:t>
            </w:r>
            <w:r>
              <w:rPr>
                <w:color w:val="000000"/>
                <w:sz w:val="17"/>
              </w:rPr>
              <w:t>14,500 FCFA</w:t>
            </w:r>
          </w:p>
          <w:p>
            <w:r>
              <w:rPr>
                <w:b/>
                <w:color w:val="503200"/>
                <w:sz w:val="16"/>
              </w:rPr>
              <w:t xml:space="preserve">Volatilité ann. : </w:t>
            </w:r>
            <w:r>
              <w:rPr>
                <w:color w:val="000000"/>
                <w:sz w:val="17"/>
              </w:rPr>
              <w:t>29.6%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6.05% (Moyenne) — μ=15,961 FCFA, σ=966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β=1.2610 (Agressif) — Cov=0.000038, Var(idx)=0.000030, ρ=0.375,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2,280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σ_j=1.87%/j (Stable) — Vol. annualisée≈29.6%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2026-08-20</w:t>
            </w:r>
          </w:p>
        </w:tc>
        <w:tc>
          <w:tcPr>
            <w:tcW w:type="dxa" w:w="1440"/>
            <w:shd w:fill="FFDCE0" w:val="clear"/>
          </w:tcPr>
          <w:p>
            <w:r>
              <w:rPr>
                <w:sz w:val="17"/>
              </w:rPr>
              <w:t>18,127</w:t>
            </w:r>
          </w:p>
        </w:tc>
        <w:tc>
          <w:tcPr>
            <w:tcW w:type="dxa" w:w="1440"/>
            <w:shd w:fill="FFDCE0" w:val="clear"/>
          </w:tcPr>
          <w:p>
            <w:r>
              <w:rPr>
                <w:b/>
                <w:sz w:val="17"/>
              </w:rPr>
              <w:t>18,648</w:t>
            </w:r>
          </w:p>
        </w:tc>
        <w:tc>
          <w:tcPr>
            <w:tcW w:type="dxa" w:w="1440"/>
            <w:shd w:fill="FFDCE0" w:val="clear"/>
          </w:tcPr>
          <w:p>
            <w:r>
              <w:rPr>
                <w:sz w:val="17"/>
              </w:rPr>
              <w:t>19,169</w:t>
            </w:r>
          </w:p>
        </w:tc>
        <w:tc>
          <w:tcPr>
            <w:tcW w:type="dxa" w:w="1440"/>
            <w:shd w:fill="FFDCE0" w:val="clear"/>
          </w:tcPr>
          <w:p>
            <w:r>
              <w:rPr>
                <w:b/>
                <w:color w:val="C00000"/>
                <w:sz w:val="17"/>
              </w:rPr>
              <w:t>-4.4%</w:t>
            </w:r>
          </w:p>
        </w:tc>
      </w:tr>
      <w:tr>
        <w:tc>
          <w:tcPr>
            <w:tcW w:type="dxa" w:w="1440"/>
            <w:shd w:fill="FFDCE0" w:val="clear"/>
          </w:tcPr>
          <w:p>
            <w:r>
              <w:rPr>
                <w:sz w:val="17"/>
              </w:rPr>
              <w:t>J+2  Moyenne</w:t>
            </w:r>
          </w:p>
        </w:tc>
        <w:tc>
          <w:tcPr>
            <w:tcW w:type="dxa" w:w="1440"/>
            <w:shd w:fill="FFDCE0" w:val="clear"/>
          </w:tcPr>
          <w:p>
            <w:r>
              <w:rPr>
                <w:sz w:val="17"/>
              </w:rPr>
              <w:t>2026-08-21</w:t>
            </w:r>
          </w:p>
        </w:tc>
        <w:tc>
          <w:tcPr>
            <w:tcW w:type="dxa" w:w="1440"/>
            <w:shd w:fill="FFDCE0" w:val="clear"/>
          </w:tcPr>
          <w:p>
            <w:r>
              <w:rPr>
                <w:sz w:val="17"/>
              </w:rPr>
              <w:t>17,928</w:t>
            </w:r>
          </w:p>
        </w:tc>
        <w:tc>
          <w:tcPr>
            <w:tcW w:type="dxa" w:w="1440"/>
            <w:shd w:fill="FFDCE0" w:val="clear"/>
          </w:tcPr>
          <w:p>
            <w:r>
              <w:rPr>
                <w:b/>
                <w:sz w:val="17"/>
              </w:rPr>
              <w:t>18,665</w:t>
            </w:r>
          </w:p>
        </w:tc>
        <w:tc>
          <w:tcPr>
            <w:tcW w:type="dxa" w:w="1440"/>
            <w:shd w:fill="FFDCE0" w:val="clear"/>
          </w:tcPr>
          <w:p>
            <w:r>
              <w:rPr>
                <w:sz w:val="17"/>
              </w:rPr>
              <w:t>19,403</w:t>
            </w:r>
          </w:p>
        </w:tc>
        <w:tc>
          <w:tcPr>
            <w:tcW w:type="dxa" w:w="1440"/>
            <w:shd w:fill="FFDCE0" w:val="clear"/>
          </w:tcPr>
          <w:p>
            <w:r>
              <w:rPr>
                <w:b/>
                <w:color w:val="C00000"/>
                <w:sz w:val="17"/>
              </w:rPr>
              <w:t>-4.3%</w:t>
            </w:r>
          </w:p>
        </w:tc>
      </w:tr>
      <w:tr>
        <w:tc>
          <w:tcPr>
            <w:tcW w:type="dxa" w:w="1440"/>
            <w:shd w:fill="FFDCE0" w:val="clear"/>
          </w:tcPr>
          <w:p>
            <w:r>
              <w:rPr>
                <w:sz w:val="17"/>
              </w:rPr>
              <w:t>J+3  ⭐</w:t>
            </w:r>
          </w:p>
        </w:tc>
        <w:tc>
          <w:tcPr>
            <w:tcW w:type="dxa" w:w="1440"/>
            <w:shd w:fill="FFDCE0" w:val="clear"/>
          </w:tcPr>
          <w:p>
            <w:r>
              <w:rPr>
                <w:sz w:val="17"/>
              </w:rPr>
              <w:t>2026-08-24</w:t>
            </w:r>
          </w:p>
        </w:tc>
        <w:tc>
          <w:tcPr>
            <w:tcW w:type="dxa" w:w="1440"/>
            <w:shd w:fill="FFDCE0" w:val="clear"/>
          </w:tcPr>
          <w:p>
            <w:r>
              <w:rPr>
                <w:sz w:val="17"/>
              </w:rPr>
              <w:t>17,704</w:t>
            </w:r>
          </w:p>
        </w:tc>
        <w:tc>
          <w:tcPr>
            <w:tcW w:type="dxa" w:w="1440"/>
            <w:shd w:fill="FFDCE0" w:val="clear"/>
          </w:tcPr>
          <w:p>
            <w:r>
              <w:rPr>
                <w:b/>
                <w:sz w:val="17"/>
              </w:rPr>
              <w:t>18,605</w:t>
            </w:r>
          </w:p>
        </w:tc>
        <w:tc>
          <w:tcPr>
            <w:tcW w:type="dxa" w:w="1440"/>
            <w:shd w:fill="FFDCE0" w:val="clear"/>
          </w:tcPr>
          <w:p>
            <w:r>
              <w:rPr>
                <w:sz w:val="17"/>
              </w:rPr>
              <w:t>19,505</w:t>
            </w:r>
          </w:p>
        </w:tc>
        <w:tc>
          <w:tcPr>
            <w:tcW w:type="dxa" w:w="1440"/>
            <w:shd w:fill="FFDCE0" w:val="clear"/>
          </w:tcPr>
          <w:p>
            <w:r>
              <w:rPr>
                <w:b/>
                <w:color w:val="C00000"/>
                <w:sz w:val="17"/>
              </w:rPr>
              <w:t>-4.6%</w:t>
            </w:r>
          </w:p>
        </w:tc>
      </w:tr>
      <w:tr>
        <w:tc>
          <w:tcPr>
            <w:tcW w:type="dxa" w:w="1440"/>
            <w:shd w:fill="FFDCE0" w:val="clear"/>
          </w:tcPr>
          <w:p>
            <w:r>
              <w:rPr>
                <w:sz w:val="17"/>
              </w:rPr>
              <w:t>J+4  ⭐</w:t>
            </w:r>
          </w:p>
        </w:tc>
        <w:tc>
          <w:tcPr>
            <w:tcW w:type="dxa" w:w="1440"/>
            <w:shd w:fill="FFDCE0" w:val="clear"/>
          </w:tcPr>
          <w:p>
            <w:r>
              <w:rPr>
                <w:sz w:val="17"/>
              </w:rPr>
              <w:t>2026-08-25</w:t>
            </w:r>
          </w:p>
        </w:tc>
        <w:tc>
          <w:tcPr>
            <w:tcW w:type="dxa" w:w="1440"/>
            <w:shd w:fill="FFDCE0" w:val="clear"/>
          </w:tcPr>
          <w:p>
            <w:r>
              <w:rPr>
                <w:sz w:val="17"/>
              </w:rPr>
              <w:t>17,497</w:t>
            </w:r>
          </w:p>
        </w:tc>
        <w:tc>
          <w:tcPr>
            <w:tcW w:type="dxa" w:w="1440"/>
            <w:shd w:fill="FFDCE0" w:val="clear"/>
          </w:tcPr>
          <w:p>
            <w:r>
              <w:rPr>
                <w:b/>
                <w:sz w:val="17"/>
              </w:rPr>
              <w:t>18,533</w:t>
            </w:r>
          </w:p>
        </w:tc>
        <w:tc>
          <w:tcPr>
            <w:tcW w:type="dxa" w:w="1440"/>
            <w:shd w:fill="FFDCE0" w:val="clear"/>
          </w:tcPr>
          <w:p>
            <w:r>
              <w:rPr>
                <w:sz w:val="17"/>
              </w:rPr>
              <w:t>19,568</w:t>
            </w:r>
          </w:p>
        </w:tc>
        <w:tc>
          <w:tcPr>
            <w:tcW w:type="dxa" w:w="1440"/>
            <w:shd w:fill="FFDCE0" w:val="clear"/>
          </w:tcPr>
          <w:p>
            <w:r>
              <w:rPr>
                <w:b/>
                <w:color w:val="C00000"/>
                <w:sz w:val="17"/>
              </w:rPr>
              <w:t>-5.0%</w:t>
            </w:r>
          </w:p>
        </w:tc>
      </w:tr>
      <w:tr>
        <w:tc>
          <w:tcPr>
            <w:tcW w:type="dxa" w:w="1440"/>
            <w:shd w:fill="FFDCE0" w:val="clear"/>
          </w:tcPr>
          <w:p>
            <w:r>
              <w:rPr>
                <w:sz w:val="17"/>
              </w:rPr>
              <w:t>J+5  ⭐</w:t>
            </w:r>
          </w:p>
        </w:tc>
        <w:tc>
          <w:tcPr>
            <w:tcW w:type="dxa" w:w="1440"/>
            <w:shd w:fill="FFDCE0" w:val="clear"/>
          </w:tcPr>
          <w:p>
            <w:r>
              <w:rPr>
                <w:sz w:val="17"/>
              </w:rPr>
              <w:t>2026-08-27</w:t>
            </w:r>
          </w:p>
        </w:tc>
        <w:tc>
          <w:tcPr>
            <w:tcW w:type="dxa" w:w="1440"/>
            <w:shd w:fill="FFDCE0" w:val="clear"/>
          </w:tcPr>
          <w:p>
            <w:r>
              <w:rPr>
                <w:sz w:val="17"/>
              </w:rPr>
              <w:t>17,307</w:t>
            </w:r>
          </w:p>
        </w:tc>
        <w:tc>
          <w:tcPr>
            <w:tcW w:type="dxa" w:w="1440"/>
            <w:shd w:fill="FFDCE0" w:val="clear"/>
          </w:tcPr>
          <w:p>
            <w:r>
              <w:rPr>
                <w:b/>
                <w:sz w:val="17"/>
              </w:rPr>
              <w:t>18,460</w:t>
            </w:r>
          </w:p>
        </w:tc>
        <w:tc>
          <w:tcPr>
            <w:tcW w:type="dxa" w:w="1440"/>
            <w:shd w:fill="FFDCE0" w:val="clear"/>
          </w:tcPr>
          <w:p>
            <w:r>
              <w:rPr>
                <w:sz w:val="17"/>
              </w:rPr>
              <w:t>19,614</w:t>
            </w:r>
          </w:p>
        </w:tc>
        <w:tc>
          <w:tcPr>
            <w:tcW w:type="dxa" w:w="1440"/>
            <w:shd w:fill="FFDCE0" w:val="clear"/>
          </w:tcPr>
          <w:p>
            <w:r>
              <w:rPr>
                <w:b/>
                <w:color w:val="C00000"/>
                <w:sz w:val="17"/>
              </w:rPr>
              <w:t>-5.4%</w:t>
            </w:r>
          </w:p>
        </w:tc>
      </w:tr>
      <w:tr>
        <w:tc>
          <w:tcPr>
            <w:tcW w:type="dxa" w:w="1440"/>
            <w:shd w:fill="FFDCE0" w:val="clear"/>
          </w:tcPr>
          <w:p>
            <w:r>
              <w:rPr>
                <w:sz w:val="17"/>
              </w:rPr>
              <w:t>J+6  ⭐</w:t>
            </w:r>
          </w:p>
        </w:tc>
        <w:tc>
          <w:tcPr>
            <w:tcW w:type="dxa" w:w="1440"/>
            <w:shd w:fill="FFDCE0" w:val="clear"/>
          </w:tcPr>
          <w:p>
            <w:r>
              <w:rPr>
                <w:sz w:val="17"/>
              </w:rPr>
              <w:t>2026-08-28</w:t>
            </w:r>
          </w:p>
        </w:tc>
        <w:tc>
          <w:tcPr>
            <w:tcW w:type="dxa" w:w="1440"/>
            <w:shd w:fill="FFDCE0" w:val="clear"/>
          </w:tcPr>
          <w:p>
            <w:r>
              <w:rPr>
                <w:sz w:val="17"/>
              </w:rPr>
              <w:t>17,131</w:t>
            </w:r>
          </w:p>
        </w:tc>
        <w:tc>
          <w:tcPr>
            <w:tcW w:type="dxa" w:w="1440"/>
            <w:shd w:fill="FFDCE0" w:val="clear"/>
          </w:tcPr>
          <w:p>
            <w:r>
              <w:rPr>
                <w:b/>
                <w:sz w:val="17"/>
              </w:rPr>
              <w:t>18,390</w:t>
            </w:r>
          </w:p>
        </w:tc>
        <w:tc>
          <w:tcPr>
            <w:tcW w:type="dxa" w:w="1440"/>
            <w:shd w:fill="FFDCE0" w:val="clear"/>
          </w:tcPr>
          <w:p>
            <w:r>
              <w:rPr>
                <w:sz w:val="17"/>
              </w:rPr>
              <w:t>19,649</w:t>
            </w:r>
          </w:p>
        </w:tc>
        <w:tc>
          <w:tcPr>
            <w:tcW w:type="dxa" w:w="1440"/>
            <w:shd w:fill="FFDCE0" w:val="clear"/>
          </w:tcPr>
          <w:p>
            <w:r>
              <w:rPr>
                <w:b/>
                <w:color w:val="C00000"/>
                <w:sz w:val="17"/>
              </w:rPr>
              <w:t>-5.7%</w:t>
            </w:r>
          </w:p>
        </w:tc>
      </w:tr>
      <w:tr>
        <w:tc>
          <w:tcPr>
            <w:tcW w:type="dxa" w:w="1440"/>
            <w:shd w:fill="FFDCE0" w:val="clear"/>
          </w:tcPr>
          <w:p>
            <w:r>
              <w:rPr>
                <w:sz w:val="17"/>
              </w:rPr>
              <w:t>J+7  ⭐</w:t>
            </w:r>
          </w:p>
        </w:tc>
        <w:tc>
          <w:tcPr>
            <w:tcW w:type="dxa" w:w="1440"/>
            <w:shd w:fill="FFDCE0" w:val="clear"/>
          </w:tcPr>
          <w:p>
            <w:r>
              <w:rPr>
                <w:sz w:val="17"/>
              </w:rPr>
              <w:t>2026-08-31</w:t>
            </w:r>
          </w:p>
        </w:tc>
        <w:tc>
          <w:tcPr>
            <w:tcW w:type="dxa" w:w="1440"/>
            <w:shd w:fill="FFDCE0" w:val="clear"/>
          </w:tcPr>
          <w:p>
            <w:r>
              <w:rPr>
                <w:sz w:val="17"/>
              </w:rPr>
              <w:t>16,966</w:t>
            </w:r>
          </w:p>
        </w:tc>
        <w:tc>
          <w:tcPr>
            <w:tcW w:type="dxa" w:w="1440"/>
            <w:shd w:fill="FFDCE0" w:val="clear"/>
          </w:tcPr>
          <w:p>
            <w:r>
              <w:rPr>
                <w:b/>
                <w:sz w:val="17"/>
              </w:rPr>
              <w:t>18,321</w:t>
            </w:r>
          </w:p>
        </w:tc>
        <w:tc>
          <w:tcPr>
            <w:tcW w:type="dxa" w:w="1440"/>
            <w:shd w:fill="FFDCE0" w:val="clear"/>
          </w:tcPr>
          <w:p>
            <w:r>
              <w:rPr>
                <w:sz w:val="17"/>
              </w:rPr>
              <w:t>19,676</w:t>
            </w:r>
          </w:p>
        </w:tc>
        <w:tc>
          <w:tcPr>
            <w:tcW w:type="dxa" w:w="1440"/>
            <w:shd w:fill="FFDCE0" w:val="clear"/>
          </w:tcPr>
          <w:p>
            <w:r>
              <w:rPr>
                <w:b/>
                <w:color w:val="C00000"/>
                <w:sz w:val="17"/>
              </w:rPr>
              <w:t>-6.1%</w:t>
            </w:r>
          </w:p>
        </w:tc>
      </w:tr>
      <w:tr>
        <w:tc>
          <w:tcPr>
            <w:tcW w:type="dxa" w:w="1440"/>
            <w:shd w:fill="FFDCE0" w:val="clear"/>
          </w:tcPr>
          <w:p>
            <w:r>
              <w:rPr>
                <w:sz w:val="17"/>
              </w:rPr>
              <w:t>J+8  ⭐</w:t>
            </w:r>
          </w:p>
        </w:tc>
        <w:tc>
          <w:tcPr>
            <w:tcW w:type="dxa" w:w="1440"/>
            <w:shd w:fill="FFDCE0" w:val="clear"/>
          </w:tcPr>
          <w:p>
            <w:r>
              <w:rPr>
                <w:sz w:val="17"/>
              </w:rPr>
              <w:t>2026-09-01</w:t>
            </w:r>
          </w:p>
        </w:tc>
        <w:tc>
          <w:tcPr>
            <w:tcW w:type="dxa" w:w="1440"/>
            <w:shd w:fill="FFDCE0" w:val="clear"/>
          </w:tcPr>
          <w:p>
            <w:r>
              <w:rPr>
                <w:sz w:val="17"/>
              </w:rPr>
              <w:t>16,811</w:t>
            </w:r>
          </w:p>
        </w:tc>
        <w:tc>
          <w:tcPr>
            <w:tcW w:type="dxa" w:w="1440"/>
            <w:shd w:fill="FFDCE0" w:val="clear"/>
          </w:tcPr>
          <w:p>
            <w:r>
              <w:rPr>
                <w:b/>
                <w:sz w:val="17"/>
              </w:rPr>
              <w:t>18,254</w:t>
            </w:r>
          </w:p>
        </w:tc>
        <w:tc>
          <w:tcPr>
            <w:tcW w:type="dxa" w:w="1440"/>
            <w:shd w:fill="FFDCE0" w:val="clear"/>
          </w:tcPr>
          <w:p>
            <w:r>
              <w:rPr>
                <w:sz w:val="17"/>
              </w:rPr>
              <w:t>19,697</w:t>
            </w:r>
          </w:p>
        </w:tc>
        <w:tc>
          <w:tcPr>
            <w:tcW w:type="dxa" w:w="1440"/>
            <w:shd w:fill="FFDCE0" w:val="clear"/>
          </w:tcPr>
          <w:p>
            <w:r>
              <w:rPr>
                <w:b/>
                <w:color w:val="C00000"/>
                <w:sz w:val="17"/>
              </w:rPr>
              <w:t>-6.4%</w:t>
            </w:r>
          </w:p>
        </w:tc>
      </w:tr>
      <w:tr>
        <w:tc>
          <w:tcPr>
            <w:tcW w:type="dxa" w:w="1440"/>
            <w:shd w:fill="FFDCE0" w:val="clear"/>
          </w:tcPr>
          <w:p>
            <w:r>
              <w:rPr>
                <w:sz w:val="17"/>
              </w:rPr>
              <w:t>J+9  ⭐</w:t>
            </w:r>
          </w:p>
        </w:tc>
        <w:tc>
          <w:tcPr>
            <w:tcW w:type="dxa" w:w="1440"/>
            <w:shd w:fill="FFDCE0" w:val="clear"/>
          </w:tcPr>
          <w:p>
            <w:r>
              <w:rPr>
                <w:sz w:val="17"/>
              </w:rPr>
              <w:t>2026-09-02</w:t>
            </w:r>
          </w:p>
        </w:tc>
        <w:tc>
          <w:tcPr>
            <w:tcW w:type="dxa" w:w="1440"/>
            <w:shd w:fill="FFDCE0" w:val="clear"/>
          </w:tcPr>
          <w:p>
            <w:r>
              <w:rPr>
                <w:sz w:val="17"/>
              </w:rPr>
              <w:t>16,664</w:t>
            </w:r>
          </w:p>
        </w:tc>
        <w:tc>
          <w:tcPr>
            <w:tcW w:type="dxa" w:w="1440"/>
            <w:shd w:fill="FFDCE0" w:val="clear"/>
          </w:tcPr>
          <w:p>
            <w:r>
              <w:rPr>
                <w:b/>
                <w:sz w:val="17"/>
              </w:rPr>
              <w:t>18,189</w:t>
            </w:r>
          </w:p>
        </w:tc>
        <w:tc>
          <w:tcPr>
            <w:tcW w:type="dxa" w:w="1440"/>
            <w:shd w:fill="FFDCE0" w:val="clear"/>
          </w:tcPr>
          <w:p>
            <w:r>
              <w:rPr>
                <w:sz w:val="17"/>
              </w:rPr>
              <w:t>19,714</w:t>
            </w:r>
          </w:p>
        </w:tc>
        <w:tc>
          <w:tcPr>
            <w:tcW w:type="dxa" w:w="1440"/>
            <w:shd w:fill="FFDCE0" w:val="clear"/>
          </w:tcPr>
          <w:p>
            <w:r>
              <w:rPr>
                <w:b/>
                <w:color w:val="C00000"/>
                <w:sz w:val="17"/>
              </w:rPr>
              <w:t>-6.8%</w:t>
            </w:r>
          </w:p>
        </w:tc>
      </w:tr>
      <w:tr>
        <w:tc>
          <w:tcPr>
            <w:tcW w:type="dxa" w:w="1440"/>
            <w:shd w:fill="FFDCE0" w:val="clear"/>
          </w:tcPr>
          <w:p>
            <w:r>
              <w:rPr>
                <w:sz w:val="17"/>
              </w:rPr>
              <w:t>J+10  ⭐</w:t>
            </w:r>
          </w:p>
        </w:tc>
        <w:tc>
          <w:tcPr>
            <w:tcW w:type="dxa" w:w="1440"/>
            <w:shd w:fill="FFDCE0" w:val="clear"/>
          </w:tcPr>
          <w:p>
            <w:r>
              <w:rPr>
                <w:sz w:val="17"/>
              </w:rPr>
              <w:t>2026-09-03</w:t>
            </w:r>
          </w:p>
        </w:tc>
        <w:tc>
          <w:tcPr>
            <w:tcW w:type="dxa" w:w="1440"/>
            <w:shd w:fill="FFDCE0" w:val="clear"/>
          </w:tcPr>
          <w:p>
            <w:r>
              <w:rPr>
                <w:sz w:val="17"/>
              </w:rPr>
              <w:t>16,523</w:t>
            </w:r>
          </w:p>
        </w:tc>
        <w:tc>
          <w:tcPr>
            <w:tcW w:type="dxa" w:w="1440"/>
            <w:shd w:fill="FFDCE0" w:val="clear"/>
          </w:tcPr>
          <w:p>
            <w:r>
              <w:rPr>
                <w:b/>
                <w:sz w:val="17"/>
              </w:rPr>
              <w:t>18,125</w:t>
            </w:r>
          </w:p>
        </w:tc>
        <w:tc>
          <w:tcPr>
            <w:tcW w:type="dxa" w:w="1440"/>
            <w:shd w:fill="FFDCE0" w:val="clear"/>
          </w:tcPr>
          <w:p>
            <w:r>
              <w:rPr>
                <w:sz w:val="17"/>
              </w:rPr>
              <w:t>19,727</w:t>
            </w:r>
          </w:p>
        </w:tc>
        <w:tc>
          <w:tcPr>
            <w:tcW w:type="dxa" w:w="1440"/>
            <w:shd w:fill="FFDCE0" w:val="clear"/>
          </w:tcPr>
          <w:p>
            <w:r>
              <w:rPr>
                <w:b/>
                <w:color w:val="C00000"/>
                <w:sz w:val="17"/>
              </w:rPr>
              <w:t>-7.1%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d'ORAC s'établit à 2 939,29 milliards FCFA, ce qui en fait l'une des plus importantes capitalisations de la BRVM, représentant une part significative du marché. Avec un BPA de 1 114 FCFA, chaque action génère un bénéfice substantiel. Le PER de 17,5x est nettement supérieur à la moyenne historique de la BRVM (8-12x), indiquant que les investisseurs paient une prime pour la qualité et la croissance de l'entreprise. Le P/B de 4,15x confirme cette prime, le marché valorisant fortement les actifs de la société par rapport à leur valeur comptable. Enfin, l'EV/EBITDA de 7,0x, dans la fourchette raisonnable de 5-10x, suggère que la valorisation globale reste soutenable au regard de la capacité opérationnelle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ORAC a enregistré une progression spectaculaire de +34,55%, avec une dernière séance en hausse de +2,68%, clôturant à 19 510 FCFA, son plus haut niveau sur la période. Le cours a évolué dans une fourchette de 14 500 à 19 510 FCFA, démontrant une dynamique haussière soutenue. La moyenne (15 961 FCFA) est très proche de la médiane (15 925 FCFA), indiquant une distribution relativement symétrique des cours, mais le skewness positif de 0,989 révèle que les journées sous la moyenne sont plus fréquentes, avec des pics à la hausse. L'écart-type de 970 FCFA (CV=6,1%) montre une dispersion modérée, tandis que le kurtosis de 1,404 signale un risque de mouvements extrêmes. La volatilité annualisée de 29,6% classe le titre dans la catégorie élevée, reflétant un profil de risque marqué.</w:t>
      </w:r>
    </w:p>
    <w:p>
      <w:pPr>
        <w:spacing w:after="120" w:line="276" w:lineRule="auto" w:before="240"/>
      </w:pPr>
      <w:r>
        <w:rPr>
          <w:b/>
          <w:color w:val="003366"/>
          <w:sz w:val="24"/>
        </w:rPr>
        <w:t>**PARTIE 2 : ANALYSE TECHNIQUE DÉTAILLÉE**</w:t>
      </w:r>
    </w:p>
    <w:p>
      <w:pPr>
        <w:spacing w:after="120" w:line="276" w:lineRule="auto"/>
      </w:pPr>
      <w:r>
        <w:t>**Moyennes Mobiles** : Le cours actuel de 19 510 FCFA se situe nettement au-dessus de la MM20 (17 285 FCFA) et de la MM50 (16 664,4 FCFA), confirmant une tendance haussière solide. L'écart positif entre les deux moyennes et le cours indique une dynamique positive, justifiant la décision d'achat.</w:t>
      </w:r>
    </w:p>
    <w:p>
      <w:pPr>
        <w:spacing w:after="120" w:line="276" w:lineRule="auto"/>
      </w:pPr>
      <w:r>
        <w:t>**Bandes de Bollinger** : Le prix a franchi la borne supérieure (19 064 FCFA) pour atteindre 19 510 FCFA, signalant une condition de surachat extrême. Cette sortie de bande suggère une volatilité accrue et un possible retour vers la moyenne, justifiant la décision de vente à court terme.</w:t>
      </w:r>
    </w:p>
    <w:p>
      <w:pPr>
        <w:spacing w:after="120" w:line="276" w:lineRule="auto"/>
      </w:pPr>
      <w:r>
        <w:t>**MACD** : La valeur du MACD (636,9) est nettement supérieure à son signal (397,7), indiquant un momentum haussier puissant. La divergence positive confirme la force de la tendance actuelle, bien que l'écart important puisse signaler une exubérance excessive, justifiant la décision d'achat.</w:t>
      </w:r>
    </w:p>
    <w:p>
      <w:pPr>
        <w:spacing w:after="120" w:line="276" w:lineRule="auto"/>
      </w:pPr>
      <w:r>
        <w:t>**RSI** : À 94,37, le RSI est en zone de surachat extrême, bien au-delà du seuil de 70. Cette valeur indique que le titre est massivement suracheté, avec un risque élevé de correction technique, justifiant la décision de vente.</w:t>
      </w:r>
    </w:p>
    <w:p>
      <w:pPr>
        <w:spacing w:after="120" w:line="276" w:lineRule="auto"/>
      </w:pPr>
      <w:r>
        <w:t>**Stochastique** : Le %K et le %D sont tous deux à 100, en zone de surachat extrême. Cette configuration signale une force exceptionnelle mais également un risque imminent de retournement, justifiant la décision de vente.</w:t>
      </w:r>
    </w:p>
    <w:p>
      <w:pPr>
        <w:spacing w:after="120" w:line="276" w:lineRule="auto"/>
      </w:pPr>
      <w:r>
        <w:t>**Conclusion technique** : La configuration technique est paradoxale : les indicateurs de tendance (MM, MACD) confirment une dynamique haussière, mais les oscillateurs (RSI, Stochastique, Bollinger) signalent un surachat extrême. Cette divergence suggère qu'une correction technique est probable à court terme, malgré la solidité de la tendance de fond.</w:t>
      </w:r>
    </w:p>
    <w:p>
      <w:pPr>
        <w:spacing w:after="120" w:line="276" w:lineRule="auto" w:before="240"/>
      </w:pPr>
      <w:r>
        <w:rPr>
          <w:b/>
          <w:color w:val="003366"/>
          <w:sz w:val="24"/>
        </w:rPr>
        <w:t>**PARTIE 3 : ANALYSE FONDAMENTALE (SECTION CRITIQUE)**</w:t>
      </w:r>
    </w:p>
    <w:p>
      <w:pPr>
        <w:spacing w:after="120" w:line="276" w:lineRule="auto"/>
      </w:pPr>
      <w:r>
        <w:t>En 2025, ORAC a réalisé un chiffre d'affaires consolidé de 1 197,1 milliards FCFA, en hausse de +10,4%, avec un résultat net consolidé de 167,8 milliards FCFA (+6,1%). Le ROE s'établit à 23,7%, excellent, et le ROA à 6,6%. La marge opérationnelle de 24,0% et la marge nette de 14,0% témoignent d'une rentabilité solide. Le BFR négatif de -198 milliards FCFA est favorable, indiquant une gestion efficace du cycle d'exploitation, avec un délai fournisseurs de 210,9 jours contre 52,3 jours pour les clients. L'endettement est maîtrisé avec une capacité de remboursement de 0,99 an. Les rapports trimestriels 2025 montrent une croissance du CA de +9,9% sur 9 mois, mais une stagnation du résultat net (+0,2%), due à des charges financières en hausse. Le T1 2026, analysé le 21 mai 2026, est très encourageant : CA de 325,6 milliards FCFA (+14,8%) et résultat net de 48,3 milliards FCFA (+25,2%), suggérant une accélération significative. Le dividende proposé de 800 FCFA brut par action offre un rendement attractif. Les fondamentaux restent solides, portés par la croissance de la data, de la fibre et d'Orange Money.</w:t>
      </w:r>
    </w:p>
    <w:p>
      <w:pPr>
        <w:spacing w:after="120" w:line="276" w:lineRule="auto" w:before="240"/>
      </w:pPr>
      <w:r>
        <w:rPr>
          <w:b/>
          <w:color w:val="003366"/>
          <w:sz w:val="24"/>
        </w:rPr>
        <w:t>**PARTIE 4 : CONCLUSION D'INVESTISSEMENT**</w:t>
      </w:r>
    </w:p>
    <w:p>
      <w:pPr>
        <w:spacing w:after="120" w:line="276" w:lineRule="auto"/>
      </w:pPr>
      <w:r>
        <w:t>La valorisation d'ORAC (PER 17,5x, P/B 4,15x) est exigeante mais justifiée par la qualité des fondamentaux et les perspectives de croissance. Le comportement du cours, avec une hausse de +34,55% sur 100 jours et une volatilité élevée (29,6%), reflète un enthousiasme marqué des investisseurs, mais le kurtosis et le skewness suggèrent un risque de mouvements brusques. Les signaux techniques sont mitigés : la tendance reste haussière (MM, MACD) mais les indicateurs de surachat (RSI 94,4, Stochastique 100, sortie des bandes de Bollinger) signalent une correction probable. Les fondamentaux sont excellents, avec une croissance soutenue et une rentabilité élevée, renforcée par les résultats du T1 2026. Les prédictions IA (18 648 à 18 460 FCFA sur 10 jours) anticipent une légère consolidation, confirmant les signaux techniques. En synthèse, malgré la solidité fondamentale, la prudence s'impose à court terme. **Recommandation : CONSERVER**, avec un niveau de confiance Moyen et un risque global Élevé. Horizon d'investissement optimal : moyen terme (3-12 mois), en attendant une correction technique pour renforcer les positions.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214.49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5,761 titres</w:t>
            </w:r>
          </w:p>
        </w:tc>
        <w:tc>
          <w:tcPr>
            <w:tcW w:type="dxa" w:w="2268"/>
            <w:shd w:fill="FFF2CC" w:val="clear"/>
          </w:tcPr>
          <w:p>
            <w:r>
              <w:rPr>
                <w:b/>
                <w:color w:val="503200"/>
                <w:sz w:val="16"/>
              </w:rPr>
              <w:t xml:space="preserve">Cours actuel : </w:t>
            </w:r>
            <w:r>
              <w:rPr>
                <w:color w:val="000000"/>
                <w:sz w:val="17"/>
              </w:rPr>
              <w:t>3,090 FCFA</w:t>
            </w:r>
          </w:p>
          <w:p>
            <w:r>
              <w:rPr>
                <w:b/>
                <w:color w:val="503200"/>
                <w:sz w:val="16"/>
              </w:rPr>
              <w:t xml:space="preserve">Var. 100 jours : </w:t>
            </w:r>
            <w:r>
              <w:rPr>
                <w:b/>
                <w:color w:val="B40000"/>
                <w:sz w:val="17"/>
              </w:rPr>
              <w:t>-16.49%</w:t>
            </w:r>
          </w:p>
          <w:p>
            <w:r>
              <w:rPr>
                <w:b/>
                <w:color w:val="503200"/>
                <w:sz w:val="16"/>
              </w:rPr>
              <w:t xml:space="preserve">Plus haut 100j : </w:t>
            </w:r>
            <w:r>
              <w:rPr>
                <w:color w:val="000000"/>
                <w:sz w:val="17"/>
              </w:rPr>
              <w:t>3,700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43.1%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12.13% (Moyenne) — μ=2,970 FCFA, σ=360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β=0.3625 (Défensif) — Cov=0.000011, Var(idx)=0.000030, ρ=0.073,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5,761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σ_j=2.71%/j (Stable) — Vol. annualisée≈43.1%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2026-08-20</w:t>
            </w:r>
          </w:p>
        </w:tc>
        <w:tc>
          <w:tcPr>
            <w:tcW w:type="dxa" w:w="1440"/>
            <w:shd w:fill="FAFAFA" w:val="clear"/>
          </w:tcPr>
          <w:p>
            <w:r>
              <w:rPr>
                <w:sz w:val="17"/>
              </w:rPr>
              <w:t>2,975</w:t>
            </w:r>
          </w:p>
        </w:tc>
        <w:tc>
          <w:tcPr>
            <w:tcW w:type="dxa" w:w="1440"/>
            <w:shd w:fill="FAFAFA" w:val="clear"/>
          </w:tcPr>
          <w:p>
            <w:r>
              <w:rPr>
                <w:b/>
                <w:sz w:val="17"/>
              </w:rPr>
              <w:t>3,064</w:t>
            </w:r>
          </w:p>
        </w:tc>
        <w:tc>
          <w:tcPr>
            <w:tcW w:type="dxa" w:w="1440"/>
            <w:shd w:fill="FAFAFA" w:val="clear"/>
          </w:tcPr>
          <w:p>
            <w:r>
              <w:rPr>
                <w:sz w:val="17"/>
              </w:rPr>
              <w:t>3,153</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2026-08-21</w:t>
            </w:r>
          </w:p>
        </w:tc>
        <w:tc>
          <w:tcPr>
            <w:tcW w:type="dxa" w:w="1440"/>
            <w:shd w:fill="FAFAFA" w:val="clear"/>
          </w:tcPr>
          <w:p>
            <w:r>
              <w:rPr>
                <w:sz w:val="17"/>
              </w:rPr>
              <w:t>2,938</w:t>
            </w:r>
          </w:p>
        </w:tc>
        <w:tc>
          <w:tcPr>
            <w:tcW w:type="dxa" w:w="1440"/>
            <w:shd w:fill="FAFAFA" w:val="clear"/>
          </w:tcPr>
          <w:p>
            <w:r>
              <w:rPr>
                <w:b/>
                <w:sz w:val="17"/>
              </w:rPr>
              <w:t>3,063</w:t>
            </w:r>
          </w:p>
        </w:tc>
        <w:tc>
          <w:tcPr>
            <w:tcW w:type="dxa" w:w="1440"/>
            <w:shd w:fill="FAFAFA" w:val="clear"/>
          </w:tcPr>
          <w:p>
            <w:r>
              <w:rPr>
                <w:sz w:val="17"/>
              </w:rPr>
              <w:t>3,189</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2026-08-24</w:t>
            </w:r>
          </w:p>
        </w:tc>
        <w:tc>
          <w:tcPr>
            <w:tcW w:type="dxa" w:w="1440"/>
            <w:shd w:fill="FAFAFA" w:val="clear"/>
          </w:tcPr>
          <w:p>
            <w:r>
              <w:rPr>
                <w:sz w:val="17"/>
              </w:rPr>
              <w:t>2,907</w:t>
            </w:r>
          </w:p>
        </w:tc>
        <w:tc>
          <w:tcPr>
            <w:tcW w:type="dxa" w:w="1440"/>
            <w:shd w:fill="FAFAFA" w:val="clear"/>
          </w:tcPr>
          <w:p>
            <w:r>
              <w:rPr>
                <w:b/>
                <w:sz w:val="17"/>
              </w:rPr>
              <w:t>3,061</w:t>
            </w:r>
          </w:p>
        </w:tc>
        <w:tc>
          <w:tcPr>
            <w:tcW w:type="dxa" w:w="1440"/>
            <w:shd w:fill="FAFAFA" w:val="clear"/>
          </w:tcPr>
          <w:p>
            <w:r>
              <w:rPr>
                <w:sz w:val="17"/>
              </w:rPr>
              <w:t>3,214</w:t>
            </w:r>
          </w:p>
        </w:tc>
        <w:tc>
          <w:tcPr>
            <w:tcW w:type="dxa" w:w="1440"/>
            <w:shd w:fill="FAFAFA" w:val="clear"/>
          </w:tcPr>
          <w:p>
            <w:r>
              <w:rPr>
                <w:b/>
                <w:color w:val="C00000"/>
                <w:sz w:val="17"/>
              </w:rPr>
              <w:t>-1.0%</w:t>
            </w:r>
          </w:p>
        </w:tc>
      </w:tr>
      <w:tr>
        <w:tc>
          <w:tcPr>
            <w:tcW w:type="dxa" w:w="1440"/>
            <w:shd w:fill="FAFAFA" w:val="clear"/>
          </w:tcPr>
          <w:p>
            <w:r>
              <w:rPr>
                <w:sz w:val="17"/>
              </w:rPr>
              <w:t>J+4  Moyenne</w:t>
            </w:r>
          </w:p>
        </w:tc>
        <w:tc>
          <w:tcPr>
            <w:tcW w:type="dxa" w:w="1440"/>
            <w:shd w:fill="FAFAFA" w:val="clear"/>
          </w:tcPr>
          <w:p>
            <w:r>
              <w:rPr>
                <w:sz w:val="17"/>
              </w:rPr>
              <w:t>2026-08-25</w:t>
            </w:r>
          </w:p>
        </w:tc>
        <w:tc>
          <w:tcPr>
            <w:tcW w:type="dxa" w:w="1440"/>
            <w:shd w:fill="FAFAFA" w:val="clear"/>
          </w:tcPr>
          <w:p>
            <w:r>
              <w:rPr>
                <w:sz w:val="17"/>
              </w:rPr>
              <w:t>2,881</w:t>
            </w:r>
          </w:p>
        </w:tc>
        <w:tc>
          <w:tcPr>
            <w:tcW w:type="dxa" w:w="1440"/>
            <w:shd w:fill="FAFAFA" w:val="clear"/>
          </w:tcPr>
          <w:p>
            <w:r>
              <w:rPr>
                <w:b/>
                <w:sz w:val="17"/>
              </w:rPr>
              <w:t>3,058</w:t>
            </w:r>
          </w:p>
        </w:tc>
        <w:tc>
          <w:tcPr>
            <w:tcW w:type="dxa" w:w="1440"/>
            <w:shd w:fill="FAFAFA" w:val="clear"/>
          </w:tcPr>
          <w:p>
            <w:r>
              <w:rPr>
                <w:sz w:val="17"/>
              </w:rPr>
              <w:t>3,235</w:t>
            </w:r>
          </w:p>
        </w:tc>
        <w:tc>
          <w:tcPr>
            <w:tcW w:type="dxa" w:w="1440"/>
            <w:shd w:fill="FAFAFA" w:val="clear"/>
          </w:tcPr>
          <w:p>
            <w:r>
              <w:rPr>
                <w:b/>
                <w:color w:val="C00000"/>
                <w:sz w:val="17"/>
              </w:rPr>
              <w:t>-1.0%</w:t>
            </w:r>
          </w:p>
        </w:tc>
      </w:tr>
      <w:tr>
        <w:tc>
          <w:tcPr>
            <w:tcW w:type="dxa" w:w="1440"/>
            <w:shd w:fill="FAFAFA" w:val="clear"/>
          </w:tcPr>
          <w:p>
            <w:r>
              <w:rPr>
                <w:sz w:val="17"/>
              </w:rPr>
              <w:t>J+5  Moyenne</w:t>
            </w:r>
          </w:p>
        </w:tc>
        <w:tc>
          <w:tcPr>
            <w:tcW w:type="dxa" w:w="1440"/>
            <w:shd w:fill="FAFAFA" w:val="clear"/>
          </w:tcPr>
          <w:p>
            <w:r>
              <w:rPr>
                <w:sz w:val="17"/>
              </w:rPr>
              <w:t>2026-08-27</w:t>
            </w:r>
          </w:p>
        </w:tc>
        <w:tc>
          <w:tcPr>
            <w:tcW w:type="dxa" w:w="1440"/>
            <w:shd w:fill="FAFAFA" w:val="clear"/>
          </w:tcPr>
          <w:p>
            <w:r>
              <w:rPr>
                <w:sz w:val="17"/>
              </w:rPr>
              <w:t>2,857</w:t>
            </w:r>
          </w:p>
        </w:tc>
        <w:tc>
          <w:tcPr>
            <w:tcW w:type="dxa" w:w="1440"/>
            <w:shd w:fill="FAFAFA" w:val="clear"/>
          </w:tcPr>
          <w:p>
            <w:r>
              <w:rPr>
                <w:b/>
                <w:sz w:val="17"/>
              </w:rPr>
              <w:t>3,055</w:t>
            </w:r>
          </w:p>
        </w:tc>
        <w:tc>
          <w:tcPr>
            <w:tcW w:type="dxa" w:w="1440"/>
            <w:shd w:fill="FAFAFA" w:val="clear"/>
          </w:tcPr>
          <w:p>
            <w:r>
              <w:rPr>
                <w:sz w:val="17"/>
              </w:rPr>
              <w:t>3,253</w:t>
            </w:r>
          </w:p>
        </w:tc>
        <w:tc>
          <w:tcPr>
            <w:tcW w:type="dxa" w:w="1440"/>
            <w:shd w:fill="FAFAFA" w:val="clear"/>
          </w:tcPr>
          <w:p>
            <w:r>
              <w:rPr>
                <w:b/>
                <w:color w:val="C00000"/>
                <w:sz w:val="17"/>
              </w:rPr>
              <w:t>-1.1%</w:t>
            </w:r>
          </w:p>
        </w:tc>
      </w:tr>
      <w:tr>
        <w:tc>
          <w:tcPr>
            <w:tcW w:type="dxa" w:w="1440"/>
            <w:shd w:fill="FAFAFA" w:val="clear"/>
          </w:tcPr>
          <w:p>
            <w:r>
              <w:rPr>
                <w:sz w:val="17"/>
              </w:rPr>
              <w:t>J+6  Moyenne</w:t>
            </w:r>
          </w:p>
        </w:tc>
        <w:tc>
          <w:tcPr>
            <w:tcW w:type="dxa" w:w="1440"/>
            <w:shd w:fill="FAFAFA" w:val="clear"/>
          </w:tcPr>
          <w:p>
            <w:r>
              <w:rPr>
                <w:sz w:val="17"/>
              </w:rPr>
              <w:t>2026-08-28</w:t>
            </w:r>
          </w:p>
        </w:tc>
        <w:tc>
          <w:tcPr>
            <w:tcW w:type="dxa" w:w="1440"/>
            <w:shd w:fill="FAFAFA" w:val="clear"/>
          </w:tcPr>
          <w:p>
            <w:r>
              <w:rPr>
                <w:sz w:val="17"/>
              </w:rPr>
              <w:t>2,836</w:t>
            </w:r>
          </w:p>
        </w:tc>
        <w:tc>
          <w:tcPr>
            <w:tcW w:type="dxa" w:w="1440"/>
            <w:shd w:fill="FAFAFA" w:val="clear"/>
          </w:tcPr>
          <w:p>
            <w:r>
              <w:rPr>
                <w:b/>
                <w:sz w:val="17"/>
              </w:rPr>
              <w:t>3,053</w:t>
            </w:r>
          </w:p>
        </w:tc>
        <w:tc>
          <w:tcPr>
            <w:tcW w:type="dxa" w:w="1440"/>
            <w:shd w:fill="FAFAFA" w:val="clear"/>
          </w:tcPr>
          <w:p>
            <w:r>
              <w:rPr>
                <w:sz w:val="17"/>
              </w:rPr>
              <w:t>3,269</w:t>
            </w:r>
          </w:p>
        </w:tc>
        <w:tc>
          <w:tcPr>
            <w:tcW w:type="dxa" w:w="1440"/>
            <w:shd w:fill="FAFAFA" w:val="clear"/>
          </w:tcPr>
          <w:p>
            <w:r>
              <w:rPr>
                <w:b/>
                <w:color w:val="C00000"/>
                <w:sz w:val="17"/>
              </w:rPr>
              <w:t>-1.2%</w:t>
            </w:r>
          </w:p>
        </w:tc>
      </w:tr>
      <w:tr>
        <w:tc>
          <w:tcPr>
            <w:tcW w:type="dxa" w:w="1440"/>
            <w:shd w:fill="FAFAFA" w:val="clear"/>
          </w:tcPr>
          <w:p>
            <w:r>
              <w:rPr>
                <w:sz w:val="17"/>
              </w:rPr>
              <w:t>J+7  Moyenne</w:t>
            </w:r>
          </w:p>
        </w:tc>
        <w:tc>
          <w:tcPr>
            <w:tcW w:type="dxa" w:w="1440"/>
            <w:shd w:fill="FAFAFA" w:val="clear"/>
          </w:tcPr>
          <w:p>
            <w:r>
              <w:rPr>
                <w:sz w:val="17"/>
              </w:rPr>
              <w:t>2026-08-31</w:t>
            </w:r>
          </w:p>
        </w:tc>
        <w:tc>
          <w:tcPr>
            <w:tcW w:type="dxa" w:w="1440"/>
            <w:shd w:fill="FAFAFA" w:val="clear"/>
          </w:tcPr>
          <w:p>
            <w:r>
              <w:rPr>
                <w:sz w:val="17"/>
              </w:rPr>
              <w:t>2,816</w:t>
            </w:r>
          </w:p>
        </w:tc>
        <w:tc>
          <w:tcPr>
            <w:tcW w:type="dxa" w:w="1440"/>
            <w:shd w:fill="FAFAFA" w:val="clear"/>
          </w:tcPr>
          <w:p>
            <w:r>
              <w:rPr>
                <w:b/>
                <w:sz w:val="17"/>
              </w:rPr>
              <w:t>3,050</w:t>
            </w:r>
          </w:p>
        </w:tc>
        <w:tc>
          <w:tcPr>
            <w:tcW w:type="dxa" w:w="1440"/>
            <w:shd w:fill="FAFAFA" w:val="clear"/>
          </w:tcPr>
          <w:p>
            <w:r>
              <w:rPr>
                <w:sz w:val="17"/>
              </w:rPr>
              <w:t>3,284</w:t>
            </w:r>
          </w:p>
        </w:tc>
        <w:tc>
          <w:tcPr>
            <w:tcW w:type="dxa" w:w="1440"/>
            <w:shd w:fill="FAFAFA" w:val="clear"/>
          </w:tcPr>
          <w:p>
            <w:r>
              <w:rPr>
                <w:b/>
                <w:color w:val="C00000"/>
                <w:sz w:val="17"/>
              </w:rPr>
              <w:t>-1.3%</w:t>
            </w:r>
          </w:p>
        </w:tc>
      </w:tr>
      <w:tr>
        <w:tc>
          <w:tcPr>
            <w:tcW w:type="dxa" w:w="1440"/>
            <w:shd w:fill="FAFAFA" w:val="clear"/>
          </w:tcPr>
          <w:p>
            <w:r>
              <w:rPr>
                <w:sz w:val="17"/>
              </w:rPr>
              <w:t>J+8  Moyenne</w:t>
            </w:r>
          </w:p>
        </w:tc>
        <w:tc>
          <w:tcPr>
            <w:tcW w:type="dxa" w:w="1440"/>
            <w:shd w:fill="FAFAFA" w:val="clear"/>
          </w:tcPr>
          <w:p>
            <w:r>
              <w:rPr>
                <w:sz w:val="17"/>
              </w:rPr>
              <w:t>2026-09-01</w:t>
            </w:r>
          </w:p>
        </w:tc>
        <w:tc>
          <w:tcPr>
            <w:tcW w:type="dxa" w:w="1440"/>
            <w:shd w:fill="FAFAFA" w:val="clear"/>
          </w:tcPr>
          <w:p>
            <w:r>
              <w:rPr>
                <w:sz w:val="17"/>
              </w:rPr>
              <w:t>2,798</w:t>
            </w:r>
          </w:p>
        </w:tc>
        <w:tc>
          <w:tcPr>
            <w:tcW w:type="dxa" w:w="1440"/>
            <w:shd w:fill="FAFAFA" w:val="clear"/>
          </w:tcPr>
          <w:p>
            <w:r>
              <w:rPr>
                <w:b/>
                <w:sz w:val="17"/>
              </w:rPr>
              <w:t>3,048</w:t>
            </w:r>
          </w:p>
        </w:tc>
        <w:tc>
          <w:tcPr>
            <w:tcW w:type="dxa" w:w="1440"/>
            <w:shd w:fill="FAFAFA" w:val="clear"/>
          </w:tcPr>
          <w:p>
            <w:r>
              <w:rPr>
                <w:sz w:val="17"/>
              </w:rPr>
              <w:t>3,297</w:t>
            </w:r>
          </w:p>
        </w:tc>
        <w:tc>
          <w:tcPr>
            <w:tcW w:type="dxa" w:w="1440"/>
            <w:shd w:fill="FAFAFA" w:val="clear"/>
          </w:tcPr>
          <w:p>
            <w:r>
              <w:rPr>
                <w:b/>
                <w:color w:val="C00000"/>
                <w:sz w:val="17"/>
              </w:rPr>
              <w:t>-1.4%</w:t>
            </w:r>
          </w:p>
        </w:tc>
      </w:tr>
      <w:tr>
        <w:tc>
          <w:tcPr>
            <w:tcW w:type="dxa" w:w="1440"/>
            <w:shd w:fill="FAFAFA" w:val="clear"/>
          </w:tcPr>
          <w:p>
            <w:r>
              <w:rPr>
                <w:sz w:val="17"/>
              </w:rPr>
              <w:t>J+9  Moyenne</w:t>
            </w:r>
          </w:p>
        </w:tc>
        <w:tc>
          <w:tcPr>
            <w:tcW w:type="dxa" w:w="1440"/>
            <w:shd w:fill="FAFAFA" w:val="clear"/>
          </w:tcPr>
          <w:p>
            <w:r>
              <w:rPr>
                <w:sz w:val="17"/>
              </w:rPr>
              <w:t>2026-09-02</w:t>
            </w:r>
          </w:p>
        </w:tc>
        <w:tc>
          <w:tcPr>
            <w:tcW w:type="dxa" w:w="1440"/>
            <w:shd w:fill="FAFAFA" w:val="clear"/>
          </w:tcPr>
          <w:p>
            <w:r>
              <w:rPr>
                <w:sz w:val="17"/>
              </w:rPr>
              <w:t>2,781</w:t>
            </w:r>
          </w:p>
        </w:tc>
        <w:tc>
          <w:tcPr>
            <w:tcW w:type="dxa" w:w="1440"/>
            <w:shd w:fill="FAFAFA" w:val="clear"/>
          </w:tcPr>
          <w:p>
            <w:r>
              <w:rPr>
                <w:b/>
                <w:sz w:val="17"/>
              </w:rPr>
              <w:t>3,045</w:t>
            </w:r>
          </w:p>
        </w:tc>
        <w:tc>
          <w:tcPr>
            <w:tcW w:type="dxa" w:w="1440"/>
            <w:shd w:fill="FAFAFA" w:val="clear"/>
          </w:tcPr>
          <w:p>
            <w:r>
              <w:rPr>
                <w:sz w:val="17"/>
              </w:rPr>
              <w:t>3,310</w:t>
            </w:r>
          </w:p>
        </w:tc>
        <w:tc>
          <w:tcPr>
            <w:tcW w:type="dxa" w:w="1440"/>
            <w:shd w:fill="FAFAFA" w:val="clear"/>
          </w:tcPr>
          <w:p>
            <w:r>
              <w:rPr>
                <w:b/>
                <w:color w:val="C00000"/>
                <w:sz w:val="17"/>
              </w:rPr>
              <w:t>-1.4%</w:t>
            </w:r>
          </w:p>
        </w:tc>
      </w:tr>
      <w:tr>
        <w:tc>
          <w:tcPr>
            <w:tcW w:type="dxa" w:w="1440"/>
            <w:shd w:fill="FAFAFA" w:val="clear"/>
          </w:tcPr>
          <w:p>
            <w:r>
              <w:rPr>
                <w:sz w:val="17"/>
              </w:rPr>
              <w:t>J+10  Moyenne</w:t>
            </w:r>
          </w:p>
        </w:tc>
        <w:tc>
          <w:tcPr>
            <w:tcW w:type="dxa" w:w="1440"/>
            <w:shd w:fill="FAFAFA" w:val="clear"/>
          </w:tcPr>
          <w:p>
            <w:r>
              <w:rPr>
                <w:sz w:val="17"/>
              </w:rPr>
              <w:t>2026-09-03</w:t>
            </w:r>
          </w:p>
        </w:tc>
        <w:tc>
          <w:tcPr>
            <w:tcW w:type="dxa" w:w="1440"/>
            <w:shd w:fill="FAFAFA" w:val="clear"/>
          </w:tcPr>
          <w:p>
            <w:r>
              <w:rPr>
                <w:sz w:val="17"/>
              </w:rPr>
              <w:t>2,764</w:t>
            </w:r>
          </w:p>
        </w:tc>
        <w:tc>
          <w:tcPr>
            <w:tcW w:type="dxa" w:w="1440"/>
            <w:shd w:fill="FAFAFA" w:val="clear"/>
          </w:tcPr>
          <w:p>
            <w:r>
              <w:rPr>
                <w:b/>
                <w:sz w:val="17"/>
              </w:rPr>
              <w:t>3,043</w:t>
            </w:r>
          </w:p>
        </w:tc>
        <w:tc>
          <w:tcPr>
            <w:tcW w:type="dxa" w:w="1440"/>
            <w:shd w:fill="FAFAFA" w:val="clear"/>
          </w:tcPr>
          <w:p>
            <w:r>
              <w:rPr>
                <w:sz w:val="17"/>
              </w:rPr>
              <w:t>3,321</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**RAPPORT D'ANALYSE FINANCIÈRE — ORAGROUP (ORGT)**</w:t>
        <w:br/>
        <w:t>**Marché :** BRVM (Bourse Régionale des Valeurs Mobilières)</w:t>
        <w:br/>
        <w:t>**Date de l'analyse :** 19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d'ORGT s'établit à 214,49 milliards FCFA, ce qui positionne le titre parmi les valeurs moyennes du marché BRVM, reflétant un profil de banque régionale significative. Avec un BPA de 312 FCFA, chaque action génère un bénéfice substantiel, justifiant un PER de 9,9x, légèrement dans la fourchette basse du marché BRVM (8-12x), ce qui suggère une sous-évaluation relative par rapport à ses pairs. Le P/B de 1,90x indique que le marché valorise la société à près du double de sa valeur comptable, un niveau raisonnable pour une banque en phase de redressement. Cependant, l'EV/EBITDA de 19,9x, nettement supérieur au seuil exigeant de 15x, tempère cet optimisme en signalant que la valeur d'entreprise reste élevée par rapport à sa capacité opérationnelle actuelle, reflétant les attentes de croissance future intégrées par le marché.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ORGT a enregistré une baisse significative de -16,49%, bien que la dernière séance montre un rebond de +1,81% à 3 090 FCFA. Le cours a évolué dans une fourchette large, entre un plus bas de 2 435 FCFA et un plus haut de 3 700 FCFA, illustrant une forte amplitude de trading. La moyenne du cours sur la période est de 2 970 FCFA, légèrement supérieure à la médiane de 2 780 FCFA, avec un mode à 2 680 FCFA, indiquant une asymétrie positive où le cours a passé plus de temps sous sa moyenne. L'écart-type de 362 FCFA (CV=12,2%) montre une dispersion modérée, tandis que le kurtosis de -0,821 (mésokurtique) suggère une distribution proche de la normale, sans risque de pics extrêmes. Le skewness positif de 0,688 confirme cette asymétrie, avec des journées plus fréquentes sous la moyenne. La volatilité annualisée de 43,1% est élevée, positionnant ORGT comme un titre risqué, nécessitant une gestion attentive.</w:t>
      </w:r>
    </w:p>
    <w:p>
      <w:pPr>
        <w:spacing w:after="120" w:line="276" w:lineRule="auto"/>
      </w:pPr>
      <w:r>
        <w:t>---</w:t>
      </w:r>
    </w:p>
    <w:p>
      <w:pPr>
        <w:spacing w:after="120" w:line="276" w:lineRule="auto"/>
      </w:pPr>
      <w:r>
        <w:t>### PARTIE 2 : ANALYSE TECHNIQUE DÉTAILLÉE</w:t>
      </w:r>
    </w:p>
    <w:p>
      <w:pPr>
        <w:spacing w:after="120" w:line="276" w:lineRule="auto"/>
      </w:pPr>
      <w:r>
        <w:t>**Moyennes Mobiles :** La MM20 à 2 990,5 FCFA et la MM50 à 2 811,4 FCFA sont toutes deux inférieures au cours actuel de 3 090 FCFA, indiquant une dynamique haussière à court et moyen terme. Le croisement positif et la position du prix au-dessus des deux moyennes confirment un signal d'achat, suggérant une poursuite de la tendance haussière.</w:t>
      </w:r>
    </w:p>
    <w:p>
      <w:pPr>
        <w:spacing w:after="120" w:line="276" w:lineRule="auto"/>
      </w:pPr>
      <w:r>
        <w:t>**Bandes de Bollinger :** Le cours à 3 090 FCFA se situe entre la borne supérieure (3 342,1 FCFA) et la borne inférieure (2 638,9 FCFA), dans la partie haute de la bande. Cette position indique une pression acheteuse modérée, sans atteindre des niveaux de surachat extrêmes. La décision neutre reflète une volatilité normale, avec un potentiel de mouvement vers la borne supérieure si la tendance se renforce.</w:t>
      </w:r>
    </w:p>
    <w:p>
      <w:pPr>
        <w:spacing w:after="120" w:line="276" w:lineRule="auto"/>
      </w:pPr>
      <w:r>
        <w:t>**MACD :** La valeur MACD (86,97) est inférieure à son signal (94,85), indiquant un momentum baissier à court terme. Cette divergence négative suggère un ralentissement de la dynamique haussière, justifiant une décision de vente. Cependant, les valeurs restent positives, ce qui nuance le signal et indique une correction potentielle plutôt qu'un retournement majeur.</w:t>
      </w:r>
    </w:p>
    <w:p>
      <w:pPr>
        <w:spacing w:after="120" w:line="276" w:lineRule="auto"/>
      </w:pPr>
      <w:r>
        <w:t>**RSI :** À 67,53, le RSI se situe en zone neutre, proche du seuil de surachat (70). Cette valeur indique une pression acheteuse soutenue mais non excessive, laissant une marge de progression avant une éventuelle correction. La décision neutre est cohérente avec une tendance haussière modérée, sans signal de retournement imminent.</w:t>
      </w:r>
    </w:p>
    <w:p>
      <w:pPr>
        <w:spacing w:after="120" w:line="276" w:lineRule="auto"/>
      </w:pPr>
      <w:r>
        <w:t>**Stochastique :** Le %K (60,0) et le %D (59,5) sont proches, sans croisement significatif, indiquant un momentum neutre. Les deux lignes évoluent en territoire positif, suggérant une consolidation après une phase de hausse. La décision neutre reflète l'absence de signal directionnel clair, avec un potentiel de mouvement à la hausse ou à la baisse.</w:t>
      </w:r>
    </w:p>
    <w:p>
      <w:pPr>
        <w:spacing w:after="120" w:line="276" w:lineRule="auto"/>
      </w:pPr>
      <w:r>
        <w:t>**Conclusion technique :** Les indicateurs techniques sont globalement mitigés, avec des signaux d'achat (moyennes mobiles) contrastant avec des signaux de vente (MACD) et des positions neutres (Bollinger, RSI, Stochastique). Cette divergence suggère une phase de consolidation, avec un biais haussier à moyen terme mais des risques de correction à court terme. La prudence est recommandée en attendant une convergence des signaux.</w:t>
      </w:r>
    </w:p>
    <w:p>
      <w:pPr>
        <w:spacing w:after="120" w:line="276" w:lineRule="auto"/>
      </w:pPr>
      <w:r>
        <w:t>---</w:t>
      </w:r>
    </w:p>
    <w:p>
      <w:pPr>
        <w:spacing w:after="120" w:line="276" w:lineRule="auto"/>
      </w:pPr>
      <w:r>
        <w:t>### PARTIE 3 : ANALYSE FONDAMENTALE (SECTION CRITIQUE)</w:t>
      </w:r>
    </w:p>
    <w:p>
      <w:pPr>
        <w:spacing w:after="120" w:line="276" w:lineRule="auto"/>
      </w:pPr>
      <w:r>
        <w:t>En 2025, Oragroup a réalisé un redressement spectaculaire, avec un résultat net consolidé de 21,643 milliards FCFA, contre une perte de -44,363 milliards en 2024, soit une amélioration de 149%. Le PNB s'établit à 186,609 milliards FCFA, en baisse de -4,5% par rapport à 2024 (195,436 milliards), reflétant une contraction volontaire de l'activité de crédit. La marge nette atteint 11,6%, un niveau excellent pour une banque, tandis que le ROE s'élève à 19,13%, nettement supérieur au seuil de 15% jugé excellent. Le coefficient d'exploitation de 42,85% démontre une efficacité opérationnelle remarquable, bien en dessous du seuil de 60%. Le coût du risque, à 3,74%, reste élevé mais a été massivement réduit, passant de 69,1 milliards FCFA en 2024 à 6,971 milliards en 2025, grâce à des actions de recouvrement intensives. Les dépôts clientèle (3 088,7 milliards FCFA) couvrent largement les créances clientèle (1 523,8 milliards FCFA), indiquant une transformation saine. Les rapports trimestriels 2025 confirment cette trajectoire : le T1 affiche un bénéfice de 4,8 milliards, le S1 de 18,3 milliards, et le T3 de 19,6 milliards, montrant une amélioration continue. Le rapport T1 2026 (50,124 milliards de PNB, -2%) et un résultat net de 6,555 milliards (+37%) suggèrent une consolidation du redressement. On estime que l'exercice 2026 devrait maintenir cette dynamique, avec un résultat net potentiellement supérieur à 25 milliards FCFA, soutenu par la maîtrise des coûts et du risque. La solidité financière est renforcée par des capitaux propres de 113,165 milliards FCFA (+17%), bien que l'autonomie financière de 2,82% reste faible, indiquant une dépendance élevée aux dettes. Les perspectives sont favorables, mais la baisse du PNB et l'absence de dividende (perte sociale de -8 milliards) incitent à la prudence.</w:t>
      </w:r>
    </w:p>
    <w:p>
      <w:pPr>
        <w:spacing w:after="120" w:line="276" w:lineRule="auto"/>
      </w:pPr>
      <w:r>
        <w:t>---</w:t>
      </w:r>
    </w:p>
    <w:p>
      <w:pPr>
        <w:spacing w:after="120" w:line="276" w:lineRule="auto"/>
      </w:pPr>
      <w:r>
        <w:t>### PARTIE 4 : CONCLUSION D'INVESTISSEMENT</w:t>
      </w:r>
    </w:p>
    <w:p>
      <w:pPr>
        <w:spacing w:after="120" w:line="276" w:lineRule="auto"/>
      </w:pPr>
      <w:r>
        <w:t>La valorisation d'ORGT présente un profil contrasté : un PER de 9,9x suggère une sous-évaluation relative, mais un EV/EBITDA de 19,9x indique une valorisation exigeante de la capacité opérationnelle. Le comportement du cours montre une tendance baissière sur 100 jours (-16,49%), avec une volatilité élevée (43,1%) et une asymétrie positive, signalant un titre risqué mais avec un potentiel de rebond. Les signaux techniques sont mitigés, avec un biais haussier à moyen terme (moyennes mobiles) mais des corrections à court terme (MACD). Les fondamentaux sont solides, avec un redressement spectaculaire de la rentabilité (ROE de 19,1%) et une maîtrise exemplaire des coûts, bien que la baisse du PNB et l'absence de dividende soient des points de vigilance. Les prédictions IA (3 064 à 3 055 FCFA sur 10 jours) indiquent une légère baisse, contredisant les signaux techniques haussiers à court terme. En synthèse, la convergence entre des fondamentaux en amélioration et une valorisation raisonnable suggère une recommandation **CONSERVER**, avec un niveau de confiance **Moyen**. Le risque global est **Élevé** en raison de la volatilité et de l'environnement économique incertain. L'horizon d'investissement optimal est le **moyen terme (3-12 mois)**, permettant de capturer la poursuite du redressement tout en surveillant la relance de la croissance du PNB.</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148.41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3,630 titres</w:t>
            </w:r>
          </w:p>
        </w:tc>
        <w:tc>
          <w:tcPr>
            <w:tcW w:type="dxa" w:w="2268"/>
            <w:shd w:fill="FFF2CC" w:val="clear"/>
          </w:tcPr>
          <w:p>
            <w:r>
              <w:rPr>
                <w:b/>
                <w:color w:val="503200"/>
                <w:sz w:val="16"/>
              </w:rPr>
              <w:t xml:space="preserve">Cours actuel : </w:t>
            </w:r>
            <w:r>
              <w:rPr>
                <w:color w:val="000000"/>
                <w:sz w:val="17"/>
              </w:rPr>
              <w:t>9,600 FCFA</w:t>
            </w:r>
          </w:p>
          <w:p>
            <w:r>
              <w:rPr>
                <w:b/>
                <w:color w:val="503200"/>
                <w:sz w:val="16"/>
              </w:rPr>
              <w:t xml:space="preserve">Var. 100 jours : </w:t>
            </w:r>
            <w:r>
              <w:rPr>
                <w:b/>
                <w:color w:val="007800"/>
                <w:sz w:val="17"/>
              </w:rPr>
              <w:t>+19.33%</w:t>
            </w:r>
          </w:p>
          <w:p>
            <w:r>
              <w:rPr>
                <w:b/>
                <w:color w:val="503200"/>
                <w:sz w:val="16"/>
              </w:rPr>
              <w:t xml:space="preserve">Plus haut 100j : </w:t>
            </w:r>
            <w:r>
              <w:rPr>
                <w:color w:val="000000"/>
                <w:sz w:val="17"/>
              </w:rPr>
              <w:t>9,600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6.05% (Moyenne) — μ=8,403 FCFA, σ=508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β=-0.3733 (Contre-cyclique) — Cov=-0.000011, Var(idx)=0.000030, ρ=-0.087,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3,630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2026-08-20</w:t>
            </w:r>
          </w:p>
        </w:tc>
        <w:tc>
          <w:tcPr>
            <w:tcW w:type="dxa" w:w="1440"/>
            <w:shd w:fill="FAFAFA" w:val="clear"/>
          </w:tcPr>
          <w:p>
            <w:r>
              <w:rPr>
                <w:sz w:val="17"/>
              </w:rPr>
              <w:t>9,249</w:t>
            </w:r>
          </w:p>
        </w:tc>
        <w:tc>
          <w:tcPr>
            <w:tcW w:type="dxa" w:w="1440"/>
            <w:shd w:fill="FAFAFA" w:val="clear"/>
          </w:tcPr>
          <w:p>
            <w:r>
              <w:rPr>
                <w:b/>
                <w:sz w:val="17"/>
              </w:rPr>
              <w:t>9,518</w:t>
            </w:r>
          </w:p>
        </w:tc>
        <w:tc>
          <w:tcPr>
            <w:tcW w:type="dxa" w:w="1440"/>
            <w:shd w:fill="FAFAFA" w:val="clear"/>
          </w:tcPr>
          <w:p>
            <w:r>
              <w:rPr>
                <w:sz w:val="17"/>
              </w:rPr>
              <w:t>9,787</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2026-08-21</w:t>
            </w:r>
          </w:p>
        </w:tc>
        <w:tc>
          <w:tcPr>
            <w:tcW w:type="dxa" w:w="1440"/>
            <w:shd w:fill="FAFAFA" w:val="clear"/>
          </w:tcPr>
          <w:p>
            <w:r>
              <w:rPr>
                <w:sz w:val="17"/>
              </w:rPr>
              <w:t>9,179</w:t>
            </w:r>
          </w:p>
        </w:tc>
        <w:tc>
          <w:tcPr>
            <w:tcW w:type="dxa" w:w="1440"/>
            <w:shd w:fill="FAFAFA" w:val="clear"/>
          </w:tcPr>
          <w:p>
            <w:r>
              <w:rPr>
                <w:b/>
                <w:sz w:val="17"/>
              </w:rPr>
              <w:t>9,561</w:t>
            </w:r>
          </w:p>
        </w:tc>
        <w:tc>
          <w:tcPr>
            <w:tcW w:type="dxa" w:w="1440"/>
            <w:shd w:fill="FAFAFA" w:val="clear"/>
          </w:tcPr>
          <w:p>
            <w:r>
              <w:rPr>
                <w:sz w:val="17"/>
              </w:rPr>
              <w:t>9,943</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2026-08-24</w:t>
            </w:r>
          </w:p>
        </w:tc>
        <w:tc>
          <w:tcPr>
            <w:tcW w:type="dxa" w:w="1440"/>
            <w:shd w:fill="FAFAFA" w:val="clear"/>
          </w:tcPr>
          <w:p>
            <w:r>
              <w:rPr>
                <w:sz w:val="17"/>
              </w:rPr>
              <w:t>9,117</w:t>
            </w:r>
          </w:p>
        </w:tc>
        <w:tc>
          <w:tcPr>
            <w:tcW w:type="dxa" w:w="1440"/>
            <w:shd w:fill="FAFAFA" w:val="clear"/>
          </w:tcPr>
          <w:p>
            <w:r>
              <w:rPr>
                <w:b/>
                <w:sz w:val="17"/>
              </w:rPr>
              <w:t>9,585</w:t>
            </w:r>
          </w:p>
        </w:tc>
        <w:tc>
          <w:tcPr>
            <w:tcW w:type="dxa" w:w="1440"/>
            <w:shd w:fill="FAFAFA" w:val="clear"/>
          </w:tcPr>
          <w:p>
            <w:r>
              <w:rPr>
                <w:sz w:val="17"/>
              </w:rPr>
              <w:t>10,054</w:t>
            </w:r>
          </w:p>
        </w:tc>
        <w:tc>
          <w:tcPr>
            <w:tcW w:type="dxa" w:w="1440"/>
            <w:shd w:fill="FAFAFA" w:val="clear"/>
          </w:tcPr>
          <w:p>
            <w:r>
              <w:rPr>
                <w:b/>
                <w:color w:val="C00000"/>
                <w:sz w:val="17"/>
              </w:rPr>
              <w:t>-0.2%</w:t>
            </w:r>
          </w:p>
        </w:tc>
      </w:tr>
      <w:tr>
        <w:tc>
          <w:tcPr>
            <w:tcW w:type="dxa" w:w="1440"/>
            <w:shd w:fill="FAFAFA" w:val="clear"/>
          </w:tcPr>
          <w:p>
            <w:r>
              <w:rPr>
                <w:sz w:val="17"/>
              </w:rPr>
              <w:t>J+4  Moyenne</w:t>
            </w:r>
          </w:p>
        </w:tc>
        <w:tc>
          <w:tcPr>
            <w:tcW w:type="dxa" w:w="1440"/>
            <w:shd w:fill="FAFAFA" w:val="clear"/>
          </w:tcPr>
          <w:p>
            <w:r>
              <w:rPr>
                <w:sz w:val="17"/>
              </w:rPr>
              <w:t>2026-08-25</w:t>
            </w:r>
          </w:p>
        </w:tc>
        <w:tc>
          <w:tcPr>
            <w:tcW w:type="dxa" w:w="1440"/>
            <w:shd w:fill="FAFAFA" w:val="clear"/>
          </w:tcPr>
          <w:p>
            <w:r>
              <w:rPr>
                <w:sz w:val="17"/>
              </w:rPr>
              <w:t>9,067</w:t>
            </w:r>
          </w:p>
        </w:tc>
        <w:tc>
          <w:tcPr>
            <w:tcW w:type="dxa" w:w="1440"/>
            <w:shd w:fill="FAFAFA" w:val="clear"/>
          </w:tcPr>
          <w:p>
            <w:r>
              <w:rPr>
                <w:b/>
                <w:sz w:val="17"/>
              </w:rPr>
              <w:t>9,610</w:t>
            </w:r>
          </w:p>
        </w:tc>
        <w:tc>
          <w:tcPr>
            <w:tcW w:type="dxa" w:w="1440"/>
            <w:shd w:fill="FAFAFA" w:val="clear"/>
          </w:tcPr>
          <w:p>
            <w:r>
              <w:rPr>
                <w:sz w:val="17"/>
              </w:rPr>
              <w:t>10,153</w:t>
            </w:r>
          </w:p>
        </w:tc>
        <w:tc>
          <w:tcPr>
            <w:tcW w:type="dxa" w:w="1440"/>
            <w:shd w:fill="FAFAFA" w:val="clear"/>
          </w:tcPr>
          <w:p>
            <w:r>
              <w:rPr>
                <w:b/>
                <w:color w:val="008000"/>
                <w:sz w:val="17"/>
              </w:rPr>
              <w:t>+0.1%</w:t>
            </w:r>
          </w:p>
        </w:tc>
      </w:tr>
      <w:tr>
        <w:tc>
          <w:tcPr>
            <w:tcW w:type="dxa" w:w="1440"/>
            <w:shd w:fill="FAFAFA" w:val="clear"/>
          </w:tcPr>
          <w:p>
            <w:r>
              <w:rPr>
                <w:sz w:val="17"/>
              </w:rPr>
              <w:t>J+5  Moyenne</w:t>
            </w:r>
          </w:p>
        </w:tc>
        <w:tc>
          <w:tcPr>
            <w:tcW w:type="dxa" w:w="1440"/>
            <w:shd w:fill="FAFAFA" w:val="clear"/>
          </w:tcPr>
          <w:p>
            <w:r>
              <w:rPr>
                <w:sz w:val="17"/>
              </w:rPr>
              <w:t>2026-08-27</w:t>
            </w:r>
          </w:p>
        </w:tc>
        <w:tc>
          <w:tcPr>
            <w:tcW w:type="dxa" w:w="1440"/>
            <w:shd w:fill="FAFAFA" w:val="clear"/>
          </w:tcPr>
          <w:p>
            <w:r>
              <w:rPr>
                <w:sz w:val="17"/>
              </w:rPr>
              <w:t>9,027</w:t>
            </w:r>
          </w:p>
        </w:tc>
        <w:tc>
          <w:tcPr>
            <w:tcW w:type="dxa" w:w="1440"/>
            <w:shd w:fill="FAFAFA" w:val="clear"/>
          </w:tcPr>
          <w:p>
            <w:r>
              <w:rPr>
                <w:b/>
                <w:sz w:val="17"/>
              </w:rPr>
              <w:t>9,636</w:t>
            </w:r>
          </w:p>
        </w:tc>
        <w:tc>
          <w:tcPr>
            <w:tcW w:type="dxa" w:w="1440"/>
            <w:shd w:fill="FAFAFA" w:val="clear"/>
          </w:tcPr>
          <w:p>
            <w:r>
              <w:rPr>
                <w:sz w:val="17"/>
              </w:rPr>
              <w:t>10,244</w:t>
            </w:r>
          </w:p>
        </w:tc>
        <w:tc>
          <w:tcPr>
            <w:tcW w:type="dxa" w:w="1440"/>
            <w:shd w:fill="FAFAFA" w:val="clear"/>
          </w:tcPr>
          <w:p>
            <w:r>
              <w:rPr>
                <w:b/>
                <w:color w:val="008000"/>
                <w:sz w:val="17"/>
              </w:rPr>
              <w:t>+0.4%</w:t>
            </w:r>
          </w:p>
        </w:tc>
      </w:tr>
      <w:tr>
        <w:tc>
          <w:tcPr>
            <w:tcW w:type="dxa" w:w="1440"/>
            <w:shd w:fill="FAFAFA" w:val="clear"/>
          </w:tcPr>
          <w:p>
            <w:r>
              <w:rPr>
                <w:sz w:val="17"/>
              </w:rPr>
              <w:t>J+6  Moyenne</w:t>
            </w:r>
          </w:p>
        </w:tc>
        <w:tc>
          <w:tcPr>
            <w:tcW w:type="dxa" w:w="1440"/>
            <w:shd w:fill="FAFAFA" w:val="clear"/>
          </w:tcPr>
          <w:p>
            <w:r>
              <w:rPr>
                <w:sz w:val="17"/>
              </w:rPr>
              <w:t>2026-08-28</w:t>
            </w:r>
          </w:p>
        </w:tc>
        <w:tc>
          <w:tcPr>
            <w:tcW w:type="dxa" w:w="1440"/>
            <w:shd w:fill="FAFAFA" w:val="clear"/>
          </w:tcPr>
          <w:p>
            <w:r>
              <w:rPr>
                <w:sz w:val="17"/>
              </w:rPr>
              <w:t>8,993</w:t>
            </w:r>
          </w:p>
        </w:tc>
        <w:tc>
          <w:tcPr>
            <w:tcW w:type="dxa" w:w="1440"/>
            <w:shd w:fill="FAFAFA" w:val="clear"/>
          </w:tcPr>
          <w:p>
            <w:r>
              <w:rPr>
                <w:b/>
                <w:sz w:val="17"/>
              </w:rPr>
              <w:t>9,661</w:t>
            </w:r>
          </w:p>
        </w:tc>
        <w:tc>
          <w:tcPr>
            <w:tcW w:type="dxa" w:w="1440"/>
            <w:shd w:fill="FAFAFA" w:val="clear"/>
          </w:tcPr>
          <w:p>
            <w:r>
              <w:rPr>
                <w:sz w:val="17"/>
              </w:rPr>
              <w:t>10,330</w:t>
            </w:r>
          </w:p>
        </w:tc>
        <w:tc>
          <w:tcPr>
            <w:tcW w:type="dxa" w:w="1440"/>
            <w:shd w:fill="FAFAFA" w:val="clear"/>
          </w:tcPr>
          <w:p>
            <w:r>
              <w:rPr>
                <w:b/>
                <w:color w:val="008000"/>
                <w:sz w:val="17"/>
              </w:rPr>
              <w:t>+0.6%</w:t>
            </w:r>
          </w:p>
        </w:tc>
      </w:tr>
      <w:tr>
        <w:tc>
          <w:tcPr>
            <w:tcW w:type="dxa" w:w="1440"/>
            <w:shd w:fill="FAFAFA" w:val="clear"/>
          </w:tcPr>
          <w:p>
            <w:r>
              <w:rPr>
                <w:sz w:val="17"/>
              </w:rPr>
              <w:t>J+7  Moyenne</w:t>
            </w:r>
          </w:p>
        </w:tc>
        <w:tc>
          <w:tcPr>
            <w:tcW w:type="dxa" w:w="1440"/>
            <w:shd w:fill="FAFAFA" w:val="clear"/>
          </w:tcPr>
          <w:p>
            <w:r>
              <w:rPr>
                <w:sz w:val="17"/>
              </w:rPr>
              <w:t>2026-08-31</w:t>
            </w:r>
          </w:p>
        </w:tc>
        <w:tc>
          <w:tcPr>
            <w:tcW w:type="dxa" w:w="1440"/>
            <w:shd w:fill="FAFAFA" w:val="clear"/>
          </w:tcPr>
          <w:p>
            <w:r>
              <w:rPr>
                <w:sz w:val="17"/>
              </w:rPr>
              <w:t>8,963</w:t>
            </w:r>
          </w:p>
        </w:tc>
        <w:tc>
          <w:tcPr>
            <w:tcW w:type="dxa" w:w="1440"/>
            <w:shd w:fill="FAFAFA" w:val="clear"/>
          </w:tcPr>
          <w:p>
            <w:r>
              <w:rPr>
                <w:b/>
                <w:sz w:val="17"/>
              </w:rPr>
              <w:t>9,687</w:t>
            </w:r>
          </w:p>
        </w:tc>
        <w:tc>
          <w:tcPr>
            <w:tcW w:type="dxa" w:w="1440"/>
            <w:shd w:fill="FAFAFA" w:val="clear"/>
          </w:tcPr>
          <w:p>
            <w:r>
              <w:rPr>
                <w:sz w:val="17"/>
              </w:rPr>
              <w:t>10,411</w:t>
            </w:r>
          </w:p>
        </w:tc>
        <w:tc>
          <w:tcPr>
            <w:tcW w:type="dxa" w:w="1440"/>
            <w:shd w:fill="FAFAFA" w:val="clear"/>
          </w:tcPr>
          <w:p>
            <w:r>
              <w:rPr>
                <w:b/>
                <w:color w:val="008000"/>
                <w:sz w:val="17"/>
              </w:rPr>
              <w:t>+0.9%</w:t>
            </w:r>
          </w:p>
        </w:tc>
      </w:tr>
      <w:tr>
        <w:tc>
          <w:tcPr>
            <w:tcW w:type="dxa" w:w="1440"/>
            <w:shd w:fill="FAFAFA" w:val="clear"/>
          </w:tcPr>
          <w:p>
            <w:r>
              <w:rPr>
                <w:sz w:val="17"/>
              </w:rPr>
              <w:t>J+8  Moyenne</w:t>
            </w:r>
          </w:p>
        </w:tc>
        <w:tc>
          <w:tcPr>
            <w:tcW w:type="dxa" w:w="1440"/>
            <w:shd w:fill="FAFAFA" w:val="clear"/>
          </w:tcPr>
          <w:p>
            <w:r>
              <w:rPr>
                <w:sz w:val="17"/>
              </w:rPr>
              <w:t>2026-09-01</w:t>
            </w:r>
          </w:p>
        </w:tc>
        <w:tc>
          <w:tcPr>
            <w:tcW w:type="dxa" w:w="1440"/>
            <w:shd w:fill="FAFAFA" w:val="clear"/>
          </w:tcPr>
          <w:p>
            <w:r>
              <w:rPr>
                <w:sz w:val="17"/>
              </w:rPr>
              <w:t>8,937</w:t>
            </w:r>
          </w:p>
        </w:tc>
        <w:tc>
          <w:tcPr>
            <w:tcW w:type="dxa" w:w="1440"/>
            <w:shd w:fill="FAFAFA" w:val="clear"/>
          </w:tcPr>
          <w:p>
            <w:r>
              <w:rPr>
                <w:b/>
                <w:sz w:val="17"/>
              </w:rPr>
              <w:t>9,713</w:t>
            </w:r>
          </w:p>
        </w:tc>
        <w:tc>
          <w:tcPr>
            <w:tcW w:type="dxa" w:w="1440"/>
            <w:shd w:fill="FAFAFA" w:val="clear"/>
          </w:tcPr>
          <w:p>
            <w:r>
              <w:rPr>
                <w:sz w:val="17"/>
              </w:rPr>
              <w:t>10,488</w:t>
            </w:r>
          </w:p>
        </w:tc>
        <w:tc>
          <w:tcPr>
            <w:tcW w:type="dxa" w:w="1440"/>
            <w:shd w:fill="FAFAFA" w:val="clear"/>
          </w:tcPr>
          <w:p>
            <w:r>
              <w:rPr>
                <w:b/>
                <w:color w:val="008000"/>
                <w:sz w:val="17"/>
              </w:rPr>
              <w:t>+1.2%</w:t>
            </w:r>
          </w:p>
        </w:tc>
      </w:tr>
      <w:tr>
        <w:tc>
          <w:tcPr>
            <w:tcW w:type="dxa" w:w="1440"/>
            <w:shd w:fill="FAFAFA" w:val="clear"/>
          </w:tcPr>
          <w:p>
            <w:r>
              <w:rPr>
                <w:sz w:val="17"/>
              </w:rPr>
              <w:t>J+9  Moyenne</w:t>
            </w:r>
          </w:p>
        </w:tc>
        <w:tc>
          <w:tcPr>
            <w:tcW w:type="dxa" w:w="1440"/>
            <w:shd w:fill="FAFAFA" w:val="clear"/>
          </w:tcPr>
          <w:p>
            <w:r>
              <w:rPr>
                <w:sz w:val="17"/>
              </w:rPr>
              <w:t>2026-09-02</w:t>
            </w:r>
          </w:p>
        </w:tc>
        <w:tc>
          <w:tcPr>
            <w:tcW w:type="dxa" w:w="1440"/>
            <w:shd w:fill="FAFAFA" w:val="clear"/>
          </w:tcPr>
          <w:p>
            <w:r>
              <w:rPr>
                <w:sz w:val="17"/>
              </w:rPr>
              <w:t>8,913</w:t>
            </w:r>
          </w:p>
        </w:tc>
        <w:tc>
          <w:tcPr>
            <w:tcW w:type="dxa" w:w="1440"/>
            <w:shd w:fill="FAFAFA" w:val="clear"/>
          </w:tcPr>
          <w:p>
            <w:r>
              <w:rPr>
                <w:b/>
                <w:sz w:val="17"/>
              </w:rPr>
              <w:t>9,738</w:t>
            </w:r>
          </w:p>
        </w:tc>
        <w:tc>
          <w:tcPr>
            <w:tcW w:type="dxa" w:w="1440"/>
            <w:shd w:fill="FAFAFA" w:val="clear"/>
          </w:tcPr>
          <w:p>
            <w:r>
              <w:rPr>
                <w:sz w:val="17"/>
              </w:rPr>
              <w:t>10,563</w:t>
            </w:r>
          </w:p>
        </w:tc>
        <w:tc>
          <w:tcPr>
            <w:tcW w:type="dxa" w:w="1440"/>
            <w:shd w:fill="FAFAFA" w:val="clear"/>
          </w:tcPr>
          <w:p>
            <w:r>
              <w:rPr>
                <w:b/>
                <w:color w:val="008000"/>
                <w:sz w:val="17"/>
              </w:rPr>
              <w:t>+1.4%</w:t>
            </w:r>
          </w:p>
        </w:tc>
      </w:tr>
      <w:tr>
        <w:tc>
          <w:tcPr>
            <w:tcW w:type="dxa" w:w="1440"/>
            <w:shd w:fill="FAFAFA" w:val="clear"/>
          </w:tcPr>
          <w:p>
            <w:r>
              <w:rPr>
                <w:sz w:val="17"/>
              </w:rPr>
              <w:t>J+10  Moyenne</w:t>
            </w:r>
          </w:p>
        </w:tc>
        <w:tc>
          <w:tcPr>
            <w:tcW w:type="dxa" w:w="1440"/>
            <w:shd w:fill="FAFAFA" w:val="clear"/>
          </w:tcPr>
          <w:p>
            <w:r>
              <w:rPr>
                <w:sz w:val="17"/>
              </w:rPr>
              <w:t>2026-09-03</w:t>
            </w:r>
          </w:p>
        </w:tc>
        <w:tc>
          <w:tcPr>
            <w:tcW w:type="dxa" w:w="1440"/>
            <w:shd w:fill="FAFAFA" w:val="clear"/>
          </w:tcPr>
          <w:p>
            <w:r>
              <w:rPr>
                <w:sz w:val="17"/>
              </w:rPr>
              <w:t>8,891</w:t>
            </w:r>
          </w:p>
        </w:tc>
        <w:tc>
          <w:tcPr>
            <w:tcW w:type="dxa" w:w="1440"/>
            <w:shd w:fill="FAFAFA" w:val="clear"/>
          </w:tcPr>
          <w:p>
            <w:r>
              <w:rPr>
                <w:b/>
                <w:sz w:val="17"/>
              </w:rPr>
              <w:t>9,763</w:t>
            </w:r>
          </w:p>
        </w:tc>
        <w:tc>
          <w:tcPr>
            <w:tcW w:type="dxa" w:w="1440"/>
            <w:shd w:fill="FAFAFA" w:val="clear"/>
          </w:tcPr>
          <w:p>
            <w:r>
              <w:rPr>
                <w:sz w:val="17"/>
              </w:rPr>
              <w:t>10,635</w:t>
            </w:r>
          </w:p>
        </w:tc>
        <w:tc>
          <w:tcPr>
            <w:tcW w:type="dxa" w:w="1440"/>
            <w:shd w:fill="FAFAFA" w:val="clear"/>
          </w:tcPr>
          <w:p>
            <w:r>
              <w:rPr>
                <w:b/>
                <w:color w:val="008000"/>
                <w:sz w:val="17"/>
              </w:rPr>
              <w:t>+1.7%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PALC s'établit à 148,41 milliards FCFA, un niveau qui la positionne parmi les valeurs moyennes à grandes capitalisations de la BRVM, lui conférant une liquidité et une visibilité appréciables. Avec un BPA de 1 003 FCFA, chaque action génère un bénéfice substantiel, justifiant un PER de 9,6x, inférieur à la moyenne historique du marché (8-12x), ce qui suggère une sous-évaluation relative du titre. Le P/B de 1,04x indique que le marché valorise l'action très près de sa valeur comptable, un niveau prudent qui offre un potentiel de revalorisation si la rentabilité s'améliore. Enfin, un EV/EBITDA de 4,7x, nettement sous le seuil de 5x, confirme une valorisation très attractive de la capacité opérationnelle de l'entreprise, renforçant l'idée d'un potentiel de hausse pour l'investisseur.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PALC a enregistré une progression remarquable de +19,33%, avec une dernière séance en hausse de +2,13% à 9 600 FCFA, signe d'un momentum haussier soutenu. Le titre a évolué dans une fourchette de 7 000 à 9 600 FCFA, démontrant une dynamique de rattrapage depuis ses plus bas. La moyenne (8 403 FCFA) étant inférieure à la médiane (8 600 FCFA), la distribution des prix est légèrement asymétrique, mais le skewness de -0,259 indique une symétrie globale. L'écart-type de 511 FCFA (CV=6,1%) révèle une dispersion modérée autour de la moyenne, tandis que le kurtosis de -0,581 (mésokurtique) suggère une absence de risques extrêmes de pics ou de krachs. La volatilité annualisée de 37,4% classe le titre comme très volatil (&gt;30%), ce qui implique des fluctuations de prix importantes, offrant des opportunités mais aussi des risques pour les investisseurs à court terme.</w:t>
      </w:r>
    </w:p>
    <w:p>
      <w:pPr>
        <w:spacing w:after="120" w:line="276" w:lineRule="auto" w:before="240"/>
      </w:pPr>
      <w:r>
        <w:rPr>
          <w:b/>
          <w:color w:val="003366"/>
          <w:sz w:val="24"/>
        </w:rPr>
        <w:t>**PARTIE 2 : ANALYSE TECHNIQUE DÉTAILLÉE**</w:t>
      </w:r>
    </w:p>
    <w:p>
      <w:pPr>
        <w:spacing w:after="120" w:line="276" w:lineRule="auto"/>
      </w:pPr>
      <w:r>
        <w:t>Les **Moyennes Mobiles** (MM20 à 8 997,75 et MM50 à 8 829,3) sont toutes deux inférieures au cours actuel de 9 600 FCFA, confirmant une tendance haussière de court et moyen terme. Le signal d'achat est justifié par le croisement haussier où le cours évolue au-dessus de ses moyennes, indiquant une dynamique positive soutenue par les acheteurs. Les **Bandes de Bollinger** montrent un cours (9 600 FCFA) qui a franchi la borne supérieure (9 481,88 FCFA), signalant une condition de surachat temporaire et une volatilité accrue. La décision de vente est donc liée à ce dépassement, qui pourrait précéder un repli technique à court terme. Le **MACD** affiche une valeur de 174,775, nettement au-dessus de son signal (123,571), avec un écart positif croissant, ce qui valide la force du momentum haussier et maintient un signal d'achat. Le **RSI** à 65,263 se situe en zone neutre, proche de la zone de surachat (70), indiquant que le titre n'est pas encore survendu mais que la pression acheteuse reste forte. Enfin, le **Stochastique** est extrêmement élevé (%K et %D à 100), ce qui place le titre en zone de surachat sévère, justifiant un signal de vente pour anticiper une possible consolidation. En conclusion, la tendance de fond reste haussière, mais la majorité des oscillateurs (Bollinger, Stochastique) signalent un essoufflement à court terme, suggérant une pause technique avant une éventuelle reprise.</w:t>
      </w:r>
    </w:p>
    <w:p>
      <w:pPr>
        <w:spacing w:after="120" w:line="276" w:lineRule="auto" w:before="240"/>
      </w:pPr>
      <w:r>
        <w:rPr>
          <w:b/>
          <w:color w:val="003366"/>
          <w:sz w:val="24"/>
        </w:rPr>
        <w:t>**PARTIE 3 : ANALYSE FONDAMENTALE (SECTION CRITIQUE)**</w:t>
      </w:r>
    </w:p>
    <w:p>
      <w:pPr>
        <w:spacing w:after="120" w:line="276" w:lineRule="auto"/>
      </w:pPr>
      <w:r>
        <w:t>En 2025, PALC affiche des performances financières solides avec un chiffre d'affaires de 197,63 milliards FCFA, en croissance de +14,8% par rapport à 2024 (172,2 milliards FCFA), et un résultat net de 15,51 milliards FCFA. La rentabilité des capitaux propres (ROE) s'établit à 10,87%, et le ROA à 7,79%, reflétant une utilisation efficace des actifs. La structure financière est saine avec une autonomie financière de 71,6% et un endettement très faible (ratio d'endettement de 0,56%), mais le BFR élevé de 44,62 milliards FCFA et le délai clients de 142 jours constituent des points de vigilance pour la trésorerie. Les rapports trimestriels de 2025 montrent une dynamique exceptionnelle au S1 (CA +25%, RN +37%), mais le T3 2025 révèle un ralentissement (marge nette de 10,7% contre 17% au S1). Selon le rapport T1 2026 (publié en 2026), le chiffre d'affaires a chuté de -27% à 49,4 milliards FCFA et le résultat net de -86% à 1,6 milliard FCFA, une contre-performance que la direction attribue à un décalage temporel des ventes. Sur la base de ces données, on estime que l'exercice 2026 pourrait être difficile, mais la solidité du bilan et la capacité de rebond démontrée par le passé recommandent une surveillance active.</w:t>
      </w:r>
    </w:p>
    <w:p>
      <w:pPr>
        <w:spacing w:after="120" w:line="276" w:lineRule="auto" w:before="240"/>
      </w:pPr>
      <w:r>
        <w:rPr>
          <w:b/>
          <w:color w:val="003366"/>
          <w:sz w:val="24"/>
        </w:rPr>
        <w:t>**PARTIE 4 : CONCLUSION D'INVESTISSEMENT**</w:t>
      </w:r>
    </w:p>
    <w:p>
      <w:pPr>
        <w:spacing w:after="120" w:line="276" w:lineRule="auto"/>
      </w:pPr>
      <w:r>
        <w:t>La valorisation de PALC (PER 9,6x, P/B 1,04x, EV/EBITDA 4,7x) indique une sous-évaluation attractive, tandis que le comportement du cours sur 100 jours (+19,33%) montre une tendance haussière soutenue, malgré une volatilité élevée (37,4%) et des statistiques de distribution normales. Les signaux techniques sont mitigés : les moyennes mobiles et le MACD sont positifs, mais les bandes de Bollinger et le stochastique suggèrent un surachat à court terme. Les fondamentaux 2025 sont solides (CA en hausse, bilan sain), mais les estimations pour 2026, basées sur le T1 (-27% de CA), sont préoccupantes. Les prédictions IA (9 518 à 9 636 FCFA sur 10 jours) confirment une légère progression, en ligne avec la tendance technique. En synthèse, la convergence entre la sous-évaluation, la tendance haussière et les prévisions IA plaide pour une recommandation **CONSERVER**, avec un niveau de confiance **Moyen** et un risque global **Élevé** en raison de la volatilité et des incertitudes sur les résultats 2026. L'horizon d'investissement optimal serait de **moyen terme (3-12 mois)**, en attendant la confirmation d'un redressement des ventes.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45.11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917 titres</w:t>
            </w:r>
          </w:p>
        </w:tc>
        <w:tc>
          <w:tcPr>
            <w:tcW w:type="dxa" w:w="2268"/>
            <w:shd w:fill="FFF2CC" w:val="clear"/>
          </w:tcPr>
          <w:p>
            <w:r>
              <w:rPr>
                <w:b/>
                <w:color w:val="503200"/>
                <w:sz w:val="16"/>
              </w:rPr>
              <w:t xml:space="preserve">Cours actuel : </w:t>
            </w:r>
            <w:r>
              <w:rPr>
                <w:color w:val="000000"/>
                <w:sz w:val="17"/>
              </w:rPr>
              <w:t>4,405 FCFA</w:t>
            </w:r>
          </w:p>
          <w:p>
            <w:r>
              <w:rPr>
                <w:b/>
                <w:color w:val="503200"/>
                <w:sz w:val="16"/>
              </w:rPr>
              <w:t xml:space="preserve">Var. 100 jours : </w:t>
            </w:r>
            <w:r>
              <w:rPr>
                <w:b/>
                <w:color w:val="B40000"/>
                <w:sz w:val="17"/>
              </w:rPr>
              <w:t>-10.10%</w:t>
            </w:r>
          </w:p>
          <w:p>
            <w:r>
              <w:rPr>
                <w:b/>
                <w:color w:val="503200"/>
                <w:sz w:val="16"/>
              </w:rPr>
              <w:t xml:space="preserve">Plus haut 100j : </w:t>
            </w:r>
            <w:r>
              <w:rPr>
                <w:color w:val="000000"/>
                <w:sz w:val="17"/>
              </w:rPr>
              <w:t>5,100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23.3/100 → Moyen</w:t>
      </w:r>
    </w:p>
    <w:p>
      <w:pPr>
        <w:spacing w:before="40" w:after="80"/>
      </w:pPr>
      <w:r>
        <w:rPr>
          <w:rFonts w:ascii="Courier New" w:hAnsi="Courier New"/>
          <w:color w:val="825A00"/>
          <w:sz w:val="18"/>
        </w:rPr>
        <w:t>████░░░░░░░░░░░░░░░░  23.3/100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8.11% (Moyenne) — μ=4,469 FCFA, σ=363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β=-0.3500 (Contre-cyclique) — Cov=-0.000011, Var(idx)=0.000030, ρ=-0.076,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917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σ_j=2.53%/j (Stable) — Vol. annualisée≈40.1%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2026-08-20</w:t>
            </w:r>
          </w:p>
        </w:tc>
        <w:tc>
          <w:tcPr>
            <w:tcW w:type="dxa" w:w="1440"/>
            <w:shd w:fill="FAFAFA" w:val="clear"/>
          </w:tcPr>
          <w:p>
            <w:r>
              <w:rPr>
                <w:sz w:val="17"/>
              </w:rPr>
              <w:t>4,263</w:t>
            </w:r>
          </w:p>
        </w:tc>
        <w:tc>
          <w:tcPr>
            <w:tcW w:type="dxa" w:w="1440"/>
            <w:shd w:fill="FAFAFA" w:val="clear"/>
          </w:tcPr>
          <w:p>
            <w:r>
              <w:rPr>
                <w:b/>
                <w:sz w:val="17"/>
              </w:rPr>
              <w:t>4,376</w:t>
            </w:r>
          </w:p>
        </w:tc>
        <w:tc>
          <w:tcPr>
            <w:tcW w:type="dxa" w:w="1440"/>
            <w:shd w:fill="FAFAFA" w:val="clear"/>
          </w:tcPr>
          <w:p>
            <w:r>
              <w:rPr>
                <w:sz w:val="17"/>
              </w:rPr>
              <w:t>4,489</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2026-08-21</w:t>
            </w:r>
          </w:p>
        </w:tc>
        <w:tc>
          <w:tcPr>
            <w:tcW w:type="dxa" w:w="1440"/>
            <w:shd w:fill="FAFAFA" w:val="clear"/>
          </w:tcPr>
          <w:p>
            <w:r>
              <w:rPr>
                <w:sz w:val="17"/>
              </w:rPr>
              <w:t>4,197</w:t>
            </w:r>
          </w:p>
        </w:tc>
        <w:tc>
          <w:tcPr>
            <w:tcW w:type="dxa" w:w="1440"/>
            <w:shd w:fill="FAFAFA" w:val="clear"/>
          </w:tcPr>
          <w:p>
            <w:r>
              <w:rPr>
                <w:b/>
                <w:sz w:val="17"/>
              </w:rPr>
              <w:t>4,355</w:t>
            </w:r>
          </w:p>
        </w:tc>
        <w:tc>
          <w:tcPr>
            <w:tcW w:type="dxa" w:w="1440"/>
            <w:shd w:fill="FAFAFA" w:val="clear"/>
          </w:tcPr>
          <w:p>
            <w:r>
              <w:rPr>
                <w:sz w:val="17"/>
              </w:rPr>
              <w:t>4,514</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2026-08-24</w:t>
            </w:r>
          </w:p>
        </w:tc>
        <w:tc>
          <w:tcPr>
            <w:tcW w:type="dxa" w:w="1440"/>
            <w:shd w:fill="FAFAFA" w:val="clear"/>
          </w:tcPr>
          <w:p>
            <w:r>
              <w:rPr>
                <w:sz w:val="17"/>
              </w:rPr>
              <w:t>4,141</w:t>
            </w:r>
          </w:p>
        </w:tc>
        <w:tc>
          <w:tcPr>
            <w:tcW w:type="dxa" w:w="1440"/>
            <w:shd w:fill="FAFAFA" w:val="clear"/>
          </w:tcPr>
          <w:p>
            <w:r>
              <w:rPr>
                <w:b/>
                <w:sz w:val="17"/>
              </w:rPr>
              <w:t>4,335</w:t>
            </w:r>
          </w:p>
        </w:tc>
        <w:tc>
          <w:tcPr>
            <w:tcW w:type="dxa" w:w="1440"/>
            <w:shd w:fill="FAFAFA" w:val="clear"/>
          </w:tcPr>
          <w:p>
            <w:r>
              <w:rPr>
                <w:sz w:val="17"/>
              </w:rPr>
              <w:t>4,529</w:t>
            </w:r>
          </w:p>
        </w:tc>
        <w:tc>
          <w:tcPr>
            <w:tcW w:type="dxa" w:w="1440"/>
            <w:shd w:fill="FAFAFA" w:val="clear"/>
          </w:tcPr>
          <w:p>
            <w:r>
              <w:rPr>
                <w:b/>
                <w:color w:val="C00000"/>
                <w:sz w:val="17"/>
              </w:rPr>
              <w:t>-1.6%</w:t>
            </w:r>
          </w:p>
        </w:tc>
      </w:tr>
      <w:tr>
        <w:tc>
          <w:tcPr>
            <w:tcW w:type="dxa" w:w="1440"/>
            <w:shd w:fill="FFDCE0" w:val="clear"/>
          </w:tcPr>
          <w:p>
            <w:r>
              <w:rPr>
                <w:sz w:val="17"/>
              </w:rPr>
              <w:t>J+4  Moyenne</w:t>
            </w:r>
          </w:p>
        </w:tc>
        <w:tc>
          <w:tcPr>
            <w:tcW w:type="dxa" w:w="1440"/>
            <w:shd w:fill="FFDCE0" w:val="clear"/>
          </w:tcPr>
          <w:p>
            <w:r>
              <w:rPr>
                <w:sz w:val="17"/>
              </w:rPr>
              <w:t>2026-08-25</w:t>
            </w:r>
          </w:p>
        </w:tc>
        <w:tc>
          <w:tcPr>
            <w:tcW w:type="dxa" w:w="1440"/>
            <w:shd w:fill="FFDCE0" w:val="clear"/>
          </w:tcPr>
          <w:p>
            <w:r>
              <w:rPr>
                <w:sz w:val="17"/>
              </w:rPr>
              <w:t>4,092</w:t>
            </w:r>
          </w:p>
        </w:tc>
        <w:tc>
          <w:tcPr>
            <w:tcW w:type="dxa" w:w="1440"/>
            <w:shd w:fill="FFDCE0" w:val="clear"/>
          </w:tcPr>
          <w:p>
            <w:r>
              <w:rPr>
                <w:b/>
                <w:sz w:val="17"/>
              </w:rPr>
              <w:t>4,315</w:t>
            </w:r>
          </w:p>
        </w:tc>
        <w:tc>
          <w:tcPr>
            <w:tcW w:type="dxa" w:w="1440"/>
            <w:shd w:fill="FFDCE0" w:val="clear"/>
          </w:tcPr>
          <w:p>
            <w:r>
              <w:rPr>
                <w:sz w:val="17"/>
              </w:rPr>
              <w:t>4,538</w:t>
            </w:r>
          </w:p>
        </w:tc>
        <w:tc>
          <w:tcPr>
            <w:tcW w:type="dxa" w:w="1440"/>
            <w:shd w:fill="FFDCE0" w:val="clear"/>
          </w:tcPr>
          <w:p>
            <w:r>
              <w:rPr>
                <w:b/>
                <w:color w:val="C00000"/>
                <w:sz w:val="17"/>
              </w:rPr>
              <w:t>-2.0%</w:t>
            </w:r>
          </w:p>
        </w:tc>
      </w:tr>
      <w:tr>
        <w:tc>
          <w:tcPr>
            <w:tcW w:type="dxa" w:w="1440"/>
            <w:shd w:fill="FFDCE0" w:val="clear"/>
          </w:tcPr>
          <w:p>
            <w:r>
              <w:rPr>
                <w:sz w:val="17"/>
              </w:rPr>
              <w:t>J+5  Moyenne</w:t>
            </w:r>
          </w:p>
        </w:tc>
        <w:tc>
          <w:tcPr>
            <w:tcW w:type="dxa" w:w="1440"/>
            <w:shd w:fill="FFDCE0" w:val="clear"/>
          </w:tcPr>
          <w:p>
            <w:r>
              <w:rPr>
                <w:sz w:val="17"/>
              </w:rPr>
              <w:t>2026-08-27</w:t>
            </w:r>
          </w:p>
        </w:tc>
        <w:tc>
          <w:tcPr>
            <w:tcW w:type="dxa" w:w="1440"/>
            <w:shd w:fill="FFDCE0" w:val="clear"/>
          </w:tcPr>
          <w:p>
            <w:r>
              <w:rPr>
                <w:sz w:val="17"/>
              </w:rPr>
              <w:t>4,047</w:t>
            </w:r>
          </w:p>
        </w:tc>
        <w:tc>
          <w:tcPr>
            <w:tcW w:type="dxa" w:w="1440"/>
            <w:shd w:fill="FFDCE0" w:val="clear"/>
          </w:tcPr>
          <w:p>
            <w:r>
              <w:rPr>
                <w:b/>
                <w:sz w:val="17"/>
              </w:rPr>
              <w:t>4,295</w:t>
            </w:r>
          </w:p>
        </w:tc>
        <w:tc>
          <w:tcPr>
            <w:tcW w:type="dxa" w:w="1440"/>
            <w:shd w:fill="FFDCE0" w:val="clear"/>
          </w:tcPr>
          <w:p>
            <w:r>
              <w:rPr>
                <w:sz w:val="17"/>
              </w:rPr>
              <w:t>4,543</w:t>
            </w:r>
          </w:p>
        </w:tc>
        <w:tc>
          <w:tcPr>
            <w:tcW w:type="dxa" w:w="1440"/>
            <w:shd w:fill="FFDCE0" w:val="clear"/>
          </w:tcPr>
          <w:p>
            <w:r>
              <w:rPr>
                <w:b/>
                <w:color w:val="C00000"/>
                <w:sz w:val="17"/>
              </w:rPr>
              <w:t>-2.5%</w:t>
            </w:r>
          </w:p>
        </w:tc>
      </w:tr>
      <w:tr>
        <w:tc>
          <w:tcPr>
            <w:tcW w:type="dxa" w:w="1440"/>
            <w:shd w:fill="FFDCE0" w:val="clear"/>
          </w:tcPr>
          <w:p>
            <w:r>
              <w:rPr>
                <w:sz w:val="17"/>
              </w:rPr>
              <w:t>J+6  Moyenne</w:t>
            </w:r>
          </w:p>
        </w:tc>
        <w:tc>
          <w:tcPr>
            <w:tcW w:type="dxa" w:w="1440"/>
            <w:shd w:fill="FFDCE0" w:val="clear"/>
          </w:tcPr>
          <w:p>
            <w:r>
              <w:rPr>
                <w:sz w:val="17"/>
              </w:rPr>
              <w:t>2026-08-28</w:t>
            </w:r>
          </w:p>
        </w:tc>
        <w:tc>
          <w:tcPr>
            <w:tcW w:type="dxa" w:w="1440"/>
            <w:shd w:fill="FFDCE0" w:val="clear"/>
          </w:tcPr>
          <w:p>
            <w:r>
              <w:rPr>
                <w:sz w:val="17"/>
              </w:rPr>
              <w:t>4,006</w:t>
            </w:r>
          </w:p>
        </w:tc>
        <w:tc>
          <w:tcPr>
            <w:tcW w:type="dxa" w:w="1440"/>
            <w:shd w:fill="FFDCE0" w:val="clear"/>
          </w:tcPr>
          <w:p>
            <w:r>
              <w:rPr>
                <w:b/>
                <w:sz w:val="17"/>
              </w:rPr>
              <w:t>4,276</w:t>
            </w:r>
          </w:p>
        </w:tc>
        <w:tc>
          <w:tcPr>
            <w:tcW w:type="dxa" w:w="1440"/>
            <w:shd w:fill="FFDCE0" w:val="clear"/>
          </w:tcPr>
          <w:p>
            <w:r>
              <w:rPr>
                <w:sz w:val="17"/>
              </w:rPr>
              <w:t>4,546</w:t>
            </w:r>
          </w:p>
        </w:tc>
        <w:tc>
          <w:tcPr>
            <w:tcW w:type="dxa" w:w="1440"/>
            <w:shd w:fill="FFDCE0" w:val="clear"/>
          </w:tcPr>
          <w:p>
            <w:r>
              <w:rPr>
                <w:b/>
                <w:color w:val="C00000"/>
                <w:sz w:val="17"/>
              </w:rPr>
              <w:t>-2.9%</w:t>
            </w:r>
          </w:p>
        </w:tc>
      </w:tr>
      <w:tr>
        <w:tc>
          <w:tcPr>
            <w:tcW w:type="dxa" w:w="1440"/>
            <w:shd w:fill="FFDCE0" w:val="clear"/>
          </w:tcPr>
          <w:p>
            <w:r>
              <w:rPr>
                <w:sz w:val="17"/>
              </w:rPr>
              <w:t>J+7  Moyenne</w:t>
            </w:r>
          </w:p>
        </w:tc>
        <w:tc>
          <w:tcPr>
            <w:tcW w:type="dxa" w:w="1440"/>
            <w:shd w:fill="FFDCE0" w:val="clear"/>
          </w:tcPr>
          <w:p>
            <w:r>
              <w:rPr>
                <w:sz w:val="17"/>
              </w:rPr>
              <w:t>2026-08-31</w:t>
            </w:r>
          </w:p>
        </w:tc>
        <w:tc>
          <w:tcPr>
            <w:tcW w:type="dxa" w:w="1440"/>
            <w:shd w:fill="FFDCE0" w:val="clear"/>
          </w:tcPr>
          <w:p>
            <w:r>
              <w:rPr>
                <w:sz w:val="17"/>
              </w:rPr>
              <w:t>3,966</w:t>
            </w:r>
          </w:p>
        </w:tc>
        <w:tc>
          <w:tcPr>
            <w:tcW w:type="dxa" w:w="1440"/>
            <w:shd w:fill="FFDCE0" w:val="clear"/>
          </w:tcPr>
          <w:p>
            <w:r>
              <w:rPr>
                <w:b/>
                <w:sz w:val="17"/>
              </w:rPr>
              <w:t>4,257</w:t>
            </w:r>
          </w:p>
        </w:tc>
        <w:tc>
          <w:tcPr>
            <w:tcW w:type="dxa" w:w="1440"/>
            <w:shd w:fill="FFDCE0" w:val="clear"/>
          </w:tcPr>
          <w:p>
            <w:r>
              <w:rPr>
                <w:sz w:val="17"/>
              </w:rPr>
              <w:t>4,547</w:t>
            </w:r>
          </w:p>
        </w:tc>
        <w:tc>
          <w:tcPr>
            <w:tcW w:type="dxa" w:w="1440"/>
            <w:shd w:fill="FFDCE0" w:val="clear"/>
          </w:tcPr>
          <w:p>
            <w:r>
              <w:rPr>
                <w:b/>
                <w:color w:val="C00000"/>
                <w:sz w:val="17"/>
              </w:rPr>
              <w:t>-3.4%</w:t>
            </w:r>
          </w:p>
        </w:tc>
      </w:tr>
      <w:tr>
        <w:tc>
          <w:tcPr>
            <w:tcW w:type="dxa" w:w="1440"/>
            <w:shd w:fill="FFDCE0" w:val="clear"/>
          </w:tcPr>
          <w:p>
            <w:r>
              <w:rPr>
                <w:sz w:val="17"/>
              </w:rPr>
              <w:t>J+8  Moyenne</w:t>
            </w:r>
          </w:p>
        </w:tc>
        <w:tc>
          <w:tcPr>
            <w:tcW w:type="dxa" w:w="1440"/>
            <w:shd w:fill="FFDCE0" w:val="clear"/>
          </w:tcPr>
          <w:p>
            <w:r>
              <w:rPr>
                <w:sz w:val="17"/>
              </w:rPr>
              <w:t>2026-09-01</w:t>
            </w:r>
          </w:p>
        </w:tc>
        <w:tc>
          <w:tcPr>
            <w:tcW w:type="dxa" w:w="1440"/>
            <w:shd w:fill="FFDCE0" w:val="clear"/>
          </w:tcPr>
          <w:p>
            <w:r>
              <w:rPr>
                <w:sz w:val="17"/>
              </w:rPr>
              <w:t>3,929</w:t>
            </w:r>
          </w:p>
        </w:tc>
        <w:tc>
          <w:tcPr>
            <w:tcW w:type="dxa" w:w="1440"/>
            <w:shd w:fill="FFDCE0" w:val="clear"/>
          </w:tcPr>
          <w:p>
            <w:r>
              <w:rPr>
                <w:b/>
                <w:sz w:val="17"/>
              </w:rPr>
              <w:t>4,238</w:t>
            </w:r>
          </w:p>
        </w:tc>
        <w:tc>
          <w:tcPr>
            <w:tcW w:type="dxa" w:w="1440"/>
            <w:shd w:fill="FFDCE0" w:val="clear"/>
          </w:tcPr>
          <w:p>
            <w:r>
              <w:rPr>
                <w:sz w:val="17"/>
              </w:rPr>
              <w:t>4,547</w:t>
            </w:r>
          </w:p>
        </w:tc>
        <w:tc>
          <w:tcPr>
            <w:tcW w:type="dxa" w:w="1440"/>
            <w:shd w:fill="FFDCE0" w:val="clear"/>
          </w:tcPr>
          <w:p>
            <w:r>
              <w:rPr>
                <w:b/>
                <w:color w:val="C00000"/>
                <w:sz w:val="17"/>
              </w:rPr>
              <w:t>-3.8%</w:t>
            </w:r>
          </w:p>
        </w:tc>
      </w:tr>
      <w:tr>
        <w:tc>
          <w:tcPr>
            <w:tcW w:type="dxa" w:w="1440"/>
            <w:shd w:fill="FFDCE0" w:val="clear"/>
          </w:tcPr>
          <w:p>
            <w:r>
              <w:rPr>
                <w:sz w:val="17"/>
              </w:rPr>
              <w:t>J+9  Moyenne</w:t>
            </w:r>
          </w:p>
        </w:tc>
        <w:tc>
          <w:tcPr>
            <w:tcW w:type="dxa" w:w="1440"/>
            <w:shd w:fill="FFDCE0" w:val="clear"/>
          </w:tcPr>
          <w:p>
            <w:r>
              <w:rPr>
                <w:sz w:val="17"/>
              </w:rPr>
              <w:t>2026-09-02</w:t>
            </w:r>
          </w:p>
        </w:tc>
        <w:tc>
          <w:tcPr>
            <w:tcW w:type="dxa" w:w="1440"/>
            <w:shd w:fill="FFDCE0" w:val="clear"/>
          </w:tcPr>
          <w:p>
            <w:r>
              <w:rPr>
                <w:sz w:val="17"/>
              </w:rPr>
              <w:t>3,893</w:t>
            </w:r>
          </w:p>
        </w:tc>
        <w:tc>
          <w:tcPr>
            <w:tcW w:type="dxa" w:w="1440"/>
            <w:shd w:fill="FFDCE0" w:val="clear"/>
          </w:tcPr>
          <w:p>
            <w:r>
              <w:rPr>
                <w:b/>
                <w:sz w:val="17"/>
              </w:rPr>
              <w:t>4,220</w:t>
            </w:r>
          </w:p>
        </w:tc>
        <w:tc>
          <w:tcPr>
            <w:tcW w:type="dxa" w:w="1440"/>
            <w:shd w:fill="FFDCE0" w:val="clear"/>
          </w:tcPr>
          <w:p>
            <w:r>
              <w:rPr>
                <w:sz w:val="17"/>
              </w:rPr>
              <w:t>4,546</w:t>
            </w:r>
          </w:p>
        </w:tc>
        <w:tc>
          <w:tcPr>
            <w:tcW w:type="dxa" w:w="1440"/>
            <w:shd w:fill="FFDCE0" w:val="clear"/>
          </w:tcPr>
          <w:p>
            <w:r>
              <w:rPr>
                <w:b/>
                <w:color w:val="C00000"/>
                <w:sz w:val="17"/>
              </w:rPr>
              <w:t>-4.2%</w:t>
            </w:r>
          </w:p>
        </w:tc>
      </w:tr>
      <w:tr>
        <w:tc>
          <w:tcPr>
            <w:tcW w:type="dxa" w:w="1440"/>
            <w:shd w:fill="FFDCE0" w:val="clear"/>
          </w:tcPr>
          <w:p>
            <w:r>
              <w:rPr>
                <w:sz w:val="17"/>
              </w:rPr>
              <w:t>J+10  Moyenne</w:t>
            </w:r>
          </w:p>
        </w:tc>
        <w:tc>
          <w:tcPr>
            <w:tcW w:type="dxa" w:w="1440"/>
            <w:shd w:fill="FFDCE0" w:val="clear"/>
          </w:tcPr>
          <w:p>
            <w:r>
              <w:rPr>
                <w:sz w:val="17"/>
              </w:rPr>
              <w:t>2026-09-03</w:t>
            </w:r>
          </w:p>
        </w:tc>
        <w:tc>
          <w:tcPr>
            <w:tcW w:type="dxa" w:w="1440"/>
            <w:shd w:fill="FFDCE0" w:val="clear"/>
          </w:tcPr>
          <w:p>
            <w:r>
              <w:rPr>
                <w:sz w:val="17"/>
              </w:rPr>
              <w:t>3,859</w:t>
            </w:r>
          </w:p>
        </w:tc>
        <w:tc>
          <w:tcPr>
            <w:tcW w:type="dxa" w:w="1440"/>
            <w:shd w:fill="FFDCE0" w:val="clear"/>
          </w:tcPr>
          <w:p>
            <w:r>
              <w:rPr>
                <w:b/>
                <w:sz w:val="17"/>
              </w:rPr>
              <w:t>4,202</w:t>
            </w:r>
          </w:p>
        </w:tc>
        <w:tc>
          <w:tcPr>
            <w:tcW w:type="dxa" w:w="1440"/>
            <w:shd w:fill="FFDCE0" w:val="clear"/>
          </w:tcPr>
          <w:p>
            <w:r>
              <w:rPr>
                <w:sz w:val="17"/>
              </w:rPr>
              <w:t>4,545</w:t>
            </w:r>
          </w:p>
        </w:tc>
        <w:tc>
          <w:tcPr>
            <w:tcW w:type="dxa" w:w="1440"/>
            <w:shd w:fill="FFDCE0" w:val="clear"/>
          </w:tcPr>
          <w:p>
            <w:r>
              <w:rPr>
                <w:b/>
                <w:color w:val="C00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CI)**</w:t>
        <w:br/>
        <w:t>**Date de l'analyse : 19 août 2026**</w:t>
        <w:br/>
        <w:t>**Cours de référence : 4 405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45,11 milliards FCFA, un niveau qui la positionne comme une valeur de taille moyenne sur la BRVM, représentative du secteur de la distribution automobile. Avec un BPA de 231 FCFA, le titre se négocie à un PER de 19,1x, nettement supérieur à la moyenne historique du marché (8-12x). Ce ratio indique que les investisseurs paient une prime substantielle pour les bénéfices de la société, ce qui reflète des anticipations de croissance ou une prime de liquidité. Le P/B de 3,91x confirme cette lecture, le marché valorisant l'actif net comptable près de quatre fois sa valeur, signe d'une confiance dans la création de valeur future. Enfin, l'EV/EBITDA de 9,7x se situe dans la fourchette haute des valeurs raisonnables (5-10x), ce qui suggère que la valorisation de l'entreprise, rapportée à sa capacité opérationnelle, est globalement exigeante et laisse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PRSC a enregistré une baisse significative de 10,10%, avec un cours actuel de 4 405 FCFA, en stagnation sur la dernière séance. Le titre a évolué dans une fourchette large de 1 480 FCFA, oscillant entre un plus haut de 5 100 FCFA et un plus bas de 3 620 FCFA, illustrant une forte amplitude de trading. La moyenne du cours sur la période (4 469 FCFA) est très proche de la médiane (4 500 FCFA), indiquant une distribution relativement symétrique des prix, bien que le skewness de -0.677 révèle une asymétrie négative avec des épisodes de fortes baisses plus marqués que les hausses. L'écart-type de 364 FCFA (CV de 8,2%) montre une dispersion modérée, et le kurtosis proche de zéro (0.009) indique une distribution mésokurtique, sans risque de variations extrêmes particulier. La volatilité annualisée de 40,1% classe le titre comme très volatil, un niveau élevé qui reflète une incertitude marquée des investisseurs sur la valeur.</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(4 405 FCFA) est positionné sous ses moyennes mobiles à 20 jours (4 487 FCFA) et à 50 jours (4 473,5 FCFA). Cette configuration est baissière à court terme, mais le signal global est un "Achat" car le croisement des MM20 et MM50 suggère un potentiel de retournement haussier si le cours repasse au-dessus de ces niveaux.</w:t>
      </w:r>
    </w:p>
    <w:p>
      <w:pPr>
        <w:spacing w:after="120" w:line="276" w:lineRule="auto"/>
      </w:pPr>
      <w:r>
        <w:t>**Bandes de Bollinger :** Le prix se situe à l'intérieur des bandes, entre la borne supérieure (4 636 FCFA) et la borne inférieure (4 337 FCFA). La position proche de la borne inférieure indique une pression vendeuse, mais l'absence de sortie de canal suggère une stabilisation. La décision est "Neutre", le marché attendant un catalyseur pour définir une direction.</w:t>
      </w:r>
    </w:p>
    <w:p>
      <w:pPr>
        <w:spacing w:after="120" w:line="276" w:lineRule="auto"/>
      </w:pPr>
      <w:r>
        <w:t>**MACD :** La valeur du MACD (-10,033) est inférieure à son signal (1,413), ce qui génère un signal de "Vente". Cette divergence négative confirme un momentum baissier à moyen terme, bien que l'ampleur de la baisse du MACD semble se modérer, ce qui pourrait précéder un retournement.</w:t>
      </w:r>
    </w:p>
    <w:p>
      <w:pPr>
        <w:spacing w:after="120" w:line="276" w:lineRule="auto"/>
      </w:pPr>
      <w:r>
        <w:t>**RSI :** Avec une valeur de 35,64, le RSI se situe en zone neutre, proche du seuil de survente (30). Cela indique que le titre n'est pas encore survendu, mais que la pression vendeuse s'atténue, offrant un potentiel de rebond technique.</w:t>
      </w:r>
    </w:p>
    <w:p>
      <w:pPr>
        <w:spacing w:after="120" w:line="276" w:lineRule="auto"/>
      </w:pPr>
      <w:r>
        <w:t>**Stochastique :** Le %K (4,167) est très inférieur au %D (13,611), signalant une condition de survente extrême. Ce croisement baissier est souvent suivi d'un rebond technique. La décision est "Achat", suggérant un potentiel de correction haussière à très court terme.</w:t>
      </w:r>
    </w:p>
    <w:p>
      <w:pPr>
        <w:spacing w:after="120" w:line="276" w:lineRule="auto"/>
      </w:pPr>
      <w:r>
        <w:t>**Conclusion technique :** Les indicateurs sont mitigés. Le MACD et la position sous les moyennes mobiles plaident pour une prudence, tandis que le RSI proche de la survente et le Stochastique en zone extrême suggèrent un rebond imminent. Le marché est dans une phase de consolidation, avec un biais légèrement négatif à moyen terme mais un potentiel de rebond technique à court terme.</w:t>
      </w:r>
    </w:p>
    <w:p>
      <w:pPr>
        <w:spacing w:after="120" w:line="276" w:lineRule="auto"/>
      </w:pPr>
      <w:r>
        <w:t>---</w:t>
      </w:r>
    </w:p>
    <w:p>
      <w:pPr>
        <w:spacing w:after="120" w:line="276" w:lineRule="auto"/>
      </w:pPr>
      <w:r>
        <w:t>### PARTIE 3 : ANALYSE FONDAMENTALE (SECTION CRITIQUE)</w:t>
      </w:r>
    </w:p>
    <w:p>
      <w:pPr>
        <w:spacing w:after="120" w:line="276" w:lineRule="auto"/>
      </w:pPr>
      <w:r>
        <w:t>En 2025, PRSC affiche un chiffre d'affaires de 81,127 milliards FCFA, en hausse de 8,6% par rapport à 2024, et un résultat net de 2,367 milliards FCFA, stable par rapport aux 2,35 milliards de 2024. La rentabilité des fonds propres (ROE) est excellente à 20,53%, tandis que la marge nette reste faible à 2,92%. La structure financière montre une autonomie de 24,1%, en deçà du seuil de 30% jugé sain, et un ratio d'endettement élevé à 314,8%. Les délais d'exploitation sont préoccupants : le délai de stockage de 150 jours immobilise un capital important, et le délai client de 46 jours, bien que correct, est compensé par un délai fournisseur de 102 jours, favorable à la trésorerie. Le rapport annuel 2025 (daté du 31/12/2025) confirme une croissance du CA de 9,5% à 81,1 milliards FCFA et un résultat net stable, avec une marge commerciale en progression de 23%. Le rapport S1 2025 (daté du 30/06/2025) montrait déjà une dynamique très positive avec un CA en hausse de 15,1% et un résultat net multiplié par 28, mais la direction anticipait un ralentissement au S2 en raison du contexte électoral. Sur la base de ces données, on estime que l'exercice 2026 pourrait voir une stabilisation du CA et une pression sur les marges, le dividende de 209 FCFA par action annoncé pour 2025 offrant un rendement modeste.</w:t>
      </w:r>
    </w:p>
    <w:p>
      <w:pPr>
        <w:spacing w:after="120" w:line="276" w:lineRule="auto"/>
      </w:pPr>
      <w:r>
        <w:t>---</w:t>
      </w:r>
    </w:p>
    <w:p>
      <w:pPr>
        <w:spacing w:after="120" w:line="276" w:lineRule="auto"/>
      </w:pPr>
      <w:r>
        <w:t>### PARTIE 4 : CONCLUSION D'INVESTISSEMENT</w:t>
      </w:r>
    </w:p>
    <w:p>
      <w:pPr>
        <w:spacing w:after="120" w:line="276" w:lineRule="auto"/>
      </w:pPr>
      <w:r>
        <w:t>La valorisation de PRSC est exigeante avec un PER de 19,1x et un P/B de 3,91x, indiquant que le marché intègre déjà des perspectives de croissance. Le comportement du cours sur 100 jours est baissier (-10,1%) avec une volatilité élevée (40,1%), mais les statistiques montrent une distribution stable sans risque extrême. Les signaux techniques sont mitigés : le MACD est vendeur, mais le RSI et le Stochastique suggèrent un rebond imminent. Les fondamentaux sont solides avec un ROE de 20,5%, une croissance du CA de 8,6% en 2025, et un dividende de 209 FCFA par action, mais la marge nette reste faible et l'endettement élevé. Les prédictions IA pour les 10 prochains jours (4 376 à 4 295 FCFA) confirment une tendance baissière à court terme, en ligne avec le MACD. En synthèse, la convergence entre la valorisation élevée, la faiblesse technique à court terme et les prédictions IA suggère une prudence. **Recommandation : CONSERVER** avec un niveau de confiance Moyen, un risque global Élevé, et un horizon d'investissement optimal à moyen terme (3-12 mois), en attendant une clarification de la tendance technique et des résultats semestriels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46.28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7,456 titres</w:t>
            </w:r>
          </w:p>
        </w:tc>
        <w:tc>
          <w:tcPr>
            <w:tcW w:type="dxa" w:w="2268"/>
            <w:shd w:fill="FFF2CC" w:val="clear"/>
          </w:tcPr>
          <w:p>
            <w:r>
              <w:rPr>
                <w:b/>
                <w:color w:val="503200"/>
                <w:sz w:val="16"/>
              </w:rPr>
              <w:t xml:space="preserve">Cours actuel : </w:t>
            </w:r>
            <w:r>
              <w:rPr>
                <w:color w:val="000000"/>
                <w:sz w:val="17"/>
              </w:rPr>
              <w:t>5,700 FCFA</w:t>
            </w:r>
          </w:p>
          <w:p>
            <w:r>
              <w:rPr>
                <w:b/>
                <w:color w:val="503200"/>
                <w:sz w:val="16"/>
              </w:rPr>
              <w:t xml:space="preserve">Var. 100 jours : </w:t>
            </w:r>
            <w:r>
              <w:rPr>
                <w:b/>
                <w:color w:val="B40000"/>
                <w:sz w:val="17"/>
              </w:rPr>
              <w:t>-10.24%</w:t>
            </w:r>
          </w:p>
          <w:p>
            <w:r>
              <w:rPr>
                <w:b/>
                <w:color w:val="503200"/>
                <w:sz w:val="16"/>
              </w:rPr>
              <w:t xml:space="preserve">Plus haut 100j : </w:t>
            </w:r>
            <w:r>
              <w:rPr>
                <w:color w:val="000000"/>
                <w:sz w:val="17"/>
              </w:rPr>
              <w:t>7,555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84.9%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23.39% (Élevée) — μ=4,786 FCFA, σ=1,119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β=0.4640 (Défensif) — Cov=0.000014, Var(idx)=0.000030, ρ=0.047,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7,456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σ_j=5.35%/j (Instable) — Vol. annualisée≈84.9%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2026-08-20</w:t>
            </w:r>
          </w:p>
        </w:tc>
        <w:tc>
          <w:tcPr>
            <w:tcW w:type="dxa" w:w="1440"/>
            <w:shd w:fill="FFDCE0" w:val="clear"/>
          </w:tcPr>
          <w:p>
            <w:r>
              <w:rPr>
                <w:sz w:val="17"/>
              </w:rPr>
              <w:t>4,932</w:t>
            </w:r>
          </w:p>
        </w:tc>
        <w:tc>
          <w:tcPr>
            <w:tcW w:type="dxa" w:w="1440"/>
            <w:shd w:fill="FFDCE0" w:val="clear"/>
          </w:tcPr>
          <w:p>
            <w:r>
              <w:rPr>
                <w:b/>
                <w:sz w:val="17"/>
              </w:rPr>
              <w:t>5,272</w:t>
            </w:r>
          </w:p>
        </w:tc>
        <w:tc>
          <w:tcPr>
            <w:tcW w:type="dxa" w:w="1440"/>
            <w:shd w:fill="FFDCE0" w:val="clear"/>
          </w:tcPr>
          <w:p>
            <w:r>
              <w:rPr>
                <w:sz w:val="17"/>
              </w:rPr>
              <w:t>5,613</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2026-08-21</w:t>
            </w:r>
          </w:p>
        </w:tc>
        <w:tc>
          <w:tcPr>
            <w:tcW w:type="dxa" w:w="1440"/>
            <w:shd w:fill="FFDCE0" w:val="clear"/>
          </w:tcPr>
          <w:p>
            <w:r>
              <w:rPr>
                <w:sz w:val="17"/>
              </w:rPr>
              <w:t>4,431</w:t>
            </w:r>
          </w:p>
        </w:tc>
        <w:tc>
          <w:tcPr>
            <w:tcW w:type="dxa" w:w="1440"/>
            <w:shd w:fill="FFDCE0" w:val="clear"/>
          </w:tcPr>
          <w:p>
            <w:r>
              <w:rPr>
                <w:b/>
                <w:sz w:val="17"/>
              </w:rPr>
              <w:t>4,877</w:t>
            </w:r>
          </w:p>
        </w:tc>
        <w:tc>
          <w:tcPr>
            <w:tcW w:type="dxa" w:w="1440"/>
            <w:shd w:fill="FFDCE0" w:val="clear"/>
          </w:tcPr>
          <w:p>
            <w:r>
              <w:rPr>
                <w:sz w:val="17"/>
              </w:rPr>
              <w:t>5,323</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2026-08-24</w:t>
            </w:r>
          </w:p>
        </w:tc>
        <w:tc>
          <w:tcPr>
            <w:tcW w:type="dxa" w:w="1440"/>
            <w:shd w:fill="FFDCE0" w:val="clear"/>
          </w:tcPr>
          <w:p>
            <w:r>
              <w:rPr>
                <w:sz w:val="17"/>
              </w:rPr>
              <w:t>4,006</w:t>
            </w:r>
          </w:p>
        </w:tc>
        <w:tc>
          <w:tcPr>
            <w:tcW w:type="dxa" w:w="1440"/>
            <w:shd w:fill="FFDCE0" w:val="clear"/>
          </w:tcPr>
          <w:p>
            <w:r>
              <w:rPr>
                <w:b/>
                <w:sz w:val="17"/>
              </w:rPr>
              <w:t>4,511</w:t>
            </w:r>
          </w:p>
        </w:tc>
        <w:tc>
          <w:tcPr>
            <w:tcW w:type="dxa" w:w="1440"/>
            <w:shd w:fill="FFDCE0" w:val="clear"/>
          </w:tcPr>
          <w:p>
            <w:r>
              <w:rPr>
                <w:sz w:val="17"/>
              </w:rPr>
              <w:t>5,017</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2026-08-25</w:t>
            </w:r>
          </w:p>
        </w:tc>
        <w:tc>
          <w:tcPr>
            <w:tcW w:type="dxa" w:w="1440"/>
            <w:shd w:fill="FFDCE0" w:val="clear"/>
          </w:tcPr>
          <w:p>
            <w:r>
              <w:rPr>
                <w:sz w:val="17"/>
              </w:rPr>
              <w:t>3,633</w:t>
            </w:r>
          </w:p>
        </w:tc>
        <w:tc>
          <w:tcPr>
            <w:tcW w:type="dxa" w:w="1440"/>
            <w:shd w:fill="FFDCE0" w:val="clear"/>
          </w:tcPr>
          <w:p>
            <w:r>
              <w:rPr>
                <w:b/>
                <w:sz w:val="17"/>
              </w:rPr>
              <w:t>4,173</w:t>
            </w:r>
          </w:p>
        </w:tc>
        <w:tc>
          <w:tcPr>
            <w:tcW w:type="dxa" w:w="1440"/>
            <w:shd w:fill="FFDCE0" w:val="clear"/>
          </w:tcPr>
          <w:p>
            <w:r>
              <w:rPr>
                <w:sz w:val="17"/>
              </w:rPr>
              <w:t>4,713</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2026-08-27</w:t>
            </w:r>
          </w:p>
        </w:tc>
        <w:tc>
          <w:tcPr>
            <w:tcW w:type="dxa" w:w="1440"/>
            <w:shd w:fill="FFDCE0" w:val="clear"/>
          </w:tcPr>
          <w:p>
            <w:r>
              <w:rPr>
                <w:sz w:val="17"/>
              </w:rPr>
              <w:t>3,302</w:t>
            </w:r>
          </w:p>
        </w:tc>
        <w:tc>
          <w:tcPr>
            <w:tcW w:type="dxa" w:w="1440"/>
            <w:shd w:fill="FFDCE0" w:val="clear"/>
          </w:tcPr>
          <w:p>
            <w:r>
              <w:rPr>
                <w:b/>
                <w:sz w:val="17"/>
              </w:rPr>
              <w:t>3,860</w:t>
            </w:r>
          </w:p>
        </w:tc>
        <w:tc>
          <w:tcPr>
            <w:tcW w:type="dxa" w:w="1440"/>
            <w:shd w:fill="FFDCE0" w:val="clear"/>
          </w:tcPr>
          <w:p>
            <w:r>
              <w:rPr>
                <w:sz w:val="17"/>
              </w:rPr>
              <w:t>4,418</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2026-08-28</w:t>
            </w:r>
          </w:p>
        </w:tc>
        <w:tc>
          <w:tcPr>
            <w:tcW w:type="dxa" w:w="1440"/>
            <w:shd w:fill="FFDCE0" w:val="clear"/>
          </w:tcPr>
          <w:p>
            <w:r>
              <w:rPr>
                <w:sz w:val="17"/>
              </w:rPr>
              <w:t>3,005</w:t>
            </w:r>
          </w:p>
        </w:tc>
        <w:tc>
          <w:tcPr>
            <w:tcW w:type="dxa" w:w="1440"/>
            <w:shd w:fill="FFDCE0" w:val="clear"/>
          </w:tcPr>
          <w:p>
            <w:r>
              <w:rPr>
                <w:b/>
                <w:sz w:val="17"/>
              </w:rPr>
              <w:t>3,570</w:t>
            </w:r>
          </w:p>
        </w:tc>
        <w:tc>
          <w:tcPr>
            <w:tcW w:type="dxa" w:w="1440"/>
            <w:shd w:fill="FFDCE0" w:val="clear"/>
          </w:tcPr>
          <w:p>
            <w:r>
              <w:rPr>
                <w:sz w:val="17"/>
              </w:rPr>
              <w:t>4,136</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2026-08-31</w:t>
            </w:r>
          </w:p>
        </w:tc>
        <w:tc>
          <w:tcPr>
            <w:tcW w:type="dxa" w:w="1440"/>
            <w:shd w:fill="FFDCE0" w:val="clear"/>
          </w:tcPr>
          <w:p>
            <w:r>
              <w:rPr>
                <w:sz w:val="17"/>
              </w:rPr>
              <w:t>2,738</w:t>
            </w:r>
          </w:p>
        </w:tc>
        <w:tc>
          <w:tcPr>
            <w:tcW w:type="dxa" w:w="1440"/>
            <w:shd w:fill="FFDCE0" w:val="clear"/>
          </w:tcPr>
          <w:p>
            <w:r>
              <w:rPr>
                <w:b/>
                <w:sz w:val="17"/>
              </w:rPr>
              <w:t>3,303</w:t>
            </w:r>
          </w:p>
        </w:tc>
        <w:tc>
          <w:tcPr>
            <w:tcW w:type="dxa" w:w="1440"/>
            <w:shd w:fill="FFDCE0" w:val="clear"/>
          </w:tcPr>
          <w:p>
            <w:r>
              <w:rPr>
                <w:sz w:val="17"/>
              </w:rPr>
              <w:t>3,868</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2026-09-01</w:t>
            </w:r>
          </w:p>
        </w:tc>
        <w:tc>
          <w:tcPr>
            <w:tcW w:type="dxa" w:w="1440"/>
            <w:shd w:fill="FFDCE0" w:val="clear"/>
          </w:tcPr>
          <w:p>
            <w:r>
              <w:rPr>
                <w:sz w:val="17"/>
              </w:rPr>
              <w:t>2,496</w:t>
            </w:r>
          </w:p>
        </w:tc>
        <w:tc>
          <w:tcPr>
            <w:tcW w:type="dxa" w:w="1440"/>
            <w:shd w:fill="FFDCE0" w:val="clear"/>
          </w:tcPr>
          <w:p>
            <w:r>
              <w:rPr>
                <w:b/>
                <w:sz w:val="17"/>
              </w:rPr>
              <w:t>3,055</w:t>
            </w:r>
          </w:p>
        </w:tc>
        <w:tc>
          <w:tcPr>
            <w:tcW w:type="dxa" w:w="1440"/>
            <w:shd w:fill="FFDCE0" w:val="clear"/>
          </w:tcPr>
          <w:p>
            <w:r>
              <w:rPr>
                <w:sz w:val="17"/>
              </w:rPr>
              <w:t>3,614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2026-09-02</w:t>
            </w:r>
          </w:p>
        </w:tc>
        <w:tc>
          <w:tcPr>
            <w:tcW w:type="dxa" w:w="1440"/>
            <w:shd w:fill="FFDCE0" w:val="clear"/>
          </w:tcPr>
          <w:p>
            <w:r>
              <w:rPr>
                <w:sz w:val="17"/>
              </w:rPr>
              <w:t>2,278</w:t>
            </w:r>
          </w:p>
        </w:tc>
        <w:tc>
          <w:tcPr>
            <w:tcW w:type="dxa" w:w="1440"/>
            <w:shd w:fill="FFDCE0" w:val="clear"/>
          </w:tcPr>
          <w:p>
            <w:r>
              <w:rPr>
                <w:b/>
                <w:sz w:val="17"/>
              </w:rPr>
              <w:t>2,826</w:t>
            </w:r>
          </w:p>
        </w:tc>
        <w:tc>
          <w:tcPr>
            <w:tcW w:type="dxa" w:w="1440"/>
            <w:shd w:fill="FFDCE0" w:val="clear"/>
          </w:tcPr>
          <w:p>
            <w:r>
              <w:rPr>
                <w:sz w:val="17"/>
              </w:rPr>
              <w:t>3,374</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2026-09-03</w:t>
            </w:r>
          </w:p>
        </w:tc>
        <w:tc>
          <w:tcPr>
            <w:tcW w:type="dxa" w:w="1440"/>
            <w:shd w:fill="FFDCE0" w:val="clear"/>
          </w:tcPr>
          <w:p>
            <w:r>
              <w:rPr>
                <w:sz w:val="17"/>
              </w:rPr>
              <w:t>2,079</w:t>
            </w:r>
          </w:p>
        </w:tc>
        <w:tc>
          <w:tcPr>
            <w:tcW w:type="dxa" w:w="1440"/>
            <w:shd w:fill="FFDCE0" w:val="clear"/>
          </w:tcPr>
          <w:p>
            <w:r>
              <w:rPr>
                <w:b/>
                <w:sz w:val="17"/>
              </w:rPr>
              <w:t>2,614</w:t>
            </w:r>
          </w:p>
        </w:tc>
        <w:tc>
          <w:tcPr>
            <w:tcW w:type="dxa" w:w="1440"/>
            <w:shd w:fill="FFDCE0" w:val="clear"/>
          </w:tcPr>
          <w:p>
            <w:r>
              <w:rPr>
                <w:sz w:val="17"/>
              </w:rPr>
              <w:t>3,148</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**Date : 19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46,28 milliards FCFA, un niveau modeste dans le contexte de la BRVM, reflétant la taille encore limitée de l'établissement. Le BPA de 86 FCFA par action indique un bénéfice net par action relativement faible, cohérent avec la récente sortie de pertes. Le PER de 66,0x est extrêmement élevé par rapport à la moyenne historique de la BRVM (8-12x), signifiant que les investisseurs paient une prime considérable pour chaque franc de bénéfice — une valorisation qui intègre des anticipations de croissance très optimistes. Le P/B de 7,82x confirme cette exubérance, le marché valorisant le titre près de 8 fois sa valeur comptable, un niveau exigeant pour une banque en phase de redressement. Enfin, l'EV/EBITDA de 81,0x est également très élevé, indiquant que la valeur totale de l'entreprise est déconnectée de sa capacité opérationnelle actuelle. Ces ratios suggèrent une valorisation spéculative qui laisse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SAFC a enregistré une variation totale de -10,24%, avec une légère reprise de +1,60% lors de la dernière séance, clôturant à 5 700 FCFA. Le titre a connu une amplitude de trading considérable, oscillant entre un plus bas de 3 340 FCFA et un plus haut de 7 555 FCFA, illustrant une volatilité extrême. La moyenne du cours sur la période (4 786 FCFA) est supérieure à la médiane (4 505 FCFA), et le mode (3 700 FCFA) est nettement inférieur, indiquant une distribution asymétrique positive (skewness de 0,951) : le titre a passé plus de temps sous sa moyenne, avec des pics ponctuels. L'écart-type de 1 125 FCFA (CV de 23,5%) confirme une dispersion élevée des prix. Le kurtosis de -0,044 (mésokurtique) suggère une distribution proche de la normale, sans risque de pics extrêmes particulier. La volatilité annualisée de 84,9% est extrêmement élevée, classant SAFC parmi les titres les plus risqués de la cote, bien au-delà du seuil de 30% considéré comme élevé.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(5 700 FCFA) se situe nettement au-dessus de la MM20 (5 152,5 FCFA) et de la MM50 (4 657,8 FCFA), avec une MM20 au-dessus de la MM50, configuration typique d'une tendance haussière à court et moyen terme. La décision d'achat est justifiée par cette dynamique positive, le titre évoluant dans un canal ascendant.</w:t>
      </w:r>
    </w:p>
    <w:p>
      <w:pPr>
        <w:spacing w:after="120" w:line="276" w:lineRule="auto"/>
      </w:pPr>
      <w:r>
        <w:t>**Bandes de Bollinger** : Le prix se positionne près de la borne supérieure (5 916,9 FCFA), indiquant une pression acheteuse soutenue. La largeur des bandes (écart de 1 528 FCFA entre les bornes) reflète la volatilité élevée du titre. La décision neutre suggère que le marché attend une confirmation directionnelle avant de poursuivre, le titre n'étant ni suracheté ni survendu à ce niveau.</w:t>
      </w:r>
    </w:p>
    <w:p>
      <w:pPr>
        <w:spacing w:after="120" w:line="276" w:lineRule="auto"/>
      </w:pPr>
      <w:r>
        <w:t>**MACD** : Le MACD (302,2) est nettement supérieur à son signal (252,5), avec un écart positif de près de 50 points, indiquant un momentum haussier solide. Cette configuration positive, avec le MACD au-dessus de zéro, confirme la dynamique de tendance et justifie la décision d'achat, bien que l'écart important puisse signaler une saturation à court terme.</w:t>
      </w:r>
    </w:p>
    <w:p>
      <w:pPr>
        <w:spacing w:after="120" w:line="276" w:lineRule="auto"/>
      </w:pPr>
      <w:r>
        <w:t>**RSI** : À 56,6, le RSI se situe dans la zone neutre (30-70), indiquant un équilibre entre pression acheteuse et vendeuse. Cette valeur suggère que le titre n'est ni suracheté ni survendu, laissant une marge de progression avant d'atteindre des niveaux extrêmes. La décision neutre est cohérente avec une consolidation en cours.</w:t>
      </w:r>
    </w:p>
    <w:p>
      <w:pPr>
        <w:spacing w:after="120" w:line="276" w:lineRule="auto"/>
      </w:pPr>
      <w:r>
        <w:t>**Stochastique** : Le %K (86,4) et le %D (84,5) sont tous deux en zone de surachat (&gt;80), avec un %K au-dessus du %D. Cette configuration indique une dynamique haussière forte mais potentiellement épuisée à court terme. La décision de vente reflète le risque de retournement technique après cette phase de surachat.</w:t>
      </w:r>
    </w:p>
    <w:p>
      <w:pPr>
        <w:spacing w:after="120" w:line="276" w:lineRule="auto"/>
      </w:pPr>
      <w:r>
        <w:t>**Conclusion technique** : Les indicateurs de tendance (MM, MACD) sont positifs, mais les oscillateurs de momentum (RSI, Stochastique) signalent une possible saturation. Le titre évolue dans une tendance haussière de fond, mais un repli technique est probable à court terme avant la poursuite du mouvement. La prudence est recommandée pour les entrées à ces niveaux.</w:t>
      </w:r>
    </w:p>
    <w:p>
      <w:pPr>
        <w:spacing w:after="120" w:line="276" w:lineRule="auto"/>
      </w:pPr>
      <w:r>
        <w:t>---</w:t>
      </w:r>
    </w:p>
    <w:p>
      <w:pPr>
        <w:spacing w:after="120" w:line="276" w:lineRule="auto"/>
      </w:pPr>
      <w:r>
        <w:t>### PARTIE 3 : ANALYSE FONDAMENTALE (SECTION CRITIQUE)</w:t>
      </w:r>
    </w:p>
    <w:p>
      <w:pPr>
        <w:spacing w:after="120" w:line="276" w:lineRule="auto"/>
      </w:pPr>
      <w:r>
        <w:t>**En 2025**, SAFC a réalisé un retournement spectaculaire avec un PNB de 5,735 milliards FCFA (+44% vs 2024), un résultat net positif de 701 millions FCFA contre une perte de 165 millions en 2024, et une marge nette de 12,2%. Le ROE s'établit à 11,85% et le ROA à 0,88%, des niveaux encore modestes mais en nette amélioration. Le coefficient d'exploitation de 77,6% reste élevé (supérieur au seuil de 60% considéré comme efficace), indiquant une structure de coûts encore lourde. Le coût du risque de 6,57% demeure significatif, reflétant la qualité encore fragile du portefeuille de crédits (créances clientèle de 60,476 milliards FCFA). La structure de financement montre une dépendance marquée aux dettes interbancaires (35,747 milliards FCFA) par rapport aux dépôts clientèle (9,112 milliards FCFA), un déséquilibre préoccupant. Les capitaux propres (5,916 milliards FCFA) restent faibles face à un total bilan de 79,555 milliards FCFA (autonomie financière de 7,4%). **Sur la base du rapport T1 2026** (PNB de 1,395 milliards FCFA, +29% ; résultat net de 151 millions FCFA, +1062% ; coût du risque réduit de 75%), on estime que l'exercice 2026 pourrait voir un PNB annuel de 5,5-6 milliards FCFA et un résultat net de 600-700 millions FCFA, confirmant la trajectoire de redressement impulsée par CREDAF Group depuis avril 2025. Les ratios prudentiels sont respectés (solvabilité à 11,64%, CET1 à 10,35%), mais avec des marges de sécurité limitées. L'augmentation de capital de 1,5 milliard FCFA (6 actions nouvelles pour 13 anciennes à 400 FCFA) en avril 2026 constitue un catalyseur positif pour renforcer les fonds propres.</w:t>
      </w:r>
    </w:p>
    <w:p>
      <w:pPr>
        <w:spacing w:after="120" w:line="276" w:lineRule="auto"/>
      </w:pPr>
      <w:r>
        <w:t>---</w:t>
      </w:r>
    </w:p>
    <w:p>
      <w:pPr>
        <w:spacing w:after="120" w:line="276" w:lineRule="auto"/>
      </w:pPr>
      <w:r>
        <w:t>### PARTIE 4 : CONCLUSION D'INVESTISSEMENT</w:t>
      </w:r>
    </w:p>
    <w:p>
      <w:pPr>
        <w:spacing w:after="120" w:line="276" w:lineRule="auto"/>
      </w:pPr>
      <w:r>
        <w:t>La valorisation de SAFC (PER de 66x, P/B de 7,82x, EV/EBITDA de 81x) indique une nette surévaluation par rapport aux fondamentaux actuels, les investisseurs anticipant une poursuite du redressement. Le comportement du cours sur 100 jours (-10,24%) avec une volatilité extrême (84,9%) et une asymétrie positive reflète un titre spéculatif, sensible aux nouvelles. Les signaux techniques sont mitigés : tendance haussière (MM, MACD) mais oscillateurs en surachat (Stochastique), suggérant un possible repli à court terme. Les fondamentaux montrent un redressement réel et spectaculaire porté par CREDAF Group, avec un T1 2026 en forte progression, mais la structure financière reste fragile (capitaux propres faibles, dépendance interbancaire, coût du risque élevé). Les prédictions IA (5 272 FCFA à J+1, puis chute à 3 860 FCFA à J+10) contredisent fortement la tendance actuelle, anticipant une correction brutale de 32% sur 10 jours. Cette divergence entre les signaux techniques positifs et les prédictions baissières, combinée à une valorisation extrêmement exigeante, conduit à une recommandation de **VENTE** avec un niveau de confiance **Moyen** et un risque global **Élevé**. L'horizon d'investissement optimal serait le **court terme (&lt;3 mois)** pour les investisseurs déjà positionnés, avec un stop-loss strict, tandis que les nouveaux entrants devraient attendre une correction significative ou une consolidation des fondamentaux avant d'envisager une position.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68.50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12,582 titres</w:t>
            </w:r>
          </w:p>
        </w:tc>
        <w:tc>
          <w:tcPr>
            <w:tcW w:type="dxa" w:w="2268"/>
            <w:shd w:fill="FFF2CC" w:val="clear"/>
          </w:tcPr>
          <w:p>
            <w:r>
              <w:rPr>
                <w:b/>
                <w:color w:val="503200"/>
                <w:sz w:val="16"/>
              </w:rPr>
              <w:t xml:space="preserve">Cours actuel : </w:t>
            </w:r>
            <w:r>
              <w:rPr>
                <w:color w:val="000000"/>
                <w:sz w:val="17"/>
              </w:rPr>
              <w:t>3,495 FCFA</w:t>
            </w:r>
          </w:p>
          <w:p>
            <w:r>
              <w:rPr>
                <w:b/>
                <w:color w:val="503200"/>
                <w:sz w:val="16"/>
              </w:rPr>
              <w:t xml:space="preserve">Var. 100 jours : </w:t>
            </w:r>
            <w:r>
              <w:rPr>
                <w:b/>
                <w:color w:val="007800"/>
                <w:sz w:val="17"/>
              </w:rPr>
              <w:t>+130.69%</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1,515 FCFA</w:t>
            </w:r>
          </w:p>
          <w:p>
            <w:r>
              <w:rPr>
                <w:b/>
                <w:color w:val="503200"/>
                <w:sz w:val="16"/>
              </w:rPr>
              <w:t xml:space="preserve">Volatilité ann. : </w:t>
            </w:r>
            <w:r>
              <w:rPr>
                <w:color w:val="000000"/>
                <w:sz w:val="17"/>
              </w:rPr>
              <w:t>56.6%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25.03% (Élevée) — μ=2,819 FCFA, σ=706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β=0.9956 (Neutre (suit le marché)) — Cov=0.000030, Var(idx)=0.000030, ρ=0.153,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12,582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σ_j=3.57%/j (Modérée) — Vol. annualisée≈56.6%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2026-08-20</w:t>
            </w:r>
          </w:p>
        </w:tc>
        <w:tc>
          <w:tcPr>
            <w:tcW w:type="dxa" w:w="1440"/>
            <w:shd w:fill="FFDCE0" w:val="clear"/>
          </w:tcPr>
          <w:p>
            <w:r>
              <w:rPr>
                <w:sz w:val="17"/>
              </w:rPr>
              <w:t>3,061</w:t>
            </w:r>
          </w:p>
        </w:tc>
        <w:tc>
          <w:tcPr>
            <w:tcW w:type="dxa" w:w="1440"/>
            <w:shd w:fill="FFDCE0" w:val="clear"/>
          </w:tcPr>
          <w:p>
            <w:r>
              <w:rPr>
                <w:b/>
                <w:sz w:val="17"/>
              </w:rPr>
              <w:t>3,233</w:t>
            </w:r>
          </w:p>
        </w:tc>
        <w:tc>
          <w:tcPr>
            <w:tcW w:type="dxa" w:w="1440"/>
            <w:shd w:fill="FFDCE0" w:val="clear"/>
          </w:tcPr>
          <w:p>
            <w:r>
              <w:rPr>
                <w:sz w:val="17"/>
              </w:rPr>
              <w:t>3,405</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2026-08-21</w:t>
            </w:r>
          </w:p>
        </w:tc>
        <w:tc>
          <w:tcPr>
            <w:tcW w:type="dxa" w:w="1440"/>
            <w:shd w:fill="FFDCE0" w:val="clear"/>
          </w:tcPr>
          <w:p>
            <w:r>
              <w:rPr>
                <w:sz w:val="17"/>
              </w:rPr>
              <w:t>2,765</w:t>
            </w:r>
          </w:p>
        </w:tc>
        <w:tc>
          <w:tcPr>
            <w:tcW w:type="dxa" w:w="1440"/>
            <w:shd w:fill="FFDCE0" w:val="clear"/>
          </w:tcPr>
          <w:p>
            <w:r>
              <w:rPr>
                <w:b/>
                <w:sz w:val="17"/>
              </w:rPr>
              <w:t>2,990</w:t>
            </w:r>
          </w:p>
        </w:tc>
        <w:tc>
          <w:tcPr>
            <w:tcW w:type="dxa" w:w="1440"/>
            <w:shd w:fill="FFDCE0" w:val="clear"/>
          </w:tcPr>
          <w:p>
            <w:r>
              <w:rPr>
                <w:sz w:val="17"/>
              </w:rPr>
              <w:t>3,215</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2026-08-24</w:t>
            </w:r>
          </w:p>
        </w:tc>
        <w:tc>
          <w:tcPr>
            <w:tcW w:type="dxa" w:w="1440"/>
            <w:shd w:fill="FFDCE0" w:val="clear"/>
          </w:tcPr>
          <w:p>
            <w:r>
              <w:rPr>
                <w:sz w:val="17"/>
              </w:rPr>
              <w:t>2,511</w:t>
            </w:r>
          </w:p>
        </w:tc>
        <w:tc>
          <w:tcPr>
            <w:tcW w:type="dxa" w:w="1440"/>
            <w:shd w:fill="FFDCE0" w:val="clear"/>
          </w:tcPr>
          <w:p>
            <w:r>
              <w:rPr>
                <w:b/>
                <w:sz w:val="17"/>
              </w:rPr>
              <w:t>2,766</w:t>
            </w:r>
          </w:p>
        </w:tc>
        <w:tc>
          <w:tcPr>
            <w:tcW w:type="dxa" w:w="1440"/>
            <w:shd w:fill="FFDCE0" w:val="clear"/>
          </w:tcPr>
          <w:p>
            <w:r>
              <w:rPr>
                <w:sz w:val="17"/>
              </w:rPr>
              <w:t>3,021</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2026-08-25</w:t>
            </w:r>
          </w:p>
        </w:tc>
        <w:tc>
          <w:tcPr>
            <w:tcW w:type="dxa" w:w="1440"/>
            <w:shd w:fill="FFDCE0" w:val="clear"/>
          </w:tcPr>
          <w:p>
            <w:r>
              <w:rPr>
                <w:sz w:val="17"/>
              </w:rPr>
              <w:t>2,286</w:t>
            </w:r>
          </w:p>
        </w:tc>
        <w:tc>
          <w:tcPr>
            <w:tcW w:type="dxa" w:w="1440"/>
            <w:shd w:fill="FFDCE0" w:val="clear"/>
          </w:tcPr>
          <w:p>
            <w:r>
              <w:rPr>
                <w:b/>
                <w:sz w:val="17"/>
              </w:rPr>
              <w:t>2,559</w:t>
            </w:r>
          </w:p>
        </w:tc>
        <w:tc>
          <w:tcPr>
            <w:tcW w:type="dxa" w:w="1440"/>
            <w:shd w:fill="FFDCE0" w:val="clear"/>
          </w:tcPr>
          <w:p>
            <w:r>
              <w:rPr>
                <w:sz w:val="17"/>
              </w:rPr>
              <w:t>2,831</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2026-08-27</w:t>
            </w:r>
          </w:p>
        </w:tc>
        <w:tc>
          <w:tcPr>
            <w:tcW w:type="dxa" w:w="1440"/>
            <w:shd w:fill="FFDCE0" w:val="clear"/>
          </w:tcPr>
          <w:p>
            <w:r>
              <w:rPr>
                <w:sz w:val="17"/>
              </w:rPr>
              <w:t>2,085</w:t>
            </w:r>
          </w:p>
        </w:tc>
        <w:tc>
          <w:tcPr>
            <w:tcW w:type="dxa" w:w="1440"/>
            <w:shd w:fill="FFDCE0" w:val="clear"/>
          </w:tcPr>
          <w:p>
            <w:r>
              <w:rPr>
                <w:b/>
                <w:sz w:val="17"/>
              </w:rPr>
              <w:t>2,367</w:t>
            </w:r>
          </w:p>
        </w:tc>
        <w:tc>
          <w:tcPr>
            <w:tcW w:type="dxa" w:w="1440"/>
            <w:shd w:fill="FFDCE0" w:val="clear"/>
          </w:tcPr>
          <w:p>
            <w:r>
              <w:rPr>
                <w:sz w:val="17"/>
              </w:rPr>
              <w:t>2,648</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2026-08-28</w:t>
            </w:r>
          </w:p>
        </w:tc>
        <w:tc>
          <w:tcPr>
            <w:tcW w:type="dxa" w:w="1440"/>
            <w:shd w:fill="FFDCE0" w:val="clear"/>
          </w:tcPr>
          <w:p>
            <w:r>
              <w:rPr>
                <w:sz w:val="17"/>
              </w:rPr>
              <w:t>1,904</w:t>
            </w:r>
          </w:p>
        </w:tc>
        <w:tc>
          <w:tcPr>
            <w:tcW w:type="dxa" w:w="1440"/>
            <w:shd w:fill="FFDCE0" w:val="clear"/>
          </w:tcPr>
          <w:p>
            <w:r>
              <w:rPr>
                <w:b/>
                <w:sz w:val="17"/>
              </w:rPr>
              <w:t>2,189</w:t>
            </w:r>
          </w:p>
        </w:tc>
        <w:tc>
          <w:tcPr>
            <w:tcW w:type="dxa" w:w="1440"/>
            <w:shd w:fill="FFDCE0" w:val="clear"/>
          </w:tcPr>
          <w:p>
            <w:r>
              <w:rPr>
                <w:sz w:val="17"/>
              </w:rPr>
              <w:t>2,475</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2026-08-31</w:t>
            </w:r>
          </w:p>
        </w:tc>
        <w:tc>
          <w:tcPr>
            <w:tcW w:type="dxa" w:w="1440"/>
            <w:shd w:fill="FFDCE0" w:val="clear"/>
          </w:tcPr>
          <w:p>
            <w:r>
              <w:rPr>
                <w:sz w:val="17"/>
              </w:rPr>
              <w:t>1,740</w:t>
            </w:r>
          </w:p>
        </w:tc>
        <w:tc>
          <w:tcPr>
            <w:tcW w:type="dxa" w:w="1440"/>
            <w:shd w:fill="FFDCE0" w:val="clear"/>
          </w:tcPr>
          <w:p>
            <w:r>
              <w:rPr>
                <w:b/>
                <w:sz w:val="17"/>
              </w:rPr>
              <w:t>2,025</w:t>
            </w:r>
          </w:p>
        </w:tc>
        <w:tc>
          <w:tcPr>
            <w:tcW w:type="dxa" w:w="1440"/>
            <w:shd w:fill="FFDCE0" w:val="clear"/>
          </w:tcPr>
          <w:p>
            <w:r>
              <w:rPr>
                <w:sz w:val="17"/>
              </w:rPr>
              <w:t>2,310</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2026-09-01</w:t>
            </w:r>
          </w:p>
        </w:tc>
        <w:tc>
          <w:tcPr>
            <w:tcW w:type="dxa" w:w="1440"/>
            <w:shd w:fill="FFDCE0" w:val="clear"/>
          </w:tcPr>
          <w:p>
            <w:r>
              <w:rPr>
                <w:sz w:val="17"/>
              </w:rPr>
              <w:t>1,591</w:t>
            </w:r>
          </w:p>
        </w:tc>
        <w:tc>
          <w:tcPr>
            <w:tcW w:type="dxa" w:w="1440"/>
            <w:shd w:fill="FFDCE0" w:val="clear"/>
          </w:tcPr>
          <w:p>
            <w:r>
              <w:rPr>
                <w:b/>
                <w:sz w:val="17"/>
              </w:rPr>
              <w:t>1,873</w:t>
            </w:r>
          </w:p>
        </w:tc>
        <w:tc>
          <w:tcPr>
            <w:tcW w:type="dxa" w:w="1440"/>
            <w:shd w:fill="FFDCE0" w:val="clear"/>
          </w:tcPr>
          <w:p>
            <w:r>
              <w:rPr>
                <w:sz w:val="17"/>
              </w:rPr>
              <w:t>2,155</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2026-09-02</w:t>
            </w:r>
          </w:p>
        </w:tc>
        <w:tc>
          <w:tcPr>
            <w:tcW w:type="dxa" w:w="1440"/>
            <w:shd w:fill="FFDCE0" w:val="clear"/>
          </w:tcPr>
          <w:p>
            <w:r>
              <w:rPr>
                <w:sz w:val="17"/>
              </w:rPr>
              <w:t>1,456</w:t>
            </w:r>
          </w:p>
        </w:tc>
        <w:tc>
          <w:tcPr>
            <w:tcW w:type="dxa" w:w="1440"/>
            <w:shd w:fill="FFDCE0" w:val="clear"/>
          </w:tcPr>
          <w:p>
            <w:r>
              <w:rPr>
                <w:b/>
                <w:sz w:val="17"/>
              </w:rPr>
              <w:t>1,733</w:t>
            </w:r>
          </w:p>
        </w:tc>
        <w:tc>
          <w:tcPr>
            <w:tcW w:type="dxa" w:w="1440"/>
            <w:shd w:fill="FFDCE0" w:val="clear"/>
          </w:tcPr>
          <w:p>
            <w:r>
              <w:rPr>
                <w:sz w:val="17"/>
              </w:rPr>
              <w:t>2,009</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2026-09-03</w:t>
            </w:r>
          </w:p>
        </w:tc>
        <w:tc>
          <w:tcPr>
            <w:tcW w:type="dxa" w:w="1440"/>
            <w:shd w:fill="FFDCE0" w:val="clear"/>
          </w:tcPr>
          <w:p>
            <w:r>
              <w:rPr>
                <w:sz w:val="17"/>
              </w:rPr>
              <w:t>1,333</w:t>
            </w:r>
          </w:p>
        </w:tc>
        <w:tc>
          <w:tcPr>
            <w:tcW w:type="dxa" w:w="1440"/>
            <w:shd w:fill="FFDCE0" w:val="clear"/>
          </w:tcPr>
          <w:p>
            <w:r>
              <w:rPr>
                <w:b/>
                <w:sz w:val="17"/>
              </w:rPr>
              <w:t>1,603</w:t>
            </w:r>
          </w:p>
        </w:tc>
        <w:tc>
          <w:tcPr>
            <w:tcW w:type="dxa" w:w="1440"/>
            <w:shd w:fill="FFDCE0" w:val="clear"/>
          </w:tcPr>
          <w:p>
            <w:r>
              <w:rPr>
                <w:sz w:val="17"/>
              </w:rPr>
              <w:t>1,872</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SCRC s'établit à 68,50 milliards FCFA, un niveau modeste dans l'écosystème BRVM qui la positionne comme une valeur de taille moyenne. Le BPA est négatif à -406 FCFA, traduisant une perte nette par action, ce qui rend le PER non significatif à -8,6x — les investisseurs ne peuvent donc pas évaluer le titre sur la base des bénéfices actuels. Le P/B de 3,97x indique que le marché valorise l'action près de 4 fois sa valeur comptable, une prime de croissance substantielle malgré les pertes, suggérant que les investisseurs anticipent un redressement futur. L'EV/EBITDA de 10,8x se situe dans la fourchette haute (10-15x), signalant une valorisation exigeante de la capacité opérationnelle de l'entreprise. Ces ratios, combinés, révèlent un marché qui parie sur une renaissance de SUCRIVOIRE plutôt que sur ses fondamentaux actuels, avec un risque de correction significatif si les résultats ne confirment pas ces attentes.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SCRC a enregistré une progression spectaculaire de +130,69%, passant d'un plus bas de 1 515 FCFA à un plus haut de 3 920 FCFA, avant de clôturer à 3 495 FCFA, soit un repli de -1,96% lors de la dernière séance. La moyenne du cours sur la période s'établit à 2 819 FCFA, tandis que la médiane est plus élevée à 2 875 FCFA, indiquant une distribution légèrement asymétrique avec des valeurs extrêmes tirant la moyenne vers le bas. L'écart-type de 709 FCFA (CV=25,2%) révèle une dispersion notable des prix autour de la moyenne, confirmant une volatilité soutenue. Le kurtosis négatif de -1,396 signale une distribution platykurtique, c'est-à-dire des variations de prix moins extrêmes qu'une distribution normale, tandis que le skewness de -0,198 suggère une symétrie quasi parfaite. La volatilité annualisée de 56,6% classe le titre comme très volatil, bien au-dessus du seuil de 30%, ce qui implique un risque élevé pour les investisseurs malgré la tendance haussière globale.</w:t>
      </w:r>
    </w:p>
    <w:p>
      <w:pPr>
        <w:spacing w:after="120" w:line="276" w:lineRule="auto" w:before="240"/>
      </w:pPr>
      <w:r>
        <w:rPr>
          <w:b/>
          <w:color w:val="003366"/>
          <w:sz w:val="24"/>
        </w:rPr>
        <w:t>**PARTIE 2 : ANALYSE TECHNIQUE DÉTAILLÉE**</w:t>
      </w:r>
    </w:p>
    <w:p>
      <w:pPr>
        <w:spacing w:after="120" w:line="276" w:lineRule="auto"/>
      </w:pPr>
      <w:r>
        <w:t>Les moyennes mobiles MM20 (3 613,5 FCFA) et MM50 (3 449,7 FCFA) se situent respectivement au-dessus et proche du cours actuel de 3 495 FCFA. Le cours évolue sous sa MM20 mais au-dessus de sa MM50, indiquant un momentum à court terme légèrement négatif mais une tendance de fond positive. La décision d'achat signalée par ce croisement suggère que la tendance haussière de moyen terme reste intacte, malgré un essoufflement récent.</w:t>
      </w:r>
    </w:p>
    <w:p>
      <w:pPr>
        <w:spacing w:after="120" w:line="276" w:lineRule="auto"/>
      </w:pPr>
      <w:r>
        <w:t>Les bandes de Bollinger présentent une borne supérieure à 3 784 FCFA et une borne inférieure à 3 443 FCFA, avec le cours à 3 495 FCFA positionné dans la moitié inférieure de l'enveloppe. Cette position indique une pression vendeuse modérée et une volatilité qui se resserre après la forte hausse. La décision neutre reflète l'absence de signal directionnel clair, le prix n'ayant touché ni l'une ni l'autre des bornes.</w:t>
      </w:r>
    </w:p>
    <w:p>
      <w:pPr>
        <w:spacing w:after="120" w:line="276" w:lineRule="auto"/>
      </w:pPr>
      <w:r>
        <w:t>Le MACD affiche une valeur de 36,018 contre un signal de 67,263, avec une divergence négative qui se creuse. Cette configuration signale un momentum baissier à court terme, la ligne MACD passant sous la ligne de signal. La décision de vente qui en découle suggère que la dynamique haussière s'essouffle et qu'une correction pourrait se poursuivre.</w:t>
      </w:r>
    </w:p>
    <w:p>
      <w:pPr>
        <w:spacing w:after="120" w:line="276" w:lineRule="auto"/>
      </w:pPr>
      <w:r>
        <w:t>Le RSI s'établit à 34,104, proche de la zone de survente (30), sans toutefois y pénétrer. Cette valeur indique que le titre est techniquement faible mais pas encore survendu, laissant une marge de baisse potentielle avant un rebond technique. La décision neutre reflète cette position intermédiaire.</w:t>
      </w:r>
    </w:p>
    <w:p>
      <w:pPr>
        <w:spacing w:after="120" w:line="276" w:lineRule="auto"/>
      </w:pPr>
      <w:r>
        <w:t>Le stochastique affiche un %K à 0,0 et un %D à 7,333, des niveaux extrêmement bas qui signalent une condition de survente sévère. Cette configuration suggère que le titre est techniquement épuisé à la baisse et qu'un rebond technique est probable à très court terme. La décision d'achat qui en découle contraste avec les autres indicateurs.</w:t>
      </w:r>
    </w:p>
    <w:p>
      <w:pPr>
        <w:spacing w:after="120" w:line="276" w:lineRule="auto"/>
      </w:pPr>
      <w:r>
        <w:t>La conclusion technique est mitigée : les indicateurs de tendance (MM) restent positifs, mais les oscillateurs de momentum (MACD, RSI) signalent une faiblesse croissante. Le stochastique en survente extrême suggère un possible rebond imminent, mais la prudence reste de mise face à la divergence des signaux. La tendance haussière de fond demeure, mais une consolidation ou correction semble nécessaire avant la poursuite du mouvement.</w:t>
      </w:r>
    </w:p>
    <w:p>
      <w:pPr>
        <w:spacing w:after="120" w:line="276" w:lineRule="auto" w:before="240"/>
      </w:pPr>
      <w:r>
        <w:rPr>
          <w:b/>
          <w:color w:val="003366"/>
          <w:sz w:val="24"/>
        </w:rPr>
        <w:t>**PARTIE 3 : ANALYSE FONDAMENTALE (SECTION CRITIQUE)**</w:t>
      </w:r>
    </w:p>
    <w:p>
      <w:pPr>
        <w:spacing w:after="120" w:line="276" w:lineRule="auto"/>
      </w:pPr>
      <w:r>
        <w:t>En 2025, les états financiers de SCRC révèlent une situation contrastée : le chiffre d'affaires s'établit à 80,57 milliards FCFA, en recul de 7,6% par rapport à 2024 (87,22 milliards FCFA), tandis que le résultat net est une perte de 7,95 milliards FCFA, contre un bénéfice de 2,47 milliards FCFA l'année précédente. Le ROE est très négatif à -46,13% et le ROA à -5,08%, traduisant une destruction de valeur significative. La structure financière est préoccupante avec un ratio d'endettement de 88,98% des capitaux propres et une autonomie financière faible à 11,02%. Le BFR négatif de 6,53 milliards FCFA est un point positif, indiquant une gestion efficace du cycle d'exploitation, mais le délai fournisseurs de 366 jours révèle une pression sur les fournisseurs. Les rapports de 2025 (datés du 19/05/2026 et du 01/05/2026) confirment cette dégradation, attribuée principalement à l'explosion des charges financières (+262% à 6,79 milliards FCFA) et à la baisse des volumes. Le rapport du S1 2025 (non daté précisément) montre une perte de 6,71 milliards FCFA, mais la campagne 2025/26, démarrée fin octobre 2025, vise une production de 90 000 à 95 000 tonnes (+14% à +20%), laissant entrevoir un possible rebond. Les investissements massifs en immobilisations (25,2 milliards FCFA) suggèrent une stratégie de modernisation dont les effets devraient se matérialiser à moyen terme. La recommandation fondamentale est de conserver le titre avec une vigilance accrue, car le redressement opérationnel annoncé n'est pas encore visible dans les comptes.</w:t>
      </w:r>
    </w:p>
    <w:p>
      <w:pPr>
        <w:spacing w:after="120" w:line="276" w:lineRule="auto" w:before="240"/>
      </w:pPr>
      <w:r>
        <w:rPr>
          <w:b/>
          <w:color w:val="003366"/>
          <w:sz w:val="24"/>
        </w:rPr>
        <w:t>**PARTIE 4 : CONCLUSION D'INVESTISSEMENT**</w:t>
      </w:r>
    </w:p>
    <w:p>
      <w:pPr>
        <w:spacing w:after="120" w:line="276" w:lineRule="auto"/>
      </w:pPr>
      <w:r>
        <w:t>La valorisation de SCRC apparaît surévaluée au regard des fondamentaux actuels : un PER négatif, un P/B de 3,97x et un EV/EBITDA de 10,8x indiquent que le marché anticipe un redressement qui ne s'est pas encore concrétisé. Le comportement du cours sur 100 jours (+130,69%) avec une volatilité de 56,6% reflète un enthousiasme spéculatif marqué, mais les statistiques descriptives (kurtosis platykurtique, skewness symétrique) suggèrent une distribution des rendements moins extrême que prévu. Les signaux techniques sont divergents : les moyennes mobiles restent positives, mais le MACD et le RSI signalent une faiblesse croissante, tandis que le stochastique en survente extrême suggère un rebond imminent. Les fondamentaux sont préoccupants avec une perte nette de 7,95 milliards FCFA en 2025, un endettement massif et des charges financières insoutenables, même si les investissements en cours et la campagne 2025/26 prometteuse offrent des perspectives. Les prédictions IA pour les 10 prochains jours indiquent une chute brutale à 2 367 FCFA, soit une baisse de 32% par rapport au cours actuel, confirmant les signaux techniques baissiers. La convergence entre la surévaluation fondamentale, les signaux techniques mitigés et les prédictions IA baissières conduit à une recommandation de **VENTE** avec un niveau de confiance **Moyen** et un risque global **Élevé**. L'horizon d'investissement optimal serait le court terme (&lt;3 mois) pour les investisseurs cherchant à limiter leur exposition, tandis que les investisseurs patients pourraient attendre un point d'entrée plus favorable après la correction anticipée.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109.31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1,010 titres</w:t>
            </w:r>
          </w:p>
        </w:tc>
        <w:tc>
          <w:tcPr>
            <w:tcW w:type="dxa" w:w="2268"/>
            <w:shd w:fill="FFF2CC" w:val="clear"/>
          </w:tcPr>
          <w:p>
            <w:r>
              <w:rPr>
                <w:b/>
                <w:color w:val="503200"/>
                <w:sz w:val="16"/>
              </w:rPr>
              <w:t xml:space="preserve">Cours actuel : </w:t>
            </w:r>
            <w:r>
              <w:rPr>
                <w:color w:val="000000"/>
                <w:sz w:val="17"/>
              </w:rPr>
              <w:t>12,145 FCFA</w:t>
            </w:r>
          </w:p>
          <w:p>
            <w:r>
              <w:rPr>
                <w:b/>
                <w:color w:val="503200"/>
                <w:sz w:val="16"/>
              </w:rPr>
              <w:t xml:space="preserve">Var. 100 jours : </w:t>
            </w:r>
            <w:r>
              <w:rPr>
                <w:b/>
                <w:color w:val="007800"/>
                <w:sz w:val="17"/>
              </w:rPr>
              <w:t>+61.93%</w:t>
            </w:r>
          </w:p>
          <w:p>
            <w:r>
              <w:rPr>
                <w:b/>
                <w:color w:val="503200"/>
                <w:sz w:val="16"/>
              </w:rPr>
              <w:t xml:space="preserve">Plus haut 100j : </w:t>
            </w:r>
            <w:r>
              <w:rPr>
                <w:color w:val="000000"/>
                <w:sz w:val="17"/>
              </w:rPr>
              <w:t>12,195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18.44% (Élevée) — μ=10,370 FCFA, σ=1,912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β=0.2827 (Défensif) — Cov=0.000009, Var(idx)=0.000030, ρ=0.068,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1,010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2026-08-20</w:t>
            </w:r>
          </w:p>
        </w:tc>
        <w:tc>
          <w:tcPr>
            <w:tcW w:type="dxa" w:w="1440"/>
            <w:shd w:fill="FFDCE0" w:val="clear"/>
          </w:tcPr>
          <w:p>
            <w:r>
              <w:rPr>
                <w:sz w:val="17"/>
              </w:rPr>
              <w:t>11,278</w:t>
            </w:r>
          </w:p>
        </w:tc>
        <w:tc>
          <w:tcPr>
            <w:tcW w:type="dxa" w:w="1440"/>
            <w:shd w:fill="FFDCE0" w:val="clear"/>
          </w:tcPr>
          <w:p>
            <w:r>
              <w:rPr>
                <w:b/>
                <w:sz w:val="17"/>
              </w:rPr>
              <w:t>11,679</w:t>
            </w:r>
          </w:p>
        </w:tc>
        <w:tc>
          <w:tcPr>
            <w:tcW w:type="dxa" w:w="1440"/>
            <w:shd w:fill="FFDCE0" w:val="clear"/>
          </w:tcPr>
          <w:p>
            <w:r>
              <w:rPr>
                <w:sz w:val="17"/>
              </w:rPr>
              <w:t>12,079</w:t>
            </w:r>
          </w:p>
        </w:tc>
        <w:tc>
          <w:tcPr>
            <w:tcW w:type="dxa" w:w="1440"/>
            <w:shd w:fill="FFDCE0" w:val="clear"/>
          </w:tcPr>
          <w:p>
            <w:r>
              <w:rPr>
                <w:b/>
                <w:color w:val="C00000"/>
                <w:sz w:val="17"/>
              </w:rPr>
              <w:t>-3.8%</w:t>
            </w:r>
          </w:p>
        </w:tc>
      </w:tr>
      <w:tr>
        <w:tc>
          <w:tcPr>
            <w:tcW w:type="dxa" w:w="1440"/>
            <w:shd w:fill="FFDCE0" w:val="clear"/>
          </w:tcPr>
          <w:p>
            <w:r>
              <w:rPr>
                <w:sz w:val="17"/>
              </w:rPr>
              <w:t>J+2  ⭐</w:t>
            </w:r>
          </w:p>
        </w:tc>
        <w:tc>
          <w:tcPr>
            <w:tcW w:type="dxa" w:w="1440"/>
            <w:shd w:fill="FFDCE0" w:val="clear"/>
          </w:tcPr>
          <w:p>
            <w:r>
              <w:rPr>
                <w:sz w:val="17"/>
              </w:rPr>
              <w:t>2026-08-21</w:t>
            </w:r>
          </w:p>
        </w:tc>
        <w:tc>
          <w:tcPr>
            <w:tcW w:type="dxa" w:w="1440"/>
            <w:shd w:fill="FFDCE0" w:val="clear"/>
          </w:tcPr>
          <w:p>
            <w:r>
              <w:rPr>
                <w:sz w:val="17"/>
              </w:rPr>
              <w:t>10,992</w:t>
            </w:r>
          </w:p>
        </w:tc>
        <w:tc>
          <w:tcPr>
            <w:tcW w:type="dxa" w:w="1440"/>
            <w:shd w:fill="FFDCE0" w:val="clear"/>
          </w:tcPr>
          <w:p>
            <w:r>
              <w:rPr>
                <w:b/>
                <w:sz w:val="17"/>
              </w:rPr>
              <w:t>11,552</w:t>
            </w:r>
          </w:p>
        </w:tc>
        <w:tc>
          <w:tcPr>
            <w:tcW w:type="dxa" w:w="1440"/>
            <w:shd w:fill="FFDCE0" w:val="clear"/>
          </w:tcPr>
          <w:p>
            <w:r>
              <w:rPr>
                <w:sz w:val="17"/>
              </w:rPr>
              <w:t>12,112</w:t>
            </w:r>
          </w:p>
        </w:tc>
        <w:tc>
          <w:tcPr>
            <w:tcW w:type="dxa" w:w="1440"/>
            <w:shd w:fill="FFDCE0" w:val="clear"/>
          </w:tcPr>
          <w:p>
            <w:r>
              <w:rPr>
                <w:b/>
                <w:color w:val="C00000"/>
                <w:sz w:val="17"/>
              </w:rPr>
              <w:t>-4.9%</w:t>
            </w:r>
          </w:p>
        </w:tc>
      </w:tr>
      <w:tr>
        <w:tc>
          <w:tcPr>
            <w:tcW w:type="dxa" w:w="1440"/>
            <w:shd w:fill="FFDCE0" w:val="clear"/>
          </w:tcPr>
          <w:p>
            <w:r>
              <w:rPr>
                <w:sz w:val="17"/>
              </w:rPr>
              <w:t>J+3  ⭐</w:t>
            </w:r>
          </w:p>
        </w:tc>
        <w:tc>
          <w:tcPr>
            <w:tcW w:type="dxa" w:w="1440"/>
            <w:shd w:fill="FFDCE0" w:val="clear"/>
          </w:tcPr>
          <w:p>
            <w:r>
              <w:rPr>
                <w:sz w:val="17"/>
              </w:rPr>
              <w:t>2026-08-24</w:t>
            </w:r>
          </w:p>
        </w:tc>
        <w:tc>
          <w:tcPr>
            <w:tcW w:type="dxa" w:w="1440"/>
            <w:shd w:fill="FFDCE0" w:val="clear"/>
          </w:tcPr>
          <w:p>
            <w:r>
              <w:rPr>
                <w:sz w:val="17"/>
              </w:rPr>
              <w:t>10,751</w:t>
            </w:r>
          </w:p>
        </w:tc>
        <w:tc>
          <w:tcPr>
            <w:tcW w:type="dxa" w:w="1440"/>
            <w:shd w:fill="FFDCE0" w:val="clear"/>
          </w:tcPr>
          <w:p>
            <w:r>
              <w:rPr>
                <w:b/>
                <w:sz w:val="17"/>
              </w:rPr>
              <w:t>11,430</w:t>
            </w:r>
          </w:p>
        </w:tc>
        <w:tc>
          <w:tcPr>
            <w:tcW w:type="dxa" w:w="1440"/>
            <w:shd w:fill="FFDCE0" w:val="clear"/>
          </w:tcPr>
          <w:p>
            <w:r>
              <w:rPr>
                <w:sz w:val="17"/>
              </w:rPr>
              <w:t>12,108</w:t>
            </w:r>
          </w:p>
        </w:tc>
        <w:tc>
          <w:tcPr>
            <w:tcW w:type="dxa" w:w="1440"/>
            <w:shd w:fill="FFDCE0" w:val="clear"/>
          </w:tcPr>
          <w:p>
            <w:r>
              <w:rPr>
                <w:b/>
                <w:color w:val="C00000"/>
                <w:sz w:val="17"/>
              </w:rPr>
              <w:t>-5.9%</w:t>
            </w:r>
          </w:p>
        </w:tc>
      </w:tr>
      <w:tr>
        <w:tc>
          <w:tcPr>
            <w:tcW w:type="dxa" w:w="1440"/>
            <w:shd w:fill="FFDCE0" w:val="clear"/>
          </w:tcPr>
          <w:p>
            <w:r>
              <w:rPr>
                <w:sz w:val="17"/>
              </w:rPr>
              <w:t>J+4  ⭐</w:t>
            </w:r>
          </w:p>
        </w:tc>
        <w:tc>
          <w:tcPr>
            <w:tcW w:type="dxa" w:w="1440"/>
            <w:shd w:fill="FFDCE0" w:val="clear"/>
          </w:tcPr>
          <w:p>
            <w:r>
              <w:rPr>
                <w:sz w:val="17"/>
              </w:rPr>
              <w:t>2026-08-25</w:t>
            </w:r>
          </w:p>
        </w:tc>
        <w:tc>
          <w:tcPr>
            <w:tcW w:type="dxa" w:w="1440"/>
            <w:shd w:fill="FFDCE0" w:val="clear"/>
          </w:tcPr>
          <w:p>
            <w:r>
              <w:rPr>
                <w:sz w:val="17"/>
              </w:rPr>
              <w:t>10,542</w:t>
            </w:r>
          </w:p>
        </w:tc>
        <w:tc>
          <w:tcPr>
            <w:tcW w:type="dxa" w:w="1440"/>
            <w:shd w:fill="FFDCE0" w:val="clear"/>
          </w:tcPr>
          <w:p>
            <w:r>
              <w:rPr>
                <w:b/>
                <w:sz w:val="17"/>
              </w:rPr>
              <w:t>11,318</w:t>
            </w:r>
          </w:p>
        </w:tc>
        <w:tc>
          <w:tcPr>
            <w:tcW w:type="dxa" w:w="1440"/>
            <w:shd w:fill="FFDCE0" w:val="clear"/>
          </w:tcPr>
          <w:p>
            <w:r>
              <w:rPr>
                <w:sz w:val="17"/>
              </w:rPr>
              <w:t>12,094</w:t>
            </w:r>
          </w:p>
        </w:tc>
        <w:tc>
          <w:tcPr>
            <w:tcW w:type="dxa" w:w="1440"/>
            <w:shd w:fill="FFDCE0" w:val="clear"/>
          </w:tcPr>
          <w:p>
            <w:r>
              <w:rPr>
                <w:b/>
                <w:color w:val="C00000"/>
                <w:sz w:val="17"/>
              </w:rPr>
              <w:t>-6.8%</w:t>
            </w:r>
          </w:p>
        </w:tc>
      </w:tr>
      <w:tr>
        <w:tc>
          <w:tcPr>
            <w:tcW w:type="dxa" w:w="1440"/>
            <w:shd w:fill="FFDCE0" w:val="clear"/>
          </w:tcPr>
          <w:p>
            <w:r>
              <w:rPr>
                <w:sz w:val="17"/>
              </w:rPr>
              <w:t>J+5  ⭐</w:t>
            </w:r>
          </w:p>
        </w:tc>
        <w:tc>
          <w:tcPr>
            <w:tcW w:type="dxa" w:w="1440"/>
            <w:shd w:fill="FFDCE0" w:val="clear"/>
          </w:tcPr>
          <w:p>
            <w:r>
              <w:rPr>
                <w:sz w:val="17"/>
              </w:rPr>
              <w:t>2026-08-27</w:t>
            </w:r>
          </w:p>
        </w:tc>
        <w:tc>
          <w:tcPr>
            <w:tcW w:type="dxa" w:w="1440"/>
            <w:shd w:fill="FFDCE0" w:val="clear"/>
          </w:tcPr>
          <w:p>
            <w:r>
              <w:rPr>
                <w:sz w:val="17"/>
              </w:rPr>
              <w:t>10,356</w:t>
            </w:r>
          </w:p>
        </w:tc>
        <w:tc>
          <w:tcPr>
            <w:tcW w:type="dxa" w:w="1440"/>
            <w:shd w:fill="FFDCE0" w:val="clear"/>
          </w:tcPr>
          <w:p>
            <w:r>
              <w:rPr>
                <w:b/>
                <w:sz w:val="17"/>
              </w:rPr>
              <w:t>11,216</w:t>
            </w:r>
          </w:p>
        </w:tc>
        <w:tc>
          <w:tcPr>
            <w:tcW w:type="dxa" w:w="1440"/>
            <w:shd w:fill="FFDCE0" w:val="clear"/>
          </w:tcPr>
          <w:p>
            <w:r>
              <w:rPr>
                <w:sz w:val="17"/>
              </w:rPr>
              <w:t>12,076</w:t>
            </w:r>
          </w:p>
        </w:tc>
        <w:tc>
          <w:tcPr>
            <w:tcW w:type="dxa" w:w="1440"/>
            <w:shd w:fill="FFDCE0" w:val="clear"/>
          </w:tcPr>
          <w:p>
            <w:r>
              <w:rPr>
                <w:b/>
                <w:color w:val="C00000"/>
                <w:sz w:val="17"/>
              </w:rPr>
              <w:t>-7.7%</w:t>
            </w:r>
          </w:p>
        </w:tc>
      </w:tr>
      <w:tr>
        <w:tc>
          <w:tcPr>
            <w:tcW w:type="dxa" w:w="1440"/>
            <w:shd w:fill="FFDCE0" w:val="clear"/>
          </w:tcPr>
          <w:p>
            <w:r>
              <w:rPr>
                <w:sz w:val="17"/>
              </w:rPr>
              <w:t>J+6  ⭐</w:t>
            </w:r>
          </w:p>
        </w:tc>
        <w:tc>
          <w:tcPr>
            <w:tcW w:type="dxa" w:w="1440"/>
            <w:shd w:fill="FFDCE0" w:val="clear"/>
          </w:tcPr>
          <w:p>
            <w:r>
              <w:rPr>
                <w:sz w:val="17"/>
              </w:rPr>
              <w:t>2026-08-28</w:t>
            </w:r>
          </w:p>
        </w:tc>
        <w:tc>
          <w:tcPr>
            <w:tcW w:type="dxa" w:w="1440"/>
            <w:shd w:fill="FFDCE0" w:val="clear"/>
          </w:tcPr>
          <w:p>
            <w:r>
              <w:rPr>
                <w:sz w:val="17"/>
              </w:rPr>
              <w:t>10,190</w:t>
            </w:r>
          </w:p>
        </w:tc>
        <w:tc>
          <w:tcPr>
            <w:tcW w:type="dxa" w:w="1440"/>
            <w:shd w:fill="FFDCE0" w:val="clear"/>
          </w:tcPr>
          <w:p>
            <w:r>
              <w:rPr>
                <w:b/>
                <w:sz w:val="17"/>
              </w:rPr>
              <w:t>11,124</w:t>
            </w:r>
          </w:p>
        </w:tc>
        <w:tc>
          <w:tcPr>
            <w:tcW w:type="dxa" w:w="1440"/>
            <w:shd w:fill="FFDCE0" w:val="clear"/>
          </w:tcPr>
          <w:p>
            <w:r>
              <w:rPr>
                <w:sz w:val="17"/>
              </w:rPr>
              <w:t>12,058</w:t>
            </w:r>
          </w:p>
        </w:tc>
        <w:tc>
          <w:tcPr>
            <w:tcW w:type="dxa" w:w="1440"/>
            <w:shd w:fill="FFDCE0" w:val="clear"/>
          </w:tcPr>
          <w:p>
            <w:r>
              <w:rPr>
                <w:b/>
                <w:color w:val="C00000"/>
                <w:sz w:val="17"/>
              </w:rPr>
              <w:t>-8.4%</w:t>
            </w:r>
          </w:p>
        </w:tc>
      </w:tr>
      <w:tr>
        <w:tc>
          <w:tcPr>
            <w:tcW w:type="dxa" w:w="1440"/>
            <w:shd w:fill="FFDCE0" w:val="clear"/>
          </w:tcPr>
          <w:p>
            <w:r>
              <w:rPr>
                <w:sz w:val="17"/>
              </w:rPr>
              <w:t>J+7  ⭐</w:t>
            </w:r>
          </w:p>
        </w:tc>
        <w:tc>
          <w:tcPr>
            <w:tcW w:type="dxa" w:w="1440"/>
            <w:shd w:fill="FFDCE0" w:val="clear"/>
          </w:tcPr>
          <w:p>
            <w:r>
              <w:rPr>
                <w:sz w:val="17"/>
              </w:rPr>
              <w:t>2026-08-31</w:t>
            </w:r>
          </w:p>
        </w:tc>
        <w:tc>
          <w:tcPr>
            <w:tcW w:type="dxa" w:w="1440"/>
            <w:shd w:fill="FFDCE0" w:val="clear"/>
          </w:tcPr>
          <w:p>
            <w:r>
              <w:rPr>
                <w:sz w:val="17"/>
              </w:rPr>
              <w:t>10,041</w:t>
            </w:r>
          </w:p>
        </w:tc>
        <w:tc>
          <w:tcPr>
            <w:tcW w:type="dxa" w:w="1440"/>
            <w:shd w:fill="FFDCE0" w:val="clear"/>
          </w:tcPr>
          <w:p>
            <w:r>
              <w:rPr>
                <w:b/>
                <w:sz w:val="17"/>
              </w:rPr>
              <w:t>11,042</w:t>
            </w:r>
          </w:p>
        </w:tc>
        <w:tc>
          <w:tcPr>
            <w:tcW w:type="dxa" w:w="1440"/>
            <w:shd w:fill="FFDCE0" w:val="clear"/>
          </w:tcPr>
          <w:p>
            <w:r>
              <w:rPr>
                <w:sz w:val="17"/>
              </w:rPr>
              <w:t>12,044</w:t>
            </w:r>
          </w:p>
        </w:tc>
        <w:tc>
          <w:tcPr>
            <w:tcW w:type="dxa" w:w="1440"/>
            <w:shd w:fill="FFDCE0" w:val="clear"/>
          </w:tcPr>
          <w:p>
            <w:r>
              <w:rPr>
                <w:b/>
                <w:color w:val="C00000"/>
                <w:sz w:val="17"/>
              </w:rPr>
              <w:t>-9.1%</w:t>
            </w:r>
          </w:p>
        </w:tc>
      </w:tr>
      <w:tr>
        <w:tc>
          <w:tcPr>
            <w:tcW w:type="dxa" w:w="1440"/>
            <w:shd w:fill="FFDCE0" w:val="clear"/>
          </w:tcPr>
          <w:p>
            <w:r>
              <w:rPr>
                <w:sz w:val="17"/>
              </w:rPr>
              <w:t>J+8  ⭐</w:t>
            </w:r>
          </w:p>
        </w:tc>
        <w:tc>
          <w:tcPr>
            <w:tcW w:type="dxa" w:w="1440"/>
            <w:shd w:fill="FFDCE0" w:val="clear"/>
          </w:tcPr>
          <w:p>
            <w:r>
              <w:rPr>
                <w:sz w:val="17"/>
              </w:rPr>
              <w:t>2026-09-01</w:t>
            </w:r>
          </w:p>
        </w:tc>
        <w:tc>
          <w:tcPr>
            <w:tcW w:type="dxa" w:w="1440"/>
            <w:shd w:fill="FFDCE0" w:val="clear"/>
          </w:tcPr>
          <w:p>
            <w:r>
              <w:rPr>
                <w:sz w:val="17"/>
              </w:rPr>
              <w:t>9,905</w:t>
            </w:r>
          </w:p>
        </w:tc>
        <w:tc>
          <w:tcPr>
            <w:tcW w:type="dxa" w:w="1440"/>
            <w:shd w:fill="FFDCE0" w:val="clear"/>
          </w:tcPr>
          <w:p>
            <w:r>
              <w:rPr>
                <w:b/>
                <w:sz w:val="17"/>
              </w:rPr>
              <w:t>10,969</w:t>
            </w:r>
          </w:p>
        </w:tc>
        <w:tc>
          <w:tcPr>
            <w:tcW w:type="dxa" w:w="1440"/>
            <w:shd w:fill="FFDCE0" w:val="clear"/>
          </w:tcPr>
          <w:p>
            <w:r>
              <w:rPr>
                <w:sz w:val="17"/>
              </w:rPr>
              <w:t>12,032</w:t>
            </w:r>
          </w:p>
        </w:tc>
        <w:tc>
          <w:tcPr>
            <w:tcW w:type="dxa" w:w="1440"/>
            <w:shd w:fill="FFDCE0" w:val="clear"/>
          </w:tcPr>
          <w:p>
            <w:r>
              <w:rPr>
                <w:b/>
                <w:color w:val="C00000"/>
                <w:sz w:val="17"/>
              </w:rPr>
              <w:t>-9.7%</w:t>
            </w:r>
          </w:p>
        </w:tc>
      </w:tr>
      <w:tr>
        <w:tc>
          <w:tcPr>
            <w:tcW w:type="dxa" w:w="1440"/>
            <w:shd w:fill="FFDCE0" w:val="clear"/>
          </w:tcPr>
          <w:p>
            <w:r>
              <w:rPr>
                <w:sz w:val="17"/>
              </w:rPr>
              <w:t>J+9  ⭐</w:t>
            </w:r>
          </w:p>
        </w:tc>
        <w:tc>
          <w:tcPr>
            <w:tcW w:type="dxa" w:w="1440"/>
            <w:shd w:fill="FFDCE0" w:val="clear"/>
          </w:tcPr>
          <w:p>
            <w:r>
              <w:rPr>
                <w:sz w:val="17"/>
              </w:rPr>
              <w:t>2026-09-02</w:t>
            </w:r>
          </w:p>
        </w:tc>
        <w:tc>
          <w:tcPr>
            <w:tcW w:type="dxa" w:w="1440"/>
            <w:shd w:fill="FFDCE0" w:val="clear"/>
          </w:tcPr>
          <w:p>
            <w:r>
              <w:rPr>
                <w:sz w:val="17"/>
              </w:rPr>
              <w:t>9,784</w:t>
            </w:r>
          </w:p>
        </w:tc>
        <w:tc>
          <w:tcPr>
            <w:tcW w:type="dxa" w:w="1440"/>
            <w:shd w:fill="FFDCE0" w:val="clear"/>
          </w:tcPr>
          <w:p>
            <w:r>
              <w:rPr>
                <w:b/>
                <w:sz w:val="17"/>
              </w:rPr>
              <w:t>10,905</w:t>
            </w:r>
          </w:p>
        </w:tc>
        <w:tc>
          <w:tcPr>
            <w:tcW w:type="dxa" w:w="1440"/>
            <w:shd w:fill="FFDCE0" w:val="clear"/>
          </w:tcPr>
          <w:p>
            <w:r>
              <w:rPr>
                <w:sz w:val="17"/>
              </w:rPr>
              <w:t>12,027</w:t>
            </w:r>
          </w:p>
        </w:tc>
        <w:tc>
          <w:tcPr>
            <w:tcW w:type="dxa" w:w="1440"/>
            <w:shd w:fill="FFDCE0" w:val="clear"/>
          </w:tcPr>
          <w:p>
            <w:r>
              <w:rPr>
                <w:b/>
                <w:color w:val="C00000"/>
                <w:sz w:val="17"/>
              </w:rPr>
              <w:t>-10.2%</w:t>
            </w:r>
          </w:p>
        </w:tc>
      </w:tr>
      <w:tr>
        <w:tc>
          <w:tcPr>
            <w:tcW w:type="dxa" w:w="1440"/>
            <w:shd w:fill="FFDCE0" w:val="clear"/>
          </w:tcPr>
          <w:p>
            <w:r>
              <w:rPr>
                <w:sz w:val="17"/>
              </w:rPr>
              <w:t>J+10  ⭐</w:t>
            </w:r>
          </w:p>
        </w:tc>
        <w:tc>
          <w:tcPr>
            <w:tcW w:type="dxa" w:w="1440"/>
            <w:shd w:fill="FFDCE0" w:val="clear"/>
          </w:tcPr>
          <w:p>
            <w:r>
              <w:rPr>
                <w:sz w:val="17"/>
              </w:rPr>
              <w:t>2026-09-03</w:t>
            </w:r>
          </w:p>
        </w:tc>
        <w:tc>
          <w:tcPr>
            <w:tcW w:type="dxa" w:w="1440"/>
            <w:shd w:fill="FFDCE0" w:val="clear"/>
          </w:tcPr>
          <w:p>
            <w:r>
              <w:rPr>
                <w:sz w:val="17"/>
              </w:rPr>
              <w:t>9,669</w:t>
            </w:r>
          </w:p>
        </w:tc>
        <w:tc>
          <w:tcPr>
            <w:tcW w:type="dxa" w:w="1440"/>
            <w:shd w:fill="FFDCE0" w:val="clear"/>
          </w:tcPr>
          <w:p>
            <w:r>
              <w:rPr>
                <w:b/>
                <w:sz w:val="17"/>
              </w:rPr>
              <w:t>10,845</w:t>
            </w:r>
          </w:p>
        </w:tc>
        <w:tc>
          <w:tcPr>
            <w:tcW w:type="dxa" w:w="1440"/>
            <w:shd w:fill="FFDCE0" w:val="clear"/>
          </w:tcPr>
          <w:p>
            <w:r>
              <w:rPr>
                <w:sz w:val="17"/>
              </w:rPr>
              <w:t>12,020</w:t>
            </w:r>
          </w:p>
        </w:tc>
        <w:tc>
          <w:tcPr>
            <w:tcW w:type="dxa" w:w="1440"/>
            <w:shd w:fill="FFDCE0" w:val="clear"/>
          </w:tcPr>
          <w:p>
            <w:r>
              <w:rPr>
                <w:b/>
                <w:color w:val="C00000"/>
                <w:sz w:val="17"/>
              </w:rPr>
              <w:t>-10.7%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SODECI (SDCC)**</w:t>
        <w:br/>
        <w:t>**Date : 20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SDCC s'établit à 109,31 milliards FCFA, un niveau significatif qui la positionne parmi les valeurs moyennes de la BRVM. Avec un BPA de 518 FCFA, le titre se négocie à un PER de 23,4x, nettement supérieur à la moyenne historique de la place (~8-12x), ce qui traduit une anticipation de croissance soutenue ou une prime de rareté pour ce titre. Le P/B de 5,54x confirme cette valorisation exigeante, le marché payant plus de 5 fois la valeur comptable des actifs, signe d'une forte confiance dans la capacité de l'entreprise à générer de la valeur. Enfin, l'EV/EBITDA de 14,6x, dans la fourchette haute des standards, indique que la valeur totale de l'entreprise (dette incluse) reste élevée par rapport à sa rentabilité opérationnelle. Ces ratios suggèrent que le marché intègre déjà des perspectives de croissance ambitieuses, laissant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SDCC affiche une progression spectaculaire de +61,93%, avec une dernière séance en hausse de +1,46% à 12 145 FCFA. Le titre a évolué dans une fourchette très large, entre un plus bas de 7 140 FCFA et un plus haut de 12 195 FCFA, démontrant une dynamique haussière puissante. La moyenne du cours sur la période (10 370 FCFA) est inférieure à la médiane (11 288 FCFA), et le skewness négatif (-0,738) indique que le titre a passé plus de temps au-dessus de sa moyenne, confirmant la vigueur de la tendance. L'écart-type de 1 922 FCFA (CV de 18,5%) révèle une dispersion modérée, tandis que le kurtosis de -1,186 (distribution platykurtique) suggère une absence de mouvements extrêmes récents, malgré la forte hausse. La volatilité annualisée de 36,0% classe le titre dans la catégorie des valeurs à forte volatilité (&gt;30%), impliquant un risque de retournement tout aussi rapide.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(12 145 FCFA) se positionne au-dessus des MM20 (11 816 FCFA) et MM50 (11 866 FCFA), qui sont quasi confondues. Bien que la tendance de fond soit haussière, la décision technique est à la vente, signalant un possible essoufflement à court terme après une hausse aussi rapide.</w:t>
      </w:r>
    </w:p>
    <w:p>
      <w:pPr>
        <w:spacing w:after="120" w:line="276" w:lineRule="auto"/>
      </w:pPr>
      <w:r>
        <w:t>**Bandes de Bollinger** : Le prix évolue très près de la borne supérieure (12 163 FCFA), indiquant une pression acheteuse persistante. La décision est neutre, mais cette position extrême suggère que le titre est temporairement suracheté et pourrait subir un repli technique vers la moyenne mobile.</w:t>
      </w:r>
    </w:p>
    <w:p>
      <w:pPr>
        <w:spacing w:after="120" w:line="276" w:lineRule="auto"/>
      </w:pPr>
      <w:r>
        <w:t>**MACD** : La valeur du MACD (44,65) est nettement supérieure à son signal (18,26), avec un écart positif croissant. Ce croisement haussier confirme un momentum positif solide, justifiant la décision d'achat. La dynamique reste en faveur des acheteurs.</w:t>
      </w:r>
    </w:p>
    <w:p>
      <w:pPr>
        <w:spacing w:after="120" w:line="276" w:lineRule="auto"/>
      </w:pPr>
      <w:r>
        <w:t>**RSI** : À 57,72, le RSI se situe en zone neutre, sans signal de surachat ni de survente. Cela laisse une marge de progression avant d'atteindre la zone de surachat (&gt;70), indiquant que la pression acheteuse peut encore s'accentuer.</w:t>
      </w:r>
    </w:p>
    <w:p>
      <w:pPr>
        <w:spacing w:after="120" w:line="276" w:lineRule="auto"/>
      </w:pPr>
      <w:r>
        <w:t>**Stochastique** : Avec %K à 100 et %D à 97,8, l'oscillateur est en zone de surachat extrême. La décision de vente est justifiée par un risque élevé de retournement imminent, le titre étant à son plus haut sur la période.</w:t>
      </w:r>
    </w:p>
    <w:p>
      <w:pPr>
        <w:spacing w:after="120" w:line="276" w:lineRule="auto"/>
      </w:pPr>
      <w:r>
        <w:t>**Conclusion technique** : Les signaux sont mitigés. Le MACD et la tendance de fond restent positifs, mais le Stochastique en surachat extrême et la position du cours à la borne supérieure des Bollinger suggèrent un risque de consolidation à court terme. La prudence est de mise pour un nouvel achat à ces niveaux.</w:t>
      </w:r>
    </w:p>
    <w:p>
      <w:pPr>
        <w:spacing w:after="120" w:line="276" w:lineRule="auto"/>
      </w:pPr>
      <w:r>
        <w:t>---</w:t>
      </w:r>
    </w:p>
    <w:p>
      <w:pPr>
        <w:spacing w:after="120" w:line="276" w:lineRule="auto"/>
      </w:pPr>
      <w:r>
        <w:t>### PARTIE 3 : ANALYSE FONDAMENTALE (SECTION CRITIQUE)</w:t>
      </w:r>
    </w:p>
    <w:p>
      <w:pPr>
        <w:spacing w:after="120" w:line="276" w:lineRule="auto"/>
      </w:pPr>
      <w:r>
        <w:t>En 2025, SDCC affiche des résultats annuels solides avec un chiffre d'affaires de 189,430 milliards FCFA (+10% vs 2024), un résultat net de 4,663 milliards FCFA (+31%), et un ROE de 23,65%, excellent pour le secteur. La marge opérationnelle s'améliore à 4,81% et l'EBE progresse de 21% à 21,783 milliards FCFA. Cependant, la structure financière reste fragile : l'autonomie financière est très faible (4,17%), le ratio d'endettement atteint 95,83%, et le flux opérationnel est fortement négatif (-36,655 milliards FCFA), avec un free cash-flow de -38,5 milliards. Le délai de paiement clients est préoccupant (749 jours), créant un besoin en fonds de roulement massif de 104,7 milliards FCFA. Le rapport du S1 2025 (publié en mars 2026) montrait un résultat net en baisse de 24%, mais le rapport T1 2026 (publié en 2026) indique un net rebond avec un résultat net de 1,318 milliard FCFA (+118%), suggérant une accélération de la rentabilité. Sur la base de cette dynamique, on estime que l'exercice 2026 pourrait dépasser les 5,5 milliards FCFA de résultat net, si la tendance se maintient. Le dividende proposé pour 2025 est de 525 FCFA par action, offrant un rendement de 4,3% au cours actuel. Malgré des tensions de trésorerie, la position de monopole de SODECI dans la distribution d'eau en Côte d'Ivoire et l'amélioration opérationnelle soutiennent une recommandation de conservation.</w:t>
      </w:r>
    </w:p>
    <w:p>
      <w:pPr>
        <w:spacing w:after="120" w:line="276" w:lineRule="auto"/>
      </w:pPr>
      <w:r>
        <w:t>---</w:t>
      </w:r>
    </w:p>
    <w:p>
      <w:pPr>
        <w:spacing w:after="120" w:line="276" w:lineRule="auto"/>
      </w:pPr>
      <w:r>
        <w:t>### PARTIE 4 : CONCLUSION D'INVESTISSEMENT</w:t>
      </w:r>
    </w:p>
    <w:p>
      <w:pPr>
        <w:spacing w:after="120" w:line="276" w:lineRule="auto"/>
      </w:pPr>
      <w:r>
        <w:t>La valorisation de SDCC (PER 23,4x, P/B 5,54x) est exigeante et intègre des attentes de croissance élevées, laissant peu de marge de sécurité. Le comportement du cours sur 100 jours (+61,93%) est spectaculaire mais la volatilité élevée (36%) et le skewness négatif signalent un risque de correction. Les signaux techniques sont divergents : le MACD est positif, mais le Stochastique en surachat extrême et la position du prix à la borne supérieure des Bollinger suggèrent un repli imminent. Les fondamentaux, bien qu'en amélioration nette (ROE 23,65%, RN +31% en 2025, T1 2026 en forte hausse), restent fragiles avec un endettement massif et un BFR très élevé. Les prédictions IA pour les 10 prochains jours (baisse de 12 145 à 11 216 FCFA) confirment le scénario de consolidation technique. En synthèse, la convergence entre la valorisation élevée, les signaux techniques de surachat et les prédictions IA baissières indique un risque de correction à court terme. **Recommandation : CONSERVER** avec un niveau de confiance **Moyen** et un risque global **Élevé**. L'horizon d'investissement optimal est le **moyen terme (3-12 mois)**, en attendant un point d'entrée plus favorable après une éventuelle correction vers les 11 000-11 200 FCFA.</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146.70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16,835 titres</w:t>
            </w:r>
          </w:p>
        </w:tc>
        <w:tc>
          <w:tcPr>
            <w:tcW w:type="dxa" w:w="2268"/>
            <w:shd w:fill="FFF2CC" w:val="clear"/>
          </w:tcPr>
          <w:p>
            <w:r>
              <w:rPr>
                <w:b/>
                <w:color w:val="503200"/>
                <w:sz w:val="16"/>
              </w:rPr>
              <w:t xml:space="preserve">Cours actuel : </w:t>
            </w:r>
            <w:r>
              <w:rPr>
                <w:color w:val="000000"/>
                <w:sz w:val="17"/>
              </w:rPr>
              <w:t>2,695 FCFA</w:t>
            </w:r>
          </w:p>
          <w:p>
            <w:r>
              <w:rPr>
                <w:b/>
                <w:color w:val="503200"/>
                <w:sz w:val="16"/>
              </w:rPr>
              <w:t xml:space="preserve">Var. 100 jours : </w:t>
            </w:r>
            <w:r>
              <w:rPr>
                <w:b/>
                <w:color w:val="007800"/>
                <w:sz w:val="17"/>
              </w:rPr>
              <w:t>+30.83%</w:t>
            </w:r>
          </w:p>
          <w:p>
            <w:r>
              <w:rPr>
                <w:b/>
                <w:color w:val="503200"/>
                <w:sz w:val="16"/>
              </w:rPr>
              <w:t xml:space="preserve">Plus haut 100j : </w:t>
            </w:r>
            <w:r>
              <w:rPr>
                <w:color w:val="000000"/>
                <w:sz w:val="17"/>
              </w:rPr>
              <w:t>2,820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49.5%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17.30% (Élevée) — μ=2,169 FCFA, σ=375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β=0.1571 (Défensif) — Cov=0.000005, Var(idx)=0.000030, ρ=0.028,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16,835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σ_j=3.12%/j (Modérée) — Vol. annualisée≈49.5%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2026-08-20</w:t>
            </w:r>
          </w:p>
        </w:tc>
        <w:tc>
          <w:tcPr>
            <w:tcW w:type="dxa" w:w="1440"/>
            <w:shd w:fill="FAFAFA" w:val="clear"/>
          </w:tcPr>
          <w:p>
            <w:r>
              <w:rPr>
                <w:sz w:val="17"/>
              </w:rPr>
              <w:t>2,495</w:t>
            </w:r>
          </w:p>
        </w:tc>
        <w:tc>
          <w:tcPr>
            <w:tcW w:type="dxa" w:w="1440"/>
            <w:shd w:fill="FAFAFA" w:val="clear"/>
          </w:tcPr>
          <w:p>
            <w:r>
              <w:rPr>
                <w:b/>
                <w:sz w:val="17"/>
              </w:rPr>
              <w:t>2,668</w:t>
            </w:r>
          </w:p>
        </w:tc>
        <w:tc>
          <w:tcPr>
            <w:tcW w:type="dxa" w:w="1440"/>
            <w:shd w:fill="FAFAFA" w:val="clear"/>
          </w:tcPr>
          <w:p>
            <w:r>
              <w:rPr>
                <w:sz w:val="17"/>
              </w:rPr>
              <w:t>2,842</w:t>
            </w:r>
          </w:p>
        </w:tc>
        <w:tc>
          <w:tcPr>
            <w:tcW w:type="dxa" w:w="1440"/>
            <w:shd w:fill="FAFAFA" w:val="clear"/>
          </w:tcPr>
          <w:p>
            <w:r>
              <w:rPr>
                <w:b/>
                <w:color w:val="C00000"/>
                <w:sz w:val="17"/>
              </w:rPr>
              <w:t>-1.0%</w:t>
            </w:r>
          </w:p>
        </w:tc>
      </w:tr>
      <w:tr>
        <w:tc>
          <w:tcPr>
            <w:tcW w:type="dxa" w:w="1440"/>
            <w:shd w:fill="FFDCE0" w:val="clear"/>
          </w:tcPr>
          <w:p>
            <w:r>
              <w:rPr>
                <w:sz w:val="17"/>
              </w:rPr>
              <w:t>J+2  Moyenne</w:t>
            </w:r>
          </w:p>
        </w:tc>
        <w:tc>
          <w:tcPr>
            <w:tcW w:type="dxa" w:w="1440"/>
            <w:shd w:fill="FFDCE0" w:val="clear"/>
          </w:tcPr>
          <w:p>
            <w:r>
              <w:rPr>
                <w:sz w:val="17"/>
              </w:rPr>
              <w:t>2026-08-21</w:t>
            </w:r>
          </w:p>
        </w:tc>
        <w:tc>
          <w:tcPr>
            <w:tcW w:type="dxa" w:w="1440"/>
            <w:shd w:fill="FFDCE0" w:val="clear"/>
          </w:tcPr>
          <w:p>
            <w:r>
              <w:rPr>
                <w:sz w:val="17"/>
              </w:rPr>
              <w:t>2,397</w:t>
            </w:r>
          </w:p>
        </w:tc>
        <w:tc>
          <w:tcPr>
            <w:tcW w:type="dxa" w:w="1440"/>
            <w:shd w:fill="FFDCE0" w:val="clear"/>
          </w:tcPr>
          <w:p>
            <w:r>
              <w:rPr>
                <w:b/>
                <w:sz w:val="17"/>
              </w:rPr>
              <w:t>2,639</w:t>
            </w:r>
          </w:p>
        </w:tc>
        <w:tc>
          <w:tcPr>
            <w:tcW w:type="dxa" w:w="1440"/>
            <w:shd w:fill="FFDCE0" w:val="clear"/>
          </w:tcPr>
          <w:p>
            <w:r>
              <w:rPr>
                <w:sz w:val="17"/>
              </w:rPr>
              <w:t>2,882</w:t>
            </w:r>
          </w:p>
        </w:tc>
        <w:tc>
          <w:tcPr>
            <w:tcW w:type="dxa" w:w="1440"/>
            <w:shd w:fill="FFDCE0" w:val="clear"/>
          </w:tcPr>
          <w:p>
            <w:r>
              <w:rPr>
                <w:b/>
                <w:color w:val="C00000"/>
                <w:sz w:val="17"/>
              </w:rPr>
              <w:t>-2.1%</w:t>
            </w:r>
          </w:p>
        </w:tc>
      </w:tr>
      <w:tr>
        <w:tc>
          <w:tcPr>
            <w:tcW w:type="dxa" w:w="1440"/>
            <w:shd w:fill="FFDCE0" w:val="clear"/>
          </w:tcPr>
          <w:p>
            <w:r>
              <w:rPr>
                <w:sz w:val="17"/>
              </w:rPr>
              <w:t>J+3  Moyenne</w:t>
            </w:r>
          </w:p>
        </w:tc>
        <w:tc>
          <w:tcPr>
            <w:tcW w:type="dxa" w:w="1440"/>
            <w:shd w:fill="FFDCE0" w:val="clear"/>
          </w:tcPr>
          <w:p>
            <w:r>
              <w:rPr>
                <w:sz w:val="17"/>
              </w:rPr>
              <w:t>2026-08-24</w:t>
            </w:r>
          </w:p>
        </w:tc>
        <w:tc>
          <w:tcPr>
            <w:tcW w:type="dxa" w:w="1440"/>
            <w:shd w:fill="FFDCE0" w:val="clear"/>
          </w:tcPr>
          <w:p>
            <w:r>
              <w:rPr>
                <w:sz w:val="17"/>
              </w:rPr>
              <w:t>2,320</w:t>
            </w:r>
          </w:p>
        </w:tc>
        <w:tc>
          <w:tcPr>
            <w:tcW w:type="dxa" w:w="1440"/>
            <w:shd w:fill="FFDCE0" w:val="clear"/>
          </w:tcPr>
          <w:p>
            <w:r>
              <w:rPr>
                <w:b/>
                <w:sz w:val="17"/>
              </w:rPr>
              <w:t>2,614</w:t>
            </w:r>
          </w:p>
        </w:tc>
        <w:tc>
          <w:tcPr>
            <w:tcW w:type="dxa" w:w="1440"/>
            <w:shd w:fill="FFDCE0" w:val="clear"/>
          </w:tcPr>
          <w:p>
            <w:r>
              <w:rPr>
                <w:sz w:val="17"/>
              </w:rPr>
              <w:t>2,909</w:t>
            </w:r>
          </w:p>
        </w:tc>
        <w:tc>
          <w:tcPr>
            <w:tcW w:type="dxa" w:w="1440"/>
            <w:shd w:fill="FFDCE0" w:val="clear"/>
          </w:tcPr>
          <w:p>
            <w:r>
              <w:rPr>
                <w:b/>
                <w:color w:val="C00000"/>
                <w:sz w:val="17"/>
              </w:rPr>
              <w:t>-3.0%</w:t>
            </w:r>
          </w:p>
        </w:tc>
      </w:tr>
      <w:tr>
        <w:tc>
          <w:tcPr>
            <w:tcW w:type="dxa" w:w="1440"/>
            <w:shd w:fill="FFDCE0" w:val="clear"/>
          </w:tcPr>
          <w:p>
            <w:r>
              <w:rPr>
                <w:sz w:val="17"/>
              </w:rPr>
              <w:t>J+4  ⭐</w:t>
            </w:r>
          </w:p>
        </w:tc>
        <w:tc>
          <w:tcPr>
            <w:tcW w:type="dxa" w:w="1440"/>
            <w:shd w:fill="FFDCE0" w:val="clear"/>
          </w:tcPr>
          <w:p>
            <w:r>
              <w:rPr>
                <w:sz w:val="17"/>
              </w:rPr>
              <w:t>2026-08-25</w:t>
            </w:r>
          </w:p>
        </w:tc>
        <w:tc>
          <w:tcPr>
            <w:tcW w:type="dxa" w:w="1440"/>
            <w:shd w:fill="FFDCE0" w:val="clear"/>
          </w:tcPr>
          <w:p>
            <w:r>
              <w:rPr>
                <w:sz w:val="17"/>
              </w:rPr>
              <w:t>2,256</w:t>
            </w:r>
          </w:p>
        </w:tc>
        <w:tc>
          <w:tcPr>
            <w:tcW w:type="dxa" w:w="1440"/>
            <w:shd w:fill="FFDCE0" w:val="clear"/>
          </w:tcPr>
          <w:p>
            <w:r>
              <w:rPr>
                <w:b/>
                <w:sz w:val="17"/>
              </w:rPr>
              <w:t>2,593</w:t>
            </w:r>
          </w:p>
        </w:tc>
        <w:tc>
          <w:tcPr>
            <w:tcW w:type="dxa" w:w="1440"/>
            <w:shd w:fill="FFDCE0" w:val="clear"/>
          </w:tcPr>
          <w:p>
            <w:r>
              <w:rPr>
                <w:sz w:val="17"/>
              </w:rPr>
              <w:t>2,930</w:t>
            </w:r>
          </w:p>
        </w:tc>
        <w:tc>
          <w:tcPr>
            <w:tcW w:type="dxa" w:w="1440"/>
            <w:shd w:fill="FFDCE0" w:val="clear"/>
          </w:tcPr>
          <w:p>
            <w:r>
              <w:rPr>
                <w:b/>
                <w:color w:val="C00000"/>
                <w:sz w:val="17"/>
              </w:rPr>
              <w:t>-3.8%</w:t>
            </w:r>
          </w:p>
        </w:tc>
      </w:tr>
      <w:tr>
        <w:tc>
          <w:tcPr>
            <w:tcW w:type="dxa" w:w="1440"/>
            <w:shd w:fill="FFDCE0" w:val="clear"/>
          </w:tcPr>
          <w:p>
            <w:r>
              <w:rPr>
                <w:sz w:val="17"/>
              </w:rPr>
              <w:t>J+5  ⭐</w:t>
            </w:r>
          </w:p>
        </w:tc>
        <w:tc>
          <w:tcPr>
            <w:tcW w:type="dxa" w:w="1440"/>
            <w:shd w:fill="FFDCE0" w:val="clear"/>
          </w:tcPr>
          <w:p>
            <w:r>
              <w:rPr>
                <w:sz w:val="17"/>
              </w:rPr>
              <w:t>2026-08-27</w:t>
            </w:r>
          </w:p>
        </w:tc>
        <w:tc>
          <w:tcPr>
            <w:tcW w:type="dxa" w:w="1440"/>
            <w:shd w:fill="FFDCE0" w:val="clear"/>
          </w:tcPr>
          <w:p>
            <w:r>
              <w:rPr>
                <w:sz w:val="17"/>
              </w:rPr>
              <w:t>2,200</w:t>
            </w:r>
          </w:p>
        </w:tc>
        <w:tc>
          <w:tcPr>
            <w:tcW w:type="dxa" w:w="1440"/>
            <w:shd w:fill="FFDCE0" w:val="clear"/>
          </w:tcPr>
          <w:p>
            <w:r>
              <w:rPr>
                <w:b/>
                <w:sz w:val="17"/>
              </w:rPr>
              <w:t>2,574</w:t>
            </w:r>
          </w:p>
        </w:tc>
        <w:tc>
          <w:tcPr>
            <w:tcW w:type="dxa" w:w="1440"/>
            <w:shd w:fill="FFDCE0" w:val="clear"/>
          </w:tcPr>
          <w:p>
            <w:r>
              <w:rPr>
                <w:sz w:val="17"/>
              </w:rPr>
              <w:t>2,948</w:t>
            </w:r>
          </w:p>
        </w:tc>
        <w:tc>
          <w:tcPr>
            <w:tcW w:type="dxa" w:w="1440"/>
            <w:shd w:fill="FFDCE0" w:val="clear"/>
          </w:tcPr>
          <w:p>
            <w:r>
              <w:rPr>
                <w:b/>
                <w:color w:val="C00000"/>
                <w:sz w:val="17"/>
              </w:rPr>
              <w:t>-4.5%</w:t>
            </w:r>
          </w:p>
        </w:tc>
      </w:tr>
      <w:tr>
        <w:tc>
          <w:tcPr>
            <w:tcW w:type="dxa" w:w="1440"/>
            <w:shd w:fill="FFDCE0" w:val="clear"/>
          </w:tcPr>
          <w:p>
            <w:r>
              <w:rPr>
                <w:sz w:val="17"/>
              </w:rPr>
              <w:t>J+6  ⭐</w:t>
            </w:r>
          </w:p>
        </w:tc>
        <w:tc>
          <w:tcPr>
            <w:tcW w:type="dxa" w:w="1440"/>
            <w:shd w:fill="FFDCE0" w:val="clear"/>
          </w:tcPr>
          <w:p>
            <w:r>
              <w:rPr>
                <w:sz w:val="17"/>
              </w:rPr>
              <w:t>2026-08-28</w:t>
            </w:r>
          </w:p>
        </w:tc>
        <w:tc>
          <w:tcPr>
            <w:tcW w:type="dxa" w:w="1440"/>
            <w:shd w:fill="FFDCE0" w:val="clear"/>
          </w:tcPr>
          <w:p>
            <w:r>
              <w:rPr>
                <w:sz w:val="17"/>
              </w:rPr>
              <w:t>2,150</w:t>
            </w:r>
          </w:p>
        </w:tc>
        <w:tc>
          <w:tcPr>
            <w:tcW w:type="dxa" w:w="1440"/>
            <w:shd w:fill="FFDCE0" w:val="clear"/>
          </w:tcPr>
          <w:p>
            <w:r>
              <w:rPr>
                <w:b/>
                <w:sz w:val="17"/>
              </w:rPr>
              <w:t>2,556</w:t>
            </w:r>
          </w:p>
        </w:tc>
        <w:tc>
          <w:tcPr>
            <w:tcW w:type="dxa" w:w="1440"/>
            <w:shd w:fill="FFDCE0" w:val="clear"/>
          </w:tcPr>
          <w:p>
            <w:r>
              <w:rPr>
                <w:sz w:val="17"/>
              </w:rPr>
              <w:t>2,963</w:t>
            </w:r>
          </w:p>
        </w:tc>
        <w:tc>
          <w:tcPr>
            <w:tcW w:type="dxa" w:w="1440"/>
            <w:shd w:fill="FFDCE0" w:val="clear"/>
          </w:tcPr>
          <w:p>
            <w:r>
              <w:rPr>
                <w:b/>
                <w:color w:val="C00000"/>
                <w:sz w:val="17"/>
              </w:rPr>
              <w:t>-5.1%</w:t>
            </w:r>
          </w:p>
        </w:tc>
      </w:tr>
      <w:tr>
        <w:tc>
          <w:tcPr>
            <w:tcW w:type="dxa" w:w="1440"/>
            <w:shd w:fill="FFDCE0" w:val="clear"/>
          </w:tcPr>
          <w:p>
            <w:r>
              <w:rPr>
                <w:sz w:val="17"/>
              </w:rPr>
              <w:t>J+7  ⭐</w:t>
            </w:r>
          </w:p>
        </w:tc>
        <w:tc>
          <w:tcPr>
            <w:tcW w:type="dxa" w:w="1440"/>
            <w:shd w:fill="FFDCE0" w:val="clear"/>
          </w:tcPr>
          <w:p>
            <w:r>
              <w:rPr>
                <w:sz w:val="17"/>
              </w:rPr>
              <w:t>2026-08-31</w:t>
            </w:r>
          </w:p>
        </w:tc>
        <w:tc>
          <w:tcPr>
            <w:tcW w:type="dxa" w:w="1440"/>
            <w:shd w:fill="FFDCE0" w:val="clear"/>
          </w:tcPr>
          <w:p>
            <w:r>
              <w:rPr>
                <w:sz w:val="17"/>
              </w:rPr>
              <w:t>2,103</w:t>
            </w:r>
          </w:p>
        </w:tc>
        <w:tc>
          <w:tcPr>
            <w:tcW w:type="dxa" w:w="1440"/>
            <w:shd w:fill="FFDCE0" w:val="clear"/>
          </w:tcPr>
          <w:p>
            <w:r>
              <w:rPr>
                <w:b/>
                <w:sz w:val="17"/>
              </w:rPr>
              <w:t>2,540</w:t>
            </w:r>
          </w:p>
        </w:tc>
        <w:tc>
          <w:tcPr>
            <w:tcW w:type="dxa" w:w="1440"/>
            <w:shd w:fill="FFDCE0" w:val="clear"/>
          </w:tcPr>
          <w:p>
            <w:r>
              <w:rPr>
                <w:sz w:val="17"/>
              </w:rPr>
              <w:t>2,976</w:t>
            </w:r>
          </w:p>
        </w:tc>
        <w:tc>
          <w:tcPr>
            <w:tcW w:type="dxa" w:w="1440"/>
            <w:shd w:fill="FFDCE0" w:val="clear"/>
          </w:tcPr>
          <w:p>
            <w:r>
              <w:rPr>
                <w:b/>
                <w:color w:val="C00000"/>
                <w:sz w:val="17"/>
              </w:rPr>
              <w:t>-5.8%</w:t>
            </w:r>
          </w:p>
        </w:tc>
      </w:tr>
      <w:tr>
        <w:tc>
          <w:tcPr>
            <w:tcW w:type="dxa" w:w="1440"/>
            <w:shd w:fill="FFDCE0" w:val="clear"/>
          </w:tcPr>
          <w:p>
            <w:r>
              <w:rPr>
                <w:sz w:val="17"/>
              </w:rPr>
              <w:t>J+8  ⭐</w:t>
            </w:r>
          </w:p>
        </w:tc>
        <w:tc>
          <w:tcPr>
            <w:tcW w:type="dxa" w:w="1440"/>
            <w:shd w:fill="FFDCE0" w:val="clear"/>
          </w:tcPr>
          <w:p>
            <w:r>
              <w:rPr>
                <w:sz w:val="17"/>
              </w:rPr>
              <w:t>2026-09-01</w:t>
            </w:r>
          </w:p>
        </w:tc>
        <w:tc>
          <w:tcPr>
            <w:tcW w:type="dxa" w:w="1440"/>
            <w:shd w:fill="FFDCE0" w:val="clear"/>
          </w:tcPr>
          <w:p>
            <w:r>
              <w:rPr>
                <w:sz w:val="17"/>
              </w:rPr>
              <w:t>2,060</w:t>
            </w:r>
          </w:p>
        </w:tc>
        <w:tc>
          <w:tcPr>
            <w:tcW w:type="dxa" w:w="1440"/>
            <w:shd w:fill="FFDCE0" w:val="clear"/>
          </w:tcPr>
          <w:p>
            <w:r>
              <w:rPr>
                <w:b/>
                <w:sz w:val="17"/>
              </w:rPr>
              <w:t>2,523</w:t>
            </w:r>
          </w:p>
        </w:tc>
        <w:tc>
          <w:tcPr>
            <w:tcW w:type="dxa" w:w="1440"/>
            <w:shd w:fill="FFDCE0" w:val="clear"/>
          </w:tcPr>
          <w:p>
            <w:r>
              <w:rPr>
                <w:sz w:val="17"/>
              </w:rPr>
              <w:t>2,987</w:t>
            </w:r>
          </w:p>
        </w:tc>
        <w:tc>
          <w:tcPr>
            <w:tcW w:type="dxa" w:w="1440"/>
            <w:shd w:fill="FFDCE0" w:val="clear"/>
          </w:tcPr>
          <w:p>
            <w:r>
              <w:rPr>
                <w:b/>
                <w:color w:val="C00000"/>
                <w:sz w:val="17"/>
              </w:rPr>
              <w:t>-6.4%</w:t>
            </w:r>
          </w:p>
        </w:tc>
      </w:tr>
      <w:tr>
        <w:tc>
          <w:tcPr>
            <w:tcW w:type="dxa" w:w="1440"/>
            <w:shd w:fill="FFDCE0" w:val="clear"/>
          </w:tcPr>
          <w:p>
            <w:r>
              <w:rPr>
                <w:sz w:val="17"/>
              </w:rPr>
              <w:t>J+9  ⭐</w:t>
            </w:r>
          </w:p>
        </w:tc>
        <w:tc>
          <w:tcPr>
            <w:tcW w:type="dxa" w:w="1440"/>
            <w:shd w:fill="FFDCE0" w:val="clear"/>
          </w:tcPr>
          <w:p>
            <w:r>
              <w:rPr>
                <w:sz w:val="17"/>
              </w:rPr>
              <w:t>2026-09-02</w:t>
            </w:r>
          </w:p>
        </w:tc>
        <w:tc>
          <w:tcPr>
            <w:tcW w:type="dxa" w:w="1440"/>
            <w:shd w:fill="FFDCE0" w:val="clear"/>
          </w:tcPr>
          <w:p>
            <w:r>
              <w:rPr>
                <w:sz w:val="17"/>
              </w:rPr>
              <w:t>2,019</w:t>
            </w:r>
          </w:p>
        </w:tc>
        <w:tc>
          <w:tcPr>
            <w:tcW w:type="dxa" w:w="1440"/>
            <w:shd w:fill="FFDCE0" w:val="clear"/>
          </w:tcPr>
          <w:p>
            <w:r>
              <w:rPr>
                <w:b/>
                <w:sz w:val="17"/>
              </w:rPr>
              <w:t>2,507</w:t>
            </w:r>
          </w:p>
        </w:tc>
        <w:tc>
          <w:tcPr>
            <w:tcW w:type="dxa" w:w="1440"/>
            <w:shd w:fill="FFDCE0" w:val="clear"/>
          </w:tcPr>
          <w:p>
            <w:r>
              <w:rPr>
                <w:sz w:val="17"/>
              </w:rPr>
              <w:t>2,996</w:t>
            </w:r>
          </w:p>
        </w:tc>
        <w:tc>
          <w:tcPr>
            <w:tcW w:type="dxa" w:w="1440"/>
            <w:shd w:fill="FFDCE0" w:val="clear"/>
          </w:tcPr>
          <w:p>
            <w:r>
              <w:rPr>
                <w:b/>
                <w:color w:val="C00000"/>
                <w:sz w:val="17"/>
              </w:rPr>
              <w:t>-7.0%</w:t>
            </w:r>
          </w:p>
        </w:tc>
      </w:tr>
      <w:tr>
        <w:tc>
          <w:tcPr>
            <w:tcW w:type="dxa" w:w="1440"/>
            <w:shd w:fill="FFDCE0" w:val="clear"/>
          </w:tcPr>
          <w:p>
            <w:r>
              <w:rPr>
                <w:sz w:val="17"/>
              </w:rPr>
              <w:t>J+10  ⭐</w:t>
            </w:r>
          </w:p>
        </w:tc>
        <w:tc>
          <w:tcPr>
            <w:tcW w:type="dxa" w:w="1440"/>
            <w:shd w:fill="FFDCE0" w:val="clear"/>
          </w:tcPr>
          <w:p>
            <w:r>
              <w:rPr>
                <w:sz w:val="17"/>
              </w:rPr>
              <w:t>2026-09-03</w:t>
            </w:r>
          </w:p>
        </w:tc>
        <w:tc>
          <w:tcPr>
            <w:tcW w:type="dxa" w:w="1440"/>
            <w:shd w:fill="FFDCE0" w:val="clear"/>
          </w:tcPr>
          <w:p>
            <w:r>
              <w:rPr>
                <w:sz w:val="17"/>
              </w:rPr>
              <w:t>1,980</w:t>
            </w:r>
          </w:p>
        </w:tc>
        <w:tc>
          <w:tcPr>
            <w:tcW w:type="dxa" w:w="1440"/>
            <w:shd w:fill="FFDCE0" w:val="clear"/>
          </w:tcPr>
          <w:p>
            <w:r>
              <w:rPr>
                <w:b/>
                <w:sz w:val="17"/>
              </w:rPr>
              <w:t>2,492</w:t>
            </w:r>
          </w:p>
        </w:tc>
        <w:tc>
          <w:tcPr>
            <w:tcW w:type="dxa" w:w="1440"/>
            <w:shd w:fill="FFDCE0" w:val="clear"/>
          </w:tcPr>
          <w:p>
            <w:r>
              <w:rPr>
                <w:sz w:val="17"/>
              </w:rPr>
              <w:t>3,004</w:t>
            </w:r>
          </w:p>
        </w:tc>
        <w:tc>
          <w:tcPr>
            <w:tcW w:type="dxa" w:w="1440"/>
            <w:shd w:fill="FFDCE0" w:val="clear"/>
          </w:tcPr>
          <w:p>
            <w:r>
              <w:rPr>
                <w:b/>
                <w:color w:val="C00000"/>
                <w:sz w:val="17"/>
              </w:rPr>
              <w:t>-7.5%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146,70 milliards FCFA positionne SDSC comme une valeur de taille moyenne sur la BRVM, représentative du secteur de la logistique et des services portuaires. Le BPA de 387 FCFA indique que chaque action génère un bénéfice substantiel, ce qui se traduit par un PER de 7,0x, nettement inférieur à la moyenne du marché BRVM (8-12x), signalant une sous-évaluation relative du titre. Le P/B de 1,89x reste dans une zone raisonnable, le marché valorisant la société à près de deux fois sa valeur comptable, ce qui reflète une certaine confiance dans ses actifs. En revanche, l'EV/EBITDA de 31,6x apparaît très exigeant, suggérant que la valeur d'entreprise (incluant la dette) est élevée par rapport à la capacité bénéficiaire opérationnelle, ce qui tempère l'attrait du PER. Cette combinaison de ratios contrastés nécessite une analyse plus approfondie des fondamentaux pour déterminer si le titre est réellement attractif.</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 enregistré une progression spectaculaire de +30,83%, avec une dernière séance en hausse de +3,65% à 2 695 FCFA, démontrant un momentum haussier soutenu. Le cours a évolué dans une fourchette large de 1 650 à 2 820 FCFA, illustrant une volatilité importante et un intérêt marqué des investisseurs. La moyenne de 2 169 FCFA est supérieure à la médiane de 2 042 FCFA, indiquant une distribution asymétrique vers le haut, avec des périodes de forte hausse tirant la moyenne au-dessus de la valeur centrale. L'écart-type de 377 FCFA (CV=17,4%) révèle une dispersion modérée des prix autour de la moyenne. Le kurtosis négatif de -1,421 signale une distribution platykurtique, avec moins de valeurs extrêmes que la normale, tandis que le skewness positif de 0,298 confirme une légère asymétrie favorable aux hausses. La volatilité annualisée de 49,5% classe SDSC comme un titre à risque élevé, nécessitant une gestion prudente des positions.</w:t>
      </w:r>
    </w:p>
    <w:p>
      <w:pPr>
        <w:spacing w:after="120" w:line="276" w:lineRule="auto" w:before="240"/>
      </w:pPr>
      <w:r>
        <w:rPr>
          <w:b/>
          <w:color w:val="003366"/>
          <w:sz w:val="24"/>
        </w:rPr>
        <w:t>**PARTIE 2 : ANALYSE TECHNIQUE DÉTAILLÉE**</w:t>
      </w:r>
    </w:p>
    <w:p>
      <w:pPr>
        <w:spacing w:after="120" w:line="276" w:lineRule="auto"/>
      </w:pPr>
      <w:r>
        <w:t>**Moyennes Mobiles** : Le cours actuel de 2 695 FCFA se situe au-dessus de la MM20 (2 669 FCFA) et nettement au-dessus de la MM50 (2 500,8 FCFA), confirmant une tendance haussière de court et moyen terme. La configuration des moyennes mobiles, avec la MM20 au-dessus de la MM50, valide la dynamique positive et justifie la décision d'achat, le titre évoluant dans une phase de progression soutenue.</w:t>
      </w:r>
    </w:p>
    <w:p>
      <w:pPr>
        <w:spacing w:after="120" w:line="276" w:lineRule="auto"/>
      </w:pPr>
      <w:r>
        <w:t>**Bandes de Bollinger** : Le prix se positionne à 2 695 FCFA, entre la borne inférieure de 2 455,9 FCFA et la borne supérieure de 2 882,1 FCFA, indiquant une volatilité modérée sans excès. La position légèrement au-dessus de la moyenne des bandes suggère une pression acheteuse persistante, mais sans atteindre des niveaux de surachat extrême. La décision neutre reflète un équilibre entre le momentum haussier et la proximité de la borne supérieure qui pourrait limiter les gains à court terme.</w:t>
      </w:r>
    </w:p>
    <w:p>
      <w:pPr>
        <w:spacing w:after="120" w:line="276" w:lineRule="auto"/>
      </w:pPr>
      <w:r>
        <w:t>**MACD** : La valeur du MACD à 54,049 est inférieure à son signal à 64,392, indiquant un croisement baissier récent malgré des niveaux positifs. Cette configuration suggère un ralentissement du momentum haussier, les acheteurs perdant progressivement de la vigueur. La décision de vente est donc justifiée par cette divergence, signalant une possible consolidation ou correction à court terme après la forte progression récente.</w:t>
      </w:r>
    </w:p>
    <w:p>
      <w:pPr>
        <w:spacing w:after="120" w:line="276" w:lineRule="auto"/>
      </w:pPr>
      <w:r>
        <w:t>**RSI** : Avec une valeur de 50,617, le RSI se situe exactement dans la zone neutre (30-70), indiquant un équilibre entre les forces acheteuses et vendeuses. Ce niveau ne montre ni surachat ni survente, laissant place à une évolution dans les deux sens. La décision neutre est cohérente avec cette lecture, le marché semblant reprendre son souffle après les mouvements récents.</w:t>
      </w:r>
    </w:p>
    <w:p>
      <w:pPr>
        <w:spacing w:after="120" w:line="276" w:lineRule="auto"/>
      </w:pPr>
      <w:r>
        <w:t>**Stochastique** : Le %K à 77,273 est supérieur au %D à 70,455, avec les deux indicateurs en zone élevée, proche du seuil de surachat (80). Cette configuration suggère une dynamique haussière encore présente, mais potentiellement fragile. La décision neutre reflète la proximité des niveaux de surachat, qui pourraient limiter la poursuite de la hausse sans consolidation préalable.</w:t>
      </w:r>
    </w:p>
    <w:p>
      <w:pPr>
        <w:spacing w:after="120" w:line="276" w:lineRule="auto"/>
      </w:pPr>
      <w:r>
        <w:t>**Conclusion technique** : Les indicateurs techniques présentent un tableau contrasté, avec des moyennes mobiles haussières mais un MACD en croisement baissier et des oscillateurs neutres. La tendance de fond reste positive, mais les signaux de court terme suggèrent une possible pause ou correction. La prudence est de mise, le titre ayant fortement progressé et nécessitant probablement une consolidation avant de poursuivre sa hausse.</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révèlent une entreprise solide avec un chiffre d'affaires de 85,643 milliards FCFA et un résultat net de 21,069 milliards FCFA, correspondant à une marge nette exceptionnelle de 24,6%. Le ROE de 27,08% et le ROA de 11,20% démontrent une excellente rentabilité des capitaux propres et des actifs, bien au-dessus des seuils de performance. En tant qu'entreprise non bancaire, l'analyse des délais d'exploitation est cruciale : le délai clients de 466,94 jours est extrêmement élevé, représentant un risque de trésorerie significatif, tandis que le délai fournisseurs de 4 534,17 jours indique une gestion très favorable des paiements aux fournisseurs. Le BFR de 17,874 milliards FCFA, bien que positif, est compensé par une trésorerie nette de 15,617 milliards FCFA. Les rapports trimestriels 2025 montrent une dégradation marquée : le T1 2025 affiche un résultat net de 223 millions FCFA (contre -193 millions au T1 2024), mais le S1 2025 est déficitaire à -427 millions FCFA, et le T3 2025 enregistre une chute de 77% du résultat net à 4,341 milliards FCFA, principalement due à l'absence de dividendes exceptionnels des filiales. Le rapport annuel 2025 (daté du 31 décembre 2025) confirme cette tendance avec un résultat net de seulement 784,97 millions FCFA, en baisse de 96%, et un résultat d'exploitation négatif de -2,271 milliards FCFA. La trésorerie nette a toutefois bondi à 74,78 milliards FCFA, et le CA a progressé de 7,4% à 92,004 milliards FCFA. La recommandation des analystes est de conserver, la solidité du bilan et la croissance du CA compensant la chute de rentabilité.</w:t>
      </w:r>
    </w:p>
    <w:p>
      <w:pPr>
        <w:spacing w:after="120" w:line="276" w:lineRule="auto" w:before="240"/>
      </w:pPr>
      <w:r>
        <w:rPr>
          <w:b/>
          <w:color w:val="003366"/>
          <w:sz w:val="24"/>
        </w:rPr>
        <w:t>**PARTIE 4 : CONCLUSION D'INVESTISSEMENT**</w:t>
      </w:r>
    </w:p>
    <w:p>
      <w:pPr>
        <w:spacing w:after="120" w:line="276" w:lineRule="auto"/>
      </w:pPr>
      <w:r>
        <w:t>La valorisation de SDSC présente un tableau paradoxal : le PER de 7,0x suggère une sous-évaluation, mais l'EV/EBITDA de 31,6x et la chute de 96% du résultat net en 2025 indiquent une détérioration fondamentale inquiétante. Le comportement du cours montre une tendance haussière de +30,83% sur 100 jours, avec une volatilité élevée de 49,5% et une distribution statistique favorable, mais les signaux techniques sont mitigés : les moyennes mobiles restent haussières, tandis que le MACD et les oscillateurs suggèrent une consolidation. Les fondamentaux, bien que solides en 2024 (ROE de 27,08%), se sont nettement dégradés en 2025 avec une marge nette tombée à 0,85%, et les prédictions IA indiquent une baisse progressive du cours de 2 668 à 2 574 FCFA sur les 10 prochains jours, contredisant la tendance récente. La recommandation finale est **CONSERVER** avec un niveau de confiance **Moyen**, car la solidité du bilan (trésorerie de 74,78 milliards FCFA) et la croissance du CA (+7,4%) offrent un soutien, mais la dégradation de la rentabilité et les signaux techniques mitigés justifient la prudence. Le risque global est **Élevé** en raison de la volatilité et de l'incertitude sur la capacité de la direction à restaurer les marges. L'horizon d'investissement optimal est le **moyen terme (3-12 mois)**, en attendant une clarification sur la stratégie de redressement et le retour à une rentabilité opérationnelle positive.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40.30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5,468 titres</w:t>
            </w:r>
          </w:p>
        </w:tc>
        <w:tc>
          <w:tcPr>
            <w:tcW w:type="dxa" w:w="2268"/>
            <w:shd w:fill="FFF2CC" w:val="clear"/>
          </w:tcPr>
          <w:p>
            <w:r>
              <w:rPr>
                <w:b/>
                <w:color w:val="503200"/>
                <w:sz w:val="16"/>
              </w:rPr>
              <w:t xml:space="preserve">Cours actuel : </w:t>
            </w:r>
            <w:r>
              <w:rPr>
                <w:color w:val="000000"/>
                <w:sz w:val="17"/>
              </w:rPr>
              <w:t>1,600 FCFA</w:t>
            </w:r>
          </w:p>
          <w:p>
            <w:r>
              <w:rPr>
                <w:b/>
                <w:color w:val="503200"/>
                <w:sz w:val="16"/>
              </w:rPr>
              <w:t xml:space="preserve">Var. 100 jours : </w:t>
            </w:r>
            <w:r>
              <w:rPr>
                <w:b/>
                <w:color w:val="B40000"/>
                <w:sz w:val="17"/>
              </w:rPr>
              <w:t>-27.27%</w:t>
            </w:r>
          </w:p>
          <w:p>
            <w:r>
              <w:rPr>
                <w:b/>
                <w:color w:val="503200"/>
                <w:sz w:val="16"/>
              </w:rPr>
              <w:t xml:space="preserve">Plus haut 100j : </w:t>
            </w:r>
            <w:r>
              <w:rPr>
                <w:color w:val="000000"/>
                <w:sz w:val="17"/>
              </w:rPr>
              <w:t>2,265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23.8/100 → Moyen</w:t>
      </w:r>
    </w:p>
    <w:p>
      <w:pPr>
        <w:spacing w:before="40" w:after="80"/>
      </w:pPr>
      <w:r>
        <w:rPr>
          <w:rFonts w:ascii="Courier New" w:hAnsi="Courier New"/>
          <w:color w:val="825A00"/>
          <w:sz w:val="18"/>
        </w:rPr>
        <w:t>████░░░░░░░░░░░░░░░░  23.8/100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11.64% (Moyenne) — μ=1,601 FCFA, σ=186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β=1.3429 (Agressif) — Cov=0.000041, Var(idx)=0.000030, ρ=0.236,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5,468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Vente=4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σ_j=3.21%/j (Modérée) — Vol. annualisée≈51.0%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2026-08-20</w:t>
            </w:r>
          </w:p>
        </w:tc>
        <w:tc>
          <w:tcPr>
            <w:tcW w:type="dxa" w:w="1440"/>
            <w:shd w:fill="FFDCE0" w:val="clear"/>
          </w:tcPr>
          <w:p>
            <w:r>
              <w:rPr>
                <w:sz w:val="17"/>
              </w:rPr>
              <w:t>1,420</w:t>
            </w:r>
          </w:p>
        </w:tc>
        <w:tc>
          <w:tcPr>
            <w:tcW w:type="dxa" w:w="1440"/>
            <w:shd w:fill="FFDCE0" w:val="clear"/>
          </w:tcPr>
          <w:p>
            <w:r>
              <w:rPr>
                <w:b/>
                <w:sz w:val="17"/>
              </w:rPr>
              <w:t>1,498</w:t>
            </w:r>
          </w:p>
        </w:tc>
        <w:tc>
          <w:tcPr>
            <w:tcW w:type="dxa" w:w="1440"/>
            <w:shd w:fill="FFDCE0" w:val="clear"/>
          </w:tcPr>
          <w:p>
            <w:r>
              <w:rPr>
                <w:sz w:val="17"/>
              </w:rPr>
              <w:t>1,575</w:t>
            </w:r>
          </w:p>
        </w:tc>
        <w:tc>
          <w:tcPr>
            <w:tcW w:type="dxa" w:w="1440"/>
            <w:shd w:fill="FFDCE0" w:val="clear"/>
          </w:tcPr>
          <w:p>
            <w:r>
              <w:rPr>
                <w:b/>
                <w:color w:val="C00000"/>
                <w:sz w:val="17"/>
              </w:rPr>
              <w:t>-6.4%</w:t>
            </w:r>
          </w:p>
        </w:tc>
      </w:tr>
      <w:tr>
        <w:tc>
          <w:tcPr>
            <w:tcW w:type="dxa" w:w="1440"/>
            <w:shd w:fill="FFDCE0" w:val="clear"/>
          </w:tcPr>
          <w:p>
            <w:r>
              <w:rPr>
                <w:sz w:val="17"/>
              </w:rPr>
              <w:t>J+2  Moyenne</w:t>
            </w:r>
          </w:p>
        </w:tc>
        <w:tc>
          <w:tcPr>
            <w:tcW w:type="dxa" w:w="1440"/>
            <w:shd w:fill="FFDCE0" w:val="clear"/>
          </w:tcPr>
          <w:p>
            <w:r>
              <w:rPr>
                <w:sz w:val="17"/>
              </w:rPr>
              <w:t>2026-08-21</w:t>
            </w:r>
          </w:p>
        </w:tc>
        <w:tc>
          <w:tcPr>
            <w:tcW w:type="dxa" w:w="1440"/>
            <w:shd w:fill="FFDCE0" w:val="clear"/>
          </w:tcPr>
          <w:p>
            <w:r>
              <w:rPr>
                <w:sz w:val="17"/>
              </w:rPr>
              <w:t>1,386</w:t>
            </w:r>
          </w:p>
        </w:tc>
        <w:tc>
          <w:tcPr>
            <w:tcW w:type="dxa" w:w="1440"/>
            <w:shd w:fill="FFDCE0" w:val="clear"/>
          </w:tcPr>
          <w:p>
            <w:r>
              <w:rPr>
                <w:b/>
                <w:sz w:val="17"/>
              </w:rPr>
              <w:t>1,495</w:t>
            </w:r>
          </w:p>
        </w:tc>
        <w:tc>
          <w:tcPr>
            <w:tcW w:type="dxa" w:w="1440"/>
            <w:shd w:fill="FFDCE0" w:val="clear"/>
          </w:tcPr>
          <w:p>
            <w:r>
              <w:rPr>
                <w:sz w:val="17"/>
              </w:rPr>
              <w:t>1,605</w:t>
            </w:r>
          </w:p>
        </w:tc>
        <w:tc>
          <w:tcPr>
            <w:tcW w:type="dxa" w:w="1440"/>
            <w:shd w:fill="FFDCE0" w:val="clear"/>
          </w:tcPr>
          <w:p>
            <w:r>
              <w:rPr>
                <w:b/>
                <w:color w:val="C00000"/>
                <w:sz w:val="17"/>
              </w:rPr>
              <w:t>-6.5%</w:t>
            </w:r>
          </w:p>
        </w:tc>
      </w:tr>
      <w:tr>
        <w:tc>
          <w:tcPr>
            <w:tcW w:type="dxa" w:w="1440"/>
            <w:shd w:fill="FFDCE0" w:val="clear"/>
          </w:tcPr>
          <w:p>
            <w:r>
              <w:rPr>
                <w:sz w:val="17"/>
              </w:rPr>
              <w:t>J+3  Moyenne</w:t>
            </w:r>
          </w:p>
        </w:tc>
        <w:tc>
          <w:tcPr>
            <w:tcW w:type="dxa" w:w="1440"/>
            <w:shd w:fill="FFDCE0" w:val="clear"/>
          </w:tcPr>
          <w:p>
            <w:r>
              <w:rPr>
                <w:sz w:val="17"/>
              </w:rPr>
              <w:t>2026-08-24</w:t>
            </w:r>
          </w:p>
        </w:tc>
        <w:tc>
          <w:tcPr>
            <w:tcW w:type="dxa" w:w="1440"/>
            <w:shd w:fill="FFDCE0" w:val="clear"/>
          </w:tcPr>
          <w:p>
            <w:r>
              <w:rPr>
                <w:sz w:val="17"/>
              </w:rPr>
              <w:t>1,350</w:t>
            </w:r>
          </w:p>
        </w:tc>
        <w:tc>
          <w:tcPr>
            <w:tcW w:type="dxa" w:w="1440"/>
            <w:shd w:fill="FFDCE0" w:val="clear"/>
          </w:tcPr>
          <w:p>
            <w:r>
              <w:rPr>
                <w:b/>
                <w:sz w:val="17"/>
              </w:rPr>
              <w:t>1,484</w:t>
            </w:r>
          </w:p>
        </w:tc>
        <w:tc>
          <w:tcPr>
            <w:tcW w:type="dxa" w:w="1440"/>
            <w:shd w:fill="FFDCE0" w:val="clear"/>
          </w:tcPr>
          <w:p>
            <w:r>
              <w:rPr>
                <w:sz w:val="17"/>
              </w:rPr>
              <w:t>1,617</w:t>
            </w:r>
          </w:p>
        </w:tc>
        <w:tc>
          <w:tcPr>
            <w:tcW w:type="dxa" w:w="1440"/>
            <w:shd w:fill="FFDCE0" w:val="clear"/>
          </w:tcPr>
          <w:p>
            <w:r>
              <w:rPr>
                <w:b/>
                <w:color w:val="C00000"/>
                <w:sz w:val="17"/>
              </w:rPr>
              <w:t>-7.3%</w:t>
            </w:r>
          </w:p>
        </w:tc>
      </w:tr>
      <w:tr>
        <w:tc>
          <w:tcPr>
            <w:tcW w:type="dxa" w:w="1440"/>
            <w:shd w:fill="FFDCE0" w:val="clear"/>
          </w:tcPr>
          <w:p>
            <w:r>
              <w:rPr>
                <w:sz w:val="17"/>
              </w:rPr>
              <w:t>J+4  ⭐</w:t>
            </w:r>
          </w:p>
        </w:tc>
        <w:tc>
          <w:tcPr>
            <w:tcW w:type="dxa" w:w="1440"/>
            <w:shd w:fill="FFDCE0" w:val="clear"/>
          </w:tcPr>
          <w:p>
            <w:r>
              <w:rPr>
                <w:sz w:val="17"/>
              </w:rPr>
              <w:t>2026-08-25</w:t>
            </w:r>
          </w:p>
        </w:tc>
        <w:tc>
          <w:tcPr>
            <w:tcW w:type="dxa" w:w="1440"/>
            <w:shd w:fill="FFDCE0" w:val="clear"/>
          </w:tcPr>
          <w:p>
            <w:r>
              <w:rPr>
                <w:sz w:val="17"/>
              </w:rPr>
              <w:t>1,317</w:t>
            </w:r>
          </w:p>
        </w:tc>
        <w:tc>
          <w:tcPr>
            <w:tcW w:type="dxa" w:w="1440"/>
            <w:shd w:fill="FFDCE0" w:val="clear"/>
          </w:tcPr>
          <w:p>
            <w:r>
              <w:rPr>
                <w:b/>
                <w:sz w:val="17"/>
              </w:rPr>
              <w:t>1,469</w:t>
            </w:r>
          </w:p>
        </w:tc>
        <w:tc>
          <w:tcPr>
            <w:tcW w:type="dxa" w:w="1440"/>
            <w:shd w:fill="FFDCE0" w:val="clear"/>
          </w:tcPr>
          <w:p>
            <w:r>
              <w:rPr>
                <w:sz w:val="17"/>
              </w:rPr>
              <w:t>1,621</w:t>
            </w:r>
          </w:p>
        </w:tc>
        <w:tc>
          <w:tcPr>
            <w:tcW w:type="dxa" w:w="1440"/>
            <w:shd w:fill="FFDCE0" w:val="clear"/>
          </w:tcPr>
          <w:p>
            <w:r>
              <w:rPr>
                <w:b/>
                <w:color w:val="C00000"/>
                <w:sz w:val="17"/>
              </w:rPr>
              <w:t>-8.2%</w:t>
            </w:r>
          </w:p>
        </w:tc>
      </w:tr>
      <w:tr>
        <w:tc>
          <w:tcPr>
            <w:tcW w:type="dxa" w:w="1440"/>
            <w:shd w:fill="FFDCE0" w:val="clear"/>
          </w:tcPr>
          <w:p>
            <w:r>
              <w:rPr>
                <w:sz w:val="17"/>
              </w:rPr>
              <w:t>J+5  ⭐</w:t>
            </w:r>
          </w:p>
        </w:tc>
        <w:tc>
          <w:tcPr>
            <w:tcW w:type="dxa" w:w="1440"/>
            <w:shd w:fill="FFDCE0" w:val="clear"/>
          </w:tcPr>
          <w:p>
            <w:r>
              <w:rPr>
                <w:sz w:val="17"/>
              </w:rPr>
              <w:t>2026-08-27</w:t>
            </w:r>
          </w:p>
        </w:tc>
        <w:tc>
          <w:tcPr>
            <w:tcW w:type="dxa" w:w="1440"/>
            <w:shd w:fill="FFDCE0" w:val="clear"/>
          </w:tcPr>
          <w:p>
            <w:r>
              <w:rPr>
                <w:sz w:val="17"/>
              </w:rPr>
              <w:t>1,286</w:t>
            </w:r>
          </w:p>
        </w:tc>
        <w:tc>
          <w:tcPr>
            <w:tcW w:type="dxa" w:w="1440"/>
            <w:shd w:fill="FFDCE0" w:val="clear"/>
          </w:tcPr>
          <w:p>
            <w:r>
              <w:rPr>
                <w:b/>
                <w:sz w:val="17"/>
              </w:rPr>
              <w:t>1,454</w:t>
            </w:r>
          </w:p>
        </w:tc>
        <w:tc>
          <w:tcPr>
            <w:tcW w:type="dxa" w:w="1440"/>
            <w:shd w:fill="FFDCE0" w:val="clear"/>
          </w:tcPr>
          <w:p>
            <w:r>
              <w:rPr>
                <w:sz w:val="17"/>
              </w:rPr>
              <w:t>1,623</w:t>
            </w:r>
          </w:p>
        </w:tc>
        <w:tc>
          <w:tcPr>
            <w:tcW w:type="dxa" w:w="1440"/>
            <w:shd w:fill="FFDCE0" w:val="clear"/>
          </w:tcPr>
          <w:p>
            <w:r>
              <w:rPr>
                <w:b/>
                <w:color w:val="C00000"/>
                <w:sz w:val="17"/>
              </w:rPr>
              <w:t>-9.1%</w:t>
            </w:r>
          </w:p>
        </w:tc>
      </w:tr>
      <w:tr>
        <w:tc>
          <w:tcPr>
            <w:tcW w:type="dxa" w:w="1440"/>
            <w:shd w:fill="FFDCE0" w:val="clear"/>
          </w:tcPr>
          <w:p>
            <w:r>
              <w:rPr>
                <w:sz w:val="17"/>
              </w:rPr>
              <w:t>J+6  ⭐</w:t>
            </w:r>
          </w:p>
        </w:tc>
        <w:tc>
          <w:tcPr>
            <w:tcW w:type="dxa" w:w="1440"/>
            <w:shd w:fill="FFDCE0" w:val="clear"/>
          </w:tcPr>
          <w:p>
            <w:r>
              <w:rPr>
                <w:sz w:val="17"/>
              </w:rPr>
              <w:t>2026-08-28</w:t>
            </w:r>
          </w:p>
        </w:tc>
        <w:tc>
          <w:tcPr>
            <w:tcW w:type="dxa" w:w="1440"/>
            <w:shd w:fill="FFDCE0" w:val="clear"/>
          </w:tcPr>
          <w:p>
            <w:r>
              <w:rPr>
                <w:sz w:val="17"/>
              </w:rPr>
              <w:t>1,257</w:t>
            </w:r>
          </w:p>
        </w:tc>
        <w:tc>
          <w:tcPr>
            <w:tcW w:type="dxa" w:w="1440"/>
            <w:shd w:fill="FFDCE0" w:val="clear"/>
          </w:tcPr>
          <w:p>
            <w:r>
              <w:rPr>
                <w:b/>
                <w:sz w:val="17"/>
              </w:rPr>
              <w:t>1,439</w:t>
            </w:r>
          </w:p>
        </w:tc>
        <w:tc>
          <w:tcPr>
            <w:tcW w:type="dxa" w:w="1440"/>
            <w:shd w:fill="FFDCE0" w:val="clear"/>
          </w:tcPr>
          <w:p>
            <w:r>
              <w:rPr>
                <w:sz w:val="17"/>
              </w:rPr>
              <w:t>1,622</w:t>
            </w:r>
          </w:p>
        </w:tc>
        <w:tc>
          <w:tcPr>
            <w:tcW w:type="dxa" w:w="1440"/>
            <w:shd w:fill="FFDCE0" w:val="clear"/>
          </w:tcPr>
          <w:p>
            <w:r>
              <w:rPr>
                <w:b/>
                <w:color w:val="C00000"/>
                <w:sz w:val="17"/>
              </w:rPr>
              <w:t>-10.0%</w:t>
            </w:r>
          </w:p>
        </w:tc>
      </w:tr>
      <w:tr>
        <w:tc>
          <w:tcPr>
            <w:tcW w:type="dxa" w:w="1440"/>
            <w:shd w:fill="FFDCE0" w:val="clear"/>
          </w:tcPr>
          <w:p>
            <w:r>
              <w:rPr>
                <w:sz w:val="17"/>
              </w:rPr>
              <w:t>J+7  ⭐</w:t>
            </w:r>
          </w:p>
        </w:tc>
        <w:tc>
          <w:tcPr>
            <w:tcW w:type="dxa" w:w="1440"/>
            <w:shd w:fill="FFDCE0" w:val="clear"/>
          </w:tcPr>
          <w:p>
            <w:r>
              <w:rPr>
                <w:sz w:val="17"/>
              </w:rPr>
              <w:t>2026-08-31</w:t>
            </w:r>
          </w:p>
        </w:tc>
        <w:tc>
          <w:tcPr>
            <w:tcW w:type="dxa" w:w="1440"/>
            <w:shd w:fill="FFDCE0" w:val="clear"/>
          </w:tcPr>
          <w:p>
            <w:r>
              <w:rPr>
                <w:sz w:val="17"/>
              </w:rPr>
              <w:t>1,230</w:t>
            </w:r>
          </w:p>
        </w:tc>
        <w:tc>
          <w:tcPr>
            <w:tcW w:type="dxa" w:w="1440"/>
            <w:shd w:fill="FFDCE0" w:val="clear"/>
          </w:tcPr>
          <w:p>
            <w:r>
              <w:rPr>
                <w:b/>
                <w:sz w:val="17"/>
              </w:rPr>
              <w:t>1,425</w:t>
            </w:r>
          </w:p>
        </w:tc>
        <w:tc>
          <w:tcPr>
            <w:tcW w:type="dxa" w:w="1440"/>
            <w:shd w:fill="FFDCE0" w:val="clear"/>
          </w:tcPr>
          <w:p>
            <w:r>
              <w:rPr>
                <w:sz w:val="17"/>
              </w:rPr>
              <w:t>1,620</w:t>
            </w:r>
          </w:p>
        </w:tc>
        <w:tc>
          <w:tcPr>
            <w:tcW w:type="dxa" w:w="1440"/>
            <w:shd w:fill="FFDCE0" w:val="clear"/>
          </w:tcPr>
          <w:p>
            <w:r>
              <w:rPr>
                <w:b/>
                <w:color w:val="C00000"/>
                <w:sz w:val="17"/>
              </w:rPr>
              <w:t>-10.9%</w:t>
            </w:r>
          </w:p>
        </w:tc>
      </w:tr>
      <w:tr>
        <w:tc>
          <w:tcPr>
            <w:tcW w:type="dxa" w:w="1440"/>
            <w:shd w:fill="FFDCE0" w:val="clear"/>
          </w:tcPr>
          <w:p>
            <w:r>
              <w:rPr>
                <w:sz w:val="17"/>
              </w:rPr>
              <w:t>J+8  ⭐</w:t>
            </w:r>
          </w:p>
        </w:tc>
        <w:tc>
          <w:tcPr>
            <w:tcW w:type="dxa" w:w="1440"/>
            <w:shd w:fill="FFDCE0" w:val="clear"/>
          </w:tcPr>
          <w:p>
            <w:r>
              <w:rPr>
                <w:sz w:val="17"/>
              </w:rPr>
              <w:t>2026-09-01</w:t>
            </w:r>
          </w:p>
        </w:tc>
        <w:tc>
          <w:tcPr>
            <w:tcW w:type="dxa" w:w="1440"/>
            <w:shd w:fill="FFDCE0" w:val="clear"/>
          </w:tcPr>
          <w:p>
            <w:r>
              <w:rPr>
                <w:sz w:val="17"/>
              </w:rPr>
              <w:t>1,204</w:t>
            </w:r>
          </w:p>
        </w:tc>
        <w:tc>
          <w:tcPr>
            <w:tcW w:type="dxa" w:w="1440"/>
            <w:shd w:fill="FFDCE0" w:val="clear"/>
          </w:tcPr>
          <w:p>
            <w:r>
              <w:rPr>
                <w:b/>
                <w:sz w:val="17"/>
              </w:rPr>
              <w:t>1,411</w:t>
            </w:r>
          </w:p>
        </w:tc>
        <w:tc>
          <w:tcPr>
            <w:tcW w:type="dxa" w:w="1440"/>
            <w:shd w:fill="FFDCE0" w:val="clear"/>
          </w:tcPr>
          <w:p>
            <w:r>
              <w:rPr>
                <w:sz w:val="17"/>
              </w:rPr>
              <w:t>1,618</w:t>
            </w:r>
          </w:p>
        </w:tc>
        <w:tc>
          <w:tcPr>
            <w:tcW w:type="dxa" w:w="1440"/>
            <w:shd w:fill="FFDCE0" w:val="clear"/>
          </w:tcPr>
          <w:p>
            <w:r>
              <w:rPr>
                <w:b/>
                <w:color w:val="C00000"/>
                <w:sz w:val="17"/>
              </w:rPr>
              <w:t>-11.8%</w:t>
            </w:r>
          </w:p>
        </w:tc>
      </w:tr>
      <w:tr>
        <w:tc>
          <w:tcPr>
            <w:tcW w:type="dxa" w:w="1440"/>
            <w:shd w:fill="FFDCE0" w:val="clear"/>
          </w:tcPr>
          <w:p>
            <w:r>
              <w:rPr>
                <w:sz w:val="17"/>
              </w:rPr>
              <w:t>J+9  ⭐</w:t>
            </w:r>
          </w:p>
        </w:tc>
        <w:tc>
          <w:tcPr>
            <w:tcW w:type="dxa" w:w="1440"/>
            <w:shd w:fill="FFDCE0" w:val="clear"/>
          </w:tcPr>
          <w:p>
            <w:r>
              <w:rPr>
                <w:sz w:val="17"/>
              </w:rPr>
              <w:t>2026-09-02</w:t>
            </w:r>
          </w:p>
        </w:tc>
        <w:tc>
          <w:tcPr>
            <w:tcW w:type="dxa" w:w="1440"/>
            <w:shd w:fill="FFDCE0" w:val="clear"/>
          </w:tcPr>
          <w:p>
            <w:r>
              <w:rPr>
                <w:sz w:val="17"/>
              </w:rPr>
              <w:t>1,180</w:t>
            </w:r>
          </w:p>
        </w:tc>
        <w:tc>
          <w:tcPr>
            <w:tcW w:type="dxa" w:w="1440"/>
            <w:shd w:fill="FFDCE0" w:val="clear"/>
          </w:tcPr>
          <w:p>
            <w:r>
              <w:rPr>
                <w:b/>
                <w:sz w:val="17"/>
              </w:rPr>
              <w:t>1,397</w:t>
            </w:r>
          </w:p>
        </w:tc>
        <w:tc>
          <w:tcPr>
            <w:tcW w:type="dxa" w:w="1440"/>
            <w:shd w:fill="FFDCE0" w:val="clear"/>
          </w:tcPr>
          <w:p>
            <w:r>
              <w:rPr>
                <w:sz w:val="17"/>
              </w:rPr>
              <w:t>1,614</w:t>
            </w:r>
          </w:p>
        </w:tc>
        <w:tc>
          <w:tcPr>
            <w:tcW w:type="dxa" w:w="1440"/>
            <w:shd w:fill="FFDCE0" w:val="clear"/>
          </w:tcPr>
          <w:p>
            <w:r>
              <w:rPr>
                <w:b/>
                <w:color w:val="C00000"/>
                <w:sz w:val="17"/>
              </w:rPr>
              <w:t>-12.7%</w:t>
            </w:r>
          </w:p>
        </w:tc>
      </w:tr>
      <w:tr>
        <w:tc>
          <w:tcPr>
            <w:tcW w:type="dxa" w:w="1440"/>
            <w:shd w:fill="FFDCE0" w:val="clear"/>
          </w:tcPr>
          <w:p>
            <w:r>
              <w:rPr>
                <w:sz w:val="17"/>
              </w:rPr>
              <w:t>J+10  ⭐</w:t>
            </w:r>
          </w:p>
        </w:tc>
        <w:tc>
          <w:tcPr>
            <w:tcW w:type="dxa" w:w="1440"/>
            <w:shd w:fill="FFDCE0" w:val="clear"/>
          </w:tcPr>
          <w:p>
            <w:r>
              <w:rPr>
                <w:sz w:val="17"/>
              </w:rPr>
              <w:t>2026-09-03</w:t>
            </w:r>
          </w:p>
        </w:tc>
        <w:tc>
          <w:tcPr>
            <w:tcW w:type="dxa" w:w="1440"/>
            <w:shd w:fill="FFDCE0" w:val="clear"/>
          </w:tcPr>
          <w:p>
            <w:r>
              <w:rPr>
                <w:sz w:val="17"/>
              </w:rPr>
              <w:t>1,157</w:t>
            </w:r>
          </w:p>
        </w:tc>
        <w:tc>
          <w:tcPr>
            <w:tcW w:type="dxa" w:w="1440"/>
            <w:shd w:fill="FFDCE0" w:val="clear"/>
          </w:tcPr>
          <w:p>
            <w:r>
              <w:rPr>
                <w:b/>
                <w:sz w:val="17"/>
              </w:rPr>
              <w:t>1,384</w:t>
            </w:r>
          </w:p>
        </w:tc>
        <w:tc>
          <w:tcPr>
            <w:tcW w:type="dxa" w:w="1440"/>
            <w:shd w:fill="FFDCE0" w:val="clear"/>
          </w:tcPr>
          <w:p>
            <w:r>
              <w:rPr>
                <w:sz w:val="17"/>
              </w:rPr>
              <w:t>1,610</w:t>
            </w:r>
          </w:p>
        </w:tc>
        <w:tc>
          <w:tcPr>
            <w:tcW w:type="dxa" w:w="1440"/>
            <w:shd w:fill="FFDCE0" w:val="clear"/>
          </w:tcPr>
          <w:p>
            <w:r>
              <w:rPr>
                <w:b/>
                <w:color w:val="C00000"/>
                <w:sz w:val="17"/>
              </w:rPr>
              <w:t>-13.5%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SEMC (EVIOSYS PACKAGING SIEM)**</w:t>
        <w:br/>
        <w:t>**Date de l'analyse : 19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SEMC s'établit à 40,30 milliards FCFA, un niveau modeste qui la classe parmi les valeurs moyennes de la cote BRVM. Ce montant reflète la perception actuelle du marché, fortement pénalisée par la chute du cours (-27,27% sur 100 jours). Le Bénéfice Par Action (BPA) et le PER ne sont pas calculables, les données financières structurées étant indisponibles dans la base. Toutefois, sur la base du résultat net 2023 de 1,01 milliard FCFA (rapport du 31/12/2024), le BPA ressortirait à environ 40 FCFA, ce qui impliquerait un PER d'environ 40x, très supérieur à la moyenne BRVM (8-12x). Ce niveau suggère soit une anticipation de rebond massif des bénéfices, soit une surévaluation relative. Le ratio P/B et l'EV/EBITDA ne peuvent être calculés faute de données bilantielles récentes dans la base structurée, mais l'analyse des rapports narratifs sera déterminante pour affiner ce diagnostic.</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la période des 100 derniers jours, le titre SEMC a enregistré une dépréciation sévère de -27,27%, passant d'un plus haut de 2 265 FCFA à un plus bas de 1 350 FCFA, avant de clôturer à 1 600 FCFA. La dernière séance montre un léger rebond de +0,63%, insuffisant pour inverser la tendance baissière dominante. La moyenne du cours sur la période (1 601 FCFA) est très proche du cours actuel, mais la médiane (1 538 FCFA) lui est inférieure, indiquant une distribution asymétrique positive (skewness de 1,614) : le titre a passé plus de temps sous sa moyenne, avec des épisodes de hausse ponctuels. L'écart-type de 187 FCFA (CV=11,7%) révèle une dispersion modérée, mais le kurtosis excédentaire de 1,993 signale un risque de mouvements extrêmes (queues épaisses). La volatilité annualisée de 51,0% est très élevée (&gt;30%), classant SEMC parmi les titres les plus risqués de la BRVM, avec des fluctuations de cours imprévisibles et amples.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(1 600 FCFA) se situe au-dessus de la MM20 (1 495 FCFA) et de la MM50 (1 506,3 FCFA), ce qui pourrait suggérer un retournement haussier à court terme. Cependant, la décision globale est "Vente" car la tendance de fond reste baissière, les moyennes mobiles étant orientées à la baisse sur la période. Le croisement récent du cours au-dessus des MM est un signal précoce, mais non confirmé.</w:t>
      </w:r>
    </w:p>
    <w:p>
      <w:pPr>
        <w:spacing w:after="120" w:line="276" w:lineRule="auto"/>
      </w:pPr>
      <w:r>
        <w:t>**Bandes de Bollinger** : Le prix (1 600 FCFA) a franchi la borne supérieure (1 582,36 FCFA), indiquant une volatilité accrue et une possible extension haussière à très court terme. Cependant, la décision "Vente" suggère que ce franchissement est considéré comme un excès, avec un risque de retour vers la moyenne (1 495 FCFA). La largeur des bandes (écart de 175 FCFA) reflète la forte volatilité du titre.</w:t>
      </w:r>
    </w:p>
    <w:p>
      <w:pPr>
        <w:spacing w:after="120" w:line="276" w:lineRule="auto"/>
      </w:pPr>
      <w:r>
        <w:t>**MACD** : Le MACD (14,188) est nettement supérieur à son signal (0,804), générant un signal d'ACHAT. Cette divergence positive indique un momentum haussier en construction, après une période de consolidation. Cependant, la valeur absolue du MACD reste faible par rapport à l'amplitude des mouvements passés, ce qui limite la portée du signal.</w:t>
      </w:r>
    </w:p>
    <w:p>
      <w:pPr>
        <w:spacing w:after="120" w:line="276" w:lineRule="auto"/>
      </w:pPr>
      <w:r>
        <w:t>**RSI** : Le RSI à 76,119 est en zone de surachat (&gt;70), signalant une pression acheteuse excessive à court terme. La décision "Vente" est cohérente avec ce niveau, car un repli technique est probable pour corriger cette surachat. Les investisseurs devraient attendre un retour du RSI sous 70 avant d'envisager un achat.</w:t>
      </w:r>
    </w:p>
    <w:p>
      <w:pPr>
        <w:spacing w:after="120" w:line="276" w:lineRule="auto"/>
      </w:pPr>
      <w:r>
        <w:t>**Stochastique** : Le %K (100,0) et le %D (91,111) sont tous deux en zone de surachat extrême, avec un %K au maximum. La décision "Vente" est justifiée par cette configuration, qui précède souvent un retournement baissier. Le croisement du %K sous le %D serait un signal de vente confirmé.</w:t>
      </w:r>
    </w:p>
    <w:p>
      <w:pPr>
        <w:spacing w:after="120" w:line="276" w:lineRule="auto"/>
      </w:pPr>
      <w:r>
        <w:t>**Conclusion technique** : Les indicateurs sont partagés entre un momentum haussier (MACD) et des conditions de surachat (RSI, Stochastique, Bollinger). La tendance de fond reste baissière (MM), mais un rebond technique est en cours. La prudence est de mise : les signaux de surachat suggèrent un risque de correction à très court terme, tandis que le MACD indique un potentiel de hausse à moyen terme. La configuration globale penche vers une consolidation avant une éventuelle reprise.</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de SEMC ne sont pas disponibles dans la base, mais les rapports narratifs fournis permettent une analyse approfondie. Le rapport annuel au 31/12/2024 (analysé le 15/03/2026) présente les résultats de l'exercice 2023 : le chiffre d'affaires s'établit à 27,88 milliards FCFA, en baisse de 6% par rapport à 2022 (29,60 milliards FCFA), avec un résultat net de 1,01 milliard FCFA (-74% vs 2022). La marge nette s'est effondrée à 3,6% (vs 13,0% en 2022), et aucun dividende n'a été distribué. Le rapport du 31/12/2023 (analysé le 15/03/2026) présente des chiffres différents et contradictoires : un CA consolidé de 125,4 milliards FCFA et un résultat net de 12,8 milliards FCFA pour 2023, avec un dividende proposé de 250 FCFA/action. Cette divergence majeure entre les rapports (27,88 vs 125,4 milliards FCFA) suggère soit un périmètre différent (social vs consolidé), soit une erreur de saisie. Le rapport du 31/12/2022 (analysé le 16/03/2026) confirme un CA de 125,4 milliards FCFA et un résultat net de 12,8 milliards FCFA pour 2022, avec un dividende de 1 200 FCFA/action. Le rapport trimestriel T1 2023 (analysé le 15/03/2026) indique un CA de 7,65 milliards FCFA (+16,5% vs T1 2022) et un bénéfice net de 855,65 millions FCFA (+37,9%). Sur la base de ce T1 2023, on peut estimer un CA annuel 2023 d'environ 30,6 milliards FCFA (7,65 x 4), cohérent avec le rapport au 31/12/2024 (27,88 milliards FCFA). L'écart avec le chiffre consolidé de 125,4 milliards FCFA reste inexpliqué, mais pourrait refléter une consolidation incluant des filiales non précisées. Les perspectives 2024 mentionnent un objectif de CA de 32 milliards FCFA (+18%), porté par les bouchons couronnes et les exportations, ainsi que le rachat par Sonoco Products Company (finalisé en décembre 2024). La recommandation fondamentale est "CONSERVER avec vigilance" : la société traverse une phase de transition, avec une rentabilité fragile (marge nette à 3,6% en 2023), mais des perspectives de rebond soutenues par le nouvel actionnaire et la stratégie d'exportation.</w:t>
      </w:r>
    </w:p>
    <w:p>
      <w:pPr>
        <w:spacing w:after="120" w:line="276" w:lineRule="auto"/>
      </w:pPr>
      <w:r>
        <w:t>---</w:t>
      </w:r>
    </w:p>
    <w:p>
      <w:pPr>
        <w:spacing w:after="120" w:line="276" w:lineRule="auto"/>
      </w:pPr>
      <w:r>
        <w:t>### PARTIE 4 : CONCLUSION D'INVESTISSEMENT</w:t>
      </w:r>
    </w:p>
    <w:p>
      <w:pPr>
        <w:spacing w:after="120" w:line="276" w:lineRule="auto"/>
      </w:pPr>
      <w:r>
        <w:t>La valorisation de SEMC est difficile à établir précisément, mais le PER implicite (environ 40x sur la base du résultat 2023) suggère une surévaluation relative, malgré la chute du cours. Le comportement du titre est préoccupant : tendance baissière de -27,27% sur 100 jours, volatilité extrême (51% annualisée), et statistiques indiquant un risque de mouvements brusques (kurtosis élevé). Les signaux techniques sont mitigés : le MACD est haussier, mais le RSI et le Stochastique en surachat suggèrent une correction imminente. Les fondamentaux sont contrastés : les résultats 2023 sont décevants (baisse du CA et du résultat net), mais les perspectives 2024-2025 sont positives, portées par le rachat par Sonoco et la stratégie d'exportation. Les prédictions IA (1 498 FCFA à J+1, puis baisse progressive à 1 454 FCFA à J+10) confirment la tendance baissière à court terme, contredisant le signal MACD haussier. La synthèse globale penche vers une prudence accrue : la convergence entre la tendance baissière du cours, les prédictions IA et les fondamentaux dégradés l'emporte sur les signaux techniques isolés. **Recommandation finale : VENTE** (avec un niveau de confiance Moyen). Le risque global est **Élevé** (volatilité extrême, incertitudes fondamentales). L'horizon d'investissement optimal serait le **moyen terme (3-12 mois)** pour observer l'impact du rachat par Sonoco et la concrétisation des objectifs 2024-2025, mais la tendance actuelle ne justifie pas une position acheteuse.</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1222.67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4,726 titres</w:t>
            </w:r>
          </w:p>
        </w:tc>
        <w:tc>
          <w:tcPr>
            <w:tcW w:type="dxa" w:w="2268"/>
            <w:shd w:fill="FFF2CC" w:val="clear"/>
          </w:tcPr>
          <w:p>
            <w:r>
              <w:rPr>
                <w:b/>
                <w:color w:val="503200"/>
                <w:sz w:val="16"/>
              </w:rPr>
              <w:t xml:space="preserve">Cours actuel : </w:t>
            </w:r>
            <w:r>
              <w:rPr>
                <w:color w:val="000000"/>
                <w:sz w:val="17"/>
              </w:rPr>
              <w:t>39,300 FCFA</w:t>
            </w:r>
          </w:p>
          <w:p>
            <w:r>
              <w:rPr>
                <w:b/>
                <w:color w:val="503200"/>
                <w:sz w:val="16"/>
              </w:rPr>
              <w:t xml:space="preserve">Var. 100 jours : </w:t>
            </w:r>
            <w:r>
              <w:rPr>
                <w:b/>
                <w:color w:val="007800"/>
                <w:sz w:val="17"/>
              </w:rPr>
              <w:t>+12.30%</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5.77% (Moyenne) — μ=36,808 FCFA, σ=2,122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β=0.5047 (Défensif) — Cov=0.000015, Var(idx)=0.000030, ρ=0.194,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4,726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σ_j=1.43%/j (Stable) — Vol. annualisée≈22.6%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2026-08-20</w:t>
            </w:r>
          </w:p>
        </w:tc>
        <w:tc>
          <w:tcPr>
            <w:tcW w:type="dxa" w:w="1440"/>
            <w:shd w:fill="FAFAFA" w:val="clear"/>
          </w:tcPr>
          <w:p>
            <w:r>
              <w:rPr>
                <w:sz w:val="17"/>
              </w:rPr>
              <w:t>38,273</w:t>
            </w:r>
          </w:p>
        </w:tc>
        <w:tc>
          <w:tcPr>
            <w:tcW w:type="dxa" w:w="1440"/>
            <w:shd w:fill="FAFAFA" w:val="clear"/>
          </w:tcPr>
          <w:p>
            <w:r>
              <w:rPr>
                <w:b/>
                <w:sz w:val="17"/>
              </w:rPr>
              <w:t>38,753</w:t>
            </w:r>
          </w:p>
        </w:tc>
        <w:tc>
          <w:tcPr>
            <w:tcW w:type="dxa" w:w="1440"/>
            <w:shd w:fill="FAFAFA" w:val="clear"/>
          </w:tcPr>
          <w:p>
            <w:r>
              <w:rPr>
                <w:sz w:val="17"/>
              </w:rPr>
              <w:t>39,233</w:t>
            </w:r>
          </w:p>
        </w:tc>
        <w:tc>
          <w:tcPr>
            <w:tcW w:type="dxa" w:w="1440"/>
            <w:shd w:fill="FAFAFA" w:val="clear"/>
          </w:tcPr>
          <w:p>
            <w:r>
              <w:rPr>
                <w:b/>
                <w:color w:val="C00000"/>
                <w:sz w:val="17"/>
              </w:rPr>
              <w:t>-1.4%</w:t>
            </w:r>
          </w:p>
        </w:tc>
      </w:tr>
      <w:tr>
        <w:tc>
          <w:tcPr>
            <w:tcW w:type="dxa" w:w="1440"/>
            <w:shd w:fill="FAFAFA" w:val="clear"/>
          </w:tcPr>
          <w:p>
            <w:r>
              <w:rPr>
                <w:sz w:val="17"/>
              </w:rPr>
              <w:t>J+2  ⭐⭐⭐</w:t>
            </w:r>
          </w:p>
        </w:tc>
        <w:tc>
          <w:tcPr>
            <w:tcW w:type="dxa" w:w="1440"/>
            <w:shd w:fill="FAFAFA" w:val="clear"/>
          </w:tcPr>
          <w:p>
            <w:r>
              <w:rPr>
                <w:sz w:val="17"/>
              </w:rPr>
              <w:t>2026-08-21</w:t>
            </w:r>
          </w:p>
        </w:tc>
        <w:tc>
          <w:tcPr>
            <w:tcW w:type="dxa" w:w="1440"/>
            <w:shd w:fill="FAFAFA" w:val="clear"/>
          </w:tcPr>
          <w:p>
            <w:r>
              <w:rPr>
                <w:sz w:val="17"/>
              </w:rPr>
              <w:t>37,976</w:t>
            </w:r>
          </w:p>
        </w:tc>
        <w:tc>
          <w:tcPr>
            <w:tcW w:type="dxa" w:w="1440"/>
            <w:shd w:fill="FAFAFA" w:val="clear"/>
          </w:tcPr>
          <w:p>
            <w:r>
              <w:rPr>
                <w:b/>
                <w:sz w:val="17"/>
              </w:rPr>
              <w:t>38,653</w:t>
            </w:r>
          </w:p>
        </w:tc>
        <w:tc>
          <w:tcPr>
            <w:tcW w:type="dxa" w:w="1440"/>
            <w:shd w:fill="FAFAFA" w:val="clear"/>
          </w:tcPr>
          <w:p>
            <w:r>
              <w:rPr>
                <w:sz w:val="17"/>
              </w:rPr>
              <w:t>39,330</w:t>
            </w:r>
          </w:p>
        </w:tc>
        <w:tc>
          <w:tcPr>
            <w:tcW w:type="dxa" w:w="1440"/>
            <w:shd w:fill="FAFAFA" w:val="clear"/>
          </w:tcPr>
          <w:p>
            <w:r>
              <w:rPr>
                <w:b/>
                <w:color w:val="C00000"/>
                <w:sz w:val="17"/>
              </w:rPr>
              <w:t>-1.6%</w:t>
            </w:r>
          </w:p>
        </w:tc>
      </w:tr>
      <w:tr>
        <w:tc>
          <w:tcPr>
            <w:tcW w:type="dxa" w:w="1440"/>
            <w:shd w:fill="FAFAFA" w:val="clear"/>
          </w:tcPr>
          <w:p>
            <w:r>
              <w:rPr>
                <w:sz w:val="17"/>
              </w:rPr>
              <w:t>J+3  ⭐⭐⭐</w:t>
            </w:r>
          </w:p>
        </w:tc>
        <w:tc>
          <w:tcPr>
            <w:tcW w:type="dxa" w:w="1440"/>
            <w:shd w:fill="FAFAFA" w:val="clear"/>
          </w:tcPr>
          <w:p>
            <w:r>
              <w:rPr>
                <w:sz w:val="17"/>
              </w:rPr>
              <w:t>2026-08-24</w:t>
            </w:r>
          </w:p>
        </w:tc>
        <w:tc>
          <w:tcPr>
            <w:tcW w:type="dxa" w:w="1440"/>
            <w:shd w:fill="FAFAFA" w:val="clear"/>
          </w:tcPr>
          <w:p>
            <w:r>
              <w:rPr>
                <w:sz w:val="17"/>
              </w:rPr>
              <w:t>37,718</w:t>
            </w:r>
          </w:p>
        </w:tc>
        <w:tc>
          <w:tcPr>
            <w:tcW w:type="dxa" w:w="1440"/>
            <w:shd w:fill="FAFAFA" w:val="clear"/>
          </w:tcPr>
          <w:p>
            <w:r>
              <w:rPr>
                <w:b/>
                <w:sz w:val="17"/>
              </w:rPr>
              <w:t>38,544</w:t>
            </w:r>
          </w:p>
        </w:tc>
        <w:tc>
          <w:tcPr>
            <w:tcW w:type="dxa" w:w="1440"/>
            <w:shd w:fill="FAFAFA" w:val="clear"/>
          </w:tcPr>
          <w:p>
            <w:r>
              <w:rPr>
                <w:sz w:val="17"/>
              </w:rPr>
              <w:t>39,371</w:t>
            </w:r>
          </w:p>
        </w:tc>
        <w:tc>
          <w:tcPr>
            <w:tcW w:type="dxa" w:w="1440"/>
            <w:shd w:fill="FAFAFA" w:val="clear"/>
          </w:tcPr>
          <w:p>
            <w:r>
              <w:rPr>
                <w:b/>
                <w:color w:val="C00000"/>
                <w:sz w:val="17"/>
              </w:rPr>
              <w:t>-1.9%</w:t>
            </w:r>
          </w:p>
        </w:tc>
      </w:tr>
      <w:tr>
        <w:tc>
          <w:tcPr>
            <w:tcW w:type="dxa" w:w="1440"/>
            <w:shd w:fill="FFDCE0" w:val="clear"/>
          </w:tcPr>
          <w:p>
            <w:r>
              <w:rPr>
                <w:sz w:val="17"/>
              </w:rPr>
              <w:t>J+4  Moyenne</w:t>
            </w:r>
          </w:p>
        </w:tc>
        <w:tc>
          <w:tcPr>
            <w:tcW w:type="dxa" w:w="1440"/>
            <w:shd w:fill="FFDCE0" w:val="clear"/>
          </w:tcPr>
          <w:p>
            <w:r>
              <w:rPr>
                <w:sz w:val="17"/>
              </w:rPr>
              <w:t>2026-08-25</w:t>
            </w:r>
          </w:p>
        </w:tc>
        <w:tc>
          <w:tcPr>
            <w:tcW w:type="dxa" w:w="1440"/>
            <w:shd w:fill="FFDCE0" w:val="clear"/>
          </w:tcPr>
          <w:p>
            <w:r>
              <w:rPr>
                <w:sz w:val="17"/>
              </w:rPr>
              <w:t>37,491</w:t>
            </w:r>
          </w:p>
        </w:tc>
        <w:tc>
          <w:tcPr>
            <w:tcW w:type="dxa" w:w="1440"/>
            <w:shd w:fill="FFDCE0" w:val="clear"/>
          </w:tcPr>
          <w:p>
            <w:r>
              <w:rPr>
                <w:b/>
                <w:sz w:val="17"/>
              </w:rPr>
              <w:t>38,442</w:t>
            </w:r>
          </w:p>
        </w:tc>
        <w:tc>
          <w:tcPr>
            <w:tcW w:type="dxa" w:w="1440"/>
            <w:shd w:fill="FFDCE0" w:val="clear"/>
          </w:tcPr>
          <w:p>
            <w:r>
              <w:rPr>
                <w:sz w:val="17"/>
              </w:rPr>
              <w:t>39,394</w:t>
            </w:r>
          </w:p>
        </w:tc>
        <w:tc>
          <w:tcPr>
            <w:tcW w:type="dxa" w:w="1440"/>
            <w:shd w:fill="FFDCE0" w:val="clear"/>
          </w:tcPr>
          <w:p>
            <w:r>
              <w:rPr>
                <w:b/>
                <w:color w:val="C00000"/>
                <w:sz w:val="17"/>
              </w:rPr>
              <w:t>-2.2%</w:t>
            </w:r>
          </w:p>
        </w:tc>
      </w:tr>
      <w:tr>
        <w:tc>
          <w:tcPr>
            <w:tcW w:type="dxa" w:w="1440"/>
            <w:shd w:fill="FFDCE0" w:val="clear"/>
          </w:tcPr>
          <w:p>
            <w:r>
              <w:rPr>
                <w:sz w:val="17"/>
              </w:rPr>
              <w:t>J+5  Moyenne</w:t>
            </w:r>
          </w:p>
        </w:tc>
        <w:tc>
          <w:tcPr>
            <w:tcW w:type="dxa" w:w="1440"/>
            <w:shd w:fill="FFDCE0" w:val="clear"/>
          </w:tcPr>
          <w:p>
            <w:r>
              <w:rPr>
                <w:sz w:val="17"/>
              </w:rPr>
              <w:t>2026-08-27</w:t>
            </w:r>
          </w:p>
        </w:tc>
        <w:tc>
          <w:tcPr>
            <w:tcW w:type="dxa" w:w="1440"/>
            <w:shd w:fill="FFDCE0" w:val="clear"/>
          </w:tcPr>
          <w:p>
            <w:r>
              <w:rPr>
                <w:sz w:val="17"/>
              </w:rPr>
              <w:t>37,286</w:t>
            </w:r>
          </w:p>
        </w:tc>
        <w:tc>
          <w:tcPr>
            <w:tcW w:type="dxa" w:w="1440"/>
            <w:shd w:fill="FFDCE0" w:val="clear"/>
          </w:tcPr>
          <w:p>
            <w:r>
              <w:rPr>
                <w:b/>
                <w:sz w:val="17"/>
              </w:rPr>
              <w:t>38,347</w:t>
            </w:r>
          </w:p>
        </w:tc>
        <w:tc>
          <w:tcPr>
            <w:tcW w:type="dxa" w:w="1440"/>
            <w:shd w:fill="FFDCE0" w:val="clear"/>
          </w:tcPr>
          <w:p>
            <w:r>
              <w:rPr>
                <w:sz w:val="17"/>
              </w:rPr>
              <w:t>39,409</w:t>
            </w:r>
          </w:p>
        </w:tc>
        <w:tc>
          <w:tcPr>
            <w:tcW w:type="dxa" w:w="1440"/>
            <w:shd w:fill="FFDCE0" w:val="clear"/>
          </w:tcPr>
          <w:p>
            <w:r>
              <w:rPr>
                <w:b/>
                <w:color w:val="C00000"/>
                <w:sz w:val="17"/>
              </w:rPr>
              <w:t>-2.4%</w:t>
            </w:r>
          </w:p>
        </w:tc>
      </w:tr>
      <w:tr>
        <w:tc>
          <w:tcPr>
            <w:tcW w:type="dxa" w:w="1440"/>
            <w:shd w:fill="FFDCE0" w:val="clear"/>
          </w:tcPr>
          <w:p>
            <w:r>
              <w:rPr>
                <w:sz w:val="17"/>
              </w:rPr>
              <w:t>J+6  Moyenne</w:t>
            </w:r>
          </w:p>
        </w:tc>
        <w:tc>
          <w:tcPr>
            <w:tcW w:type="dxa" w:w="1440"/>
            <w:shd w:fill="FFDCE0" w:val="clear"/>
          </w:tcPr>
          <w:p>
            <w:r>
              <w:rPr>
                <w:sz w:val="17"/>
              </w:rPr>
              <w:t>2026-08-28</w:t>
            </w:r>
          </w:p>
        </w:tc>
        <w:tc>
          <w:tcPr>
            <w:tcW w:type="dxa" w:w="1440"/>
            <w:shd w:fill="FFDCE0" w:val="clear"/>
          </w:tcPr>
          <w:p>
            <w:r>
              <w:rPr>
                <w:sz w:val="17"/>
              </w:rPr>
              <w:t>37,097</w:t>
            </w:r>
          </w:p>
        </w:tc>
        <w:tc>
          <w:tcPr>
            <w:tcW w:type="dxa" w:w="1440"/>
            <w:shd w:fill="FFDCE0" w:val="clear"/>
          </w:tcPr>
          <w:p>
            <w:r>
              <w:rPr>
                <w:b/>
                <w:sz w:val="17"/>
              </w:rPr>
              <w:t>38,257</w:t>
            </w:r>
          </w:p>
        </w:tc>
        <w:tc>
          <w:tcPr>
            <w:tcW w:type="dxa" w:w="1440"/>
            <w:shd w:fill="FFDCE0" w:val="clear"/>
          </w:tcPr>
          <w:p>
            <w:r>
              <w:rPr>
                <w:sz w:val="17"/>
              </w:rPr>
              <w:t>39,417</w:t>
            </w:r>
          </w:p>
        </w:tc>
        <w:tc>
          <w:tcPr>
            <w:tcW w:type="dxa" w:w="1440"/>
            <w:shd w:fill="FFDCE0" w:val="clear"/>
          </w:tcPr>
          <w:p>
            <w:r>
              <w:rPr>
                <w:b/>
                <w:color w:val="C00000"/>
                <w:sz w:val="17"/>
              </w:rPr>
              <w:t>-2.7%</w:t>
            </w:r>
          </w:p>
        </w:tc>
      </w:tr>
      <w:tr>
        <w:tc>
          <w:tcPr>
            <w:tcW w:type="dxa" w:w="1440"/>
            <w:shd w:fill="FFDCE0" w:val="clear"/>
          </w:tcPr>
          <w:p>
            <w:r>
              <w:rPr>
                <w:sz w:val="17"/>
              </w:rPr>
              <w:t>J+7  Moyenne</w:t>
            </w:r>
          </w:p>
        </w:tc>
        <w:tc>
          <w:tcPr>
            <w:tcW w:type="dxa" w:w="1440"/>
            <w:shd w:fill="FFDCE0" w:val="clear"/>
          </w:tcPr>
          <w:p>
            <w:r>
              <w:rPr>
                <w:sz w:val="17"/>
              </w:rPr>
              <w:t>2026-08-31</w:t>
            </w:r>
          </w:p>
        </w:tc>
        <w:tc>
          <w:tcPr>
            <w:tcW w:type="dxa" w:w="1440"/>
            <w:shd w:fill="FFDCE0" w:val="clear"/>
          </w:tcPr>
          <w:p>
            <w:r>
              <w:rPr>
                <w:sz w:val="17"/>
              </w:rPr>
              <w:t>36,919</w:t>
            </w:r>
          </w:p>
        </w:tc>
        <w:tc>
          <w:tcPr>
            <w:tcW w:type="dxa" w:w="1440"/>
            <w:shd w:fill="FFDCE0" w:val="clear"/>
          </w:tcPr>
          <w:p>
            <w:r>
              <w:rPr>
                <w:b/>
                <w:sz w:val="17"/>
              </w:rPr>
              <w:t>38,169</w:t>
            </w:r>
          </w:p>
        </w:tc>
        <w:tc>
          <w:tcPr>
            <w:tcW w:type="dxa" w:w="1440"/>
            <w:shd w:fill="FFDCE0" w:val="clear"/>
          </w:tcPr>
          <w:p>
            <w:r>
              <w:rPr>
                <w:sz w:val="17"/>
              </w:rPr>
              <w:t>39,420</w:t>
            </w:r>
          </w:p>
        </w:tc>
        <w:tc>
          <w:tcPr>
            <w:tcW w:type="dxa" w:w="1440"/>
            <w:shd w:fill="FFDCE0" w:val="clear"/>
          </w:tcPr>
          <w:p>
            <w:r>
              <w:rPr>
                <w:b/>
                <w:color w:val="C00000"/>
                <w:sz w:val="17"/>
              </w:rPr>
              <w:t>-2.9%</w:t>
            </w:r>
          </w:p>
        </w:tc>
      </w:tr>
      <w:tr>
        <w:tc>
          <w:tcPr>
            <w:tcW w:type="dxa" w:w="1440"/>
            <w:shd w:fill="FFDCE0" w:val="clear"/>
          </w:tcPr>
          <w:p>
            <w:r>
              <w:rPr>
                <w:sz w:val="17"/>
              </w:rPr>
              <w:t>J+8  Moyenne</w:t>
            </w:r>
          </w:p>
        </w:tc>
        <w:tc>
          <w:tcPr>
            <w:tcW w:type="dxa" w:w="1440"/>
            <w:shd w:fill="FFDCE0" w:val="clear"/>
          </w:tcPr>
          <w:p>
            <w:r>
              <w:rPr>
                <w:sz w:val="17"/>
              </w:rPr>
              <w:t>2026-09-01</w:t>
            </w:r>
          </w:p>
        </w:tc>
        <w:tc>
          <w:tcPr>
            <w:tcW w:type="dxa" w:w="1440"/>
            <w:shd w:fill="FFDCE0" w:val="clear"/>
          </w:tcPr>
          <w:p>
            <w:r>
              <w:rPr>
                <w:sz w:val="17"/>
              </w:rPr>
              <w:t>36,751</w:t>
            </w:r>
          </w:p>
        </w:tc>
        <w:tc>
          <w:tcPr>
            <w:tcW w:type="dxa" w:w="1440"/>
            <w:shd w:fill="FFDCE0" w:val="clear"/>
          </w:tcPr>
          <w:p>
            <w:r>
              <w:rPr>
                <w:b/>
                <w:sz w:val="17"/>
              </w:rPr>
              <w:t>38,084</w:t>
            </w:r>
          </w:p>
        </w:tc>
        <w:tc>
          <w:tcPr>
            <w:tcW w:type="dxa" w:w="1440"/>
            <w:shd w:fill="FFDCE0" w:val="clear"/>
          </w:tcPr>
          <w:p>
            <w:r>
              <w:rPr>
                <w:sz w:val="17"/>
              </w:rPr>
              <w:t>39,418</w:t>
            </w:r>
          </w:p>
        </w:tc>
        <w:tc>
          <w:tcPr>
            <w:tcW w:type="dxa" w:w="1440"/>
            <w:shd w:fill="FFDCE0" w:val="clear"/>
          </w:tcPr>
          <w:p>
            <w:r>
              <w:rPr>
                <w:b/>
                <w:color w:val="C00000"/>
                <w:sz w:val="17"/>
              </w:rPr>
              <w:t>-3.1%</w:t>
            </w:r>
          </w:p>
        </w:tc>
      </w:tr>
      <w:tr>
        <w:tc>
          <w:tcPr>
            <w:tcW w:type="dxa" w:w="1440"/>
            <w:shd w:fill="FFDCE0" w:val="clear"/>
          </w:tcPr>
          <w:p>
            <w:r>
              <w:rPr>
                <w:sz w:val="17"/>
              </w:rPr>
              <w:t>J+9  Moyenne</w:t>
            </w:r>
          </w:p>
        </w:tc>
        <w:tc>
          <w:tcPr>
            <w:tcW w:type="dxa" w:w="1440"/>
            <w:shd w:fill="FFDCE0" w:val="clear"/>
          </w:tcPr>
          <w:p>
            <w:r>
              <w:rPr>
                <w:sz w:val="17"/>
              </w:rPr>
              <w:t>2026-09-02</w:t>
            </w:r>
          </w:p>
        </w:tc>
        <w:tc>
          <w:tcPr>
            <w:tcW w:type="dxa" w:w="1440"/>
            <w:shd w:fill="FFDCE0" w:val="clear"/>
          </w:tcPr>
          <w:p>
            <w:r>
              <w:rPr>
                <w:sz w:val="17"/>
              </w:rPr>
              <w:t>36,590</w:t>
            </w:r>
          </w:p>
        </w:tc>
        <w:tc>
          <w:tcPr>
            <w:tcW w:type="dxa" w:w="1440"/>
            <w:shd w:fill="FFDCE0" w:val="clear"/>
          </w:tcPr>
          <w:p>
            <w:r>
              <w:rPr>
                <w:b/>
                <w:sz w:val="17"/>
              </w:rPr>
              <w:t>38,001</w:t>
            </w:r>
          </w:p>
        </w:tc>
        <w:tc>
          <w:tcPr>
            <w:tcW w:type="dxa" w:w="1440"/>
            <w:shd w:fill="FFDCE0" w:val="clear"/>
          </w:tcPr>
          <w:p>
            <w:r>
              <w:rPr>
                <w:sz w:val="17"/>
              </w:rPr>
              <w:t>39,413</w:t>
            </w:r>
          </w:p>
        </w:tc>
        <w:tc>
          <w:tcPr>
            <w:tcW w:type="dxa" w:w="1440"/>
            <w:shd w:fill="FFDCE0" w:val="clear"/>
          </w:tcPr>
          <w:p>
            <w:r>
              <w:rPr>
                <w:b/>
                <w:color w:val="C00000"/>
                <w:sz w:val="17"/>
              </w:rPr>
              <w:t>-3.3%</w:t>
            </w:r>
          </w:p>
        </w:tc>
      </w:tr>
      <w:tr>
        <w:tc>
          <w:tcPr>
            <w:tcW w:type="dxa" w:w="1440"/>
            <w:shd w:fill="FFDCE0" w:val="clear"/>
          </w:tcPr>
          <w:p>
            <w:r>
              <w:rPr>
                <w:sz w:val="17"/>
              </w:rPr>
              <w:t>J+10  Moyenne</w:t>
            </w:r>
          </w:p>
        </w:tc>
        <w:tc>
          <w:tcPr>
            <w:tcW w:type="dxa" w:w="1440"/>
            <w:shd w:fill="FFDCE0" w:val="clear"/>
          </w:tcPr>
          <w:p>
            <w:r>
              <w:rPr>
                <w:sz w:val="17"/>
              </w:rPr>
              <w:t>2026-09-03</w:t>
            </w:r>
          </w:p>
        </w:tc>
        <w:tc>
          <w:tcPr>
            <w:tcW w:type="dxa" w:w="1440"/>
            <w:shd w:fill="FFDCE0" w:val="clear"/>
          </w:tcPr>
          <w:p>
            <w:r>
              <w:rPr>
                <w:sz w:val="17"/>
              </w:rPr>
              <w:t>36,436</w:t>
            </w:r>
          </w:p>
        </w:tc>
        <w:tc>
          <w:tcPr>
            <w:tcW w:type="dxa" w:w="1440"/>
            <w:shd w:fill="FFDCE0" w:val="clear"/>
          </w:tcPr>
          <w:p>
            <w:r>
              <w:rPr>
                <w:b/>
                <w:sz w:val="17"/>
              </w:rPr>
              <w:t>37,920</w:t>
            </w:r>
          </w:p>
        </w:tc>
        <w:tc>
          <w:tcPr>
            <w:tcW w:type="dxa" w:w="1440"/>
            <w:shd w:fill="FFDCE0" w:val="clear"/>
          </w:tcPr>
          <w:p>
            <w:r>
              <w:rPr>
                <w:sz w:val="17"/>
              </w:rPr>
              <w:t>39,405</w:t>
            </w:r>
          </w:p>
        </w:tc>
        <w:tc>
          <w:tcPr>
            <w:tcW w:type="dxa" w:w="1440"/>
            <w:shd w:fill="FFDCE0" w:val="clear"/>
          </w:tcPr>
          <w:p>
            <w:r>
              <w:rPr>
                <w:b/>
                <w:color w:val="C00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SGBC (Société Générale Côte d'Ivoire)**</w:t>
        <w:br/>
        <w:t>**Date de l'analyse : 19 août 2026**</w:t>
        <w:br/>
        <w:t>**Cours de référence : 39 300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SGBC s'établit à 1 222,67 milliards FCFA, ce qui en fait l'une des plus importantes capitalisations de la BRVM, reflétant son statut de leader bancaire régional. Avec un BPA de 3 258 FCFA, le titre se négocie à un PER de 12,1x, légèrement au-dessus de la moyenne historique de la place (~8-12x), ce qui témoigne d'une valorisation raisonnable mais non bradée, intégrant une prime de qualité. Le P/B de 2,47x, dans la fourchette de 2 à 4x, indique que le marché valorise la société à plus du double de sa valeur comptable, récompensant sa rentabilité supérieure et ses perspectives de croissance. Enfin, l'EV/EBITDA de 24,7x est particulièrement exigeant, signalant que les investisseurs paient un prix élevé pour la capacité opérationnelle de la banque, ce qui laisse peu de marge d'erreur sur l'exécution de la stratégie.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SGBC a enregistré une progression totale de +12,30%, avec une dernière séance en légère hausse de +0,26%, confirmant une dynamique haussière soutenue. Le titre a évolué dans un range de trading de 32 800 FCFA (plus bas) à 39 300 FCFA (plus haut), ce dernier représentant le cours actuel, soit le sommet de la période. La moyenne du cours sur la période est de 36 808 FCFA pour une médiane de 37 928 FCFA ; l'écart entre ces deux valeurs, couplé à un skewness négatif de -0,467, suggère une distribution légèrement asymétrique avec une queue de distribution vers les valeurs basses, mais la concentration récente des prix près des sommets. L'écart-type de 2 133 FCFA (CV de 5,8%) indique une dispersion relativement faible, tandis que le kurtosis en excès de -1,275 (platykurtique) révèle une distribution aplatie, signifiant l'absence de mouvements extrêmes et de pics de volatilité brutaux. La volatilité annualisée de 22,6% classe le titre dans une zone de volatilité modérée (15-30%), acceptable pour une valeur bancaire de cette envergure.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(39 300 FCFA) se situe au-dessus de la MM20 (38 422 FCFA) et de la MM50 (38 585 FCFA), indiquant une tendance haussière de court et moyen terme. Cependant, la décision technique globale est "Vente", ce qui peut paraître contre-intuitif. Cette divergence s'explique probablement par l'écart important entre le cours et les moyennes, signalant des conditions de surachat à court terme, où un repli technique vers les moyennes est statistiquement probable.</w:t>
      </w:r>
    </w:p>
    <w:p>
      <w:pPr>
        <w:spacing w:after="120" w:line="276" w:lineRule="auto"/>
      </w:pPr>
      <w:r>
        <w:t>**Bandes de Bollinger** : Le cours (39 300 FCFA) se positionne près de la borne supérieure (39 542,61 FCFA) et nettement au-dessus de la borne inférieure (37 301,39 FCFA). Cette configuration indique une pression acheteuse forte et une volatilité en expansion. La décision "Neutre" suggère que, bien que le titre soit à des niveaux élevés, il ne franchit pas encore la borne, laissant place à une possible poursuite de la tendance ou à un retour vers la moyenne.</w:t>
      </w:r>
    </w:p>
    <w:p>
      <w:pPr>
        <w:spacing w:after="120" w:line="276" w:lineRule="auto"/>
      </w:pPr>
      <w:r>
        <w:t>**MACD** : La valeur du MACD (269,741) est nettement supérieure à son signal (146,369), avec un écart positif croissant. Cette configuration est un signal classique d'achat, indiquant un momentum haussier robuste et une accélération de la dynamique des prix. La décision "Achat" est cohérente avec la tendance générale observée sur la période.</w:t>
      </w:r>
    </w:p>
    <w:p>
      <w:pPr>
        <w:spacing w:after="120" w:line="276" w:lineRule="auto"/>
      </w:pPr>
      <w:r>
        <w:t>**RSI** : Le RSI s'établit à 70,9, franchissant le seuil de surachat (70). Cette valeur indique que le titre est techniquement suracheté, ce qui signifie que la pression acheteuse a été intense et que le risque d'un essoufflement ou d'une correction technique augmente. La décision "Vente" est donc un signal de prudence, suggérant de ne pas renforcer les positions à ces niveaux.</w:t>
      </w:r>
    </w:p>
    <w:p>
      <w:pPr>
        <w:spacing w:after="120" w:line="276" w:lineRule="auto"/>
      </w:pPr>
      <w:r>
        <w:t>**Stochastique** : Le %K est à 100,0 et le %D à 97,611, tous deux en zone de surachat extrême. Le %K étant au maximum, cela reflète une force acheteuse exceptionnelle mais également des conditions de marché extrêmement tendues. La décision "Vente" signale un risque élevé de retournement ou de consolidation à très court terme.</w:t>
      </w:r>
    </w:p>
    <w:p>
      <w:pPr>
        <w:spacing w:after="120" w:line="276" w:lineRule="auto"/>
      </w:pPr>
      <w:r>
        <w:t>**Conclusion technique** : La convergence des indicateurs de momentum (RSI, Stochastique) vers des zones de surachat extrême contraste avec la divergence du MACD qui reste positif. Les moyennes mobiles et les bandes de Bollinger suggèrent une tendance haussière intacte mais potentiellement surchauffée. La prudence est de mise à court terme, avec un risque de consolidation, mais la tendance de fond demeure positive.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officielles de SGBC font état d'un Produit Net Bancaire (PNB) de 276,048 milliards FCFA et d'un résultat net de 101,352 milliards FCFA, confirmant la performance record de l'exercice 2024 (PNB de 263,2 Mds et RN de 101,2 Mds selon le rapport annuel 2024). La rentabilité est excellente avec un ROE de 20,47% et un ROA de 2,69%, démontrant une utilisation très efficace des capitaux propres et des actifs. Le coefficient d'exploitation de 38,75% est remarquable, bien en dessous du seuil de 60% considéré comme efficace, et confirme une maîtrise rigoureuse des coûts. La structure financière est saine : les dépôts clientèle (2 907,675 Mds FCFA) excèdent largement les créances sur la clientèle (2 546,290 Mds FCFA), avec un ratio de transformation prudent. Le coût du risque, avec des provisions de 17,995 Mds FCFA, reste contenu. Les rapports trimestriels 2025 confirment cette trajectoire : le T1 2025 (PNB +1,3%, RN +2,2%), le S1 2025 (PNB +1,0%, RN +10,0%) et le cumul 9 mois 2025 (PNB +2,5%, RN +11,7%) montrent une amélioration continue de la rentabilité, portée par une collecte de dépôts dynamique (+13,9% sur 9 mois) et une stabilisation des crédits. Sur la base de ces tendances, on estime que l'exercice 2026 pourrait voir le PNB dépasser les 280 milliards FCFA et le résultat net approcher les 110 milliards FCFA, soutenus par la digitalisation et la solidité financière (notation AAA). Les risques principaux restent la hausse du taux de créances en souffrance (NPL à 7,8% au S1 2025) et un environnement concurrentiel accru.</w:t>
      </w:r>
    </w:p>
    <w:p>
      <w:pPr>
        <w:spacing w:after="120" w:line="276" w:lineRule="auto"/>
      </w:pPr>
      <w:r>
        <w:t>---</w:t>
      </w:r>
    </w:p>
    <w:p>
      <w:pPr>
        <w:spacing w:after="120" w:line="276" w:lineRule="auto"/>
      </w:pPr>
      <w:r>
        <w:t>### PARTIE 4 : CONCLUSION D'INVESTISSEMENT</w:t>
      </w:r>
    </w:p>
    <w:p>
      <w:pPr>
        <w:spacing w:after="120" w:line="276" w:lineRule="auto"/>
      </w:pPr>
      <w:r>
        <w:t>La synthèse globale fait ressortir une convergence positive entre les fondamentaux et la tendance du cours, mais une divergence avec les signaux techniques de court terme. La valorisation (PER de 12,1x, P/B de 2,47x) est certes exigeante, mais justifiée par une rentabilité exceptionnelle (ROE &gt; 20%) et une croissance soutenue du résultat net. Le comportement du cours (+12,3% sur 100 jours) et la volatilité modérée (22,6%) reflètent la confiance des investisseurs. Les signaux techniques, bien que positifs sur le fond (MACD haussier), sont actuellement en zone de surachat (RSI à 70,9, Stochastique à 100), suggérant un risque de consolidation à court terme. Les fondamentaux, eux, sont d'une solidité remarquable, avec une banque leader, notée AAA et affichant une croissance rentable. Les prédictions IA pour les 10 prochains jours (de 38 753 à 38 347 FCFA) indiquent un léger repli technique, confirmant l'hypothèse d'une pause dans la hausse. **Recommandation finale : ACHAT** (sur repli), avec un niveau de confiance **Moyen** et un risque global **Moyen**. L'horizon d'investissement optimal est le **moyen terme (3-12 mois)**, en profitant d'une éventuelle correction technique pour renforcer les positions, la tendance de fond demeurant haussière.</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151.20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4,306 titres</w:t>
            </w:r>
          </w:p>
        </w:tc>
        <w:tc>
          <w:tcPr>
            <w:tcW w:type="dxa" w:w="2268"/>
            <w:shd w:fill="FFF2CC" w:val="clear"/>
          </w:tcPr>
          <w:p>
            <w:r>
              <w:rPr>
                <w:b/>
                <w:color w:val="503200"/>
                <w:sz w:val="16"/>
              </w:rPr>
              <w:t xml:space="preserve">Cours actuel : </w:t>
            </w:r>
            <w:r>
              <w:rPr>
                <w:color w:val="000000"/>
                <w:sz w:val="17"/>
              </w:rPr>
              <w:t>2,400 FCFA</w:t>
            </w:r>
          </w:p>
          <w:p>
            <w:r>
              <w:rPr>
                <w:b/>
                <w:color w:val="503200"/>
                <w:sz w:val="16"/>
              </w:rPr>
              <w:t xml:space="preserve">Var. 100 jours : </w:t>
            </w:r>
            <w:r>
              <w:rPr>
                <w:b/>
                <w:color w:val="007800"/>
                <w:sz w:val="17"/>
              </w:rPr>
              <w:t>+9.09%</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6.19% (Moyenne) — μ=2,109 FCFA, σ=131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β=1.0852 (Neutre (suit le marché)) — Cov=0.000033, Var(idx)=0.000030, ρ=0.266,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4,306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σ_j=2.24%/j (Stable) — Vol. annualisée≈35.5%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2026-08-20</w:t>
            </w:r>
          </w:p>
        </w:tc>
        <w:tc>
          <w:tcPr>
            <w:tcW w:type="dxa" w:w="1440"/>
            <w:shd w:fill="FFDCE0" w:val="clear"/>
          </w:tcPr>
          <w:p>
            <w:r>
              <w:rPr>
                <w:sz w:val="17"/>
              </w:rPr>
              <w:t>2,170</w:t>
            </w:r>
          </w:p>
        </w:tc>
        <w:tc>
          <w:tcPr>
            <w:tcW w:type="dxa" w:w="1440"/>
            <w:shd w:fill="FFDCE0" w:val="clear"/>
          </w:tcPr>
          <w:p>
            <w:r>
              <w:rPr>
                <w:b/>
                <w:sz w:val="17"/>
              </w:rPr>
              <w:t>2,256</w:t>
            </w:r>
          </w:p>
        </w:tc>
        <w:tc>
          <w:tcPr>
            <w:tcW w:type="dxa" w:w="1440"/>
            <w:shd w:fill="FFDCE0" w:val="clear"/>
          </w:tcPr>
          <w:p>
            <w:r>
              <w:rPr>
                <w:sz w:val="17"/>
              </w:rPr>
              <w:t>2,343</w:t>
            </w:r>
          </w:p>
        </w:tc>
        <w:tc>
          <w:tcPr>
            <w:tcW w:type="dxa" w:w="1440"/>
            <w:shd w:fill="FFDCE0" w:val="clear"/>
          </w:tcPr>
          <w:p>
            <w:r>
              <w:rPr>
                <w:b/>
                <w:color w:val="C00000"/>
                <w:sz w:val="17"/>
              </w:rPr>
              <w:t>-6.0%</w:t>
            </w:r>
          </w:p>
        </w:tc>
      </w:tr>
      <w:tr>
        <w:tc>
          <w:tcPr>
            <w:tcW w:type="dxa" w:w="1440"/>
            <w:shd w:fill="FFDCE0" w:val="clear"/>
          </w:tcPr>
          <w:p>
            <w:r>
              <w:rPr>
                <w:sz w:val="17"/>
              </w:rPr>
              <w:t>J+2  Moyenne</w:t>
            </w:r>
          </w:p>
        </w:tc>
        <w:tc>
          <w:tcPr>
            <w:tcW w:type="dxa" w:w="1440"/>
            <w:shd w:fill="FFDCE0" w:val="clear"/>
          </w:tcPr>
          <w:p>
            <w:r>
              <w:rPr>
                <w:sz w:val="17"/>
              </w:rPr>
              <w:t>2026-08-21</w:t>
            </w:r>
          </w:p>
        </w:tc>
        <w:tc>
          <w:tcPr>
            <w:tcW w:type="dxa" w:w="1440"/>
            <w:shd w:fill="FFDCE0" w:val="clear"/>
          </w:tcPr>
          <w:p>
            <w:r>
              <w:rPr>
                <w:sz w:val="17"/>
              </w:rPr>
              <w:t>2,030</w:t>
            </w:r>
          </w:p>
        </w:tc>
        <w:tc>
          <w:tcPr>
            <w:tcW w:type="dxa" w:w="1440"/>
            <w:shd w:fill="FFDCE0" w:val="clear"/>
          </w:tcPr>
          <w:p>
            <w:r>
              <w:rPr>
                <w:b/>
                <w:sz w:val="17"/>
              </w:rPr>
              <w:t>2,146</w:t>
            </w:r>
          </w:p>
        </w:tc>
        <w:tc>
          <w:tcPr>
            <w:tcW w:type="dxa" w:w="1440"/>
            <w:shd w:fill="FFDCE0" w:val="clear"/>
          </w:tcPr>
          <w:p>
            <w:r>
              <w:rPr>
                <w:sz w:val="17"/>
              </w:rPr>
              <w:t>2,262</w:t>
            </w:r>
          </w:p>
        </w:tc>
        <w:tc>
          <w:tcPr>
            <w:tcW w:type="dxa" w:w="1440"/>
            <w:shd w:fill="FFDCE0" w:val="clear"/>
          </w:tcPr>
          <w:p>
            <w:r>
              <w:rPr>
                <w:b/>
                <w:color w:val="C00000"/>
                <w:sz w:val="17"/>
              </w:rPr>
              <w:t>-10.6%</w:t>
            </w:r>
          </w:p>
        </w:tc>
      </w:tr>
      <w:tr>
        <w:tc>
          <w:tcPr>
            <w:tcW w:type="dxa" w:w="1440"/>
            <w:shd w:fill="FFDCE0" w:val="clear"/>
          </w:tcPr>
          <w:p>
            <w:r>
              <w:rPr>
                <w:sz w:val="17"/>
              </w:rPr>
              <w:t>J+3  Moyenne</w:t>
            </w:r>
          </w:p>
        </w:tc>
        <w:tc>
          <w:tcPr>
            <w:tcW w:type="dxa" w:w="1440"/>
            <w:shd w:fill="FFDCE0" w:val="clear"/>
          </w:tcPr>
          <w:p>
            <w:r>
              <w:rPr>
                <w:sz w:val="17"/>
              </w:rPr>
              <w:t>2026-08-24</w:t>
            </w:r>
          </w:p>
        </w:tc>
        <w:tc>
          <w:tcPr>
            <w:tcW w:type="dxa" w:w="1440"/>
            <w:shd w:fill="FFDCE0" w:val="clear"/>
          </w:tcPr>
          <w:p>
            <w:r>
              <w:rPr>
                <w:sz w:val="17"/>
              </w:rPr>
              <w:t>1,911</w:t>
            </w:r>
          </w:p>
        </w:tc>
        <w:tc>
          <w:tcPr>
            <w:tcW w:type="dxa" w:w="1440"/>
            <w:shd w:fill="FFDCE0" w:val="clear"/>
          </w:tcPr>
          <w:p>
            <w:r>
              <w:rPr>
                <w:b/>
                <w:sz w:val="17"/>
              </w:rPr>
              <w:t>2,047</w:t>
            </w:r>
          </w:p>
        </w:tc>
        <w:tc>
          <w:tcPr>
            <w:tcW w:type="dxa" w:w="1440"/>
            <w:shd w:fill="FFDCE0" w:val="clear"/>
          </w:tcPr>
          <w:p>
            <w:r>
              <w:rPr>
                <w:sz w:val="17"/>
              </w:rPr>
              <w:t>2,183</w:t>
            </w:r>
          </w:p>
        </w:tc>
        <w:tc>
          <w:tcPr>
            <w:tcW w:type="dxa" w:w="1440"/>
            <w:shd w:fill="FFDCE0" w:val="clear"/>
          </w:tcPr>
          <w:p>
            <w:r>
              <w:rPr>
                <w:b/>
                <w:color w:val="C00000"/>
                <w:sz w:val="17"/>
              </w:rPr>
              <w:t>-14.7%</w:t>
            </w:r>
          </w:p>
        </w:tc>
      </w:tr>
      <w:tr>
        <w:tc>
          <w:tcPr>
            <w:tcW w:type="dxa" w:w="1440"/>
            <w:shd w:fill="FFDCE0" w:val="clear"/>
          </w:tcPr>
          <w:p>
            <w:r>
              <w:rPr>
                <w:sz w:val="17"/>
              </w:rPr>
              <w:t>J+4  ⭐</w:t>
            </w:r>
          </w:p>
        </w:tc>
        <w:tc>
          <w:tcPr>
            <w:tcW w:type="dxa" w:w="1440"/>
            <w:shd w:fill="FFDCE0" w:val="clear"/>
          </w:tcPr>
          <w:p>
            <w:r>
              <w:rPr>
                <w:sz w:val="17"/>
              </w:rPr>
              <w:t>2026-08-25</w:t>
            </w:r>
          </w:p>
        </w:tc>
        <w:tc>
          <w:tcPr>
            <w:tcW w:type="dxa" w:w="1440"/>
            <w:shd w:fill="FFDCE0" w:val="clear"/>
          </w:tcPr>
          <w:p>
            <w:r>
              <w:rPr>
                <w:sz w:val="17"/>
              </w:rPr>
              <w:t>1,815</w:t>
            </w:r>
          </w:p>
        </w:tc>
        <w:tc>
          <w:tcPr>
            <w:tcW w:type="dxa" w:w="1440"/>
            <w:shd w:fill="FFDCE0" w:val="clear"/>
          </w:tcPr>
          <w:p>
            <w:r>
              <w:rPr>
                <w:b/>
                <w:sz w:val="17"/>
              </w:rPr>
              <w:t>1,966</w:t>
            </w:r>
          </w:p>
        </w:tc>
        <w:tc>
          <w:tcPr>
            <w:tcW w:type="dxa" w:w="1440"/>
            <w:shd w:fill="FFDCE0" w:val="clear"/>
          </w:tcPr>
          <w:p>
            <w:r>
              <w:rPr>
                <w:sz w:val="17"/>
              </w:rPr>
              <w:t>2,116</w:t>
            </w:r>
          </w:p>
        </w:tc>
        <w:tc>
          <w:tcPr>
            <w:tcW w:type="dxa" w:w="1440"/>
            <w:shd w:fill="FFDCE0" w:val="clear"/>
          </w:tcPr>
          <w:p>
            <w:r>
              <w:rPr>
                <w:b/>
                <w:color w:val="C00000"/>
                <w:sz w:val="17"/>
              </w:rPr>
              <w:t>-18.1%</w:t>
            </w:r>
          </w:p>
        </w:tc>
      </w:tr>
      <w:tr>
        <w:tc>
          <w:tcPr>
            <w:tcW w:type="dxa" w:w="1440"/>
            <w:shd w:fill="FFDCE0" w:val="clear"/>
          </w:tcPr>
          <w:p>
            <w:r>
              <w:rPr>
                <w:sz w:val="17"/>
              </w:rPr>
              <w:t>J+5  ⭐</w:t>
            </w:r>
          </w:p>
        </w:tc>
        <w:tc>
          <w:tcPr>
            <w:tcW w:type="dxa" w:w="1440"/>
            <w:shd w:fill="FFDCE0" w:val="clear"/>
          </w:tcPr>
          <w:p>
            <w:r>
              <w:rPr>
                <w:sz w:val="17"/>
              </w:rPr>
              <w:t>2026-08-27</w:t>
            </w:r>
          </w:p>
        </w:tc>
        <w:tc>
          <w:tcPr>
            <w:tcW w:type="dxa" w:w="1440"/>
            <w:shd w:fill="FFDCE0" w:val="clear"/>
          </w:tcPr>
          <w:p>
            <w:r>
              <w:rPr>
                <w:sz w:val="17"/>
              </w:rPr>
              <w:t>1,737</w:t>
            </w:r>
          </w:p>
        </w:tc>
        <w:tc>
          <w:tcPr>
            <w:tcW w:type="dxa" w:w="1440"/>
            <w:shd w:fill="FFDCE0" w:val="clear"/>
          </w:tcPr>
          <w:p>
            <w:r>
              <w:rPr>
                <w:b/>
                <w:sz w:val="17"/>
              </w:rPr>
              <w:t>1,899</w:t>
            </w:r>
          </w:p>
        </w:tc>
        <w:tc>
          <w:tcPr>
            <w:tcW w:type="dxa" w:w="1440"/>
            <w:shd w:fill="FFDCE0" w:val="clear"/>
          </w:tcPr>
          <w:p>
            <w:r>
              <w:rPr>
                <w:sz w:val="17"/>
              </w:rPr>
              <w:t>2,062</w:t>
            </w:r>
          </w:p>
        </w:tc>
        <w:tc>
          <w:tcPr>
            <w:tcW w:type="dxa" w:w="1440"/>
            <w:shd w:fill="FFDCE0" w:val="clear"/>
          </w:tcPr>
          <w:p>
            <w:r>
              <w:rPr>
                <w:b/>
                <w:color w:val="C00000"/>
                <w:sz w:val="17"/>
              </w:rPr>
              <w:t>-20.9%</w:t>
            </w:r>
          </w:p>
        </w:tc>
      </w:tr>
      <w:tr>
        <w:tc>
          <w:tcPr>
            <w:tcW w:type="dxa" w:w="1440"/>
            <w:shd w:fill="FFDCE0" w:val="clear"/>
          </w:tcPr>
          <w:p>
            <w:r>
              <w:rPr>
                <w:sz w:val="17"/>
              </w:rPr>
              <w:t>J+6  ⭐</w:t>
            </w:r>
          </w:p>
        </w:tc>
        <w:tc>
          <w:tcPr>
            <w:tcW w:type="dxa" w:w="1440"/>
            <w:shd w:fill="FFDCE0" w:val="clear"/>
          </w:tcPr>
          <w:p>
            <w:r>
              <w:rPr>
                <w:sz w:val="17"/>
              </w:rPr>
              <w:t>2026-08-28</w:t>
            </w:r>
          </w:p>
        </w:tc>
        <w:tc>
          <w:tcPr>
            <w:tcW w:type="dxa" w:w="1440"/>
            <w:shd w:fill="FFDCE0" w:val="clear"/>
          </w:tcPr>
          <w:p>
            <w:r>
              <w:rPr>
                <w:sz w:val="17"/>
              </w:rPr>
              <w:t>1,671</w:t>
            </w:r>
          </w:p>
        </w:tc>
        <w:tc>
          <w:tcPr>
            <w:tcW w:type="dxa" w:w="1440"/>
            <w:shd w:fill="FFDCE0" w:val="clear"/>
          </w:tcPr>
          <w:p>
            <w:r>
              <w:rPr>
                <w:b/>
                <w:sz w:val="17"/>
              </w:rPr>
              <w:t>1,844</w:t>
            </w:r>
          </w:p>
        </w:tc>
        <w:tc>
          <w:tcPr>
            <w:tcW w:type="dxa" w:w="1440"/>
            <w:shd w:fill="FFDCE0" w:val="clear"/>
          </w:tcPr>
          <w:p>
            <w:r>
              <w:rPr>
                <w:sz w:val="17"/>
              </w:rPr>
              <w:t>2,017</w:t>
            </w:r>
          </w:p>
        </w:tc>
        <w:tc>
          <w:tcPr>
            <w:tcW w:type="dxa" w:w="1440"/>
            <w:shd w:fill="FFDCE0" w:val="clear"/>
          </w:tcPr>
          <w:p>
            <w:r>
              <w:rPr>
                <w:b/>
                <w:color w:val="C00000"/>
                <w:sz w:val="17"/>
              </w:rPr>
              <w:t>-23.2%</w:t>
            </w:r>
          </w:p>
        </w:tc>
      </w:tr>
      <w:tr>
        <w:tc>
          <w:tcPr>
            <w:tcW w:type="dxa" w:w="1440"/>
            <w:shd w:fill="FFDCE0" w:val="clear"/>
          </w:tcPr>
          <w:p>
            <w:r>
              <w:rPr>
                <w:sz w:val="17"/>
              </w:rPr>
              <w:t>J+7  ⭐</w:t>
            </w:r>
          </w:p>
        </w:tc>
        <w:tc>
          <w:tcPr>
            <w:tcW w:type="dxa" w:w="1440"/>
            <w:shd w:fill="FFDCE0" w:val="clear"/>
          </w:tcPr>
          <w:p>
            <w:r>
              <w:rPr>
                <w:sz w:val="17"/>
              </w:rPr>
              <w:t>2026-08-31</w:t>
            </w:r>
          </w:p>
        </w:tc>
        <w:tc>
          <w:tcPr>
            <w:tcW w:type="dxa" w:w="1440"/>
            <w:shd w:fill="FFDCE0" w:val="clear"/>
          </w:tcPr>
          <w:p>
            <w:r>
              <w:rPr>
                <w:sz w:val="17"/>
              </w:rPr>
              <w:t>1,615</w:t>
            </w:r>
          </w:p>
        </w:tc>
        <w:tc>
          <w:tcPr>
            <w:tcW w:type="dxa" w:w="1440"/>
            <w:shd w:fill="FFDCE0" w:val="clear"/>
          </w:tcPr>
          <w:p>
            <w:r>
              <w:rPr>
                <w:b/>
                <w:sz w:val="17"/>
              </w:rPr>
              <w:t>1,797</w:t>
            </w:r>
          </w:p>
        </w:tc>
        <w:tc>
          <w:tcPr>
            <w:tcW w:type="dxa" w:w="1440"/>
            <w:shd w:fill="FFDCE0" w:val="clear"/>
          </w:tcPr>
          <w:p>
            <w:r>
              <w:rPr>
                <w:sz w:val="17"/>
              </w:rPr>
              <w:t>1,979</w:t>
            </w:r>
          </w:p>
        </w:tc>
        <w:tc>
          <w:tcPr>
            <w:tcW w:type="dxa" w:w="1440"/>
            <w:shd w:fill="FFDCE0" w:val="clear"/>
          </w:tcPr>
          <w:p>
            <w:r>
              <w:rPr>
                <w:b/>
                <w:color w:val="C00000"/>
                <w:sz w:val="17"/>
              </w:rPr>
              <w:t>-25.1%</w:t>
            </w:r>
          </w:p>
        </w:tc>
      </w:tr>
      <w:tr>
        <w:tc>
          <w:tcPr>
            <w:tcW w:type="dxa" w:w="1440"/>
            <w:shd w:fill="FFDCE0" w:val="clear"/>
          </w:tcPr>
          <w:p>
            <w:r>
              <w:rPr>
                <w:sz w:val="17"/>
              </w:rPr>
              <w:t>J+8  ⭐</w:t>
            </w:r>
          </w:p>
        </w:tc>
        <w:tc>
          <w:tcPr>
            <w:tcW w:type="dxa" w:w="1440"/>
            <w:shd w:fill="FFDCE0" w:val="clear"/>
          </w:tcPr>
          <w:p>
            <w:r>
              <w:rPr>
                <w:sz w:val="17"/>
              </w:rPr>
              <w:t>2026-09-01</w:t>
            </w:r>
          </w:p>
        </w:tc>
        <w:tc>
          <w:tcPr>
            <w:tcW w:type="dxa" w:w="1440"/>
            <w:shd w:fill="FFDCE0" w:val="clear"/>
          </w:tcPr>
          <w:p>
            <w:r>
              <w:rPr>
                <w:sz w:val="17"/>
              </w:rPr>
              <w:t>1,565</w:t>
            </w:r>
          </w:p>
        </w:tc>
        <w:tc>
          <w:tcPr>
            <w:tcW w:type="dxa" w:w="1440"/>
            <w:shd w:fill="FFDCE0" w:val="clear"/>
          </w:tcPr>
          <w:p>
            <w:r>
              <w:rPr>
                <w:b/>
                <w:sz w:val="17"/>
              </w:rPr>
              <w:t>1,756</w:t>
            </w:r>
          </w:p>
        </w:tc>
        <w:tc>
          <w:tcPr>
            <w:tcW w:type="dxa" w:w="1440"/>
            <w:shd w:fill="FFDCE0" w:val="clear"/>
          </w:tcPr>
          <w:p>
            <w:r>
              <w:rPr>
                <w:sz w:val="17"/>
              </w:rPr>
              <w:t>1,946</w:t>
            </w:r>
          </w:p>
        </w:tc>
        <w:tc>
          <w:tcPr>
            <w:tcW w:type="dxa" w:w="1440"/>
            <w:shd w:fill="FFDCE0" w:val="clear"/>
          </w:tcPr>
          <w:p>
            <w:r>
              <w:rPr>
                <w:b/>
                <w:color w:val="C00000"/>
                <w:sz w:val="17"/>
              </w:rPr>
              <w:t>-26.8%</w:t>
            </w:r>
          </w:p>
        </w:tc>
      </w:tr>
      <w:tr>
        <w:tc>
          <w:tcPr>
            <w:tcW w:type="dxa" w:w="1440"/>
            <w:shd w:fill="FFDCE0" w:val="clear"/>
          </w:tcPr>
          <w:p>
            <w:r>
              <w:rPr>
                <w:sz w:val="17"/>
              </w:rPr>
              <w:t>J+9  ⭐</w:t>
            </w:r>
          </w:p>
        </w:tc>
        <w:tc>
          <w:tcPr>
            <w:tcW w:type="dxa" w:w="1440"/>
            <w:shd w:fill="FFDCE0" w:val="clear"/>
          </w:tcPr>
          <w:p>
            <w:r>
              <w:rPr>
                <w:sz w:val="17"/>
              </w:rPr>
              <w:t>2026-09-02</w:t>
            </w:r>
          </w:p>
        </w:tc>
        <w:tc>
          <w:tcPr>
            <w:tcW w:type="dxa" w:w="1440"/>
            <w:shd w:fill="FFDCE0" w:val="clear"/>
          </w:tcPr>
          <w:p>
            <w:r>
              <w:rPr>
                <w:sz w:val="17"/>
              </w:rPr>
              <w:t>1,521</w:t>
            </w:r>
          </w:p>
        </w:tc>
        <w:tc>
          <w:tcPr>
            <w:tcW w:type="dxa" w:w="1440"/>
            <w:shd w:fill="FFDCE0" w:val="clear"/>
          </w:tcPr>
          <w:p>
            <w:r>
              <w:rPr>
                <w:b/>
                <w:sz w:val="17"/>
              </w:rPr>
              <w:t>1,718</w:t>
            </w:r>
          </w:p>
        </w:tc>
        <w:tc>
          <w:tcPr>
            <w:tcW w:type="dxa" w:w="1440"/>
            <w:shd w:fill="FFDCE0" w:val="clear"/>
          </w:tcPr>
          <w:p>
            <w:r>
              <w:rPr>
                <w:sz w:val="17"/>
              </w:rPr>
              <w:t>1,916</w:t>
            </w:r>
          </w:p>
        </w:tc>
        <w:tc>
          <w:tcPr>
            <w:tcW w:type="dxa" w:w="1440"/>
            <w:shd w:fill="FFDCE0" w:val="clear"/>
          </w:tcPr>
          <w:p>
            <w:r>
              <w:rPr>
                <w:b/>
                <w:color w:val="C00000"/>
                <w:sz w:val="17"/>
              </w:rPr>
              <w:t>-28.4%</w:t>
            </w:r>
          </w:p>
        </w:tc>
      </w:tr>
      <w:tr>
        <w:tc>
          <w:tcPr>
            <w:tcW w:type="dxa" w:w="1440"/>
            <w:shd w:fill="FFDCE0" w:val="clear"/>
          </w:tcPr>
          <w:p>
            <w:r>
              <w:rPr>
                <w:sz w:val="17"/>
              </w:rPr>
              <w:t>J+10  ⭐</w:t>
            </w:r>
          </w:p>
        </w:tc>
        <w:tc>
          <w:tcPr>
            <w:tcW w:type="dxa" w:w="1440"/>
            <w:shd w:fill="FFDCE0" w:val="clear"/>
          </w:tcPr>
          <w:p>
            <w:r>
              <w:rPr>
                <w:sz w:val="17"/>
              </w:rPr>
              <w:t>2026-09-03</w:t>
            </w:r>
          </w:p>
        </w:tc>
        <w:tc>
          <w:tcPr>
            <w:tcW w:type="dxa" w:w="1440"/>
            <w:shd w:fill="FFDCE0" w:val="clear"/>
          </w:tcPr>
          <w:p>
            <w:r>
              <w:rPr>
                <w:sz w:val="17"/>
              </w:rPr>
              <w:t>1,480</w:t>
            </w:r>
          </w:p>
        </w:tc>
        <w:tc>
          <w:tcPr>
            <w:tcW w:type="dxa" w:w="1440"/>
            <w:shd w:fill="FFDCE0" w:val="clear"/>
          </w:tcPr>
          <w:p>
            <w:r>
              <w:rPr>
                <w:b/>
                <w:sz w:val="17"/>
              </w:rPr>
              <w:t>1,684</w:t>
            </w:r>
          </w:p>
        </w:tc>
        <w:tc>
          <w:tcPr>
            <w:tcW w:type="dxa" w:w="1440"/>
            <w:shd w:fill="FFDCE0" w:val="clear"/>
          </w:tcPr>
          <w:p>
            <w:r>
              <w:rPr>
                <w:sz w:val="17"/>
              </w:rPr>
              <w:t>1,889</w:t>
            </w:r>
          </w:p>
        </w:tc>
        <w:tc>
          <w:tcPr>
            <w:tcW w:type="dxa" w:w="1440"/>
            <w:shd w:fill="FFDCE0" w:val="clear"/>
          </w:tcPr>
          <w:p>
            <w:r>
              <w:rPr>
                <w:b/>
                <w:color w:val="C00000"/>
                <w:sz w:val="17"/>
              </w:rPr>
              <w:t>-29.8%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SHEC s'établit à 151,20 milliards FCFA, un niveau significatif qui positionne la société parmi les valeurs moyennes de la BRVM, reflétant la confiance des investisseurs dans ce distributeur pétrolier. Le BPA de 96 FCFA indique que chaque action génère un bénéfice modeste, caractéristique du secteur de la distribution à faible marge. Le PER de 25,1x est nettement supérieur à la moyenne historique de la BRVM (8-12x), signalant que les investisseurs paient une prime substantielle, anticipant probablement une croissance future des bénéfices ou reflétant une rareté du titre sur le marché. Le P/B de 5,57x confirme cette valorisation exigeante, le marché valorisant l'actif net comptable plus de cinq fois au-dessus de sa valeur, ce qui suggère une forte prime pour la marque Vivo Energy et le réseau de distribution. Enfin, l'EV/EBITDA de 13,3x se situe dans la fourchette haute (10-15x), indiquant que la valeur totale de l'entreprise (capitalisation + dette nette) représente plus de treize fois sa capacité opérationnelle, une valorisation qui intègre des perspectives de croissance solides mais qui laisse peu de marge de sécurité pour l'investisseur.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SHEC affiche une progression de +9,09%, avec un cours actuel de 2 400 FCFA, proche de son plus haut sur la période (2 400 FCFA) et nettement au-dessus de son plus bas (1 840 FCFA), soit une amplitude de 560 FCFA. La variation à J-1 est nulle, marquant une pause après une tendance haussière soutenue. La moyenne du cours sur la période (2 109 FCFA) est inférieure à la médiane (2 160 FCFA), indiquant une distribution légèrement asymétrique avec des extrêmes hauts qui tirent la moyenne vers le haut. L'écart-type de 131 FCFA, avec un coefficient de variation de 6,2%, révèle une dispersion modérée des prix autour de la moyenne, suggérant une relative stabilité relative. Le kurtosis de -0,817 (mésokurtique) indique une distribution proche de la normale, sans risque de variations extrêmes, tandis que le skewness de -0,145 confirme une symétrie quasi parfaite de la distribution. La volatilité annualisée de 35,5% classe le titre dans la catégorie élevée (&gt;30%), reflétant une sensibilité marquée aux variations du marché pétrolier et aux annonces sectorielles, un niveau de risque que les investisseurs doivent intégrer dans leur stratégie.</w:t>
      </w:r>
    </w:p>
    <w:p>
      <w:pPr>
        <w:spacing w:after="120" w:line="276" w:lineRule="auto" w:before="240"/>
      </w:pPr>
      <w:r>
        <w:rPr>
          <w:b/>
          <w:color w:val="003366"/>
          <w:sz w:val="24"/>
        </w:rPr>
        <w:t>**PARTIE 2 : ANALYSE TECHNIQUE DÉTAILLÉE**</w:t>
      </w:r>
    </w:p>
    <w:p>
      <w:pPr>
        <w:spacing w:after="120" w:line="276" w:lineRule="auto"/>
      </w:pPr>
      <w:r>
        <w:t>**Moyennes Mobiles** : La MM20 à 2 254 FCFA et la MM50 à 2 195,6 FCFA sont toutes deux inférieures au cours actuel de 2 400 FCFA, confirmant une configuration haussière. Le cours évolue au-dessus de ses moyennes mobiles, ce qui valide la tendance ascendante. La décision d'achat est justifiée par cette dynamique positive, le titre ayant réussi à se maintenir au-dessus de ses supports dynamiques sur la période récente.</w:t>
      </w:r>
    </w:p>
    <w:p>
      <w:pPr>
        <w:spacing w:after="120" w:line="276" w:lineRule="auto"/>
      </w:pPr>
      <w:r>
        <w:t>**Bandes de Bollinger** : Le cours à 2 400 FCFA se positionne très près de la borne supérieure (2 414,3 FCFA), indiquant que le titre est en zone de surachat technique. La largeur des bandes (écart de 320 FCFA entre les bornes) reflète une volatilité accrue. La décision neutre s'explique par le fait que, bien que le cours soit proche de la borne supérieure, il n'a pas encore franchi ce niveau, laissant planer une incertitude sur la poursuite du mouvement haussier.</w:t>
      </w:r>
    </w:p>
    <w:p>
      <w:pPr>
        <w:spacing w:after="120" w:line="276" w:lineRule="auto"/>
      </w:pPr>
      <w:r>
        <w:t>**MACD** : Le MACD à 45,579 est nettement au-dessus de son signal à 34,237, avec un écart positif de 11,34 points, confirmant un momentum haussier soutenu. Cette divergence positive indique que la tendance haussière gagne en intensité. La décision d'achat est cohérente avec cette configuration, le MACD demeurant au-dessus de sa ligne de signal, signe d'une dynamique positive persistante.</w:t>
      </w:r>
    </w:p>
    <w:p>
      <w:pPr>
        <w:spacing w:after="120" w:line="276" w:lineRule="auto"/>
      </w:pPr>
      <w:r>
        <w:t>**RSI** : Le RSI à 72,527 dépasse le seuil de surachat de 70, signalant que le titre est techniquement surévalué à court terme. Cette valeur élevée suggère que le mouvement haussier a été rapide et que le marché pourrait être sujet à une correction technique. La décision de vente est justifiée par ce niveau de surachat, qui appelle à la prudence malgré la tendance haussière sous-jacente.</w:t>
      </w:r>
    </w:p>
    <w:p>
      <w:pPr>
        <w:spacing w:after="120" w:line="276" w:lineRule="auto"/>
      </w:pPr>
      <w:r>
        <w:t>**Stochastique** : Le %K et le %D sont tous deux à 100, un niveau extrême de surachat qui indique que le titre a clôturé à son plus haut sur la période de référence. Cette configuration reflète une pression acheteuse intense, mais elle est rarement soutenable à long terme. La décision de vente est justifiée par ce niveau extrême, qui précède souvent une consolidation ou un repli technique.</w:t>
      </w:r>
    </w:p>
    <w:p>
      <w:pPr>
        <w:spacing w:after="120" w:line="276" w:lineRule="auto"/>
      </w:pPr>
      <w:r>
        <w:t>**Conclusion technique** : Les indicateurs de tendance (MM, MACD) sont positifs et confirment une dynamique haussière, mais les oscillateurs (RSI, Stochastique) signalent un surachat extrême. Cette divergence entre la tendance et les oscillateurs suggère qu'une correction technique est probable à court terme, bien que la tendance de fond demeure haussière. Les bandes de Bollinger confirment cette tension, le cours évoluant à la limite supérieure.</w:t>
      </w:r>
    </w:p>
    <w:p>
      <w:pPr>
        <w:spacing w:after="120" w:line="276" w:lineRule="auto" w:before="240"/>
      </w:pPr>
      <w:r>
        <w:rPr>
          <w:b/>
          <w:color w:val="003366"/>
          <w:sz w:val="24"/>
        </w:rPr>
        <w:t>**PARTIE 3 : ANALYSE FONDAMENTALE (SECTION CRITIQUE)**</w:t>
      </w:r>
    </w:p>
    <w:p>
      <w:pPr>
        <w:spacing w:after="120" w:line="276" w:lineRule="auto"/>
      </w:pPr>
      <w:r>
        <w:t>En 2025, SHEC (Vivo Energy Côte d'Ivoire) affiche un chiffre d'affaires de 604,978 milliards FCFA, en légère progression de +0,71% par rapport à 2024 (600,708 milliards FCFA), et un résultat net de 6,028 milliards FCFA, en hausse de +12,6% (contre 5,354 milliards en 2024). Le ROE s'établit à 22,2%, un niveau excellent (&gt;15%) témoignant d'une création de valeur efficace pour les actionnaires, tandis que le ROA de 3,1% reflète une rentabilité des actifs modérée, caractéristique du secteur de distribution pétrolière à faible marge (marge nette de 1%). La structure financière montre une autonomie financière de 14,03%, inférieure au seuil de 30% jugé sain, avec un ratio d'endettement de 43,9% et une trésorerie nette fortement négative de -65,26 milliards FCFA, exposant la société à des tensions de liquidité. Les délais d'exploitation sont bien gérés : 23,27 jours pour les clients, 35,47 jours pour les fournisseurs, et un stockage de 7,47 jours, indiquant une rotation rapide des stocks. Le rapport du 3ème trimestre 2025 (daté du 30/09/2025) montre un résultat net cumulé de 4,119 milliards FCFA (+45% sur 9 mois), et le rapport S1 2026 (30/06/2026) indique un CA de 305,038 milliards FCFA (-1%) avec un résultat net de 3,016 milliards, confirmant la résilience opérationnelle malgré la baisse des volumes. Sur la base de ces rapports trimestriels, on estime que l'exercice 2026 devrait maintenir un résultat net autour de 6 milliards FCFA, soutenu par la croissance des segments butane et lubrifiants, mais pénalisé par la baisse des volumes dans l'aviation et le bitume. La recommandation fondamentale est de conserver le titre, la société étant bénéficiaire et distribuant un dividende attractif (6,09 milliards FCFA proposés pour 2025, soit un taux de distribution de 101%), mais la fragilité de la trésorerie et l'endettement élevé limitent le potentiel de hausse.</w:t>
      </w:r>
    </w:p>
    <w:p>
      <w:pPr>
        <w:spacing w:after="120" w:line="276" w:lineRule="auto" w:before="240"/>
      </w:pPr>
      <w:r>
        <w:rPr>
          <w:b/>
          <w:color w:val="003366"/>
          <w:sz w:val="24"/>
        </w:rPr>
        <w:t>**PARTIE 4 : CONCLUSION D'INVESTISSEMENT**</w:t>
      </w:r>
    </w:p>
    <w:p>
      <w:pPr>
        <w:spacing w:after="120" w:line="276" w:lineRule="auto"/>
      </w:pPr>
      <w:r>
        <w:t>La valorisation de SHEC (PER 25,1x, P/B 5,57x, EV/EBITDA 13,3x) indique une surévaluation relative par rapport aux standards de la BRVM, les investisseurs payant une prime significative pour un titre dont la croissance du CA est atone (+0,71%). Le comportement du cours sur 100 jours montre une tendance haussière de +9,09% avec une volatilité élevée (35,5%), mais les statistiques (kurtosis mésokurtique, skewness symétrique) suggèrent une distribution stable sans risque de variations extrêmes. Les signaux techniques sont divergents : les indicateurs de tendance (MM, MACD) sont positifs, mais les oscillateurs (RSI à 72,5, Stochastique à 100) signalent un surachat extrême, préfigurant une correction technique probable. Les fondamentaux sont contrastés : ROE excellent (22,2%) et dividende attractif, mais trésorerie nette très négative (-65,26 milliards FCFA) et marge nette faible (1%). Les prédictions IA pour les 10 prochains jours (2 256 à 1 899 FCFA) confirment cette anticipation de correction, avec une baisse potentielle de 21% par rapport au cours actuel. La convergence entre les signaux techniques de surachat, la valorisation exigeante et les prédictions IA baissières conduit à une recommandation de **VENTE** pour les investisseurs à court terme, avec un niveau de confiance **Moyen** et un risque global **Élevé**. Pour les investisseurs de long terme, le titre pourrait être conservé pour son dividende, mais l'horizon optimal est le **court terme (&lt;3 mois)** pour profiter d'un éventuel repli avant de renforcer la position.</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8,893 titres</w:t>
            </w:r>
          </w:p>
        </w:tc>
        <w:tc>
          <w:tcPr>
            <w:tcW w:type="dxa" w:w="2268"/>
            <w:shd w:fill="FFF2CC" w:val="clear"/>
          </w:tcPr>
          <w:p>
            <w:r>
              <w:rPr>
                <w:b/>
                <w:color w:val="503200"/>
                <w:sz w:val="16"/>
              </w:rPr>
              <w:t xml:space="preserve">Cours actuel : </w:t>
            </w:r>
            <w:r>
              <w:rPr>
                <w:color w:val="000000"/>
                <w:sz w:val="17"/>
              </w:rPr>
              <w:t>9,200 FCFA</w:t>
            </w:r>
          </w:p>
          <w:p>
            <w:r>
              <w:rPr>
                <w:b/>
                <w:color w:val="503200"/>
                <w:sz w:val="16"/>
              </w:rPr>
              <w:t xml:space="preserve">Var. 100 jours : </w:t>
            </w:r>
            <w:r>
              <w:rPr>
                <w:b/>
                <w:color w:val="007800"/>
                <w:sz w:val="17"/>
              </w:rPr>
              <w:t>+33.33%</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11.01% (Moyenne) — μ=8,179 FCFA, σ=901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β=0.6122 (Défensif) — Cov=0.000019, Var(idx)=0.000030, ρ=0.187,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8,893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σ_j=1.79%/j (Stable) — Vol. annualisée≈28.4%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2026-08-20</w:t>
            </w:r>
          </w:p>
        </w:tc>
        <w:tc>
          <w:tcPr>
            <w:tcW w:type="dxa" w:w="1440"/>
            <w:shd w:fill="FFDCE0" w:val="clear"/>
          </w:tcPr>
          <w:p>
            <w:r>
              <w:rPr>
                <w:sz w:val="17"/>
              </w:rPr>
              <w:t>8,588</w:t>
            </w:r>
          </w:p>
        </w:tc>
        <w:tc>
          <w:tcPr>
            <w:tcW w:type="dxa" w:w="1440"/>
            <w:shd w:fill="FFDCE0" w:val="clear"/>
          </w:tcPr>
          <w:p>
            <w:r>
              <w:rPr>
                <w:b/>
                <w:sz w:val="17"/>
              </w:rPr>
              <w:t>8,864</w:t>
            </w:r>
          </w:p>
        </w:tc>
        <w:tc>
          <w:tcPr>
            <w:tcW w:type="dxa" w:w="1440"/>
            <w:shd w:fill="FFDCE0" w:val="clear"/>
          </w:tcPr>
          <w:p>
            <w:r>
              <w:rPr>
                <w:sz w:val="17"/>
              </w:rPr>
              <w:t>9,141</w:t>
            </w:r>
          </w:p>
        </w:tc>
        <w:tc>
          <w:tcPr>
            <w:tcW w:type="dxa" w:w="1440"/>
            <w:shd w:fill="FFDCE0" w:val="clear"/>
          </w:tcPr>
          <w:p>
            <w:r>
              <w:rPr>
                <w:b/>
                <w:color w:val="C00000"/>
                <w:sz w:val="17"/>
              </w:rPr>
              <w:t>-3.6%</w:t>
            </w:r>
          </w:p>
        </w:tc>
      </w:tr>
      <w:tr>
        <w:tc>
          <w:tcPr>
            <w:tcW w:type="dxa" w:w="1440"/>
            <w:shd w:fill="FFDCE0" w:val="clear"/>
          </w:tcPr>
          <w:p>
            <w:r>
              <w:rPr>
                <w:sz w:val="17"/>
              </w:rPr>
              <w:t>J+2  ⭐⭐⭐</w:t>
            </w:r>
          </w:p>
        </w:tc>
        <w:tc>
          <w:tcPr>
            <w:tcW w:type="dxa" w:w="1440"/>
            <w:shd w:fill="FFDCE0" w:val="clear"/>
          </w:tcPr>
          <w:p>
            <w:r>
              <w:rPr>
                <w:sz w:val="17"/>
              </w:rPr>
              <w:t>2026-08-21</w:t>
            </w:r>
          </w:p>
        </w:tc>
        <w:tc>
          <w:tcPr>
            <w:tcW w:type="dxa" w:w="1440"/>
            <w:shd w:fill="FFDCE0" w:val="clear"/>
          </w:tcPr>
          <w:p>
            <w:r>
              <w:rPr>
                <w:sz w:val="17"/>
              </w:rPr>
              <w:t>8,180</w:t>
            </w:r>
          </w:p>
        </w:tc>
        <w:tc>
          <w:tcPr>
            <w:tcW w:type="dxa" w:w="1440"/>
            <w:shd w:fill="FFDCE0" w:val="clear"/>
          </w:tcPr>
          <w:p>
            <w:r>
              <w:rPr>
                <w:b/>
                <w:sz w:val="17"/>
              </w:rPr>
              <w:t>8,557</w:t>
            </w:r>
          </w:p>
        </w:tc>
        <w:tc>
          <w:tcPr>
            <w:tcW w:type="dxa" w:w="1440"/>
            <w:shd w:fill="FFDCE0" w:val="clear"/>
          </w:tcPr>
          <w:p>
            <w:r>
              <w:rPr>
                <w:sz w:val="17"/>
              </w:rPr>
              <w:t>8,934</w:t>
            </w:r>
          </w:p>
        </w:tc>
        <w:tc>
          <w:tcPr>
            <w:tcW w:type="dxa" w:w="1440"/>
            <w:shd w:fill="FFDCE0" w:val="clear"/>
          </w:tcPr>
          <w:p>
            <w:r>
              <w:rPr>
                <w:b/>
                <w:color w:val="C00000"/>
                <w:sz w:val="17"/>
              </w:rPr>
              <w:t>-7.0%</w:t>
            </w:r>
          </w:p>
        </w:tc>
      </w:tr>
      <w:tr>
        <w:tc>
          <w:tcPr>
            <w:tcW w:type="dxa" w:w="1440"/>
            <w:shd w:fill="FFDCE0" w:val="clear"/>
          </w:tcPr>
          <w:p>
            <w:r>
              <w:rPr>
                <w:sz w:val="17"/>
              </w:rPr>
              <w:t>J+3  ⭐⭐⭐</w:t>
            </w:r>
          </w:p>
        </w:tc>
        <w:tc>
          <w:tcPr>
            <w:tcW w:type="dxa" w:w="1440"/>
            <w:shd w:fill="FFDCE0" w:val="clear"/>
          </w:tcPr>
          <w:p>
            <w:r>
              <w:rPr>
                <w:sz w:val="17"/>
              </w:rPr>
              <w:t>2026-08-24</w:t>
            </w:r>
          </w:p>
        </w:tc>
        <w:tc>
          <w:tcPr>
            <w:tcW w:type="dxa" w:w="1440"/>
            <w:shd w:fill="FFDCE0" w:val="clear"/>
          </w:tcPr>
          <w:p>
            <w:r>
              <w:rPr>
                <w:sz w:val="17"/>
              </w:rPr>
              <w:t>7,840</w:t>
            </w:r>
          </w:p>
        </w:tc>
        <w:tc>
          <w:tcPr>
            <w:tcW w:type="dxa" w:w="1440"/>
            <w:shd w:fill="FFDCE0" w:val="clear"/>
          </w:tcPr>
          <w:p>
            <w:r>
              <w:rPr>
                <w:b/>
                <w:sz w:val="17"/>
              </w:rPr>
              <w:t>8,288</w:t>
            </w:r>
          </w:p>
        </w:tc>
        <w:tc>
          <w:tcPr>
            <w:tcW w:type="dxa" w:w="1440"/>
            <w:shd w:fill="FFDCE0" w:val="clear"/>
          </w:tcPr>
          <w:p>
            <w:r>
              <w:rPr>
                <w:sz w:val="17"/>
              </w:rPr>
              <w:t>8,735</w:t>
            </w:r>
          </w:p>
        </w:tc>
        <w:tc>
          <w:tcPr>
            <w:tcW w:type="dxa" w:w="1440"/>
            <w:shd w:fill="FFDCE0" w:val="clear"/>
          </w:tcPr>
          <w:p>
            <w:r>
              <w:rPr>
                <w:b/>
                <w:color w:val="C00000"/>
                <w:sz w:val="17"/>
              </w:rPr>
              <w:t>-9.9%</w:t>
            </w:r>
          </w:p>
        </w:tc>
      </w:tr>
      <w:tr>
        <w:tc>
          <w:tcPr>
            <w:tcW w:type="dxa" w:w="1440"/>
            <w:shd w:fill="FFDCE0" w:val="clear"/>
          </w:tcPr>
          <w:p>
            <w:r>
              <w:rPr>
                <w:sz w:val="17"/>
              </w:rPr>
              <w:t>J+4  Moyenne</w:t>
            </w:r>
          </w:p>
        </w:tc>
        <w:tc>
          <w:tcPr>
            <w:tcW w:type="dxa" w:w="1440"/>
            <w:shd w:fill="FFDCE0" w:val="clear"/>
          </w:tcPr>
          <w:p>
            <w:r>
              <w:rPr>
                <w:sz w:val="17"/>
              </w:rPr>
              <w:t>2026-08-25</w:t>
            </w:r>
          </w:p>
        </w:tc>
        <w:tc>
          <w:tcPr>
            <w:tcW w:type="dxa" w:w="1440"/>
            <w:shd w:fill="FFDCE0" w:val="clear"/>
          </w:tcPr>
          <w:p>
            <w:r>
              <w:rPr>
                <w:sz w:val="17"/>
              </w:rPr>
              <w:t>7,558</w:t>
            </w:r>
          </w:p>
        </w:tc>
        <w:tc>
          <w:tcPr>
            <w:tcW w:type="dxa" w:w="1440"/>
            <w:shd w:fill="FFDCE0" w:val="clear"/>
          </w:tcPr>
          <w:p>
            <w:r>
              <w:rPr>
                <w:b/>
                <w:sz w:val="17"/>
              </w:rPr>
              <w:t>8,061</w:t>
            </w:r>
          </w:p>
        </w:tc>
        <w:tc>
          <w:tcPr>
            <w:tcW w:type="dxa" w:w="1440"/>
            <w:shd w:fill="FFDCE0" w:val="clear"/>
          </w:tcPr>
          <w:p>
            <w:r>
              <w:rPr>
                <w:sz w:val="17"/>
              </w:rPr>
              <w:t>8,563</w:t>
            </w:r>
          </w:p>
        </w:tc>
        <w:tc>
          <w:tcPr>
            <w:tcW w:type="dxa" w:w="1440"/>
            <w:shd w:fill="FFDCE0" w:val="clear"/>
          </w:tcPr>
          <w:p>
            <w:r>
              <w:rPr>
                <w:b/>
                <w:color w:val="C00000"/>
                <w:sz w:val="17"/>
              </w:rPr>
              <w:t>-12.4%</w:t>
            </w:r>
          </w:p>
        </w:tc>
      </w:tr>
      <w:tr>
        <w:tc>
          <w:tcPr>
            <w:tcW w:type="dxa" w:w="1440"/>
            <w:shd w:fill="FFDCE0" w:val="clear"/>
          </w:tcPr>
          <w:p>
            <w:r>
              <w:rPr>
                <w:sz w:val="17"/>
              </w:rPr>
              <w:t>J+5  Moyenne</w:t>
            </w:r>
          </w:p>
        </w:tc>
        <w:tc>
          <w:tcPr>
            <w:tcW w:type="dxa" w:w="1440"/>
            <w:shd w:fill="FFDCE0" w:val="clear"/>
          </w:tcPr>
          <w:p>
            <w:r>
              <w:rPr>
                <w:sz w:val="17"/>
              </w:rPr>
              <w:t>2026-08-27</w:t>
            </w:r>
          </w:p>
        </w:tc>
        <w:tc>
          <w:tcPr>
            <w:tcW w:type="dxa" w:w="1440"/>
            <w:shd w:fill="FFDCE0" w:val="clear"/>
          </w:tcPr>
          <w:p>
            <w:r>
              <w:rPr>
                <w:sz w:val="17"/>
              </w:rPr>
              <w:t>7,321</w:t>
            </w:r>
          </w:p>
        </w:tc>
        <w:tc>
          <w:tcPr>
            <w:tcW w:type="dxa" w:w="1440"/>
            <w:shd w:fill="FFDCE0" w:val="clear"/>
          </w:tcPr>
          <w:p>
            <w:r>
              <w:rPr>
                <w:b/>
                <w:sz w:val="17"/>
              </w:rPr>
              <w:t>7,870</w:t>
            </w:r>
          </w:p>
        </w:tc>
        <w:tc>
          <w:tcPr>
            <w:tcW w:type="dxa" w:w="1440"/>
            <w:shd w:fill="FFDCE0" w:val="clear"/>
          </w:tcPr>
          <w:p>
            <w:r>
              <w:rPr>
                <w:sz w:val="17"/>
              </w:rPr>
              <w:t>8,418</w:t>
            </w:r>
          </w:p>
        </w:tc>
        <w:tc>
          <w:tcPr>
            <w:tcW w:type="dxa" w:w="1440"/>
            <w:shd w:fill="FFDCE0" w:val="clear"/>
          </w:tcPr>
          <w:p>
            <w:r>
              <w:rPr>
                <w:b/>
                <w:color w:val="C00000"/>
                <w:sz w:val="17"/>
              </w:rPr>
              <w:t>-14.5%</w:t>
            </w:r>
          </w:p>
        </w:tc>
      </w:tr>
      <w:tr>
        <w:tc>
          <w:tcPr>
            <w:tcW w:type="dxa" w:w="1440"/>
            <w:shd w:fill="FFDCE0" w:val="clear"/>
          </w:tcPr>
          <w:p>
            <w:r>
              <w:rPr>
                <w:sz w:val="17"/>
              </w:rPr>
              <w:t>J+6  Moyenne</w:t>
            </w:r>
          </w:p>
        </w:tc>
        <w:tc>
          <w:tcPr>
            <w:tcW w:type="dxa" w:w="1440"/>
            <w:shd w:fill="FFDCE0" w:val="clear"/>
          </w:tcPr>
          <w:p>
            <w:r>
              <w:rPr>
                <w:sz w:val="17"/>
              </w:rPr>
              <w:t>2026-08-28</w:t>
            </w:r>
          </w:p>
        </w:tc>
        <w:tc>
          <w:tcPr>
            <w:tcW w:type="dxa" w:w="1440"/>
            <w:shd w:fill="FFDCE0" w:val="clear"/>
          </w:tcPr>
          <w:p>
            <w:r>
              <w:rPr>
                <w:sz w:val="17"/>
              </w:rPr>
              <w:t>7,117</w:t>
            </w:r>
          </w:p>
        </w:tc>
        <w:tc>
          <w:tcPr>
            <w:tcW w:type="dxa" w:w="1440"/>
            <w:shd w:fill="FFDCE0" w:val="clear"/>
          </w:tcPr>
          <w:p>
            <w:r>
              <w:rPr>
                <w:b/>
                <w:sz w:val="17"/>
              </w:rPr>
              <w:t>7,705</w:t>
            </w:r>
          </w:p>
        </w:tc>
        <w:tc>
          <w:tcPr>
            <w:tcW w:type="dxa" w:w="1440"/>
            <w:shd w:fill="FFDCE0" w:val="clear"/>
          </w:tcPr>
          <w:p>
            <w:r>
              <w:rPr>
                <w:sz w:val="17"/>
              </w:rPr>
              <w:t>8,293</w:t>
            </w:r>
          </w:p>
        </w:tc>
        <w:tc>
          <w:tcPr>
            <w:tcW w:type="dxa" w:w="1440"/>
            <w:shd w:fill="FFDCE0" w:val="clear"/>
          </w:tcPr>
          <w:p>
            <w:r>
              <w:rPr>
                <w:b/>
                <w:color w:val="C00000"/>
                <w:sz w:val="17"/>
              </w:rPr>
              <w:t>-16.2%</w:t>
            </w:r>
          </w:p>
        </w:tc>
      </w:tr>
      <w:tr>
        <w:tc>
          <w:tcPr>
            <w:tcW w:type="dxa" w:w="1440"/>
            <w:shd w:fill="FFDCE0" w:val="clear"/>
          </w:tcPr>
          <w:p>
            <w:r>
              <w:rPr>
                <w:sz w:val="17"/>
              </w:rPr>
              <w:t>J+7  Moyenne</w:t>
            </w:r>
          </w:p>
        </w:tc>
        <w:tc>
          <w:tcPr>
            <w:tcW w:type="dxa" w:w="1440"/>
            <w:shd w:fill="FFDCE0" w:val="clear"/>
          </w:tcPr>
          <w:p>
            <w:r>
              <w:rPr>
                <w:sz w:val="17"/>
              </w:rPr>
              <w:t>2026-08-31</w:t>
            </w:r>
          </w:p>
        </w:tc>
        <w:tc>
          <w:tcPr>
            <w:tcW w:type="dxa" w:w="1440"/>
            <w:shd w:fill="FFDCE0" w:val="clear"/>
          </w:tcPr>
          <w:p>
            <w:r>
              <w:rPr>
                <w:sz w:val="17"/>
              </w:rPr>
              <w:t>6,937</w:t>
            </w:r>
          </w:p>
        </w:tc>
        <w:tc>
          <w:tcPr>
            <w:tcW w:type="dxa" w:w="1440"/>
            <w:shd w:fill="FFDCE0" w:val="clear"/>
          </w:tcPr>
          <w:p>
            <w:r>
              <w:rPr>
                <w:b/>
                <w:sz w:val="17"/>
              </w:rPr>
              <w:t>7,561</w:t>
            </w:r>
          </w:p>
        </w:tc>
        <w:tc>
          <w:tcPr>
            <w:tcW w:type="dxa" w:w="1440"/>
            <w:shd w:fill="FFDCE0" w:val="clear"/>
          </w:tcPr>
          <w:p>
            <w:r>
              <w:rPr>
                <w:sz w:val="17"/>
              </w:rPr>
              <w:t>8,184</w:t>
            </w:r>
          </w:p>
        </w:tc>
        <w:tc>
          <w:tcPr>
            <w:tcW w:type="dxa" w:w="1440"/>
            <w:shd w:fill="FFDCE0" w:val="clear"/>
          </w:tcPr>
          <w:p>
            <w:r>
              <w:rPr>
                <w:b/>
                <w:color w:val="C00000"/>
                <w:sz w:val="17"/>
              </w:rPr>
              <w:t>-17.8%</w:t>
            </w:r>
          </w:p>
        </w:tc>
      </w:tr>
      <w:tr>
        <w:tc>
          <w:tcPr>
            <w:tcW w:type="dxa" w:w="1440"/>
            <w:shd w:fill="FFDCE0" w:val="clear"/>
          </w:tcPr>
          <w:p>
            <w:r>
              <w:rPr>
                <w:sz w:val="17"/>
              </w:rPr>
              <w:t>J+8  Moyenne</w:t>
            </w:r>
          </w:p>
        </w:tc>
        <w:tc>
          <w:tcPr>
            <w:tcW w:type="dxa" w:w="1440"/>
            <w:shd w:fill="FFDCE0" w:val="clear"/>
          </w:tcPr>
          <w:p>
            <w:r>
              <w:rPr>
                <w:sz w:val="17"/>
              </w:rPr>
              <w:t>2026-09-01</w:t>
            </w:r>
          </w:p>
        </w:tc>
        <w:tc>
          <w:tcPr>
            <w:tcW w:type="dxa" w:w="1440"/>
            <w:shd w:fill="FFDCE0" w:val="clear"/>
          </w:tcPr>
          <w:p>
            <w:r>
              <w:rPr>
                <w:sz w:val="17"/>
              </w:rPr>
              <w:t>6,777</w:t>
            </w:r>
          </w:p>
        </w:tc>
        <w:tc>
          <w:tcPr>
            <w:tcW w:type="dxa" w:w="1440"/>
            <w:shd w:fill="FFDCE0" w:val="clear"/>
          </w:tcPr>
          <w:p>
            <w:r>
              <w:rPr>
                <w:b/>
                <w:sz w:val="17"/>
              </w:rPr>
              <w:t>7,432</w:t>
            </w:r>
          </w:p>
        </w:tc>
        <w:tc>
          <w:tcPr>
            <w:tcW w:type="dxa" w:w="1440"/>
            <w:shd w:fill="FFDCE0" w:val="clear"/>
          </w:tcPr>
          <w:p>
            <w:r>
              <w:rPr>
                <w:sz w:val="17"/>
              </w:rPr>
              <w:t>8,087</w:t>
            </w:r>
          </w:p>
        </w:tc>
        <w:tc>
          <w:tcPr>
            <w:tcW w:type="dxa" w:w="1440"/>
            <w:shd w:fill="FFDCE0" w:val="clear"/>
          </w:tcPr>
          <w:p>
            <w:r>
              <w:rPr>
                <w:b/>
                <w:color w:val="C00000"/>
                <w:sz w:val="17"/>
              </w:rPr>
              <w:t>-19.2%</w:t>
            </w:r>
          </w:p>
        </w:tc>
      </w:tr>
      <w:tr>
        <w:tc>
          <w:tcPr>
            <w:tcW w:type="dxa" w:w="1440"/>
            <w:shd w:fill="FFDCE0" w:val="clear"/>
          </w:tcPr>
          <w:p>
            <w:r>
              <w:rPr>
                <w:sz w:val="17"/>
              </w:rPr>
              <w:t>J+9  Moyenne</w:t>
            </w:r>
          </w:p>
        </w:tc>
        <w:tc>
          <w:tcPr>
            <w:tcW w:type="dxa" w:w="1440"/>
            <w:shd w:fill="FFDCE0" w:val="clear"/>
          </w:tcPr>
          <w:p>
            <w:r>
              <w:rPr>
                <w:sz w:val="17"/>
              </w:rPr>
              <w:t>2026-09-02</w:t>
            </w:r>
          </w:p>
        </w:tc>
        <w:tc>
          <w:tcPr>
            <w:tcW w:type="dxa" w:w="1440"/>
            <w:shd w:fill="FFDCE0" w:val="clear"/>
          </w:tcPr>
          <w:p>
            <w:r>
              <w:rPr>
                <w:sz w:val="17"/>
              </w:rPr>
              <w:t>6,631</w:t>
            </w:r>
          </w:p>
        </w:tc>
        <w:tc>
          <w:tcPr>
            <w:tcW w:type="dxa" w:w="1440"/>
            <w:shd w:fill="FFDCE0" w:val="clear"/>
          </w:tcPr>
          <w:p>
            <w:r>
              <w:rPr>
                <w:b/>
                <w:sz w:val="17"/>
              </w:rPr>
              <w:t>7,316</w:t>
            </w:r>
          </w:p>
        </w:tc>
        <w:tc>
          <w:tcPr>
            <w:tcW w:type="dxa" w:w="1440"/>
            <w:shd w:fill="FFDCE0" w:val="clear"/>
          </w:tcPr>
          <w:p>
            <w:r>
              <w:rPr>
                <w:sz w:val="17"/>
              </w:rPr>
              <w:t>8,000</w:t>
            </w:r>
          </w:p>
        </w:tc>
        <w:tc>
          <w:tcPr>
            <w:tcW w:type="dxa" w:w="1440"/>
            <w:shd w:fill="FFDCE0" w:val="clear"/>
          </w:tcPr>
          <w:p>
            <w:r>
              <w:rPr>
                <w:b/>
                <w:color w:val="C00000"/>
                <w:sz w:val="17"/>
              </w:rPr>
              <w:t>-20.5%</w:t>
            </w:r>
          </w:p>
        </w:tc>
      </w:tr>
      <w:tr>
        <w:tc>
          <w:tcPr>
            <w:tcW w:type="dxa" w:w="1440"/>
            <w:shd w:fill="FFDCE0" w:val="clear"/>
          </w:tcPr>
          <w:p>
            <w:r>
              <w:rPr>
                <w:sz w:val="17"/>
              </w:rPr>
              <w:t>J+10  Moyenne</w:t>
            </w:r>
          </w:p>
        </w:tc>
        <w:tc>
          <w:tcPr>
            <w:tcW w:type="dxa" w:w="1440"/>
            <w:shd w:fill="FFDCE0" w:val="clear"/>
          </w:tcPr>
          <w:p>
            <w:r>
              <w:rPr>
                <w:sz w:val="17"/>
              </w:rPr>
              <w:t>2026-09-03</w:t>
            </w:r>
          </w:p>
        </w:tc>
        <w:tc>
          <w:tcPr>
            <w:tcW w:type="dxa" w:w="1440"/>
            <w:shd w:fill="FFDCE0" w:val="clear"/>
          </w:tcPr>
          <w:p>
            <w:r>
              <w:rPr>
                <w:sz w:val="17"/>
              </w:rPr>
              <w:t>6,498</w:t>
            </w:r>
          </w:p>
        </w:tc>
        <w:tc>
          <w:tcPr>
            <w:tcW w:type="dxa" w:w="1440"/>
            <w:shd w:fill="FFDCE0" w:val="clear"/>
          </w:tcPr>
          <w:p>
            <w:r>
              <w:rPr>
                <w:b/>
                <w:sz w:val="17"/>
              </w:rPr>
              <w:t>7,209</w:t>
            </w:r>
          </w:p>
        </w:tc>
        <w:tc>
          <w:tcPr>
            <w:tcW w:type="dxa" w:w="1440"/>
            <w:shd w:fill="FFDCE0" w:val="clear"/>
          </w:tcPr>
          <w:p>
            <w:r>
              <w:rPr>
                <w:sz w:val="17"/>
              </w:rPr>
              <w:t>7,920</w:t>
            </w:r>
          </w:p>
        </w:tc>
        <w:tc>
          <w:tcPr>
            <w:tcW w:type="dxa" w:w="1440"/>
            <w:shd w:fill="FFDCE0" w:val="clear"/>
          </w:tcPr>
          <w:p>
            <w:r>
              <w:rPr>
                <w:b/>
                <w:color w:val="C00000"/>
                <w:sz w:val="17"/>
              </w:rPr>
              <w:t>-21.6%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la SIBC s'établit à 920 milliards FCFA, ce qui en fait l'une des valeurs les plus significatives de la BRVM, reflétant son statut de banque systémique en Côte d'Ivoire. Avec un BPA de 556 FCFA, chaque action génère un bénéfice substantiel, mais le PER de 16,5x se situe nettement au-dessus de la moyenne historique de la BRVM (8-12x), indiquant que les investisseurs paient une prime significative pour la qualité des actifs et la croissance de la banque. Le P/B de 4,49x confirme cette prime, le marché valorisant fortement les capitaux propres au-delà de leur valeur comptable, tandis que l'EV/EBITDA de 15,3x souligne une valorisation exigeante par rapport à la capacité opérationnelle de l'établissement. Ces ratios suggèrent que le marché intègre déjà des perspectives de croissance soutenue et une qualité de gestion supérieure, mais laissent peu de marge d'erreur en cas de déception.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SIBC affiche une performance remarquable de +33,33%, passant d'un plus bas de 6 805 FCFA à un plus haut de 9 500 FCFA, avant de se stabiliser autour de 9 200 FCFA, avec un léger repli de -0,92% lors de la dernière séance. La moyenne de 8 179 FCFA, inférieure à la médiane de 8 685 FCFA, révèle une distribution légèrement asymétrique, confirmée par le skewness négatif de -0,327, indiquant que les fortes hausses ont été plus fréquentes que les baisses profondes. L'écart-type de 905 FCFA, avec un coefficient de variation de 11,1%, témoigne d'une dispersion modérée des cours autour de la moyenne, tandis que le kurtosis de -1,645 (distribution platykurtique) suggère une absence de mouvements extrêmes et une certaine stabilité relative. La volatilité annualisée de 28,4% positionne le titre dans une zone modérée à élevée, reflétant un intérêt soutenu des investisseurs et une dynamique haussière marquée sur la période.</w:t>
      </w:r>
    </w:p>
    <w:p>
      <w:pPr>
        <w:spacing w:after="120" w:line="276" w:lineRule="auto" w:before="240"/>
      </w:pPr>
      <w:r>
        <w:rPr>
          <w:b/>
          <w:color w:val="003366"/>
          <w:sz w:val="24"/>
        </w:rPr>
        <w:t>**PARTIE 2 : ANALYSE TECHNIQUE DÉTAILLÉE**</w:t>
      </w:r>
    </w:p>
    <w:p>
      <w:pPr>
        <w:spacing w:after="120" w:line="276" w:lineRule="auto"/>
      </w:pPr>
      <w:r>
        <w:t>Les moyennes mobiles MM20 (9 089 FCFA) et MM50 (8 945 FCFA) se situent toutes deux sous le cours actuel de 9 200 FCFA, confirmant une tendance haussière solide. La MM20 étant supérieure à la MM50, la configuration en "courbe ascendante" valide la dynamique positive et justifie la décision d'achat, le cours évoluant au-dessus de ces supports dynamiques.</w:t>
      </w:r>
    </w:p>
    <w:p>
      <w:pPr>
        <w:spacing w:after="120" w:line="276" w:lineRule="auto"/>
      </w:pPr>
      <w:r>
        <w:t>Les bandes de Bollinger, avec une borne supérieure à 9 556,835 FCFA et une borne inférieure à 8 621,165 FCFA, encadrent le cours à 9 200 FCFA dans la partie médiane de l'enveloppe. Cette position neutre suggère une volatilité modérée, le prix n'étant ni en zone de surachat ni en zone de survente, laissant une marge de manœuvre avant d'atteindre les extrêmes.</w:t>
      </w:r>
    </w:p>
    <w:p>
      <w:pPr>
        <w:spacing w:after="120" w:line="276" w:lineRule="auto"/>
      </w:pPr>
      <w:r>
        <w:t>Le MACD affiche une valeur de 113,825, très proche de son signal à 114,534, avec une divergence légèrement négative qui génère une décision de vente. Ce croisement imminent indique un affaiblissement du momentum haussier, bien que la proximité des deux courbes suggère une possible reprise ou une consolidation avant la prochaine impulsion.</w:t>
      </w:r>
    </w:p>
    <w:p>
      <w:pPr>
        <w:spacing w:after="120" w:line="276" w:lineRule="auto"/>
      </w:pPr>
      <w:r>
        <w:t>Le RSI à 57,339 se positionne dans la zone neutre (30-70), indiquant un équilibre entre pression acheteuse et vendeuse. Cette valeur reflète une dynamique positive sans surachat, laissant un potentiel de hausse supplémentaire tout en signalant une certaine prudence nécessaire.</w:t>
      </w:r>
    </w:p>
    <w:p>
      <w:pPr>
        <w:spacing w:after="120" w:line="276" w:lineRule="auto"/>
      </w:pPr>
      <w:r>
        <w:t>Le stochastique avec %K à 62,5 et %D à 70,208 montre une configuration où %K est inférieur à %D, suggérant un possible retournement baissier à court terme. La décision neutre reflète cette incertitude, les deux lignes évoluant dans une zone intermédiaire sans signal directionnel fort.</w:t>
      </w:r>
    </w:p>
    <w:p>
      <w:pPr>
        <w:spacing w:after="120" w:line="276" w:lineRule="auto"/>
      </w:pPr>
      <w:r>
        <w:t>La synthèse technique révèle une configuration contrastée : la tendance de fond reste haussière grâce aux moyennes mobiles, mais les indicateurs de momentum (MACD, stochastique) montrent des signes de fatigue. Le RSI et les bandes de Bollinger suggèrent une consolidation nécessaire avant la poursuite du mouvement, indiquant une prudence à court terme malgré la tendance positive globale.</w:t>
      </w:r>
    </w:p>
    <w:p>
      <w:pPr>
        <w:spacing w:after="120" w:line="276" w:lineRule="auto" w:before="240"/>
      </w:pPr>
      <w:r>
        <w:rPr>
          <w:b/>
          <w:color w:val="003366"/>
          <w:sz w:val="24"/>
        </w:rPr>
        <w:t>**PARTIE 3 : ANALYSE FONDAMENTALE (SECTION CRITIQUE)**</w:t>
      </w:r>
    </w:p>
    <w:p>
      <w:pPr>
        <w:spacing w:after="120" w:line="276" w:lineRule="auto"/>
      </w:pPr>
      <w:r>
        <w:t>En 2025, la SIBC affiche des fondamentaux solides avec un Produit Net Bancaire de 108,663 milliards FCFA et un résultat net de 55,623 milliards FCFA, démontrant une marge nette exceptionnelle de 51,19%. Le ROE de 27,16% et le ROA de 2,96% confirment une rentabilité supérieure aux normes du secteur bancaire ouest-africain, tandis que le coefficient d'exploitation de 38,59% témoigne d'une efficacité opérationnelle remarquable. Le bilan de 1 881,733 milliards FCFA repose sur des dépôts clients de 1 503,441 milliards FCFA et des crédits de 1 226,720 milliards FCFA, soit un ratio de transformation de 81,6%, reflétant une gestion prudente de la liquidité. Les rapports trimestriels 2025 confirment cette dynamique : le T1 2025 montre un PNB de 26,5 milliards (+12%) et un résultat net de 13,6 milliards (+10%), le S1 2025 atteint 54,3 milliards de PNB (+9%) avec un résultat net de 29,4 milliards (+15%), et le T3 2025 cumulé s'établit à 81,4 milliards de PNB (+8%) pour 43 milliards de résultat net (+11%). Le rapport T1 2026, analysé par DeepSeek, indique une poursuite de la croissance avec un PNB de 27,7 milliards (+4%) et un résultat net de 15,2 milliards (+11%), soutenue par une progression des dépôts de 9% à 1 495 milliards et des crédits de 7% à 1 112 milliards. Sur la base de ces tendances, on estime que l'exercice 2026 devrait confirmer une croissance à deux chiffres du résultat net, portée par une gestion rigoureuse des coûts et une qualité d'actifs préservée, malgré un coût du risque qui reste un point de vigilance.</w:t>
      </w:r>
    </w:p>
    <w:p>
      <w:pPr>
        <w:spacing w:after="120" w:line="276" w:lineRule="auto" w:before="240"/>
      </w:pPr>
      <w:r>
        <w:rPr>
          <w:b/>
          <w:color w:val="003366"/>
          <w:sz w:val="24"/>
        </w:rPr>
        <w:t>**PARTIE 4 : CONCLUSION D'INVESTISSEMENT**</w:t>
      </w:r>
    </w:p>
    <w:p>
      <w:pPr>
        <w:spacing w:after="120" w:line="276" w:lineRule="auto"/>
      </w:pPr>
      <w:r>
        <w:t>La valorisation actuelle de la SIBC, avec un PER de 16,5x et un P/B de 4,49x, apparaît exigeante par rapport aux standards BRVM, intégrant déjà les excellentes performances passées et futures anticipées. Le comportement du cours sur 100 jours (+33,33%) confirme une dynamique haussière soutenue, bien que la volatilité de 28,4% et les statistiques descriptives suggèrent une possible consolidation après cette forte progression. Les signaux techniques sont mitigés : la tendance de fond reste positive via les moyennes mobiles, mais le MACD et le stochastique indiquent un essoufflement à court terme, tandis que le RSI neutre laisse place à l'ambiguïté. Les fondamentaux demeurent excellents avec un ROE de 27,16%, un coefficient d'exploitation de 38,59% et une croissance soutenue du résultat net, soutenus par les rapports trimestriels 2025 et T1 2026. Les prédictions IA pour les 10 prochains jours (8 864 à 7 870 FCFA) suggèrent une correction significative de -14%, contredisant la tendance haussière récente et renforçant la prudence à court terme. La convergence entre la valorisation exigeante, les signaux techniques de faiblesse et les prédictions IA baissières conduit à une recommandation de **CONSERVER** avec un niveau de confiance **Moyen** et un risque global **Élevé**. L'horizon d'investissement optimal se situe à **moyen terme (3-12 mois)**, permettant d'absorber une éventuelle correction et de bénéficier de la solidité fondamentale de la banque.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5.63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112 titres</w:t>
            </w:r>
          </w:p>
        </w:tc>
        <w:tc>
          <w:tcPr>
            <w:tcW w:type="dxa" w:w="2268"/>
            <w:shd w:fill="FFF2CC" w:val="clear"/>
          </w:tcPr>
          <w:p>
            <w:r>
              <w:rPr>
                <w:b/>
                <w:color w:val="503200"/>
                <w:sz w:val="16"/>
              </w:rPr>
              <w:t xml:space="preserve">Cours actuel : </w:t>
            </w:r>
            <w:r>
              <w:rPr>
                <w:color w:val="000000"/>
                <w:sz w:val="17"/>
              </w:rPr>
              <w:t>9,380 FCFA</w:t>
            </w:r>
          </w:p>
          <w:p>
            <w:r>
              <w:rPr>
                <w:b/>
                <w:color w:val="503200"/>
                <w:sz w:val="16"/>
              </w:rPr>
              <w:t xml:space="preserve">Var. 100 jours : </w:t>
            </w:r>
            <w:r>
              <w:rPr>
                <w:b/>
                <w:color w:val="007800"/>
                <w:sz w:val="17"/>
              </w:rPr>
              <w:t>+126.84%</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57.8%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32.6/100 → Moyen</w:t>
      </w:r>
    </w:p>
    <w:p>
      <w:pPr>
        <w:spacing w:before="40" w:after="80"/>
      </w:pPr>
      <w:r>
        <w:rPr>
          <w:rFonts w:ascii="Courier New" w:hAnsi="Courier New"/>
          <w:color w:val="825A00"/>
          <w:sz w:val="18"/>
        </w:rPr>
        <w:t>██████░░░░░░░░░░░░░░  32.6/100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28.40% (Élevée) — μ=5,048 FCFA, σ=1,433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β=0.0151 (Défensif) — Cov=0.000000, Var(idx)=0.000030, ρ=0.002,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112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σ_j=3.64%/j (Modérée) — Vol. annualisée≈57.8%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2026-08-20</w:t>
            </w:r>
          </w:p>
        </w:tc>
        <w:tc>
          <w:tcPr>
            <w:tcW w:type="dxa" w:w="1440"/>
            <w:shd w:fill="FAFAFA" w:val="clear"/>
          </w:tcPr>
          <w:p>
            <w:r>
              <w:rPr>
                <w:sz w:val="17"/>
              </w:rPr>
              <w:t>8,649</w:t>
            </w:r>
          </w:p>
        </w:tc>
        <w:tc>
          <w:tcPr>
            <w:tcW w:type="dxa" w:w="1440"/>
            <w:shd w:fill="FAFAFA" w:val="clear"/>
          </w:tcPr>
          <w:p>
            <w:r>
              <w:rPr>
                <w:b/>
                <w:sz w:val="17"/>
              </w:rPr>
              <w:t>9,350</w:t>
            </w:r>
          </w:p>
        </w:tc>
        <w:tc>
          <w:tcPr>
            <w:tcW w:type="dxa" w:w="1440"/>
            <w:shd w:fill="FAFAFA" w:val="clear"/>
          </w:tcPr>
          <w:p>
            <w:r>
              <w:rPr>
                <w:sz w:val="17"/>
              </w:rPr>
              <w:t>10,051</w:t>
            </w:r>
          </w:p>
        </w:tc>
        <w:tc>
          <w:tcPr>
            <w:tcW w:type="dxa" w:w="1440"/>
            <w:shd w:fill="FAFAFA" w:val="clear"/>
          </w:tcPr>
          <w:p>
            <w:r>
              <w:rPr>
                <w:b/>
                <w:color w:val="C00000"/>
                <w:sz w:val="17"/>
              </w:rPr>
              <w:t>-0.3%</w:t>
            </w:r>
          </w:p>
        </w:tc>
      </w:tr>
      <w:tr>
        <w:tc>
          <w:tcPr>
            <w:tcW w:type="dxa" w:w="1440"/>
            <w:shd w:fill="FFDCE0" w:val="clear"/>
          </w:tcPr>
          <w:p>
            <w:r>
              <w:rPr>
                <w:sz w:val="17"/>
              </w:rPr>
              <w:t>J+2  ⭐</w:t>
            </w:r>
          </w:p>
        </w:tc>
        <w:tc>
          <w:tcPr>
            <w:tcW w:type="dxa" w:w="1440"/>
            <w:shd w:fill="FFDCE0" w:val="clear"/>
          </w:tcPr>
          <w:p>
            <w:r>
              <w:rPr>
                <w:sz w:val="17"/>
              </w:rPr>
              <w:t>2026-08-21</w:t>
            </w:r>
          </w:p>
        </w:tc>
        <w:tc>
          <w:tcPr>
            <w:tcW w:type="dxa" w:w="1440"/>
            <w:shd w:fill="FFDCE0" w:val="clear"/>
          </w:tcPr>
          <w:p>
            <w:r>
              <w:rPr>
                <w:sz w:val="17"/>
              </w:rPr>
              <w:t>8,055</w:t>
            </w:r>
          </w:p>
        </w:tc>
        <w:tc>
          <w:tcPr>
            <w:tcW w:type="dxa" w:w="1440"/>
            <w:shd w:fill="FFDCE0" w:val="clear"/>
          </w:tcPr>
          <w:p>
            <w:r>
              <w:rPr>
                <w:b/>
                <w:sz w:val="17"/>
              </w:rPr>
              <w:t>9,024</w:t>
            </w:r>
          </w:p>
        </w:tc>
        <w:tc>
          <w:tcPr>
            <w:tcW w:type="dxa" w:w="1440"/>
            <w:shd w:fill="FFDCE0" w:val="clear"/>
          </w:tcPr>
          <w:p>
            <w:r>
              <w:rPr>
                <w:sz w:val="17"/>
              </w:rPr>
              <w:t>9,992</w:t>
            </w:r>
          </w:p>
        </w:tc>
        <w:tc>
          <w:tcPr>
            <w:tcW w:type="dxa" w:w="1440"/>
            <w:shd w:fill="FFDCE0" w:val="clear"/>
          </w:tcPr>
          <w:p>
            <w:r>
              <w:rPr>
                <w:b/>
                <w:color w:val="C00000"/>
                <w:sz w:val="17"/>
              </w:rPr>
              <w:t>-3.8%</w:t>
            </w:r>
          </w:p>
        </w:tc>
      </w:tr>
      <w:tr>
        <w:tc>
          <w:tcPr>
            <w:tcW w:type="dxa" w:w="1440"/>
            <w:shd w:fill="FFDCE0" w:val="clear"/>
          </w:tcPr>
          <w:p>
            <w:r>
              <w:rPr>
                <w:sz w:val="17"/>
              </w:rPr>
              <w:t>J+3  ⭐</w:t>
            </w:r>
          </w:p>
        </w:tc>
        <w:tc>
          <w:tcPr>
            <w:tcW w:type="dxa" w:w="1440"/>
            <w:shd w:fill="FFDCE0" w:val="clear"/>
          </w:tcPr>
          <w:p>
            <w:r>
              <w:rPr>
                <w:sz w:val="17"/>
              </w:rPr>
              <w:t>2026-08-24</w:t>
            </w:r>
          </w:p>
        </w:tc>
        <w:tc>
          <w:tcPr>
            <w:tcW w:type="dxa" w:w="1440"/>
            <w:shd w:fill="FFDCE0" w:val="clear"/>
          </w:tcPr>
          <w:p>
            <w:r>
              <w:rPr>
                <w:sz w:val="17"/>
              </w:rPr>
              <w:t>7,613</w:t>
            </w:r>
          </w:p>
        </w:tc>
        <w:tc>
          <w:tcPr>
            <w:tcW w:type="dxa" w:w="1440"/>
            <w:shd w:fill="FFDCE0" w:val="clear"/>
          </w:tcPr>
          <w:p>
            <w:r>
              <w:rPr>
                <w:b/>
                <w:sz w:val="17"/>
              </w:rPr>
              <w:t>8,765</w:t>
            </w:r>
          </w:p>
        </w:tc>
        <w:tc>
          <w:tcPr>
            <w:tcW w:type="dxa" w:w="1440"/>
            <w:shd w:fill="FFDCE0" w:val="clear"/>
          </w:tcPr>
          <w:p>
            <w:r>
              <w:rPr>
                <w:sz w:val="17"/>
              </w:rPr>
              <w:t>9,918</w:t>
            </w:r>
          </w:p>
        </w:tc>
        <w:tc>
          <w:tcPr>
            <w:tcW w:type="dxa" w:w="1440"/>
            <w:shd w:fill="FFDCE0" w:val="clear"/>
          </w:tcPr>
          <w:p>
            <w:r>
              <w:rPr>
                <w:b/>
                <w:color w:val="C00000"/>
                <w:sz w:val="17"/>
              </w:rPr>
              <w:t>-6.6%</w:t>
            </w:r>
          </w:p>
        </w:tc>
      </w:tr>
      <w:tr>
        <w:tc>
          <w:tcPr>
            <w:tcW w:type="dxa" w:w="1440"/>
            <w:shd w:fill="FFDCE0" w:val="clear"/>
          </w:tcPr>
          <w:p>
            <w:r>
              <w:rPr>
                <w:sz w:val="17"/>
              </w:rPr>
              <w:t>J+4  ⭐</w:t>
            </w:r>
          </w:p>
        </w:tc>
        <w:tc>
          <w:tcPr>
            <w:tcW w:type="dxa" w:w="1440"/>
            <w:shd w:fill="FFDCE0" w:val="clear"/>
          </w:tcPr>
          <w:p>
            <w:r>
              <w:rPr>
                <w:sz w:val="17"/>
              </w:rPr>
              <w:t>2026-08-25</w:t>
            </w:r>
          </w:p>
        </w:tc>
        <w:tc>
          <w:tcPr>
            <w:tcW w:type="dxa" w:w="1440"/>
            <w:shd w:fill="FFDCE0" w:val="clear"/>
          </w:tcPr>
          <w:p>
            <w:r>
              <w:rPr>
                <w:sz w:val="17"/>
              </w:rPr>
              <w:t>7,228</w:t>
            </w:r>
          </w:p>
        </w:tc>
        <w:tc>
          <w:tcPr>
            <w:tcW w:type="dxa" w:w="1440"/>
            <w:shd w:fill="FFDCE0" w:val="clear"/>
          </w:tcPr>
          <w:p>
            <w:r>
              <w:rPr>
                <w:b/>
                <w:sz w:val="17"/>
              </w:rPr>
              <w:t>8,522</w:t>
            </w:r>
          </w:p>
        </w:tc>
        <w:tc>
          <w:tcPr>
            <w:tcW w:type="dxa" w:w="1440"/>
            <w:shd w:fill="FFDCE0" w:val="clear"/>
          </w:tcPr>
          <w:p>
            <w:r>
              <w:rPr>
                <w:sz w:val="17"/>
              </w:rPr>
              <w:t>9,815</w:t>
            </w:r>
          </w:p>
        </w:tc>
        <w:tc>
          <w:tcPr>
            <w:tcW w:type="dxa" w:w="1440"/>
            <w:shd w:fill="FFDCE0" w:val="clear"/>
          </w:tcPr>
          <w:p>
            <w:r>
              <w:rPr>
                <w:b/>
                <w:color w:val="C00000"/>
                <w:sz w:val="17"/>
              </w:rPr>
              <w:t>-9.2%</w:t>
            </w:r>
          </w:p>
        </w:tc>
      </w:tr>
      <w:tr>
        <w:tc>
          <w:tcPr>
            <w:tcW w:type="dxa" w:w="1440"/>
            <w:shd w:fill="FFDCE0" w:val="clear"/>
          </w:tcPr>
          <w:p>
            <w:r>
              <w:rPr>
                <w:sz w:val="17"/>
              </w:rPr>
              <w:t>J+5  ⭐</w:t>
            </w:r>
          </w:p>
        </w:tc>
        <w:tc>
          <w:tcPr>
            <w:tcW w:type="dxa" w:w="1440"/>
            <w:shd w:fill="FFDCE0" w:val="clear"/>
          </w:tcPr>
          <w:p>
            <w:r>
              <w:rPr>
                <w:sz w:val="17"/>
              </w:rPr>
              <w:t>2026-08-27</w:t>
            </w:r>
          </w:p>
        </w:tc>
        <w:tc>
          <w:tcPr>
            <w:tcW w:type="dxa" w:w="1440"/>
            <w:shd w:fill="FFDCE0" w:val="clear"/>
          </w:tcPr>
          <w:p>
            <w:r>
              <w:rPr>
                <w:sz w:val="17"/>
              </w:rPr>
              <w:t>6,881</w:t>
            </w:r>
          </w:p>
        </w:tc>
        <w:tc>
          <w:tcPr>
            <w:tcW w:type="dxa" w:w="1440"/>
            <w:shd w:fill="FFDCE0" w:val="clear"/>
          </w:tcPr>
          <w:p>
            <w:r>
              <w:rPr>
                <w:b/>
                <w:sz w:val="17"/>
              </w:rPr>
              <w:t>8,288</w:t>
            </w:r>
          </w:p>
        </w:tc>
        <w:tc>
          <w:tcPr>
            <w:tcW w:type="dxa" w:w="1440"/>
            <w:shd w:fill="FFDCE0" w:val="clear"/>
          </w:tcPr>
          <w:p>
            <w:r>
              <w:rPr>
                <w:sz w:val="17"/>
              </w:rPr>
              <w:t>9,694</w:t>
            </w:r>
          </w:p>
        </w:tc>
        <w:tc>
          <w:tcPr>
            <w:tcW w:type="dxa" w:w="1440"/>
            <w:shd w:fill="FFDCE0" w:val="clear"/>
          </w:tcPr>
          <w:p>
            <w:r>
              <w:rPr>
                <w:b/>
                <w:color w:val="C00000"/>
                <w:sz w:val="17"/>
              </w:rPr>
              <w:t>-11.6%</w:t>
            </w:r>
          </w:p>
        </w:tc>
      </w:tr>
      <w:tr>
        <w:tc>
          <w:tcPr>
            <w:tcW w:type="dxa" w:w="1440"/>
            <w:shd w:fill="FFDCE0" w:val="clear"/>
          </w:tcPr>
          <w:p>
            <w:r>
              <w:rPr>
                <w:sz w:val="17"/>
              </w:rPr>
              <w:t>J+6  ⭐</w:t>
            </w:r>
          </w:p>
        </w:tc>
        <w:tc>
          <w:tcPr>
            <w:tcW w:type="dxa" w:w="1440"/>
            <w:shd w:fill="FFDCE0" w:val="clear"/>
          </w:tcPr>
          <w:p>
            <w:r>
              <w:rPr>
                <w:sz w:val="17"/>
              </w:rPr>
              <w:t>2026-08-28</w:t>
            </w:r>
          </w:p>
        </w:tc>
        <w:tc>
          <w:tcPr>
            <w:tcW w:type="dxa" w:w="1440"/>
            <w:shd w:fill="FFDCE0" w:val="clear"/>
          </w:tcPr>
          <w:p>
            <w:r>
              <w:rPr>
                <w:sz w:val="17"/>
              </w:rPr>
              <w:t>6,567</w:t>
            </w:r>
          </w:p>
        </w:tc>
        <w:tc>
          <w:tcPr>
            <w:tcW w:type="dxa" w:w="1440"/>
            <w:shd w:fill="FFDCE0" w:val="clear"/>
          </w:tcPr>
          <w:p>
            <w:r>
              <w:rPr>
                <w:b/>
                <w:sz w:val="17"/>
              </w:rPr>
              <w:t>8,066</w:t>
            </w:r>
          </w:p>
        </w:tc>
        <w:tc>
          <w:tcPr>
            <w:tcW w:type="dxa" w:w="1440"/>
            <w:shd w:fill="FFDCE0" w:val="clear"/>
          </w:tcPr>
          <w:p>
            <w:r>
              <w:rPr>
                <w:sz w:val="17"/>
              </w:rPr>
              <w:t>9,565</w:t>
            </w:r>
          </w:p>
        </w:tc>
        <w:tc>
          <w:tcPr>
            <w:tcW w:type="dxa" w:w="1440"/>
            <w:shd w:fill="FFDCE0" w:val="clear"/>
          </w:tcPr>
          <w:p>
            <w:r>
              <w:rPr>
                <w:b/>
                <w:color w:val="C00000"/>
                <w:sz w:val="17"/>
              </w:rPr>
              <w:t>-14.0%</w:t>
            </w:r>
          </w:p>
        </w:tc>
      </w:tr>
      <w:tr>
        <w:tc>
          <w:tcPr>
            <w:tcW w:type="dxa" w:w="1440"/>
            <w:shd w:fill="FFDCE0" w:val="clear"/>
          </w:tcPr>
          <w:p>
            <w:r>
              <w:rPr>
                <w:sz w:val="17"/>
              </w:rPr>
              <w:t>J+7  ⭐</w:t>
            </w:r>
          </w:p>
        </w:tc>
        <w:tc>
          <w:tcPr>
            <w:tcW w:type="dxa" w:w="1440"/>
            <w:shd w:fill="FFDCE0" w:val="clear"/>
          </w:tcPr>
          <w:p>
            <w:r>
              <w:rPr>
                <w:sz w:val="17"/>
              </w:rPr>
              <w:t>2026-08-31</w:t>
            </w:r>
          </w:p>
        </w:tc>
        <w:tc>
          <w:tcPr>
            <w:tcW w:type="dxa" w:w="1440"/>
            <w:shd w:fill="FFDCE0" w:val="clear"/>
          </w:tcPr>
          <w:p>
            <w:r>
              <w:rPr>
                <w:sz w:val="17"/>
              </w:rPr>
              <w:t>6,279</w:t>
            </w:r>
          </w:p>
        </w:tc>
        <w:tc>
          <w:tcPr>
            <w:tcW w:type="dxa" w:w="1440"/>
            <w:shd w:fill="FFDCE0" w:val="clear"/>
          </w:tcPr>
          <w:p>
            <w:r>
              <w:rPr>
                <w:b/>
                <w:sz w:val="17"/>
              </w:rPr>
              <w:t>7,857</w:t>
            </w:r>
          </w:p>
        </w:tc>
        <w:tc>
          <w:tcPr>
            <w:tcW w:type="dxa" w:w="1440"/>
            <w:shd w:fill="FFDCE0" w:val="clear"/>
          </w:tcPr>
          <w:p>
            <w:r>
              <w:rPr>
                <w:sz w:val="17"/>
              </w:rPr>
              <w:t>9,434</w:t>
            </w:r>
          </w:p>
        </w:tc>
        <w:tc>
          <w:tcPr>
            <w:tcW w:type="dxa" w:w="1440"/>
            <w:shd w:fill="FFDCE0" w:val="clear"/>
          </w:tcPr>
          <w:p>
            <w:r>
              <w:rPr>
                <w:b/>
                <w:color w:val="C00000"/>
                <w:sz w:val="17"/>
              </w:rPr>
              <w:t>-16.2%</w:t>
            </w:r>
          </w:p>
        </w:tc>
      </w:tr>
      <w:tr>
        <w:tc>
          <w:tcPr>
            <w:tcW w:type="dxa" w:w="1440"/>
            <w:shd w:fill="FFDCE0" w:val="clear"/>
          </w:tcPr>
          <w:p>
            <w:r>
              <w:rPr>
                <w:sz w:val="17"/>
              </w:rPr>
              <w:t>J+8  ⭐</w:t>
            </w:r>
          </w:p>
        </w:tc>
        <w:tc>
          <w:tcPr>
            <w:tcW w:type="dxa" w:w="1440"/>
            <w:shd w:fill="FFDCE0" w:val="clear"/>
          </w:tcPr>
          <w:p>
            <w:r>
              <w:rPr>
                <w:sz w:val="17"/>
              </w:rPr>
              <w:t>2026-09-01</w:t>
            </w:r>
          </w:p>
        </w:tc>
        <w:tc>
          <w:tcPr>
            <w:tcW w:type="dxa" w:w="1440"/>
            <w:shd w:fill="FFDCE0" w:val="clear"/>
          </w:tcPr>
          <w:p>
            <w:r>
              <w:rPr>
                <w:sz w:val="17"/>
              </w:rPr>
              <w:t>6,016</w:t>
            </w:r>
          </w:p>
        </w:tc>
        <w:tc>
          <w:tcPr>
            <w:tcW w:type="dxa" w:w="1440"/>
            <w:shd w:fill="FFDCE0" w:val="clear"/>
          </w:tcPr>
          <w:p>
            <w:r>
              <w:rPr>
                <w:b/>
                <w:sz w:val="17"/>
              </w:rPr>
              <w:t>7,661</w:t>
            </w:r>
          </w:p>
        </w:tc>
        <w:tc>
          <w:tcPr>
            <w:tcW w:type="dxa" w:w="1440"/>
            <w:shd w:fill="FFDCE0" w:val="clear"/>
          </w:tcPr>
          <w:p>
            <w:r>
              <w:rPr>
                <w:sz w:val="17"/>
              </w:rPr>
              <w:t>9,305</w:t>
            </w:r>
          </w:p>
        </w:tc>
        <w:tc>
          <w:tcPr>
            <w:tcW w:type="dxa" w:w="1440"/>
            <w:shd w:fill="FFDCE0" w:val="clear"/>
          </w:tcPr>
          <w:p>
            <w:r>
              <w:rPr>
                <w:b/>
                <w:color w:val="C00000"/>
                <w:sz w:val="17"/>
              </w:rPr>
              <w:t>-18.3%</w:t>
            </w:r>
          </w:p>
        </w:tc>
      </w:tr>
      <w:tr>
        <w:tc>
          <w:tcPr>
            <w:tcW w:type="dxa" w:w="1440"/>
            <w:shd w:fill="FFDCE0" w:val="clear"/>
          </w:tcPr>
          <w:p>
            <w:r>
              <w:rPr>
                <w:sz w:val="17"/>
              </w:rPr>
              <w:t>J+9  ⭐</w:t>
            </w:r>
          </w:p>
        </w:tc>
        <w:tc>
          <w:tcPr>
            <w:tcW w:type="dxa" w:w="1440"/>
            <w:shd w:fill="FFDCE0" w:val="clear"/>
          </w:tcPr>
          <w:p>
            <w:r>
              <w:rPr>
                <w:sz w:val="17"/>
              </w:rPr>
              <w:t>2026-09-02</w:t>
            </w:r>
          </w:p>
        </w:tc>
        <w:tc>
          <w:tcPr>
            <w:tcW w:type="dxa" w:w="1440"/>
            <w:shd w:fill="FFDCE0" w:val="clear"/>
          </w:tcPr>
          <w:p>
            <w:r>
              <w:rPr>
                <w:sz w:val="17"/>
              </w:rPr>
              <w:t>5,775</w:t>
            </w:r>
          </w:p>
        </w:tc>
        <w:tc>
          <w:tcPr>
            <w:tcW w:type="dxa" w:w="1440"/>
            <w:shd w:fill="FFDCE0" w:val="clear"/>
          </w:tcPr>
          <w:p>
            <w:r>
              <w:rPr>
                <w:b/>
                <w:sz w:val="17"/>
              </w:rPr>
              <w:t>7,477</w:t>
            </w:r>
          </w:p>
        </w:tc>
        <w:tc>
          <w:tcPr>
            <w:tcW w:type="dxa" w:w="1440"/>
            <w:shd w:fill="FFDCE0" w:val="clear"/>
          </w:tcPr>
          <w:p>
            <w:r>
              <w:rPr>
                <w:sz w:val="17"/>
              </w:rPr>
              <w:t>9,179</w:t>
            </w:r>
          </w:p>
        </w:tc>
        <w:tc>
          <w:tcPr>
            <w:tcW w:type="dxa" w:w="1440"/>
            <w:shd w:fill="FFDCE0" w:val="clear"/>
          </w:tcPr>
          <w:p>
            <w:r>
              <w:rPr>
                <w:b/>
                <w:color w:val="C00000"/>
                <w:sz w:val="17"/>
              </w:rPr>
              <w:t>-20.3%</w:t>
            </w:r>
          </w:p>
        </w:tc>
      </w:tr>
      <w:tr>
        <w:tc>
          <w:tcPr>
            <w:tcW w:type="dxa" w:w="1440"/>
            <w:shd w:fill="FFDCE0" w:val="clear"/>
          </w:tcPr>
          <w:p>
            <w:r>
              <w:rPr>
                <w:sz w:val="17"/>
              </w:rPr>
              <w:t>J+10  ⭐</w:t>
            </w:r>
          </w:p>
        </w:tc>
        <w:tc>
          <w:tcPr>
            <w:tcW w:type="dxa" w:w="1440"/>
            <w:shd w:fill="FFDCE0" w:val="clear"/>
          </w:tcPr>
          <w:p>
            <w:r>
              <w:rPr>
                <w:sz w:val="17"/>
              </w:rPr>
              <w:t>2026-09-03</w:t>
            </w:r>
          </w:p>
        </w:tc>
        <w:tc>
          <w:tcPr>
            <w:tcW w:type="dxa" w:w="1440"/>
            <w:shd w:fill="FFDCE0" w:val="clear"/>
          </w:tcPr>
          <w:p>
            <w:r>
              <w:rPr>
                <w:sz w:val="17"/>
              </w:rPr>
              <w:t>5,552</w:t>
            </w:r>
          </w:p>
        </w:tc>
        <w:tc>
          <w:tcPr>
            <w:tcW w:type="dxa" w:w="1440"/>
            <w:shd w:fill="FFDCE0" w:val="clear"/>
          </w:tcPr>
          <w:p>
            <w:r>
              <w:rPr>
                <w:b/>
                <w:sz w:val="17"/>
              </w:rPr>
              <w:t>7,305</w:t>
            </w:r>
          </w:p>
        </w:tc>
        <w:tc>
          <w:tcPr>
            <w:tcW w:type="dxa" w:w="1440"/>
            <w:shd w:fill="FFDCE0" w:val="clear"/>
          </w:tcPr>
          <w:p>
            <w:r>
              <w:rPr>
                <w:sz w:val="17"/>
              </w:rPr>
              <w:t>9,058</w:t>
            </w:r>
          </w:p>
        </w:tc>
        <w:tc>
          <w:tcPr>
            <w:tcW w:type="dxa" w:w="1440"/>
            <w:shd w:fill="FFDCE0" w:val="clear"/>
          </w:tcPr>
          <w:p>
            <w:r>
              <w:rPr>
                <w:b/>
                <w:color w:val="C00000"/>
                <w:sz w:val="17"/>
              </w:rPr>
              <w:t>-22.1%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SICOR CI (BRVM)**</w:t>
      </w:r>
    </w:p>
    <w:p>
      <w:pPr>
        <w:spacing w:after="120" w:line="276" w:lineRule="auto" w:before="240"/>
      </w:pPr>
      <w:r>
        <w:rPr>
          <w:b/>
          <w:color w:val="003366"/>
          <w:sz w:val="24"/>
        </w:rPr>
        <w:t>**PARTIE 0 : INDICATEURS DE VALORISATION BOURSIÈRE**</w:t>
      </w:r>
    </w:p>
    <w:p>
      <w:pPr>
        <w:spacing w:after="120" w:line="276" w:lineRule="auto"/>
      </w:pPr>
      <w:r>
        <w:t>La capitalisation boursière de SICOR s'établit à 5,63 milliards FCFA, un niveau modeste qui la classe parmi les petites capitalisations de la BRVM, reflétant une liquidité limitée avec un volume moyen de seulement 112 titres par jour. Les ratios de valorisation (BPA, PER, P/B, EV/EBITDA) ne sont pas calculables en raison de l'absence de données financières structurées récentes dans la base, ce qui constitue une limite importante pour l'évaluation relative du titre. Toutefois, sur la base des derniers rapports disponibles (exercice 2023), le résultat net de 19,25 millions FCFA pour un capital social de 1,5 milliard FCFA (600 000 actions) impliquerait un BPA d'environ 32 FCFA, soit un PER implicite d'environ 293 fois, extrêmement élevé comparé à la moyenne BRVM de 8 à 12 fois. Cette situation indique que le marché valorise principalement des perspectives de redressement futur plutôt que la rentabilité actuelle, avec une prime spéculative significative.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SICOR a enregistré une progression spectaculaire de +126,84%, passant d'un plus bas de 3 765 FCFA à un plus haut de 10 200 FCFA, avant de clôturer à 9 380 FCFA, soit une baisse de -7,13% lors de la dernière séance. Cette tendance fortement haussière s'accompagne de statistiques descriptives révélatrices : la moyenne (5 048 FCFA) est nettement inférieure à la médiane (4 460 FCFA), confirmant une asymétrie positive (skewness de 2,218) où la majorité des séances se situent sous la moyenne, avec des pics récents qui tirent la moyenne vers le haut. L'écart-type de 1 441 FCFA (coefficient de variation de 28,5%) témoigne d'une dispersion importante, tandis que le kurtosis excédentaire de 4,376 indique une distribution leptokurtique avec des queues épaisses, signalant un risque de mouvements extrêmes. La volatilité annualisée de 57,8% classe le titre dans la catégorie à risque élevé, bien au-delà du seuil de 30%, confirmant le caractère spéculatif et erratique du comportement boursier de SICOR.</w:t>
      </w:r>
    </w:p>
    <w:p>
      <w:pPr>
        <w:spacing w:after="120" w:line="276" w:lineRule="auto" w:before="240"/>
      </w:pPr>
      <w:r>
        <w:rPr>
          <w:b/>
          <w:color w:val="003366"/>
          <w:sz w:val="24"/>
        </w:rPr>
        <w:t>**PARTIE 2 : ANALYSE TECHNIQUE DÉTAILLÉE**</w:t>
      </w:r>
    </w:p>
    <w:p>
      <w:pPr>
        <w:spacing w:after="120" w:line="276" w:lineRule="auto"/>
      </w:pPr>
      <w:r>
        <w:t>**Moyennes Mobiles** : Le cours actuel de 9 380 FCFA se positionne nettement au-dessus de la MM20 (7 389,5 FCFA) et de la MM50 (5 862,7 FCFA), avec un écart de +26,9% par rapport à la MM20 et de +60% par rapport à la MM50. Cette configuration haussière, où le prix évolue au-dessus des deux moyennes, confirme une dynamique de tendance positive à court et moyen terme, justifiant la décision d'achat, bien que l'écart important suggère une possible correction à venir.</w:t>
      </w:r>
    </w:p>
    <w:p>
      <w:pPr>
        <w:spacing w:after="120" w:line="276" w:lineRule="auto"/>
      </w:pPr>
      <w:r>
        <w:t>**Bandes de Bollinger** : Le prix se situe à 9 380 FCFA, proche de la borne supérieure (10 807,6 FCFA) et très éloigné de la borne inférieure (3 971,4 FCFA), indiquant une volatilité extrême et une pression acheteuse soutenue. La position dans la partie supérieure des bandes, sans franchissement, justifie la décision neutre, car le titre pourrait soit poursuivre sa progression vers la borne supérieure, soit amorcer un repli vers la moyenne mobile.</w:t>
      </w:r>
    </w:p>
    <w:p>
      <w:pPr>
        <w:spacing w:after="120" w:line="276" w:lineRule="auto"/>
      </w:pPr>
      <w:r>
        <w:t>**MACD** : La valeur du MACD (1 211,7) est nettement supérieure à son signal (952,7), avec un écart positif de 259 points, confirmant un momentum haussier solide. Cette divergence positive indique que la dynamique d'achat reste dominante, justifiant la décision d'achat, même si l'ampleur de l'écart suggère une possible saturation à court terme.</w:t>
      </w:r>
    </w:p>
    <w:p>
      <w:pPr>
        <w:spacing w:after="120" w:line="276" w:lineRule="auto"/>
      </w:pPr>
      <w:r>
        <w:t>**RSI** : Le RSI s'établit à 77,99, nettement au-dessus du seuil de surachat de 70, signalant une condition de marché extrêmement survendue d'un point de vue technique. Cette valeur élevée indique que le titre est techniquement suracheté, avec un risque accru de correction, justifiant la décision de vente pour les traders à court terme.</w:t>
      </w:r>
    </w:p>
    <w:p>
      <w:pPr>
        <w:spacing w:after="120" w:line="276" w:lineRule="auto"/>
      </w:pPr>
      <w:r>
        <w:t>**Stochastique** : Le %K (80,59) et le %D (92,74) évoluent tous deux en zone de surachat, avec un %D supérieur au %K, suggérant un affaiblissement du momentum haussier. Cette configuration, où le %K passe sous le %D, pourrait indiquer un retournement imminent, justifiant la décision de vente.</w:t>
      </w:r>
    </w:p>
    <w:p>
      <w:pPr>
        <w:spacing w:after="120" w:line="276" w:lineRule="auto"/>
      </w:pPr>
      <w:r>
        <w:t>**Conclusion technique** : La convergence des indicateurs de momentum (MACD positif) avec les signaux de surachat (RSI et Stochastique) crée une situation contrastée. La tendance de fond reste haussière, mais les conditions de surachat extrême et l'écart important par rapport aux moyennes mobiles suggèrent une correction technique probable à court terme, avant une éventuelle poursuite de la tendance.</w:t>
      </w:r>
    </w:p>
    <w:p>
      <w:pPr>
        <w:spacing w:after="120" w:line="276" w:lineRule="auto" w:before="240"/>
      </w:pPr>
      <w:r>
        <w:rPr>
          <w:b/>
          <w:color w:val="003366"/>
          <w:sz w:val="24"/>
        </w:rPr>
        <w:t>**PARTIE 3 : ANALYSE FONDAMENTALE (SECTION CRITIQUE)**</w:t>
      </w:r>
    </w:p>
    <w:p>
      <w:pPr>
        <w:spacing w:after="120" w:line="276" w:lineRule="auto"/>
      </w:pPr>
      <w:r>
        <w:t>Les données financières structurées récentes ne sont pas disponibles dans la base, mais les rapports officiels fournis permettent une analyse approfondie. Pour l'exercice 2023 (rapport daté du 31/12/2024), le chiffre d'affaires s'établit à 701,09 millions FCFA, en baisse de 38,4% par rapport à 2022 (1 138,17 millions FCFA), tandis que le résultat net redevient positif à +19,25 millions FCFA contre -39,95 millions en 2022, soit une marge nette de 2,75%. Cette amélioration résulte principalement d'une réduction drastique des charges (-43,68%), notamment les charges de personnel (-39,24%) suite au transfert de 50% des effectifs vers la SIPAL. Les rapports historiques montrent une volatilité extrême des résultats : bénéfice de 989 millions FCFA en 2018 (année exceptionnelle avec résultat hors activités ordinaires de +946 millions), puis effondrement à 2,35 millions en 2019, rebond à 109,8 millions en 2020, et nouvelle perte en 2022. Le report à nouveau reste lourdement déficitaire (-689,86 millions FCFA en 2023), interdisant toute distribution de dividende conformément à l'Acte Uniforme OHADA, et la trésorerie demeure tendue avec des découverts bancaires multipliés par 14 en 2023. Les perspectives de redressement reposent sur la diversification (noix de coco, tourteaux), la sécurisation des plantations contre les vols, et une éventuelle reprise des exportations d'huile de coprah. La convocation à l'Assemblée Générale du 22 mai 2026 pour approuver les comptes 2024 suggère une continuité opérationnelle, mais la fragilité financière et l'absence de distribution de dividendes depuis 2017 constituent des risques majeurs.</w:t>
      </w:r>
    </w:p>
    <w:p>
      <w:pPr>
        <w:spacing w:after="120" w:line="276" w:lineRule="auto" w:before="240"/>
      </w:pPr>
      <w:r>
        <w:rPr>
          <w:b/>
          <w:color w:val="003366"/>
          <w:sz w:val="24"/>
        </w:rPr>
        <w:t>**PARTIE 4 : CONCLUSION D'INVESTISSEMENT**</w:t>
      </w:r>
    </w:p>
    <w:p>
      <w:pPr>
        <w:spacing w:after="120" w:line="276" w:lineRule="auto"/>
      </w:pPr>
      <w:r>
        <w:t>La valorisation implicite de SICOR, avec un PER estimé à environ 293 fois les bénéfices 2023, indique une surévaluation extrême par rapport aux fondamentaux actuels, le marché anticipant un redressement significatif qui ne s'est pas encore matérialisé dans les états financiers. Le comportement du cours, avec une hausse de +126,84% en 100 jours et une volatilité annualisée de 57,8%, reflète une dynamique spéculative intense, renforcée par une distribution leptokurtique (kurtosis de 4,376) signalant un risque de mouvements extrêmes dans les deux sens. Les signaux techniques sont contradictoires : la tendance haussière (MM, MACD) s'oppose aux conditions de surachat extrême (RSI à 78, Stochastique à 92,7), suggérant une correction probable à court terme. Les fondamentaux restent fragiles avec une rentabilité marginale, un report à nouveau négatif de 689,86 millions FCFA et une trésorerie tendue, malgré un retour à la profitabilité en 2023. Les prédictions IA pour les 10 prochains jours (9 350 à 8 288 FCFA) confirment cette anticipation de correction avec une baisse progressive d'environ 11,6%. La convergence entre les signaux de surachat technique et les prédictions IA de repli, contrastant avec la faiblesse des fondamentaux, conduit à une recommandation de **VENTE** à court terme, avec un niveau de confiance **Moyen** et un risque global **Élevé**. L'horizon d'investissement optimal serait le **court terme (moins de 3 mois)** pour les traders opportunistes, tandis que les investisseurs à long terme devraient attendre une correction significative et une amélioration tangible des fondamentaux avant toute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"Activité en croissance mais rentabilité nette quasi nulle, plombée par les charges financières et un report à nouveau lourdement négatif. Structure fragile, à conserver avec prudence."}</w:t>
      </w:r>
    </w:p>
    <w:p>
      <w:pPr>
        <w:spacing w:before="40"/>
        <w:ind w:left="400"/>
      </w:pPr>
      <w:r>
        <w:rPr>
          <w:sz w:val="18"/>
        </w:rPr>
        <w:t>SICOR (Société Ivoirienne de Coco Râpé) clôture l'exercice 2019 sur un bénéfice net symbolique de 2,35 M FCFA, en très net repli par rapport aux 989 M de 2018 (année dopée par un résultat hors activités ordinaires exceptionnel de +946 M). L'activité progresse pourtant : chiffre d'affaires de 1,86 Md (+33 %) et EBE de 239 M. Le bénéfice est laminé par un résultat financier négatif (-73,7 M) et un résultat HAO négatif (-87 M). Le report à nouveau reste lourdement déficitaire (-881 M) et la trésorerie nette est négative (-62 M). Structure financière fragile malgré des capitaux propres de 2,90 Md.</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'149 millions FCFA', 'resultat_exploitation': '163 millions FCFA', 'excedent_brut_exploitation': '239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0,13 %</w:t>
            </w:r>
          </w:p>
        </w:tc>
        <w:tc>
          <w:tcPr>
            <w:tcW w:type="dxa" w:w="2160"/>
          </w:tcPr>
          <w:p>
            <w:pPr>
              <w:ind w:left="100"/>
            </w:pPr>
            <w:r/>
            <w:r>
              <w:rPr>
                <w:b/>
                <w:sz w:val="16"/>
              </w:rPr>
              <w:t>total_actif</w:t>
              <w:br/>
            </w:r>
            <w:r>
              <w:rPr>
                <w:sz w:val="18"/>
              </w:rPr>
              <w:t>3,93 milliards FCFA</w:t>
            </w:r>
          </w:p>
        </w:tc>
      </w:tr>
      <w:tr>
        <w:tc>
          <w:tcPr>
            <w:tcW w:type="dxa" w:w="2160"/>
          </w:tcPr>
          <w:p>
            <w:r/>
            <w:r>
              <w:rPr>
                <w:b/>
                <w:sz w:val="16"/>
              </w:rPr>
              <w:t>resultat_net</w:t>
              <w:br/>
            </w:r>
            <w:r>
              <w:rPr>
                <w:sz w:val="18"/>
              </w:rPr>
              <w:t>2,35 millions FCFA (bénéfice)</w:t>
            </w:r>
          </w:p>
        </w:tc>
        <w:tc>
          <w:tcPr>
            <w:tcW w:type="dxa" w:w="2160"/>
          </w:tcPr>
          <w:p>
            <w:r/>
            <w:r>
              <w:rPr>
                <w:b/>
                <w:sz w:val="16"/>
              </w:rPr>
              <w:t>capitaux_propres</w:t>
              <w:br/>
            </w:r>
            <w:r>
              <w:rPr>
                <w:sz w:val="18"/>
              </w:rPr>
              <w:t>2,90 milliards FCFA</w:t>
            </w:r>
          </w:p>
        </w:tc>
        <w:tc>
          <w:tcPr>
            <w:tcW w:type="dxa" w:w="2160"/>
          </w:tcPr>
          <w:p>
            <w:r/>
            <w:r>
              <w:rPr>
                <w:b/>
                <w:sz w:val="16"/>
              </w:rPr>
              <w:t>chiffre_affaires</w:t>
              <w:br/>
            </w:r>
            <w:r>
              <w:rPr>
                <w:sz w:val="18"/>
              </w:rPr>
              <w:t>1,86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1,86 Md FCFA, en hausse de 33 %</w:t>
      </w:r>
    </w:p>
    <w:p>
      <w:pPr>
        <w:pStyle w:val="ListBullet"/>
        <w:spacing w:before="20" w:after="20"/>
        <w:ind w:left="700"/>
      </w:pPr>
      <w:r>
        <w:rPr>
          <w:sz w:val="18"/>
        </w:rPr>
        <w:t>EBE 239 M FCFA, résultat d'exploitation 163 M</w:t>
      </w:r>
    </w:p>
    <w:p>
      <w:pPr>
        <w:pStyle w:val="ListBullet"/>
        <w:spacing w:before="20" w:after="20"/>
        <w:ind w:left="700"/>
      </w:pPr>
      <w:r>
        <w:rPr>
          <w:sz w:val="18"/>
        </w:rPr>
        <w:t>Bénéfice net symbolique : 2,35 M FCFA (contre 989 M en 2018, année exceptionnelle)</w:t>
      </w:r>
    </w:p>
    <w:p>
      <w:pPr>
        <w:pStyle w:val="ListBullet"/>
        <w:spacing w:before="20" w:after="20"/>
        <w:ind w:left="700"/>
      </w:pPr>
      <w:r>
        <w:rPr>
          <w:sz w:val="18"/>
        </w:rPr>
        <w:t>Résultat financier négatif (-73,7 M) et HAO négatif (-87 M) érodent le résultat</w:t>
      </w:r>
    </w:p>
    <w:p>
      <w:pPr>
        <w:pStyle w:val="ListBullet"/>
        <w:spacing w:before="20" w:after="20"/>
        <w:ind w:left="700"/>
      </w:pPr>
      <w:r>
        <w:rPr>
          <w:sz w:val="18"/>
        </w:rPr>
        <w:t>Report à nouveau déficitaire : -881 M FCFA</w:t>
      </w:r>
    </w:p>
    <w:p>
      <w:pPr>
        <w:pStyle w:val="ListBullet"/>
        <w:spacing w:before="20" w:after="20"/>
        <w:ind w:left="700"/>
      </w:pPr>
      <w:r>
        <w:rPr>
          <w:sz w:val="18"/>
        </w:rPr>
        <w:t>Trésorerie nette négative : -62 M FCFA</w:t>
      </w:r>
    </w:p>
    <w:p>
      <w:pPr>
        <w:spacing w:before="40"/>
        <w:ind w:left="400"/>
      </w:pPr>
      <w:r>
        <w:rPr>
          <w:b/>
          <w:color w:val="C05000"/>
          <w:sz w:val="18"/>
        </w:rPr>
        <w:t xml:space="preserve">⚠️ Risques : </w:t>
      </w:r>
      <w:r>
        <w:rPr>
          <w:sz w:val="18"/>
        </w:rPr>
        <w:t>["Report à nouveau lourdement négatif (-881 M) interdisant toute distribution", "Résultat financier structurellement négatif (-73,7 M)", "Trésorerie nette négative (-62 M), dépendance aux découverts bancaires", "Bénéfice net très faible, dépendant d'éléments non opérationnels"]</w:t>
      </w:r>
    </w:p>
    <w:p>
      <w:pPr>
        <w:spacing w:before="40"/>
        <w:ind w:left="400"/>
      </w:pPr>
      <w:r>
        <w:rPr>
          <w:b/>
          <w:color w:val="0064A0"/>
          <w:sz w:val="18"/>
        </w:rPr>
        <w:t xml:space="preserve">🔮 Perspectives : </w:t>
      </w:r>
      <w:r>
        <w:rPr>
          <w:sz w:val="18"/>
        </w:rPr>
        <w:t>L'amélioration du chiffre d'affaires et un EBE solide montrent une base d'exploitation saine, mais le redressement passe par la réduction des charges financières et l'apurement du report à nouveau. La rentabilité nette reste trop mince pour reconstituer les fonds propres rapidement.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"Bon exercice, rentable, avec une génération de cash solide (CAFG 278 M). Mais report à nouveau encore négatif interdisant tout dividende et trésorerie nette négative. À conserver."}</w:t>
      </w:r>
    </w:p>
    <w:p>
      <w:pPr>
        <w:spacing w:before="40"/>
        <w:ind w:left="400"/>
      </w:pPr>
      <w:r>
        <w:rPr>
          <w:sz w:val="18"/>
        </w:rPr>
        <w:t>SICOR réalise un bon exercice 2020 : bénéfice net de 109,8 M FCFA, en forte hausse par rapport aux 2,35 M de 2019. Le chiffre d'affaires progresse de 27 % à 2,36 Md, l'EBE grimpe à 281 M et le résultat financier redevient positif (+0,8 M). Le report à nouveau reste négatif (-879 M) mais s'améliore légèrement. La trésorerie nette demeure négative (-47 M) tout en se redressant. Exercice de redressement opérationnel confirmé.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'278 millions FCFA', 'resultat_exploitation': '109 millions FCFA', 'excedent_brut_exploitation': '281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4,65 %</w:t>
            </w:r>
          </w:p>
        </w:tc>
        <w:tc>
          <w:tcPr>
            <w:tcW w:type="dxa" w:w="2160"/>
          </w:tcPr>
          <w:p>
            <w:pPr>
              <w:ind w:left="100"/>
            </w:pPr>
            <w:r/>
            <w:r>
              <w:rPr>
                <w:b/>
                <w:sz w:val="16"/>
              </w:rPr>
              <w:t>total_actif</w:t>
              <w:br/>
            </w:r>
            <w:r>
              <w:rPr>
                <w:sz w:val="18"/>
              </w:rPr>
              <w:t>4,09 milliards FCFA</w:t>
            </w:r>
          </w:p>
        </w:tc>
      </w:tr>
      <w:tr>
        <w:tc>
          <w:tcPr>
            <w:tcW w:type="dxa" w:w="2160"/>
          </w:tcPr>
          <w:p>
            <w:r/>
            <w:r>
              <w:rPr>
                <w:b/>
                <w:sz w:val="16"/>
              </w:rPr>
              <w:t>resultat_net</w:t>
              <w:br/>
            </w:r>
            <w:r>
              <w:rPr>
                <w:sz w:val="18"/>
              </w:rPr>
              <w:t>109,8 millions FCFA (bénéfice)</w:t>
            </w:r>
          </w:p>
        </w:tc>
        <w:tc>
          <w:tcPr>
            <w:tcW w:type="dxa" w:w="2160"/>
          </w:tcPr>
          <w:p>
            <w:r/>
            <w:r>
              <w:rPr>
                <w:b/>
                <w:sz w:val="16"/>
              </w:rPr>
              <w:t>capitaux_propres</w:t>
              <w:br/>
            </w:r>
            <w:r>
              <w:rPr>
                <w:sz w:val="18"/>
              </w:rPr>
              <w:t>3,01 milliards FCFA</w:t>
            </w:r>
          </w:p>
        </w:tc>
        <w:tc>
          <w:tcPr>
            <w:tcW w:type="dxa" w:w="2160"/>
          </w:tcPr>
          <w:p>
            <w:r/>
            <w:r>
              <w:rPr>
                <w:b/>
                <w:sz w:val="16"/>
              </w:rPr>
              <w:t>chiffre_affaires</w:t>
              <w:br/>
            </w:r>
            <w:r>
              <w:rPr>
                <w:sz w:val="18"/>
              </w:rPr>
              <w:t>2,36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2,36 Md FCFA (+27 %)</w:t>
      </w:r>
    </w:p>
    <w:p>
      <w:pPr>
        <w:pStyle w:val="ListBullet"/>
        <w:spacing w:before="20" w:after="20"/>
        <w:ind w:left="700"/>
      </w:pPr>
      <w:r>
        <w:rPr>
          <w:sz w:val="18"/>
        </w:rPr>
        <w:t>EBE 281 M FCFA, en nette progression</w:t>
      </w:r>
    </w:p>
    <w:p>
      <w:pPr>
        <w:pStyle w:val="ListBullet"/>
        <w:spacing w:before="20" w:after="20"/>
        <w:ind w:left="700"/>
      </w:pPr>
      <w:r>
        <w:rPr>
          <w:sz w:val="18"/>
        </w:rPr>
        <w:t>Bénéfice net 109,8 M FCFA (contre 2,35 M en 2019)</w:t>
      </w:r>
    </w:p>
    <w:p>
      <w:pPr>
        <w:pStyle w:val="ListBullet"/>
        <w:spacing w:before="20" w:after="20"/>
        <w:ind w:left="700"/>
      </w:pPr>
      <w:r>
        <w:rPr>
          <w:sz w:val="18"/>
        </w:rPr>
        <w:t>Résultat financier redevenu positif (+0,8 M)</w:t>
      </w:r>
    </w:p>
    <w:p>
      <w:pPr>
        <w:pStyle w:val="ListBullet"/>
        <w:spacing w:before="20" w:after="20"/>
        <w:ind w:left="700"/>
      </w:pPr>
      <w:r>
        <w:rPr>
          <w:sz w:val="18"/>
        </w:rPr>
        <w:t>Report à nouveau encore négatif (-879 M), en légère amélioration</w:t>
      </w:r>
    </w:p>
    <w:p>
      <w:pPr>
        <w:pStyle w:val="ListBullet"/>
        <w:spacing w:before="20" w:after="20"/>
        <w:ind w:left="700"/>
      </w:pPr>
      <w:r>
        <w:rPr>
          <w:sz w:val="18"/>
        </w:rPr>
        <w:t>Trésorerie nette négative (-47 M) mais en amélioration</w:t>
      </w:r>
    </w:p>
    <w:p>
      <w:pPr>
        <w:spacing w:before="40"/>
        <w:ind w:left="400"/>
      </w:pPr>
      <w:r>
        <w:rPr>
          <w:b/>
          <w:color w:val="C05000"/>
          <w:sz w:val="18"/>
        </w:rPr>
        <w:t xml:space="preserve">⚠️ Risques : </w:t>
      </w:r>
      <w:r>
        <w:rPr>
          <w:sz w:val="18"/>
        </w:rPr>
        <w:t>["Report à nouveau toujours négatif (-879 M)", "Trésorerie nette négative (-47 M)", "Dépendance à un chiffre d'affaires volatil dans une activité agro-industrielle (coco)", "Pas de distribution possible tant que les pertes cumulées subsistent"]</w:t>
      </w:r>
    </w:p>
    <w:p>
      <w:pPr>
        <w:spacing w:before="40"/>
        <w:ind w:left="400"/>
      </w:pPr>
      <w:r>
        <w:rPr>
          <w:b/>
          <w:color w:val="0064A0"/>
          <w:sz w:val="18"/>
        </w:rPr>
        <w:t xml:space="preserve">🔮 Perspectives : </w:t>
      </w:r>
      <w:r>
        <w:rPr>
          <w:sz w:val="18"/>
        </w:rPr>
        <w:t>La forte génération de trésorerie (CAFG 278 M) et le retour à un résultat financier positif consolident le redressement. Si la dynamique se maintient, l'apurement progressif du report à nouveau devient envisageable.</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20.52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5,601 titres</w:t>
            </w:r>
          </w:p>
        </w:tc>
        <w:tc>
          <w:tcPr>
            <w:tcW w:type="dxa" w:w="2268"/>
            <w:shd w:fill="FFF2CC" w:val="clear"/>
          </w:tcPr>
          <w:p>
            <w:r>
              <w:rPr>
                <w:b/>
                <w:color w:val="503200"/>
                <w:sz w:val="16"/>
              </w:rPr>
              <w:t xml:space="preserve">Cours actuel : </w:t>
            </w:r>
            <w:r>
              <w:rPr>
                <w:color w:val="000000"/>
                <w:sz w:val="17"/>
              </w:rPr>
              <w:t>2,350 FCFA</w:t>
            </w:r>
          </w:p>
          <w:p>
            <w:r>
              <w:rPr>
                <w:b/>
                <w:color w:val="503200"/>
                <w:sz w:val="16"/>
              </w:rPr>
              <w:t xml:space="preserve">Var. 100 jours : </w:t>
            </w:r>
            <w:r>
              <w:rPr>
                <w:b/>
                <w:color w:val="B40000"/>
                <w:sz w:val="17"/>
              </w:rPr>
              <w:t>-17.11%</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11.20% (Moyenne) — μ=2,628 FCFA, σ=294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β=0.5673 (Défensif) — Cov=0.000017, Var(idx)=0.000030, ρ=0.095,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5,601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σ_j=3.27%/j (Modérée) — Vol. annualisée≈51.9%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2026-08-20</w:t>
            </w:r>
          </w:p>
        </w:tc>
        <w:tc>
          <w:tcPr>
            <w:tcW w:type="dxa" w:w="1440"/>
            <w:shd w:fill="FFDCE0" w:val="clear"/>
          </w:tcPr>
          <w:p>
            <w:r>
              <w:rPr>
                <w:sz w:val="17"/>
              </w:rPr>
              <w:t>2,086</w:t>
            </w:r>
          </w:p>
        </w:tc>
        <w:tc>
          <w:tcPr>
            <w:tcW w:type="dxa" w:w="1440"/>
            <w:shd w:fill="FFDCE0" w:val="clear"/>
          </w:tcPr>
          <w:p>
            <w:r>
              <w:rPr>
                <w:b/>
                <w:sz w:val="17"/>
              </w:rPr>
              <w:t>2,243</w:t>
            </w:r>
          </w:p>
        </w:tc>
        <w:tc>
          <w:tcPr>
            <w:tcW w:type="dxa" w:w="1440"/>
            <w:shd w:fill="FFDCE0" w:val="clear"/>
          </w:tcPr>
          <w:p>
            <w:r>
              <w:rPr>
                <w:sz w:val="17"/>
              </w:rPr>
              <w:t>2,399</w:t>
            </w:r>
          </w:p>
        </w:tc>
        <w:tc>
          <w:tcPr>
            <w:tcW w:type="dxa" w:w="1440"/>
            <w:shd w:fill="FFDCE0" w:val="clear"/>
          </w:tcPr>
          <w:p>
            <w:r>
              <w:rPr>
                <w:b/>
                <w:color w:val="C00000"/>
                <w:sz w:val="17"/>
              </w:rPr>
              <w:t>-4.6%</w:t>
            </w:r>
          </w:p>
        </w:tc>
      </w:tr>
      <w:tr>
        <w:tc>
          <w:tcPr>
            <w:tcW w:type="dxa" w:w="1440"/>
            <w:shd w:fill="FFDCE0" w:val="clear"/>
          </w:tcPr>
          <w:p>
            <w:r>
              <w:rPr>
                <w:sz w:val="17"/>
              </w:rPr>
              <w:t>J+2  ⭐</w:t>
            </w:r>
          </w:p>
        </w:tc>
        <w:tc>
          <w:tcPr>
            <w:tcW w:type="dxa" w:w="1440"/>
            <w:shd w:fill="FFDCE0" w:val="clear"/>
          </w:tcPr>
          <w:p>
            <w:r>
              <w:rPr>
                <w:sz w:val="17"/>
              </w:rPr>
              <w:t>2026-08-21</w:t>
            </w:r>
          </w:p>
        </w:tc>
        <w:tc>
          <w:tcPr>
            <w:tcW w:type="dxa" w:w="1440"/>
            <w:shd w:fill="FFDCE0" w:val="clear"/>
          </w:tcPr>
          <w:p>
            <w:r>
              <w:rPr>
                <w:sz w:val="17"/>
              </w:rPr>
              <w:t>1,983</w:t>
            </w:r>
          </w:p>
        </w:tc>
        <w:tc>
          <w:tcPr>
            <w:tcW w:type="dxa" w:w="1440"/>
            <w:shd w:fill="FFDCE0" w:val="clear"/>
          </w:tcPr>
          <w:p>
            <w:r>
              <w:rPr>
                <w:b/>
                <w:sz w:val="17"/>
              </w:rPr>
              <w:t>2,200</w:t>
            </w:r>
          </w:p>
        </w:tc>
        <w:tc>
          <w:tcPr>
            <w:tcW w:type="dxa" w:w="1440"/>
            <w:shd w:fill="FFDCE0" w:val="clear"/>
          </w:tcPr>
          <w:p>
            <w:r>
              <w:rPr>
                <w:sz w:val="17"/>
              </w:rPr>
              <w:t>2,417</w:t>
            </w:r>
          </w:p>
        </w:tc>
        <w:tc>
          <w:tcPr>
            <w:tcW w:type="dxa" w:w="1440"/>
            <w:shd w:fill="FFDCE0" w:val="clear"/>
          </w:tcPr>
          <w:p>
            <w:r>
              <w:rPr>
                <w:b/>
                <w:color w:val="C00000"/>
                <w:sz w:val="17"/>
              </w:rPr>
              <w:t>-6.4%</w:t>
            </w:r>
          </w:p>
        </w:tc>
      </w:tr>
      <w:tr>
        <w:tc>
          <w:tcPr>
            <w:tcW w:type="dxa" w:w="1440"/>
            <w:shd w:fill="FFDCE0" w:val="clear"/>
          </w:tcPr>
          <w:p>
            <w:r>
              <w:rPr>
                <w:sz w:val="17"/>
              </w:rPr>
              <w:t>J+3  ⭐</w:t>
            </w:r>
          </w:p>
        </w:tc>
        <w:tc>
          <w:tcPr>
            <w:tcW w:type="dxa" w:w="1440"/>
            <w:shd w:fill="FFDCE0" w:val="clear"/>
          </w:tcPr>
          <w:p>
            <w:r>
              <w:rPr>
                <w:sz w:val="17"/>
              </w:rPr>
              <w:t>2026-08-24</w:t>
            </w:r>
          </w:p>
        </w:tc>
        <w:tc>
          <w:tcPr>
            <w:tcW w:type="dxa" w:w="1440"/>
            <w:shd w:fill="FFDCE0" w:val="clear"/>
          </w:tcPr>
          <w:p>
            <w:r>
              <w:rPr>
                <w:sz w:val="17"/>
              </w:rPr>
              <w:t>1,891</w:t>
            </w:r>
          </w:p>
        </w:tc>
        <w:tc>
          <w:tcPr>
            <w:tcW w:type="dxa" w:w="1440"/>
            <w:shd w:fill="FFDCE0" w:val="clear"/>
          </w:tcPr>
          <w:p>
            <w:r>
              <w:rPr>
                <w:b/>
                <w:sz w:val="17"/>
              </w:rPr>
              <w:t>2,151</w:t>
            </w:r>
          </w:p>
        </w:tc>
        <w:tc>
          <w:tcPr>
            <w:tcW w:type="dxa" w:w="1440"/>
            <w:shd w:fill="FFDCE0" w:val="clear"/>
          </w:tcPr>
          <w:p>
            <w:r>
              <w:rPr>
                <w:sz w:val="17"/>
              </w:rPr>
              <w:t>2,411</w:t>
            </w:r>
          </w:p>
        </w:tc>
        <w:tc>
          <w:tcPr>
            <w:tcW w:type="dxa" w:w="1440"/>
            <w:shd w:fill="FFDCE0" w:val="clear"/>
          </w:tcPr>
          <w:p>
            <w:r>
              <w:rPr>
                <w:b/>
                <w:color w:val="C00000"/>
                <w:sz w:val="17"/>
              </w:rPr>
              <w:t>-8.5%</w:t>
            </w:r>
          </w:p>
        </w:tc>
      </w:tr>
      <w:tr>
        <w:tc>
          <w:tcPr>
            <w:tcW w:type="dxa" w:w="1440"/>
            <w:shd w:fill="FFDCE0" w:val="clear"/>
          </w:tcPr>
          <w:p>
            <w:r>
              <w:rPr>
                <w:sz w:val="17"/>
              </w:rPr>
              <w:t>J+4  ⭐</w:t>
            </w:r>
          </w:p>
        </w:tc>
        <w:tc>
          <w:tcPr>
            <w:tcW w:type="dxa" w:w="1440"/>
            <w:shd w:fill="FFDCE0" w:val="clear"/>
          </w:tcPr>
          <w:p>
            <w:r>
              <w:rPr>
                <w:sz w:val="17"/>
              </w:rPr>
              <w:t>2026-08-25</w:t>
            </w:r>
          </w:p>
        </w:tc>
        <w:tc>
          <w:tcPr>
            <w:tcW w:type="dxa" w:w="1440"/>
            <w:shd w:fill="FFDCE0" w:val="clear"/>
          </w:tcPr>
          <w:p>
            <w:r>
              <w:rPr>
                <w:sz w:val="17"/>
              </w:rPr>
              <w:t>1,809</w:t>
            </w:r>
          </w:p>
        </w:tc>
        <w:tc>
          <w:tcPr>
            <w:tcW w:type="dxa" w:w="1440"/>
            <w:shd w:fill="FFDCE0" w:val="clear"/>
          </w:tcPr>
          <w:p>
            <w:r>
              <w:rPr>
                <w:b/>
                <w:sz w:val="17"/>
              </w:rPr>
              <w:t>2,102</w:t>
            </w:r>
          </w:p>
        </w:tc>
        <w:tc>
          <w:tcPr>
            <w:tcW w:type="dxa" w:w="1440"/>
            <w:shd w:fill="FFDCE0" w:val="clear"/>
          </w:tcPr>
          <w:p>
            <w:r>
              <w:rPr>
                <w:sz w:val="17"/>
              </w:rPr>
              <w:t>2,394</w:t>
            </w:r>
          </w:p>
        </w:tc>
        <w:tc>
          <w:tcPr>
            <w:tcW w:type="dxa" w:w="1440"/>
            <w:shd w:fill="FFDCE0" w:val="clear"/>
          </w:tcPr>
          <w:p>
            <w:r>
              <w:rPr>
                <w:b/>
                <w:color w:val="C00000"/>
                <w:sz w:val="17"/>
              </w:rPr>
              <w:t>-10.6%</w:t>
            </w:r>
          </w:p>
        </w:tc>
      </w:tr>
      <w:tr>
        <w:tc>
          <w:tcPr>
            <w:tcW w:type="dxa" w:w="1440"/>
            <w:shd w:fill="FFDCE0" w:val="clear"/>
          </w:tcPr>
          <w:p>
            <w:r>
              <w:rPr>
                <w:sz w:val="17"/>
              </w:rPr>
              <w:t>J+5  ⭐</w:t>
            </w:r>
          </w:p>
        </w:tc>
        <w:tc>
          <w:tcPr>
            <w:tcW w:type="dxa" w:w="1440"/>
            <w:shd w:fill="FFDCE0" w:val="clear"/>
          </w:tcPr>
          <w:p>
            <w:r>
              <w:rPr>
                <w:sz w:val="17"/>
              </w:rPr>
              <w:t>2026-08-27</w:t>
            </w:r>
          </w:p>
        </w:tc>
        <w:tc>
          <w:tcPr>
            <w:tcW w:type="dxa" w:w="1440"/>
            <w:shd w:fill="FFDCE0" w:val="clear"/>
          </w:tcPr>
          <w:p>
            <w:r>
              <w:rPr>
                <w:sz w:val="17"/>
              </w:rPr>
              <w:t>1,733</w:t>
            </w:r>
          </w:p>
        </w:tc>
        <w:tc>
          <w:tcPr>
            <w:tcW w:type="dxa" w:w="1440"/>
            <w:shd w:fill="FFDCE0" w:val="clear"/>
          </w:tcPr>
          <w:p>
            <w:r>
              <w:rPr>
                <w:b/>
                <w:sz w:val="17"/>
              </w:rPr>
              <w:t>2,053</w:t>
            </w:r>
          </w:p>
        </w:tc>
        <w:tc>
          <w:tcPr>
            <w:tcW w:type="dxa" w:w="1440"/>
            <w:shd w:fill="FFDCE0" w:val="clear"/>
          </w:tcPr>
          <w:p>
            <w:r>
              <w:rPr>
                <w:sz w:val="17"/>
              </w:rPr>
              <w:t>2,373</w:t>
            </w:r>
          </w:p>
        </w:tc>
        <w:tc>
          <w:tcPr>
            <w:tcW w:type="dxa" w:w="1440"/>
            <w:shd w:fill="FFDCE0" w:val="clear"/>
          </w:tcPr>
          <w:p>
            <w:r>
              <w:rPr>
                <w:b/>
                <w:color w:val="C00000"/>
                <w:sz w:val="17"/>
              </w:rPr>
              <w:t>-12.6%</w:t>
            </w:r>
          </w:p>
        </w:tc>
      </w:tr>
      <w:tr>
        <w:tc>
          <w:tcPr>
            <w:tcW w:type="dxa" w:w="1440"/>
            <w:shd w:fill="FFDCE0" w:val="clear"/>
          </w:tcPr>
          <w:p>
            <w:r>
              <w:rPr>
                <w:sz w:val="17"/>
              </w:rPr>
              <w:t>J+6  ⭐</w:t>
            </w:r>
          </w:p>
        </w:tc>
        <w:tc>
          <w:tcPr>
            <w:tcW w:type="dxa" w:w="1440"/>
            <w:shd w:fill="FFDCE0" w:val="clear"/>
          </w:tcPr>
          <w:p>
            <w:r>
              <w:rPr>
                <w:sz w:val="17"/>
              </w:rPr>
              <w:t>2026-08-28</w:t>
            </w:r>
          </w:p>
        </w:tc>
        <w:tc>
          <w:tcPr>
            <w:tcW w:type="dxa" w:w="1440"/>
            <w:shd w:fill="FFDCE0" w:val="clear"/>
          </w:tcPr>
          <w:p>
            <w:r>
              <w:rPr>
                <w:sz w:val="17"/>
              </w:rPr>
              <w:t>1,664</w:t>
            </w:r>
          </w:p>
        </w:tc>
        <w:tc>
          <w:tcPr>
            <w:tcW w:type="dxa" w:w="1440"/>
            <w:shd w:fill="FFDCE0" w:val="clear"/>
          </w:tcPr>
          <w:p>
            <w:r>
              <w:rPr>
                <w:b/>
                <w:sz w:val="17"/>
              </w:rPr>
              <w:t>2,007</w:t>
            </w:r>
          </w:p>
        </w:tc>
        <w:tc>
          <w:tcPr>
            <w:tcW w:type="dxa" w:w="1440"/>
            <w:shd w:fill="FFDCE0" w:val="clear"/>
          </w:tcPr>
          <w:p>
            <w:r>
              <w:rPr>
                <w:sz w:val="17"/>
              </w:rPr>
              <w:t>2,349</w:t>
            </w:r>
          </w:p>
        </w:tc>
        <w:tc>
          <w:tcPr>
            <w:tcW w:type="dxa" w:w="1440"/>
            <w:shd w:fill="FFDCE0" w:val="clear"/>
          </w:tcPr>
          <w:p>
            <w:r>
              <w:rPr>
                <w:b/>
                <w:color w:val="C00000"/>
                <w:sz w:val="17"/>
              </w:rPr>
              <w:t>-14.6%</w:t>
            </w:r>
          </w:p>
        </w:tc>
      </w:tr>
      <w:tr>
        <w:tc>
          <w:tcPr>
            <w:tcW w:type="dxa" w:w="1440"/>
            <w:shd w:fill="FFDCE0" w:val="clear"/>
          </w:tcPr>
          <w:p>
            <w:r>
              <w:rPr>
                <w:sz w:val="17"/>
              </w:rPr>
              <w:t>J+7  ⭐</w:t>
            </w:r>
          </w:p>
        </w:tc>
        <w:tc>
          <w:tcPr>
            <w:tcW w:type="dxa" w:w="1440"/>
            <w:shd w:fill="FFDCE0" w:val="clear"/>
          </w:tcPr>
          <w:p>
            <w:r>
              <w:rPr>
                <w:sz w:val="17"/>
              </w:rPr>
              <w:t>2026-08-31</w:t>
            </w:r>
          </w:p>
        </w:tc>
        <w:tc>
          <w:tcPr>
            <w:tcW w:type="dxa" w:w="1440"/>
            <w:shd w:fill="FFDCE0" w:val="clear"/>
          </w:tcPr>
          <w:p>
            <w:r>
              <w:rPr>
                <w:sz w:val="17"/>
              </w:rPr>
              <w:t>1,600</w:t>
            </w:r>
          </w:p>
        </w:tc>
        <w:tc>
          <w:tcPr>
            <w:tcW w:type="dxa" w:w="1440"/>
            <w:shd w:fill="FFDCE0" w:val="clear"/>
          </w:tcPr>
          <w:p>
            <w:r>
              <w:rPr>
                <w:b/>
                <w:sz w:val="17"/>
              </w:rPr>
              <w:t>1,962</w:t>
            </w:r>
          </w:p>
        </w:tc>
        <w:tc>
          <w:tcPr>
            <w:tcW w:type="dxa" w:w="1440"/>
            <w:shd w:fill="FFDCE0" w:val="clear"/>
          </w:tcPr>
          <w:p>
            <w:r>
              <w:rPr>
                <w:sz w:val="17"/>
              </w:rPr>
              <w:t>2,323</w:t>
            </w:r>
          </w:p>
        </w:tc>
        <w:tc>
          <w:tcPr>
            <w:tcW w:type="dxa" w:w="1440"/>
            <w:shd w:fill="FFDCE0" w:val="clear"/>
          </w:tcPr>
          <w:p>
            <w:r>
              <w:rPr>
                <w:b/>
                <w:color w:val="C00000"/>
                <w:sz w:val="17"/>
              </w:rPr>
              <w:t>-16.5%</w:t>
            </w:r>
          </w:p>
        </w:tc>
      </w:tr>
      <w:tr>
        <w:tc>
          <w:tcPr>
            <w:tcW w:type="dxa" w:w="1440"/>
            <w:shd w:fill="FFDCE0" w:val="clear"/>
          </w:tcPr>
          <w:p>
            <w:r>
              <w:rPr>
                <w:sz w:val="17"/>
              </w:rPr>
              <w:t>J+8  ⭐</w:t>
            </w:r>
          </w:p>
        </w:tc>
        <w:tc>
          <w:tcPr>
            <w:tcW w:type="dxa" w:w="1440"/>
            <w:shd w:fill="FFDCE0" w:val="clear"/>
          </w:tcPr>
          <w:p>
            <w:r>
              <w:rPr>
                <w:sz w:val="17"/>
              </w:rPr>
              <w:t>2026-09-01</w:t>
            </w:r>
          </w:p>
        </w:tc>
        <w:tc>
          <w:tcPr>
            <w:tcW w:type="dxa" w:w="1440"/>
            <w:shd w:fill="FFDCE0" w:val="clear"/>
          </w:tcPr>
          <w:p>
            <w:r>
              <w:rPr>
                <w:sz w:val="17"/>
              </w:rPr>
              <w:t>1,540</w:t>
            </w:r>
          </w:p>
        </w:tc>
        <w:tc>
          <w:tcPr>
            <w:tcW w:type="dxa" w:w="1440"/>
            <w:shd w:fill="FFDCE0" w:val="clear"/>
          </w:tcPr>
          <w:p>
            <w:r>
              <w:rPr>
                <w:b/>
                <w:sz w:val="17"/>
              </w:rPr>
              <w:t>1,918</w:t>
            </w:r>
          </w:p>
        </w:tc>
        <w:tc>
          <w:tcPr>
            <w:tcW w:type="dxa" w:w="1440"/>
            <w:shd w:fill="FFDCE0" w:val="clear"/>
          </w:tcPr>
          <w:p>
            <w:r>
              <w:rPr>
                <w:sz w:val="17"/>
              </w:rPr>
              <w:t>2,297</w:t>
            </w:r>
          </w:p>
        </w:tc>
        <w:tc>
          <w:tcPr>
            <w:tcW w:type="dxa" w:w="1440"/>
            <w:shd w:fill="FFDCE0" w:val="clear"/>
          </w:tcPr>
          <w:p>
            <w:r>
              <w:rPr>
                <w:b/>
                <w:color w:val="C00000"/>
                <w:sz w:val="17"/>
              </w:rPr>
              <w:t>-18.4%</w:t>
            </w:r>
          </w:p>
        </w:tc>
      </w:tr>
      <w:tr>
        <w:tc>
          <w:tcPr>
            <w:tcW w:type="dxa" w:w="1440"/>
            <w:shd w:fill="FFDCE0" w:val="clear"/>
          </w:tcPr>
          <w:p>
            <w:r>
              <w:rPr>
                <w:sz w:val="17"/>
              </w:rPr>
              <w:t>J+9  ⭐</w:t>
            </w:r>
          </w:p>
        </w:tc>
        <w:tc>
          <w:tcPr>
            <w:tcW w:type="dxa" w:w="1440"/>
            <w:shd w:fill="FFDCE0" w:val="clear"/>
          </w:tcPr>
          <w:p>
            <w:r>
              <w:rPr>
                <w:sz w:val="17"/>
              </w:rPr>
              <w:t>2026-09-02</w:t>
            </w:r>
          </w:p>
        </w:tc>
        <w:tc>
          <w:tcPr>
            <w:tcW w:type="dxa" w:w="1440"/>
            <w:shd w:fill="FFDCE0" w:val="clear"/>
          </w:tcPr>
          <w:p>
            <w:r>
              <w:rPr>
                <w:sz w:val="17"/>
              </w:rPr>
              <w:t>1,484</w:t>
            </w:r>
          </w:p>
        </w:tc>
        <w:tc>
          <w:tcPr>
            <w:tcW w:type="dxa" w:w="1440"/>
            <w:shd w:fill="FFDCE0" w:val="clear"/>
          </w:tcPr>
          <w:p>
            <w:r>
              <w:rPr>
                <w:b/>
                <w:sz w:val="17"/>
              </w:rPr>
              <w:t>1,877</w:t>
            </w:r>
          </w:p>
        </w:tc>
        <w:tc>
          <w:tcPr>
            <w:tcW w:type="dxa" w:w="1440"/>
            <w:shd w:fill="FFDCE0" w:val="clear"/>
          </w:tcPr>
          <w:p>
            <w:r>
              <w:rPr>
                <w:sz w:val="17"/>
              </w:rPr>
              <w:t>2,269</w:t>
            </w:r>
          </w:p>
        </w:tc>
        <w:tc>
          <w:tcPr>
            <w:tcW w:type="dxa" w:w="1440"/>
            <w:shd w:fill="FFDCE0" w:val="clear"/>
          </w:tcPr>
          <w:p>
            <w:r>
              <w:rPr>
                <w:b/>
                <w:color w:val="C00000"/>
                <w:sz w:val="17"/>
              </w:rPr>
              <w:t>-20.1%</w:t>
            </w:r>
          </w:p>
        </w:tc>
      </w:tr>
      <w:tr>
        <w:tc>
          <w:tcPr>
            <w:tcW w:type="dxa" w:w="1440"/>
            <w:shd w:fill="FFDCE0" w:val="clear"/>
          </w:tcPr>
          <w:p>
            <w:r>
              <w:rPr>
                <w:sz w:val="17"/>
              </w:rPr>
              <w:t>J+10  ⭐</w:t>
            </w:r>
          </w:p>
        </w:tc>
        <w:tc>
          <w:tcPr>
            <w:tcW w:type="dxa" w:w="1440"/>
            <w:shd w:fill="FFDCE0" w:val="clear"/>
          </w:tcPr>
          <w:p>
            <w:r>
              <w:rPr>
                <w:sz w:val="17"/>
              </w:rPr>
              <w:t>2026-09-03</w:t>
            </w:r>
          </w:p>
        </w:tc>
        <w:tc>
          <w:tcPr>
            <w:tcW w:type="dxa" w:w="1440"/>
            <w:shd w:fill="FFDCE0" w:val="clear"/>
          </w:tcPr>
          <w:p>
            <w:r>
              <w:rPr>
                <w:sz w:val="17"/>
              </w:rPr>
              <w:t>1,432</w:t>
            </w:r>
          </w:p>
        </w:tc>
        <w:tc>
          <w:tcPr>
            <w:tcW w:type="dxa" w:w="1440"/>
            <w:shd w:fill="FFDCE0" w:val="clear"/>
          </w:tcPr>
          <w:p>
            <w:r>
              <w:rPr>
                <w:b/>
                <w:sz w:val="17"/>
              </w:rPr>
              <w:t>1,836</w:t>
            </w:r>
          </w:p>
        </w:tc>
        <w:tc>
          <w:tcPr>
            <w:tcW w:type="dxa" w:w="1440"/>
            <w:shd w:fill="FFDCE0" w:val="clear"/>
          </w:tcPr>
          <w:p>
            <w:r>
              <w:rPr>
                <w:sz w:val="17"/>
              </w:rPr>
              <w:t>2,241</w:t>
            </w:r>
          </w:p>
        </w:tc>
        <w:tc>
          <w:tcPr>
            <w:tcW w:type="dxa" w:w="1440"/>
            <w:shd w:fill="FFDCE0" w:val="clear"/>
          </w:tcPr>
          <w:p>
            <w:r>
              <w:rPr>
                <w:b/>
                <w:color w:val="C00000"/>
                <w:sz w:val="17"/>
              </w:rPr>
              <w:t>-21.9%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Absolument. Voici un rapport d'analyse structuré et professionnel sur l'action SIVC (devenue ERIUM CI), basé sur l'ensemble des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20,52 milliards FCFA positionne SIVC comme une valeur de taille moyenne sur la BRVM. Avec un BPA de 43 FCFA, le titre se paie un PER de 54,4x, un niveau extrêmement élevé par rapport à la moyenne du marché qui se situe entre 8 et 12x. Les investisseurs paient donc une prime considérable pour chaque franc de bénéfice, ce qui suggère une anticipation de croissance future très forte ou une spéculation importante. Le P/B de 6,27x confirme cette cherté, le marché valorisant l'actif net de la société plus de six fois sa valeur comptable. Enfin, un EV/EBITDA de 17,2x, bien que plus modéré, reste exigeant et indique que la valeur d'entreprise est élevée par rapport à sa capacité opérationnelle de génération de cash. Ces ratios appellent à une prudence extrême.</w:t>
      </w:r>
    </w:p>
    <w:p>
      <w:pPr>
        <w:spacing w:after="120" w:line="276" w:lineRule="auto"/>
      </w:pPr>
      <w:r>
        <w:t>### PARTIE 1 : ANALYSE DU COURS — STATISTIQUES ET ÉVOLUTION (100 derniers jours)</w:t>
      </w:r>
    </w:p>
    <w:p>
      <w:pPr>
        <w:spacing w:after="120" w:line="276" w:lineRule="auto"/>
      </w:pPr>
      <w:r>
        <w:t>Sur les 100 derniers jours, le titre SIVC a subi une forte dépréciation de -17,11%, avec une dernière séance également en baisse de -1,67% à 2 350 FCFA. Le cours a évolué dans un large range de 1 920 à 3 215 FCFA, illustrant une forte volatilité. La moyenne (2 628 FCFA) est inférieure à la médiane (2 760 FCFA), et le skewness négatif (-0.499) confirme une distribution asymétrique avec une queue de distribution vers les valeurs basses, indiquant des épisodes de fortes baisses plus fréquents que des hausses. L'écart-type de 296 FCFA (CV=11.3%) montre une dispersion modérée autour de la moyenne. Le kurtosis de -0.870 (mésokurtique) suggère l'absence de valeurs extrêmes fréquentes, mais la volatilité annualisée de 51,9% classe le titre comme extrêmement risqué, bien au-delà du seuil de 30% considéré comme élevé. La tendance générale est donc clairement baissière et risquée.</w:t>
      </w:r>
    </w:p>
    <w:p>
      <w:pPr>
        <w:spacing w:after="120" w:line="276" w:lineRule="auto"/>
      </w:pPr>
      <w:r>
        <w:t>### PARTIE 2 : ANALYSE TECHNIQUE DÉTAILLÉE</w:t>
      </w:r>
    </w:p>
    <w:p>
      <w:pPr>
        <w:spacing w:after="120" w:line="276" w:lineRule="auto"/>
      </w:pPr>
      <w:r>
        <w:t>**Moyennes Mobiles**: Le cours actuel (2 350 FCFA) est supérieur à la MM20 (2 271 FCFA) mais inférieur à la MM50 (2 398,7 FCFA). Cette configuration, avec une MM20 sous la MM50, signale une tendance de fond baissière, bien qu'un rebond à court terme soit en cours. La décision de "Vente" est cohérente avec la tendance de moyen terme.</w:t>
      </w:r>
    </w:p>
    <w:p>
      <w:pPr>
        <w:spacing w:after="120" w:line="276" w:lineRule="auto"/>
      </w:pPr>
      <w:r>
        <w:t>**Bandes de Bollinger**: Le prix se situe à l'intérieur des bandes, entre la borne supérieure (2 491,6 FCFA) et la borne inférieure (2 050,3 FCFA). La position proche de la moyenne et l'écartement des bandes indiquent une volatilité élevée. La décision "Neutre" est justifiée, le cours n'étant pas en situation de surachat ou de survente extrême.</w:t>
      </w:r>
    </w:p>
    <w:p>
      <w:pPr>
        <w:spacing w:after="120" w:line="276" w:lineRule="auto"/>
      </w:pPr>
      <w:r>
        <w:t>**MACD**: La valeur du MACD (9.256) est positive et nettement supérieure à sa ligne de signal (-21.258). Ce croisement haussier, bien que récent, indique un momentum positif en train de se former. La décision "Achat" signale un potentiel de rebond technique à court terme.</w:t>
      </w:r>
    </w:p>
    <w:p>
      <w:pPr>
        <w:spacing w:after="120" w:line="276" w:lineRule="auto"/>
      </w:pPr>
      <w:r>
        <w:t>**RSI**: Avec une valeur de 61.9, le RSI est en territoire neutre mais proche de la zone de surachat (70). Il indique que la pression acheteuse est présente sans être excessive, laissant une marge de progression avant une potentielle correction. La décision "Neutre" est appropriée.</w:t>
      </w:r>
    </w:p>
    <w:p>
      <w:pPr>
        <w:spacing w:after="120" w:line="276" w:lineRule="auto"/>
      </w:pPr>
      <w:r>
        <w:t>**Stochastique**: Le %K (77.4) est inférieur au %D (86.8), ce qui suggère un début de retournement baissier après une phase de surachat. Bien que les deux lignes soient élevées, ce croisement potentiel est un signal de prudence. La décision "Neutre" reflète cette ambiguïté.</w:t>
      </w:r>
    </w:p>
    <w:p>
      <w:pPr>
        <w:spacing w:after="120" w:line="276" w:lineRule="auto"/>
      </w:pPr>
      <w:r>
        <w:t>**Conclusion technique**: Les signaux sont mitigés. La tendance de fond (MM50) reste baissière, mais des indicateurs de momentum (MACD) et de court terme (prix &gt; MM20) suggèrent un rebond technique. La prudence est de mise, le rebond actuel semblant fragile face à une tendance lourde.</w:t>
      </w:r>
    </w:p>
    <w:p>
      <w:pPr>
        <w:spacing w:after="120" w:line="276" w:lineRule="auto"/>
      </w:pPr>
      <w:r>
        <w:t>### PARTIE 3 : ANALYSE FONDAMENTALE (SECTION CRITIQUE)</w:t>
      </w:r>
    </w:p>
    <w:p>
      <w:pPr>
        <w:spacing w:after="120" w:line="276" w:lineRule="auto"/>
      </w:pPr>
      <w:r>
        <w:t>**En 2024**, selon les données structurées, la société (alors classée "Banque") affichait un PNB/CA de 9,283 Mds FCFA, un résultat net de 376,96 M FCFA, un ROE de 11,5% et un ROA de 2,7%. Le coefficient d'exploitation était très dégradé à 95,8%, indiquant une mauvaise efficacité opérationnelle. **Cependant, le rapport annuel pour l'exercice 2025 (analysé en juin 2026) est plus précis et révèle une réalité contrastée** : le chiffre d'affaires a progressé de +8,5% à 10,07 Mds FCFA, mais le résultat net a chuté de -52,4% à 179,3 M FCFA, faisant chuter la marge nette à 1,78%. Cette baisse est attribuée à une forte augmentation des charges et à une dégradation du résultat financier. Le rapport du 3ème trimestre 2025, daté du 30 septembre, montrait pourtant une dynamique très positive avec un résultat net cumulé de 832,5 M FCFA (+58%). **Sur la base de ce rapport trimestriel, on estime que l'exercice 2025 aurait dû être excellent ; la chute du résultat annuel suggère des éléments défavorables importants au T4 2025.** Les capitaux propres ont diminué à 2,53 Mds FCFA et l'endettement a fortement augmenté, avec une trésorerie nette toujours négative (-1,66 Md FCFA). La situation financière est donc fragile, marquée par une rentabilité en chute libre et un bilan qui se dégrade.</w:t>
      </w:r>
    </w:p>
    <w:p>
      <w:pPr>
        <w:spacing w:after="120" w:line="276" w:lineRule="auto"/>
      </w:pPr>
      <w:r>
        <w:t>### PARTIE 4 : CONCLUSION D'INVESTISSEMENT</w:t>
      </w:r>
    </w:p>
    <w:p>
      <w:pPr>
        <w:spacing w:after="120" w:line="276" w:lineRule="auto"/>
      </w:pPr>
      <w:r>
        <w:t>La valorisation de SIVC (PER 54x, P/B 6.27x) est extrêmement surévaluée par rapport aux fondamentaux actuels, qui se dégradent fortement (chute du résultat net 2025). Le comportement du cours est baissier et très volatil (51,9% annualisé), avec des statistiques montrant une distribution asymétrique vers le bas. Les signaux techniques sont mitigés, avec un rebond de court terme (MACD) qui s'oppose à une tendance de fond baissière (MM50). Les fondamentaux sont préoccupants : malgré une croissance du CA, la rentabilité s'effondre et l'endettement augmente. Les prédictions IA pour les 10 prochains jours (baisse de 2 243 à 2 053 FCFA) confirment la tendance baissière et contredisent le signal d'achat technique à court terme. En synthèse, la convergence des éléments (valorisation excessive, tendance baissière, fondamentaux en dégradation, prédictions négatives) est défavorable. **La recommandation finale est VENTE FORTE**, avec un niveau de confiance **Élevé** et un risque global **Élevé**. L'horizon d'investissement optimal est le **court terme (&lt;3 mois)** pour tout investisseur encore en position, afin de limiter les pertes, tandis qu'un nouvel investisseur devrait éviter ce titre.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625.51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1,099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B40000"/>
                <w:sz w:val="17"/>
              </w:rPr>
              <w:t>-2.44%</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2.45% (Faible) — μ=38,410 FCFA, σ=940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β=0.2936 (Défensif) — Cov=0.000009, Var(idx)=0.000030, ρ=0.087,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1,099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σ_j=1.85%/j (Stable) — Vol. annualisée≈29.4%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2026-08-20</w:t>
            </w:r>
          </w:p>
        </w:tc>
        <w:tc>
          <w:tcPr>
            <w:tcW w:type="dxa" w:w="1440"/>
            <w:shd w:fill="FAFAFA" w:val="clear"/>
          </w:tcPr>
          <w:p>
            <w:r>
              <w:rPr>
                <w:sz w:val="17"/>
              </w:rPr>
              <w:t>36,444</w:t>
            </w:r>
          </w:p>
        </w:tc>
        <w:tc>
          <w:tcPr>
            <w:tcW w:type="dxa" w:w="1440"/>
            <w:shd w:fill="FAFAFA" w:val="clear"/>
          </w:tcPr>
          <w:p>
            <w:r>
              <w:rPr>
                <w:b/>
                <w:sz w:val="17"/>
              </w:rPr>
              <w:t>37,737</w:t>
            </w:r>
          </w:p>
        </w:tc>
        <w:tc>
          <w:tcPr>
            <w:tcW w:type="dxa" w:w="1440"/>
            <w:shd w:fill="FAFAFA" w:val="clear"/>
          </w:tcPr>
          <w:p>
            <w:r>
              <w:rPr>
                <w:sz w:val="17"/>
              </w:rPr>
              <w:t>39,031</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2026-08-21</w:t>
            </w:r>
          </w:p>
        </w:tc>
        <w:tc>
          <w:tcPr>
            <w:tcW w:type="dxa" w:w="1440"/>
            <w:shd w:fill="FAFAFA" w:val="clear"/>
          </w:tcPr>
          <w:p>
            <w:r>
              <w:rPr>
                <w:sz w:val="17"/>
              </w:rPr>
              <w:t>35,912</w:t>
            </w:r>
          </w:p>
        </w:tc>
        <w:tc>
          <w:tcPr>
            <w:tcW w:type="dxa" w:w="1440"/>
            <w:shd w:fill="FAFAFA" w:val="clear"/>
          </w:tcPr>
          <w:p>
            <w:r>
              <w:rPr>
                <w:b/>
                <w:sz w:val="17"/>
              </w:rPr>
              <w:t>37,742</w:t>
            </w:r>
          </w:p>
        </w:tc>
        <w:tc>
          <w:tcPr>
            <w:tcW w:type="dxa" w:w="1440"/>
            <w:shd w:fill="FAFAFA" w:val="clear"/>
          </w:tcPr>
          <w:p>
            <w:r>
              <w:rPr>
                <w:sz w:val="17"/>
              </w:rPr>
              <w:t>39,571</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2026-08-24</w:t>
            </w:r>
          </w:p>
        </w:tc>
        <w:tc>
          <w:tcPr>
            <w:tcW w:type="dxa" w:w="1440"/>
            <w:shd w:fill="FAFAFA" w:val="clear"/>
          </w:tcPr>
          <w:p>
            <w:r>
              <w:rPr>
                <w:sz w:val="17"/>
              </w:rPr>
              <w:t>35,472</w:t>
            </w:r>
          </w:p>
        </w:tc>
        <w:tc>
          <w:tcPr>
            <w:tcW w:type="dxa" w:w="1440"/>
            <w:shd w:fill="FAFAFA" w:val="clear"/>
          </w:tcPr>
          <w:p>
            <w:r>
              <w:rPr>
                <w:b/>
                <w:sz w:val="17"/>
              </w:rPr>
              <w:t>37,711</w:t>
            </w:r>
          </w:p>
        </w:tc>
        <w:tc>
          <w:tcPr>
            <w:tcW w:type="dxa" w:w="1440"/>
            <w:shd w:fill="FAFAFA" w:val="clear"/>
          </w:tcPr>
          <w:p>
            <w:r>
              <w:rPr>
                <w:sz w:val="17"/>
              </w:rPr>
              <w:t>39,951</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2026-08-25</w:t>
            </w:r>
          </w:p>
        </w:tc>
        <w:tc>
          <w:tcPr>
            <w:tcW w:type="dxa" w:w="1440"/>
            <w:shd w:fill="FAFAFA" w:val="clear"/>
          </w:tcPr>
          <w:p>
            <w:r>
              <w:rPr>
                <w:sz w:val="17"/>
              </w:rPr>
              <w:t>35,091</w:t>
            </w:r>
          </w:p>
        </w:tc>
        <w:tc>
          <w:tcPr>
            <w:tcW w:type="dxa" w:w="1440"/>
            <w:shd w:fill="FAFAFA" w:val="clear"/>
          </w:tcPr>
          <w:p>
            <w:r>
              <w:rPr>
                <w:b/>
                <w:sz w:val="17"/>
              </w:rPr>
              <w:t>37,675</w:t>
            </w:r>
          </w:p>
        </w:tc>
        <w:tc>
          <w:tcPr>
            <w:tcW w:type="dxa" w:w="1440"/>
            <w:shd w:fill="FAFAFA" w:val="clear"/>
          </w:tcPr>
          <w:p>
            <w:r>
              <w:rPr>
                <w:sz w:val="17"/>
              </w:rPr>
              <w:t>40,258</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2026-08-27</w:t>
            </w:r>
          </w:p>
        </w:tc>
        <w:tc>
          <w:tcPr>
            <w:tcW w:type="dxa" w:w="1440"/>
            <w:shd w:fill="FAFAFA" w:val="clear"/>
          </w:tcPr>
          <w:p>
            <w:r>
              <w:rPr>
                <w:sz w:val="17"/>
              </w:rPr>
              <w:t>34,752</w:t>
            </w:r>
          </w:p>
        </w:tc>
        <w:tc>
          <w:tcPr>
            <w:tcW w:type="dxa" w:w="1440"/>
            <w:shd w:fill="FAFAFA" w:val="clear"/>
          </w:tcPr>
          <w:p>
            <w:r>
              <w:rPr>
                <w:b/>
                <w:sz w:val="17"/>
              </w:rPr>
              <w:t>37,637</w:t>
            </w:r>
          </w:p>
        </w:tc>
        <w:tc>
          <w:tcPr>
            <w:tcW w:type="dxa" w:w="1440"/>
            <w:shd w:fill="FAFAFA" w:val="clear"/>
          </w:tcPr>
          <w:p>
            <w:r>
              <w:rPr>
                <w:sz w:val="17"/>
              </w:rPr>
              <w:t>40,523</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2026-08-28</w:t>
            </w:r>
          </w:p>
        </w:tc>
        <w:tc>
          <w:tcPr>
            <w:tcW w:type="dxa" w:w="1440"/>
            <w:shd w:fill="FAFAFA" w:val="clear"/>
          </w:tcPr>
          <w:p>
            <w:r>
              <w:rPr>
                <w:sz w:val="17"/>
              </w:rPr>
              <w:t>34,443</w:t>
            </w:r>
          </w:p>
        </w:tc>
        <w:tc>
          <w:tcPr>
            <w:tcW w:type="dxa" w:w="1440"/>
            <w:shd w:fill="FAFAFA" w:val="clear"/>
          </w:tcPr>
          <w:p>
            <w:r>
              <w:rPr>
                <w:b/>
                <w:sz w:val="17"/>
              </w:rPr>
              <w:t>37,601</w:t>
            </w:r>
          </w:p>
        </w:tc>
        <w:tc>
          <w:tcPr>
            <w:tcW w:type="dxa" w:w="1440"/>
            <w:shd w:fill="FAFAFA" w:val="clear"/>
          </w:tcPr>
          <w:p>
            <w:r>
              <w:rPr>
                <w:sz w:val="17"/>
              </w:rPr>
              <w:t>40,759</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2026-08-31</w:t>
            </w:r>
          </w:p>
        </w:tc>
        <w:tc>
          <w:tcPr>
            <w:tcW w:type="dxa" w:w="1440"/>
            <w:shd w:fill="FAFAFA" w:val="clear"/>
          </w:tcPr>
          <w:p>
            <w:r>
              <w:rPr>
                <w:sz w:val="17"/>
              </w:rPr>
              <w:t>34,158</w:t>
            </w:r>
          </w:p>
        </w:tc>
        <w:tc>
          <w:tcPr>
            <w:tcW w:type="dxa" w:w="1440"/>
            <w:shd w:fill="FAFAFA" w:val="clear"/>
          </w:tcPr>
          <w:p>
            <w:r>
              <w:rPr>
                <w:b/>
                <w:sz w:val="17"/>
              </w:rPr>
              <w:t>37,566</w:t>
            </w:r>
          </w:p>
        </w:tc>
        <w:tc>
          <w:tcPr>
            <w:tcW w:type="dxa" w:w="1440"/>
            <w:shd w:fill="FAFAFA" w:val="clear"/>
          </w:tcPr>
          <w:p>
            <w:r>
              <w:rPr>
                <w:sz w:val="17"/>
              </w:rPr>
              <w:t>40,973</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2026-09-01</w:t>
            </w:r>
          </w:p>
        </w:tc>
        <w:tc>
          <w:tcPr>
            <w:tcW w:type="dxa" w:w="1440"/>
            <w:shd w:fill="FAFAFA" w:val="clear"/>
          </w:tcPr>
          <w:p>
            <w:r>
              <w:rPr>
                <w:sz w:val="17"/>
              </w:rPr>
              <w:t>33,891</w:t>
            </w:r>
          </w:p>
        </w:tc>
        <w:tc>
          <w:tcPr>
            <w:tcW w:type="dxa" w:w="1440"/>
            <w:shd w:fill="FAFAFA" w:val="clear"/>
          </w:tcPr>
          <w:p>
            <w:r>
              <w:rPr>
                <w:b/>
                <w:sz w:val="17"/>
              </w:rPr>
              <w:t>37,531</w:t>
            </w:r>
          </w:p>
        </w:tc>
        <w:tc>
          <w:tcPr>
            <w:tcW w:type="dxa" w:w="1440"/>
            <w:shd w:fill="FAFAFA" w:val="clear"/>
          </w:tcPr>
          <w:p>
            <w:r>
              <w:rPr>
                <w:sz w:val="17"/>
              </w:rPr>
              <w:t>41,170</w:t>
            </w:r>
          </w:p>
        </w:tc>
        <w:tc>
          <w:tcPr>
            <w:tcW w:type="dxa" w:w="1440"/>
            <w:shd w:fill="FAFAFA" w:val="clear"/>
          </w:tcPr>
          <w:p>
            <w:r>
              <w:rPr>
                <w:b/>
                <w:color w:val="C00000"/>
                <w:sz w:val="17"/>
              </w:rPr>
              <w:t>-1.2%</w:t>
            </w:r>
          </w:p>
        </w:tc>
      </w:tr>
      <w:tr>
        <w:tc>
          <w:tcPr>
            <w:tcW w:type="dxa" w:w="1440"/>
            <w:shd w:fill="FAFAFA" w:val="clear"/>
          </w:tcPr>
          <w:p>
            <w:r>
              <w:rPr>
                <w:sz w:val="17"/>
              </w:rPr>
              <w:t>J+9  ⭐</w:t>
            </w:r>
          </w:p>
        </w:tc>
        <w:tc>
          <w:tcPr>
            <w:tcW w:type="dxa" w:w="1440"/>
            <w:shd w:fill="FAFAFA" w:val="clear"/>
          </w:tcPr>
          <w:p>
            <w:r>
              <w:rPr>
                <w:sz w:val="17"/>
              </w:rPr>
              <w:t>2026-09-02</w:t>
            </w:r>
          </w:p>
        </w:tc>
        <w:tc>
          <w:tcPr>
            <w:tcW w:type="dxa" w:w="1440"/>
            <w:shd w:fill="FAFAFA" w:val="clear"/>
          </w:tcPr>
          <w:p>
            <w:r>
              <w:rPr>
                <w:sz w:val="17"/>
              </w:rPr>
              <w:t>33,640</w:t>
            </w:r>
          </w:p>
        </w:tc>
        <w:tc>
          <w:tcPr>
            <w:tcW w:type="dxa" w:w="1440"/>
            <w:shd w:fill="FAFAFA" w:val="clear"/>
          </w:tcPr>
          <w:p>
            <w:r>
              <w:rPr>
                <w:b/>
                <w:sz w:val="17"/>
              </w:rPr>
              <w:t>37,496</w:t>
            </w:r>
          </w:p>
        </w:tc>
        <w:tc>
          <w:tcPr>
            <w:tcW w:type="dxa" w:w="1440"/>
            <w:shd w:fill="FAFAFA" w:val="clear"/>
          </w:tcPr>
          <w:p>
            <w:r>
              <w:rPr>
                <w:sz w:val="17"/>
              </w:rPr>
              <w:t>41,353</w:t>
            </w:r>
          </w:p>
        </w:tc>
        <w:tc>
          <w:tcPr>
            <w:tcW w:type="dxa" w:w="1440"/>
            <w:shd w:fill="FAFAFA" w:val="clear"/>
          </w:tcPr>
          <w:p>
            <w:r>
              <w:rPr>
                <w:b/>
                <w:color w:val="C00000"/>
                <w:sz w:val="17"/>
              </w:rPr>
              <w:t>-1.3%</w:t>
            </w:r>
          </w:p>
        </w:tc>
      </w:tr>
      <w:tr>
        <w:tc>
          <w:tcPr>
            <w:tcW w:type="dxa" w:w="1440"/>
            <w:shd w:fill="FAFAFA" w:val="clear"/>
          </w:tcPr>
          <w:p>
            <w:r>
              <w:rPr>
                <w:sz w:val="17"/>
              </w:rPr>
              <w:t>J+10  ⭐</w:t>
            </w:r>
          </w:p>
        </w:tc>
        <w:tc>
          <w:tcPr>
            <w:tcW w:type="dxa" w:w="1440"/>
            <w:shd w:fill="FAFAFA" w:val="clear"/>
          </w:tcPr>
          <w:p>
            <w:r>
              <w:rPr>
                <w:sz w:val="17"/>
              </w:rPr>
              <w:t>2026-09-03</w:t>
            </w:r>
          </w:p>
        </w:tc>
        <w:tc>
          <w:tcPr>
            <w:tcW w:type="dxa" w:w="1440"/>
            <w:shd w:fill="FAFAFA" w:val="clear"/>
          </w:tcPr>
          <w:p>
            <w:r>
              <w:rPr>
                <w:sz w:val="17"/>
              </w:rPr>
              <w:t>33,401</w:t>
            </w:r>
          </w:p>
        </w:tc>
        <w:tc>
          <w:tcPr>
            <w:tcW w:type="dxa" w:w="1440"/>
            <w:shd w:fill="FAFAFA" w:val="clear"/>
          </w:tcPr>
          <w:p>
            <w:r>
              <w:rPr>
                <w:b/>
                <w:sz w:val="17"/>
              </w:rPr>
              <w:t>37,462</w:t>
            </w:r>
          </w:p>
        </w:tc>
        <w:tc>
          <w:tcPr>
            <w:tcW w:type="dxa" w:w="1440"/>
            <w:shd w:fill="FAFAFA" w:val="clear"/>
          </w:tcPr>
          <w:p>
            <w:r>
              <w:rPr>
                <w:sz w:val="17"/>
              </w:rPr>
              <w:t>41,524</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**Date : 19 août 2026**</w:t>
        <w:br/>
        <w:t>**Marché : BRVM (Côte d'Ivoire)**</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SLBC s'établit à 625,51 milliards FCFA, ce qui en fait l'une des valeurs les plus lourdes et les plus liquides de la cote BRVM, reflétant son statut de leader régional des boissons. Le BPA de 2 781 FCFA indique que chaque action génère un bénéfice substantiel, justifiant un PER de 13,7x. Ce ratio est légèrement supérieur à la moyenne historique de la BRVM (8-12x), ce qui traduit une prime de croissance accordée par le marché, mais reste raisonnable pour une société affichant une telle dynamique. Le P/B de 3,21x confirme cette prime, le marché valorisant l'actif net à plus de trois fois sa valeur comptable, signe d'une forte création de valeur attendue. Enfin, un EV/EBITDA de 7,4x est particulièrement attractif, indiquant que la valeur totale de l'entreprise (dette incluse) reste modérée par rapport à sa capacité opérationnelle à générer du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SLBC affiche une légère contraction de -2,44%, mais a rebondi de +1,33% lors de la dernière séance, signalant un regain d'intérêt. Le cours a évolué dans un range de trading de 35 540 FCFA (plus bas) à 41 500 FCFA (plus haut), soit une amplitude d'environ 16%, ce qui démontre une volatilité notable sur la période. La moyenne (38 410 FCFA) et la médiane (38 500 FCFA) étant très proches, la distribution des prix est quasi symétrique, ce que confirme le skewness de 0.101. L'écart-type de 945 FCFA (CV=2,5%) indique une dispersion relativement faible autour de la moyenne, et le kurtosis de 0.343 (mésokurtique) suggère une absence de risques extrêmes de pics ou de krachs soudains. La volatilité annualisée de 29,4% positionne le titre dans une catégorie de risque modéré à élevé, ce qui est cohérent avec les variations observées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 La MM20 (38 019 FCFA) est inférieure à la MM50 (38 669 FCFA), et le cours actuel (38 000 FCFA) se situe sous ces deux moyennes. Cette configuration en "croix de la mort" est un signal baissier classique, indiquant que la tendance de fond reste négative à court et moyen terme. La décision de "Vente" est donc cohérente avec la position relative du prix.</w:t>
      </w:r>
    </w:p>
    <w:p>
      <w:pPr>
        <w:spacing w:after="120" w:line="276" w:lineRule="auto"/>
      </w:pPr>
      <w:r>
        <w:t>**Bandes de Bollinger :** Le cours se situe à 38 000 FCFA, presque à mi-chemin entre la borne inférieure (36 083 FCFA) et la borne supérieure (39 955 FCFA). Cette position centrale suggère une volatilité modérée et une absence de pression directionnelle forte. La décision "Neutre" est appropriée, le prix n'étant pas en zone de surachat ou de survente.</w:t>
      </w:r>
    </w:p>
    <w:p>
      <w:pPr>
        <w:spacing w:after="120" w:line="276" w:lineRule="auto"/>
      </w:pPr>
      <w:r>
        <w:t>**MACD :** La valeur du MACD (-345,84) est supérieure à sa ligne de signal (-386,94), ce qui constitue un croisement haussier récent. Bien que les deux lignes soient en territoire négatif, ce croisement indique un affaiblissement de la dynamique baissière et un potentiel de retournement à la hausse. La décision "Achat" est un signal précoce de momentum positif.</w:t>
      </w:r>
    </w:p>
    <w:p>
      <w:pPr>
        <w:spacing w:after="120" w:line="276" w:lineRule="auto"/>
      </w:pPr>
      <w:r>
        <w:t>**RSI :** Avec une valeur de 51,71, le RSI se situe exactement dans la zone neutre (30-70), indiquant un équilibre entre les pressions acheteuses et vendeuses. Il n'y a pas de conditions de surachat ou de survente, ce qui laisse de la place pour un mouvement directionnel dans un sens ou dans l'autre. La décision "Neutre" est justifiée.</w:t>
      </w:r>
    </w:p>
    <w:p>
      <w:pPr>
        <w:spacing w:after="120" w:line="276" w:lineRule="auto"/>
      </w:pPr>
      <w:r>
        <w:t>**Stochastique :** Le %K (39,43) est supérieur au %D (33,45), ce qui suggère un croisement haussier en zone de survente. Cela pourrait indiquer un potentiel de rebond à court terme, mais les valeurs restent en dessous de 50, ce qui maintient un biais baissier sous-jacent. La décision "Neutre" est prudente.</w:t>
      </w:r>
    </w:p>
    <w:p>
      <w:pPr>
        <w:spacing w:after="120" w:line="276" w:lineRule="auto"/>
      </w:pPr>
      <w:r>
        <w:t>**Conclusion technique :** La configuration technique est mitigée. Les moyennes mobiles et la position sous les bandes de Bollinger plaident pour une prudence, tandis que le MACD et le Stochastique commencent à montrer des signes de retournement haussier. Le RSI neutre ne tranche pas. Globalement, le titre semble en phase de consolidation, avec un risque de baisse limité mais une tendance haussière non confirmée.</w:t>
      </w:r>
    </w:p>
    <w:p>
      <w:pPr>
        <w:spacing w:after="120" w:line="276" w:lineRule="auto"/>
      </w:pPr>
      <w:r>
        <w:t>---</w:t>
      </w:r>
    </w:p>
    <w:p>
      <w:pPr>
        <w:spacing w:after="120" w:line="276" w:lineRule="auto"/>
      </w:pPr>
      <w:r>
        <w:t>### PARTIE 3 : ANALYSE FONDAMENTALE (SECTION CRITIQUE)</w:t>
      </w:r>
    </w:p>
    <w:p>
      <w:pPr>
        <w:spacing w:after="120" w:line="276" w:lineRule="auto"/>
      </w:pPr>
      <w:r>
        <w:t>En 2025, SLBC a réalisé une performance exceptionnelle, avec un chiffre d'affaires de 378,123 milliards FCFA, en hausse de +22,1% par rapport à 2024 (309,722 Mds FCFA), et un résultat net de 45,781 milliards FCFA, soit une multiplication par plus de deux (vs 21,472 Mds FCFA en 2024). Cette dynamique se reflète dans des ratios de rentabilité excellents : un ROE de 23,46% et un ROA de 13,48%, largement au-dessus des seuils de référence de 15% et 10%. En tant qu'entreprise industrielle, l'analyse des délais d'exploitation est cruciale : le délai de paiement des clients (64 jours) est inférieur au délai de règlement des fournisseurs (77 jours), ce qui est une position de force pour la trésorerie. Cependant, la durée de stockage de 117 jours est élevée, immobilisant du capital, mais reste gérable pour une entreprise de boissons. Le BFR de 61,587 milliards FCFA est positif, mais le fonds de roulement de 83,689 milliards FCFA le couvre largement, assurant une trésorerie nette positive de 22,117 milliards FCFA. Les rapports trimestriels confirment la tendance : le T1 2026 (rapport du 31/03/2026) affiche une croissance du CA de +7,6% et un résultat net de 16,26 milliards FCFA (+4,8%), et le S1 2025 montrait déjà une explosion du résultat net de +175%. Sur la base de ces données, on estime que l'exercice 2026 devrait confirmer la solidité du modèle, avec une croissance potentielle du résultat net de l'ordre de 5 à 10%, portée par la maîtrise des coûts et la demande soutenue. La recommandation fondamentale est **ACHAT**, la société combinant croissance, rentabilité et solidité bilancielle.</w:t>
      </w:r>
    </w:p>
    <w:p>
      <w:pPr>
        <w:spacing w:after="120" w:line="276" w:lineRule="auto"/>
      </w:pPr>
      <w:r>
        <w:t>---</w:t>
      </w:r>
    </w:p>
    <w:p>
      <w:pPr>
        <w:spacing w:after="120" w:line="276" w:lineRule="auto"/>
      </w:pPr>
      <w:r>
        <w:t>### PARTIE 4 : CONCLUSION D'INVESTISSEMENT</w:t>
      </w:r>
    </w:p>
    <w:p>
      <w:pPr>
        <w:spacing w:after="120" w:line="276" w:lineRule="auto"/>
      </w:pPr>
      <w:r>
        <w:t>La valorisation de SLBC (PER 13,7x, P/B 3,2x, EV/EBITDA 7,4x) suggère une prime de croissance justifiée par des fondamentaux exceptionnels, mais le comportement du cours sur 100 jours (-2,44%) et une volatilité de 29,4% indiquent une phase de consolidation après une forte progression. Les signaux techniques sont mitigés, avec une tendance de fond baissière (MM) mais des indicateurs de momentum (MACD, Stochastique) montrant des signes de retournement haussier. Les fondamentaux, eux, sont indiscutablement solides : croissance à deux chiffres, rentabilité record (ROE 23,5%), et une politique de dividende généreuse (2 127 FCFA/action proposés pour 2025). Les prédictions IA pour les 10 prochains jours (37 737 à 37 637 FCFA) suggèrent une stabilisation du cours autour des niveaux actuels, avec une légère tendance baissière, ce qui contredit un rebond technique immédiat mais ne remet pas en cause la valeur à long terme. En synthèse, la convergence entre la solidité fondamentale et la valorisation raisonnable plaide pour une accumulation, malgré un contexte technique et de court terme incertain. **Recommandation finale : ACHAT**, avec un niveau de confiance **Élevé** et un risque global **Moyen**. L'horizon d'investissement optimal est le **moyen terme (3-12 mois)**, pour capter le potentiel de revalorisation du titre et le rendement du dividende, tout en laissant le temps aux indicateurs techniques de se retourner positivement.</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[2]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128.62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1,252 titres</w:t>
            </w:r>
          </w:p>
        </w:tc>
        <w:tc>
          <w:tcPr>
            <w:tcW w:type="dxa" w:w="2268"/>
            <w:shd w:fill="FFF2CC" w:val="clear"/>
          </w:tcPr>
          <w:p>
            <w:r>
              <w:rPr>
                <w:b/>
                <w:color w:val="503200"/>
                <w:sz w:val="16"/>
              </w:rPr>
              <w:t xml:space="preserve">Cours actuel : </w:t>
            </w:r>
            <w:r>
              <w:rPr>
                <w:color w:val="000000"/>
                <w:sz w:val="17"/>
              </w:rPr>
              <w:t>16,500 FCFA</w:t>
            </w:r>
          </w:p>
          <w:p>
            <w:r>
              <w:rPr>
                <w:b/>
                <w:color w:val="503200"/>
                <w:sz w:val="16"/>
              </w:rPr>
              <w:t xml:space="preserve">Var. 100 jours : </w:t>
            </w:r>
            <w:r>
              <w:rPr>
                <w:b/>
                <w:color w:val="007800"/>
                <w:sz w:val="17"/>
              </w:rPr>
              <w:t>+26.97%</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14.97% (Moyenne) — μ=14,398 FCFA, σ=2,155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β=-0.7054 (Contre-cyclique) — Cov=-0.000021, Var(idx)=0.000030, ρ=-0.162,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1,252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σ_j=2.38%/j (Stable) — Vol. annualisée≈37.8%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2026-08-20</w:t>
            </w:r>
          </w:p>
        </w:tc>
        <w:tc>
          <w:tcPr>
            <w:tcW w:type="dxa" w:w="1440"/>
            <w:shd w:fill="FAFAFA" w:val="clear"/>
          </w:tcPr>
          <w:p>
            <w:r>
              <w:rPr>
                <w:sz w:val="17"/>
              </w:rPr>
              <w:t>15,721</w:t>
            </w:r>
          </w:p>
        </w:tc>
        <w:tc>
          <w:tcPr>
            <w:tcW w:type="dxa" w:w="1440"/>
            <w:shd w:fill="FAFAFA" w:val="clear"/>
          </w:tcPr>
          <w:p>
            <w:r>
              <w:rPr>
                <w:b/>
                <w:sz w:val="17"/>
              </w:rPr>
              <w:t>16,346</w:t>
            </w:r>
          </w:p>
        </w:tc>
        <w:tc>
          <w:tcPr>
            <w:tcW w:type="dxa" w:w="1440"/>
            <w:shd w:fill="FAFAFA" w:val="clear"/>
          </w:tcPr>
          <w:p>
            <w:r>
              <w:rPr>
                <w:sz w:val="17"/>
              </w:rPr>
              <w:t>16,971</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2026-08-21</w:t>
            </w:r>
          </w:p>
        </w:tc>
        <w:tc>
          <w:tcPr>
            <w:tcW w:type="dxa" w:w="1440"/>
            <w:shd w:fill="FAFAFA" w:val="clear"/>
          </w:tcPr>
          <w:p>
            <w:r>
              <w:rPr>
                <w:sz w:val="17"/>
              </w:rPr>
              <w:t>15,413</w:t>
            </w:r>
          </w:p>
        </w:tc>
        <w:tc>
          <w:tcPr>
            <w:tcW w:type="dxa" w:w="1440"/>
            <w:shd w:fill="FAFAFA" w:val="clear"/>
          </w:tcPr>
          <w:p>
            <w:r>
              <w:rPr>
                <w:b/>
                <w:sz w:val="17"/>
              </w:rPr>
              <w:t>16,294</w:t>
            </w:r>
          </w:p>
        </w:tc>
        <w:tc>
          <w:tcPr>
            <w:tcW w:type="dxa" w:w="1440"/>
            <w:shd w:fill="FAFAFA" w:val="clear"/>
          </w:tcPr>
          <w:p>
            <w:r>
              <w:rPr>
                <w:sz w:val="17"/>
              </w:rPr>
              <w:t>17,174</w:t>
            </w:r>
          </w:p>
        </w:tc>
        <w:tc>
          <w:tcPr>
            <w:tcW w:type="dxa" w:w="1440"/>
            <w:shd w:fill="FAFAFA" w:val="clear"/>
          </w:tcPr>
          <w:p>
            <w:r>
              <w:rPr>
                <w:b/>
                <w:color w:val="C00000"/>
                <w:sz w:val="17"/>
              </w:rPr>
              <w:t>-1.3%</w:t>
            </w:r>
          </w:p>
        </w:tc>
      </w:tr>
      <w:tr>
        <w:tc>
          <w:tcPr>
            <w:tcW w:type="dxa" w:w="1440"/>
            <w:shd w:fill="FAFAFA" w:val="clear"/>
          </w:tcPr>
          <w:p>
            <w:r>
              <w:rPr>
                <w:sz w:val="17"/>
              </w:rPr>
              <w:t>J+3  Moyenne</w:t>
            </w:r>
          </w:p>
        </w:tc>
        <w:tc>
          <w:tcPr>
            <w:tcW w:type="dxa" w:w="1440"/>
            <w:shd w:fill="FAFAFA" w:val="clear"/>
          </w:tcPr>
          <w:p>
            <w:r>
              <w:rPr>
                <w:sz w:val="17"/>
              </w:rPr>
              <w:t>2026-08-24</w:t>
            </w:r>
          </w:p>
        </w:tc>
        <w:tc>
          <w:tcPr>
            <w:tcW w:type="dxa" w:w="1440"/>
            <w:shd w:fill="FAFAFA" w:val="clear"/>
          </w:tcPr>
          <w:p>
            <w:r>
              <w:rPr>
                <w:sz w:val="17"/>
              </w:rPr>
              <w:t>15,157</w:t>
            </w:r>
          </w:p>
        </w:tc>
        <w:tc>
          <w:tcPr>
            <w:tcW w:type="dxa" w:w="1440"/>
            <w:shd w:fill="FAFAFA" w:val="clear"/>
          </w:tcPr>
          <w:p>
            <w:r>
              <w:rPr>
                <w:b/>
                <w:sz w:val="17"/>
              </w:rPr>
              <w:t>16,232</w:t>
            </w:r>
          </w:p>
        </w:tc>
        <w:tc>
          <w:tcPr>
            <w:tcW w:type="dxa" w:w="1440"/>
            <w:shd w:fill="FAFAFA" w:val="clear"/>
          </w:tcPr>
          <w:p>
            <w:r>
              <w:rPr>
                <w:sz w:val="17"/>
              </w:rPr>
              <w:t>17,307</w:t>
            </w:r>
          </w:p>
        </w:tc>
        <w:tc>
          <w:tcPr>
            <w:tcW w:type="dxa" w:w="1440"/>
            <w:shd w:fill="FAFAFA" w:val="clear"/>
          </w:tcPr>
          <w:p>
            <w:r>
              <w:rPr>
                <w:b/>
                <w:color w:val="C00000"/>
                <w:sz w:val="17"/>
              </w:rPr>
              <w:t>-1.6%</w:t>
            </w:r>
          </w:p>
        </w:tc>
      </w:tr>
      <w:tr>
        <w:tc>
          <w:tcPr>
            <w:tcW w:type="dxa" w:w="1440"/>
            <w:shd w:fill="FAFAFA" w:val="clear"/>
          </w:tcPr>
          <w:p>
            <w:r>
              <w:rPr>
                <w:sz w:val="17"/>
              </w:rPr>
              <w:t>J+4  ⭐</w:t>
            </w:r>
          </w:p>
        </w:tc>
        <w:tc>
          <w:tcPr>
            <w:tcW w:type="dxa" w:w="1440"/>
            <w:shd w:fill="FAFAFA" w:val="clear"/>
          </w:tcPr>
          <w:p>
            <w:r>
              <w:rPr>
                <w:sz w:val="17"/>
              </w:rPr>
              <w:t>2026-08-25</w:t>
            </w:r>
          </w:p>
        </w:tc>
        <w:tc>
          <w:tcPr>
            <w:tcW w:type="dxa" w:w="1440"/>
            <w:shd w:fill="FAFAFA" w:val="clear"/>
          </w:tcPr>
          <w:p>
            <w:r>
              <w:rPr>
                <w:sz w:val="17"/>
              </w:rPr>
              <w:t>14,938</w:t>
            </w:r>
          </w:p>
        </w:tc>
        <w:tc>
          <w:tcPr>
            <w:tcW w:type="dxa" w:w="1440"/>
            <w:shd w:fill="FAFAFA" w:val="clear"/>
          </w:tcPr>
          <w:p>
            <w:r>
              <w:rPr>
                <w:b/>
                <w:sz w:val="17"/>
              </w:rPr>
              <w:t>16,174</w:t>
            </w:r>
          </w:p>
        </w:tc>
        <w:tc>
          <w:tcPr>
            <w:tcW w:type="dxa" w:w="1440"/>
            <w:shd w:fill="FAFAFA" w:val="clear"/>
          </w:tcPr>
          <w:p>
            <w:r>
              <w:rPr>
                <w:sz w:val="17"/>
              </w:rPr>
              <w:t>17,411</w:t>
            </w:r>
          </w:p>
        </w:tc>
        <w:tc>
          <w:tcPr>
            <w:tcW w:type="dxa" w:w="1440"/>
            <w:shd w:fill="FAFAFA"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2026-08-27</w:t>
            </w:r>
          </w:p>
        </w:tc>
        <w:tc>
          <w:tcPr>
            <w:tcW w:type="dxa" w:w="1440"/>
            <w:shd w:fill="FFDCE0" w:val="clear"/>
          </w:tcPr>
          <w:p>
            <w:r>
              <w:rPr>
                <w:sz w:val="17"/>
              </w:rPr>
              <w:t>14,740</w:t>
            </w:r>
          </w:p>
        </w:tc>
        <w:tc>
          <w:tcPr>
            <w:tcW w:type="dxa" w:w="1440"/>
            <w:shd w:fill="FFDCE0" w:val="clear"/>
          </w:tcPr>
          <w:p>
            <w:r>
              <w:rPr>
                <w:b/>
                <w:sz w:val="17"/>
              </w:rPr>
              <w:t>16,118</w:t>
            </w:r>
          </w:p>
        </w:tc>
        <w:tc>
          <w:tcPr>
            <w:tcW w:type="dxa" w:w="1440"/>
            <w:shd w:fill="FFDCE0" w:val="clear"/>
          </w:tcPr>
          <w:p>
            <w:r>
              <w:rPr>
                <w:sz w:val="17"/>
              </w:rPr>
              <w:t>17,496</w:t>
            </w:r>
          </w:p>
        </w:tc>
        <w:tc>
          <w:tcPr>
            <w:tcW w:type="dxa" w:w="1440"/>
            <w:shd w:fill="FFDCE0" w:val="clear"/>
          </w:tcPr>
          <w:p>
            <w:r>
              <w:rPr>
                <w:b/>
                <w:color w:val="C00000"/>
                <w:sz w:val="17"/>
              </w:rPr>
              <w:t>-2.3%</w:t>
            </w:r>
          </w:p>
        </w:tc>
      </w:tr>
      <w:tr>
        <w:tc>
          <w:tcPr>
            <w:tcW w:type="dxa" w:w="1440"/>
            <w:shd w:fill="FFDCE0" w:val="clear"/>
          </w:tcPr>
          <w:p>
            <w:r>
              <w:rPr>
                <w:sz w:val="17"/>
              </w:rPr>
              <w:t>J+6  ⭐</w:t>
            </w:r>
          </w:p>
        </w:tc>
        <w:tc>
          <w:tcPr>
            <w:tcW w:type="dxa" w:w="1440"/>
            <w:shd w:fill="FFDCE0" w:val="clear"/>
          </w:tcPr>
          <w:p>
            <w:r>
              <w:rPr>
                <w:sz w:val="17"/>
              </w:rPr>
              <w:t>2026-08-28</w:t>
            </w:r>
          </w:p>
        </w:tc>
        <w:tc>
          <w:tcPr>
            <w:tcW w:type="dxa" w:w="1440"/>
            <w:shd w:fill="FFDCE0" w:val="clear"/>
          </w:tcPr>
          <w:p>
            <w:r>
              <w:rPr>
                <w:sz w:val="17"/>
              </w:rPr>
              <w:t>14,559</w:t>
            </w:r>
          </w:p>
        </w:tc>
        <w:tc>
          <w:tcPr>
            <w:tcW w:type="dxa" w:w="1440"/>
            <w:shd w:fill="FFDCE0" w:val="clear"/>
          </w:tcPr>
          <w:p>
            <w:r>
              <w:rPr>
                <w:b/>
                <w:sz w:val="17"/>
              </w:rPr>
              <w:t>16,063</w:t>
            </w:r>
          </w:p>
        </w:tc>
        <w:tc>
          <w:tcPr>
            <w:tcW w:type="dxa" w:w="1440"/>
            <w:shd w:fill="FFDCE0" w:val="clear"/>
          </w:tcPr>
          <w:p>
            <w:r>
              <w:rPr>
                <w:sz w:val="17"/>
              </w:rPr>
              <w:t>17,567</w:t>
            </w:r>
          </w:p>
        </w:tc>
        <w:tc>
          <w:tcPr>
            <w:tcW w:type="dxa" w:w="1440"/>
            <w:shd w:fill="FFDCE0" w:val="clear"/>
          </w:tcPr>
          <w:p>
            <w:r>
              <w:rPr>
                <w:b/>
                <w:color w:val="C00000"/>
                <w:sz w:val="17"/>
              </w:rPr>
              <w:t>-2.6%</w:t>
            </w:r>
          </w:p>
        </w:tc>
      </w:tr>
      <w:tr>
        <w:tc>
          <w:tcPr>
            <w:tcW w:type="dxa" w:w="1440"/>
            <w:shd w:fill="FFDCE0" w:val="clear"/>
          </w:tcPr>
          <w:p>
            <w:r>
              <w:rPr>
                <w:sz w:val="17"/>
              </w:rPr>
              <w:t>J+7  ⭐</w:t>
            </w:r>
          </w:p>
        </w:tc>
        <w:tc>
          <w:tcPr>
            <w:tcW w:type="dxa" w:w="1440"/>
            <w:shd w:fill="FFDCE0" w:val="clear"/>
          </w:tcPr>
          <w:p>
            <w:r>
              <w:rPr>
                <w:sz w:val="17"/>
              </w:rPr>
              <w:t>2026-08-31</w:t>
            </w:r>
          </w:p>
        </w:tc>
        <w:tc>
          <w:tcPr>
            <w:tcW w:type="dxa" w:w="1440"/>
            <w:shd w:fill="FFDCE0" w:val="clear"/>
          </w:tcPr>
          <w:p>
            <w:r>
              <w:rPr>
                <w:sz w:val="17"/>
              </w:rPr>
              <w:t>14,390</w:t>
            </w:r>
          </w:p>
        </w:tc>
        <w:tc>
          <w:tcPr>
            <w:tcW w:type="dxa" w:w="1440"/>
            <w:shd w:fill="FFDCE0" w:val="clear"/>
          </w:tcPr>
          <w:p>
            <w:r>
              <w:rPr>
                <w:b/>
                <w:sz w:val="17"/>
              </w:rPr>
              <w:t>16,009</w:t>
            </w:r>
          </w:p>
        </w:tc>
        <w:tc>
          <w:tcPr>
            <w:tcW w:type="dxa" w:w="1440"/>
            <w:shd w:fill="FFDCE0" w:val="clear"/>
          </w:tcPr>
          <w:p>
            <w:r>
              <w:rPr>
                <w:sz w:val="17"/>
              </w:rPr>
              <w:t>17,628</w:t>
            </w:r>
          </w:p>
        </w:tc>
        <w:tc>
          <w:tcPr>
            <w:tcW w:type="dxa" w:w="1440"/>
            <w:shd w:fill="FFDCE0" w:val="clear"/>
          </w:tcPr>
          <w:p>
            <w:r>
              <w:rPr>
                <w:b/>
                <w:color w:val="C00000"/>
                <w:sz w:val="17"/>
              </w:rPr>
              <w:t>-3.0%</w:t>
            </w:r>
          </w:p>
        </w:tc>
      </w:tr>
      <w:tr>
        <w:tc>
          <w:tcPr>
            <w:tcW w:type="dxa" w:w="1440"/>
            <w:shd w:fill="FFDCE0" w:val="clear"/>
          </w:tcPr>
          <w:p>
            <w:r>
              <w:rPr>
                <w:sz w:val="17"/>
              </w:rPr>
              <w:t>J+8  ⭐</w:t>
            </w:r>
          </w:p>
        </w:tc>
        <w:tc>
          <w:tcPr>
            <w:tcW w:type="dxa" w:w="1440"/>
            <w:shd w:fill="FFDCE0" w:val="clear"/>
          </w:tcPr>
          <w:p>
            <w:r>
              <w:rPr>
                <w:sz w:val="17"/>
              </w:rPr>
              <w:t>2026-09-01</w:t>
            </w:r>
          </w:p>
        </w:tc>
        <w:tc>
          <w:tcPr>
            <w:tcW w:type="dxa" w:w="1440"/>
            <w:shd w:fill="FFDCE0" w:val="clear"/>
          </w:tcPr>
          <w:p>
            <w:r>
              <w:rPr>
                <w:sz w:val="17"/>
              </w:rPr>
              <w:t>14,230</w:t>
            </w:r>
          </w:p>
        </w:tc>
        <w:tc>
          <w:tcPr>
            <w:tcW w:type="dxa" w:w="1440"/>
            <w:shd w:fill="FFDCE0" w:val="clear"/>
          </w:tcPr>
          <w:p>
            <w:r>
              <w:rPr>
                <w:b/>
                <w:sz w:val="17"/>
              </w:rPr>
              <w:t>15,956</w:t>
            </w:r>
          </w:p>
        </w:tc>
        <w:tc>
          <w:tcPr>
            <w:tcW w:type="dxa" w:w="1440"/>
            <w:shd w:fill="FFDCE0" w:val="clear"/>
          </w:tcPr>
          <w:p>
            <w:r>
              <w:rPr>
                <w:sz w:val="17"/>
              </w:rPr>
              <w:t>17,681</w:t>
            </w:r>
          </w:p>
        </w:tc>
        <w:tc>
          <w:tcPr>
            <w:tcW w:type="dxa" w:w="1440"/>
            <w:shd w:fill="FFDCE0" w:val="clear"/>
          </w:tcPr>
          <w:p>
            <w:r>
              <w:rPr>
                <w:b/>
                <w:color w:val="C00000"/>
                <w:sz w:val="17"/>
              </w:rPr>
              <w:t>-3.3%</w:t>
            </w:r>
          </w:p>
        </w:tc>
      </w:tr>
      <w:tr>
        <w:tc>
          <w:tcPr>
            <w:tcW w:type="dxa" w:w="1440"/>
            <w:shd w:fill="FFDCE0" w:val="clear"/>
          </w:tcPr>
          <w:p>
            <w:r>
              <w:rPr>
                <w:sz w:val="17"/>
              </w:rPr>
              <w:t>J+9  ⭐</w:t>
            </w:r>
          </w:p>
        </w:tc>
        <w:tc>
          <w:tcPr>
            <w:tcW w:type="dxa" w:w="1440"/>
            <w:shd w:fill="FFDCE0" w:val="clear"/>
          </w:tcPr>
          <w:p>
            <w:r>
              <w:rPr>
                <w:sz w:val="17"/>
              </w:rPr>
              <w:t>2026-09-02</w:t>
            </w:r>
          </w:p>
        </w:tc>
        <w:tc>
          <w:tcPr>
            <w:tcW w:type="dxa" w:w="1440"/>
            <w:shd w:fill="FFDCE0" w:val="clear"/>
          </w:tcPr>
          <w:p>
            <w:r>
              <w:rPr>
                <w:sz w:val="17"/>
              </w:rPr>
              <w:t>14,079</w:t>
            </w:r>
          </w:p>
        </w:tc>
        <w:tc>
          <w:tcPr>
            <w:tcW w:type="dxa" w:w="1440"/>
            <w:shd w:fill="FFDCE0" w:val="clear"/>
          </w:tcPr>
          <w:p>
            <w:r>
              <w:rPr>
                <w:b/>
                <w:sz w:val="17"/>
              </w:rPr>
              <w:t>15,903</w:t>
            </w:r>
          </w:p>
        </w:tc>
        <w:tc>
          <w:tcPr>
            <w:tcW w:type="dxa" w:w="1440"/>
            <w:shd w:fill="FFDCE0" w:val="clear"/>
          </w:tcPr>
          <w:p>
            <w:r>
              <w:rPr>
                <w:sz w:val="17"/>
              </w:rPr>
              <w:t>17,727</w:t>
            </w:r>
          </w:p>
        </w:tc>
        <w:tc>
          <w:tcPr>
            <w:tcW w:type="dxa" w:w="1440"/>
            <w:shd w:fill="FFDCE0" w:val="clear"/>
          </w:tcPr>
          <w:p>
            <w:r>
              <w:rPr>
                <w:b/>
                <w:color w:val="C00000"/>
                <w:sz w:val="17"/>
              </w:rPr>
              <w:t>-3.6%</w:t>
            </w:r>
          </w:p>
        </w:tc>
      </w:tr>
      <w:tr>
        <w:tc>
          <w:tcPr>
            <w:tcW w:type="dxa" w:w="1440"/>
            <w:shd w:fill="FFDCE0" w:val="clear"/>
          </w:tcPr>
          <w:p>
            <w:r>
              <w:rPr>
                <w:sz w:val="17"/>
              </w:rPr>
              <w:t>J+10  ⭐</w:t>
            </w:r>
          </w:p>
        </w:tc>
        <w:tc>
          <w:tcPr>
            <w:tcW w:type="dxa" w:w="1440"/>
            <w:shd w:fill="FFDCE0" w:val="clear"/>
          </w:tcPr>
          <w:p>
            <w:r>
              <w:rPr>
                <w:sz w:val="17"/>
              </w:rPr>
              <w:t>2026-09-03</w:t>
            </w:r>
          </w:p>
        </w:tc>
        <w:tc>
          <w:tcPr>
            <w:tcW w:type="dxa" w:w="1440"/>
            <w:shd w:fill="FFDCE0" w:val="clear"/>
          </w:tcPr>
          <w:p>
            <w:r>
              <w:rPr>
                <w:sz w:val="17"/>
              </w:rPr>
              <w:t>13,934</w:t>
            </w:r>
          </w:p>
        </w:tc>
        <w:tc>
          <w:tcPr>
            <w:tcW w:type="dxa" w:w="1440"/>
            <w:shd w:fill="FFDCE0" w:val="clear"/>
          </w:tcPr>
          <w:p>
            <w:r>
              <w:rPr>
                <w:b/>
                <w:sz w:val="17"/>
              </w:rPr>
              <w:t>15,851</w:t>
            </w:r>
          </w:p>
        </w:tc>
        <w:tc>
          <w:tcPr>
            <w:tcW w:type="dxa" w:w="1440"/>
            <w:shd w:fill="FFDCE0" w:val="clear"/>
          </w:tcPr>
          <w:p>
            <w:r>
              <w:rPr>
                <w:sz w:val="17"/>
              </w:rPr>
              <w:t>17,767</w:t>
            </w:r>
          </w:p>
        </w:tc>
        <w:tc>
          <w:tcPr>
            <w:tcW w:type="dxa" w:w="1440"/>
            <w:shd w:fill="FFDCE0" w:val="clear"/>
          </w:tcPr>
          <w:p>
            <w:r>
              <w:rPr>
                <w:b/>
                <w:color w:val="C00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SMBC s'établit à 128,62 milliards FCFA, positionnant la société comme une valeur de taille moyenne sur la BRVM, avec un BPA de 1 677 FCFA. Le PER de 9,8x est légèrement inférieur à la moyenne historique de la place (~8-12x), ce qui suggère une valorisation raisonnable, voire une légère sous-évaluation au regard des bénéfices générés. Le P/B de 3,00x indique que le marché valorise l'action à trois fois sa valeur comptable, traduisant une prime de croissance accordée par les investisseurs, cohérente avec les fortes marges de l'entreprise. Enfin, l'EV/EBITDA de 6,2x se situe dans la fourchette basse des valeurs "raisonnables" (5-10x), confirmant que la valeur totale de l'entreprise (dette incluse) reste attractive par rapport à sa capacité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SMBC a enregistré une progression spectaculaire de +26,97%, avec une dernière séance en légère hausse de +0,33% à 16 500 FCFA. Le titre a évolué dans une fourchette de trading large, entre un plus bas de 11 450 FCFA et un plus haut de 17 735 FCFA, démontrant une forte dynamique haussière. La moyenne (14 398 FCFA) est inférieure à la médiane (15 288 FCFA), indiquant une distribution légèrement asymétrique avec des valeurs extrêmes basses en début de période, tandis que le mode à 16 000 FCFA confirme une concentration des échanges autour de ce niveau. L'écart-type de 2 166 FCFA (CV de 15,0%) révèle une dispersion modérée, et le kurtosis de -1,629 (platykurtique) suggère une absence de pics extrêmes, avec une distribution aplatie. Le skewness de -0,051 confirme une symétrie quasi parfaite. La volatilité annualisée de 37,8% classe SMBC comme un titre à forte volatilité, impliquant un risque élevé mais aussi un potentiel de rendement significatif.</w:t>
      </w:r>
    </w:p>
    <w:p>
      <w:pPr>
        <w:spacing w:after="120" w:line="276" w:lineRule="auto" w:before="240"/>
      </w:pPr>
      <w:r>
        <w:rPr>
          <w:b/>
          <w:color w:val="003366"/>
          <w:sz w:val="24"/>
        </w:rPr>
        <w:t>**PARTIE 2 : ANALYSE TECHNIQUE DÉTAILLÉE**</w:t>
      </w:r>
    </w:p>
    <w:p>
      <w:pPr>
        <w:spacing w:after="120" w:line="276" w:lineRule="auto"/>
      </w:pPr>
      <w:r>
        <w:t>Les **Moyennes Mobiles** (MM20 à 16 194,5 et MM50 à 16 419,9) sont toutes deux inférieures au cours actuel de 16 500 FCFA, indiquant une tendance haussière de court et moyen terme. Cependant, la MM50 est supérieure à la MM20, ce qui suggère un possible ralentissement du momentum récent. La décision "Vente" émise par cet indicateur semble prudente, car le cours reste au-dessus des deux moyennes, mais la convergence des prix vers ces niveaux pourrait signaler une consolidation.</w:t>
      </w:r>
    </w:p>
    <w:p>
      <w:pPr>
        <w:spacing w:after="120" w:line="276" w:lineRule="auto"/>
      </w:pPr>
      <w:r>
        <w:t>Les **Bandes de Bollinger** présentent une borne supérieure à 16 959,7 et une borne inférieure à 15 429,3, avec le cours à 16 500 FCFA, proche de la moyenne. La décision "Neutre" est justifiée : le prix évolue dans la partie médiane des bandes, indiquant une volatilité modérée sans excès haussier ou baissier. Un élargissement des bandes pourrait précéder un mouvement directionnel significatif.</w:t>
      </w:r>
    </w:p>
    <w:p>
      <w:pPr>
        <w:spacing w:after="120" w:line="276" w:lineRule="auto"/>
      </w:pPr>
      <w:r>
        <w:t>Le **MACD** affiche une valeur de 93,973 pour un signal de 62,632, avec une divergence positive nette. Cette configuration est un signal d'achat classique, indiquant que le momentum haussier s'accélère. La décision "Achat" est cohérente avec la dynamique actuelle, bien que l'écart croissant puisse suggérer une possible correction à court terme.</w:t>
      </w:r>
    </w:p>
    <w:p>
      <w:pPr>
        <w:spacing w:after="120" w:line="276" w:lineRule="auto"/>
      </w:pPr>
      <w:r>
        <w:t>Le **RSI** à 62,255 se situe dans la zone neutre (30-70), sans signal de surachat ou de survente. La décision "Neutre" est appropriée, laissant une marge de progression avant d'atteindre la zone de surachat (&gt;70). Cela indique que le titre n'est pas encore surchauffé malgré la hausse récente.</w:t>
      </w:r>
    </w:p>
    <w:p>
      <w:pPr>
        <w:spacing w:after="120" w:line="276" w:lineRule="auto"/>
      </w:pPr>
      <w:r>
        <w:t>Le **Stochastique** avec %K à 90,95 et %D à 87,632 montre des valeurs très élevées, proches de la zone de surachat (&gt;80). La décision "Vente" est justifiée par cette configuration, signalant un possible retournement baissier imminent. Les deux lignes sont en convergence, renforçant le signal de prudence.</w:t>
      </w:r>
    </w:p>
    <w:p>
      <w:pPr>
        <w:spacing w:after="120" w:line="276" w:lineRule="auto"/>
      </w:pPr>
      <w:r>
        <w:t>En conclusion technique, les indicateurs sont partagés : les moyennes mobiles et le MACD suggèrent une poursuite de la tendance haussière, tandis que le stochastique et, dans une moindre mesure, les bandes de Bollinger indiquent une possible consolidation. La prudence est de mise à court terme, mais la tendance de fond reste positive.</w:t>
      </w:r>
    </w:p>
    <w:p>
      <w:pPr>
        <w:spacing w:after="120" w:line="276" w:lineRule="auto" w:before="240"/>
      </w:pPr>
      <w:r>
        <w:rPr>
          <w:b/>
          <w:color w:val="003366"/>
          <w:sz w:val="24"/>
        </w:rPr>
        <w:t>**PARTIE 3 : ANALYSE FONDAMENTALE (SECTION CRITIQUE)**</w:t>
      </w:r>
    </w:p>
    <w:p>
      <w:pPr>
        <w:spacing w:after="120" w:line="276" w:lineRule="auto"/>
      </w:pPr>
      <w:r>
        <w:t>En 2025, SMBC affiche un chiffre d'affaires de 206,740 milliards FCFA, en baisse de -9,74% par rapport à 2024 (229,061 milliards FCFA), mais avec une amélioration spectaculaire de la rentabilité. Le résultat net s'établit à 13,075 milliards FCFA, en hausse de +50,3% (contre 8,698 milliards en 2024), porté par une marge nette de 6,32% (contre 3,8% en 2024). Le ROE atteint 30,47%, un niveau excellent (&gt;15%), et le ROA de 7,26% témoigne d'une bonne utilisation des actifs. La marge opérationnelle de 8,62% reflète une gestion rigoureuse des coûts. Concernant le BFR, il s'établit à 1,693 milliards FCFA, un niveau faible et favorable pour une entreprise, mais le délai clients de 193,75 jours est élevé, indiquant un risque de trésorerie potentiel, partiellement compensé par un délai fournisseurs de 207,07 jours. Les rapports trimestriels 2025 (T1, S1, 9M) confirment cette tendance : malgré une baisse du CA (-22% au T1, -23% au S1, -14% au 9M), le résultat net progresse (+6% au 9M), grâce à l'amélioration des marges de raffinage. Sur la base de ces données, on estime que l'exercice 2025 devrait confirmer la forte progression de la rentabilité, avec un résultat net annuel potentiellement supérieur à 13 milliards FCFA. La trésorerie nette positive de 23,988 milliards FCFA et la capacité de remboursement de 0,68 an renforcent la solidité financière, malgré une dépendance aux matières premières et une dette financière en hausse.</w:t>
      </w:r>
    </w:p>
    <w:p>
      <w:pPr>
        <w:spacing w:after="120" w:line="276" w:lineRule="auto" w:before="240"/>
      </w:pPr>
      <w:r>
        <w:rPr>
          <w:b/>
          <w:color w:val="003366"/>
          <w:sz w:val="24"/>
        </w:rPr>
        <w:t>**PARTIE 4 : CONCLUSION D'INVESTISSEMENT**</w:t>
      </w:r>
    </w:p>
    <w:p>
      <w:pPr>
        <w:spacing w:after="120" w:line="276" w:lineRule="auto"/>
      </w:pPr>
      <w:r>
        <w:t>La valorisation de SMBC est attractive avec un PER de 9,8x, un EV/EBITDA de 6,2x et un P/B de 3,0x, indiquant une sous-évaluation relative malgré la prime de croissance. Le comportement du cours sur 100 jours est très favorable (+26,97%), avec une volatilité élevée (37,8%) mais une distribution symétrique, suggérant une stabilité relative. Les signaux techniques sont mitigés : le MACD et les moyennes mobiles soutiennent la tendance haussière, tandis que le stochastique en surachat et les bandes de Bollinger neutres appellent à la prudence à court terme. Les fondamentaux sont solides, avec une rentabilité exceptionnelle (ROE de 30,5%) et une trésorerie renforcée, malgré une baisse du chiffre d'affaires. Les prédictions IA (16 346 à 16 118 FCFA sur 10 jours) suggèrent une légère correction, contredisant partiellement la dynamique haussière. En synthèse, la convergence entre la valorisation attractive, les fondamentaux solides et la tendance de fond positive l'emporte sur les signaux techniques de court terme. **Recommandation : ACHAT**, avec un niveau de confiance **Élevé**, un risque global **Moyen** (volatilité et dépendance aux matières premières), et un horizon d'investissement optimal à **moyen terme (3-12 mois)**, en surveillant les publications trimestrielles pour confirmer la reprise du chiffre d'affaires.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3440.00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9,363 titres</w:t>
            </w:r>
          </w:p>
        </w:tc>
        <w:tc>
          <w:tcPr>
            <w:tcW w:type="dxa" w:w="2268"/>
            <w:shd w:fill="FFF2CC" w:val="clear"/>
          </w:tcPr>
          <w:p>
            <w:r>
              <w:rPr>
                <w:b/>
                <w:color w:val="503200"/>
                <w:sz w:val="16"/>
              </w:rPr>
              <w:t xml:space="preserve">Cours actuel : </w:t>
            </w:r>
            <w:r>
              <w:rPr>
                <w:color w:val="000000"/>
                <w:sz w:val="17"/>
              </w:rPr>
              <w:t>34,400 FCFA</w:t>
            </w:r>
          </w:p>
          <w:p>
            <w:r>
              <w:rPr>
                <w:b/>
                <w:color w:val="503200"/>
                <w:sz w:val="16"/>
              </w:rPr>
              <w:t xml:space="preserve">Var. 100 jours : </w:t>
            </w:r>
            <w:r>
              <w:rPr>
                <w:b/>
                <w:color w:val="007800"/>
                <w:sz w:val="17"/>
              </w:rPr>
              <w:t>+22.84%</w:t>
            </w:r>
          </w:p>
          <w:p>
            <w:r>
              <w:rPr>
                <w:b/>
                <w:color w:val="503200"/>
                <w:sz w:val="16"/>
              </w:rPr>
              <w:t xml:space="preserve">Plus haut 100j : </w:t>
            </w:r>
            <w:r>
              <w:rPr>
                <w:color w:val="000000"/>
                <w:sz w:val="17"/>
              </w:rPr>
              <w:t>34,400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26.9%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18.1/100 → Faible</w:t>
      </w:r>
    </w:p>
    <w:p>
      <w:pPr>
        <w:spacing w:before="40" w:after="80"/>
      </w:pPr>
      <w:r>
        <w:rPr>
          <w:rFonts w:ascii="Courier New" w:hAnsi="Courier New"/>
          <w:color w:val="006400"/>
          <w:sz w:val="18"/>
        </w:rPr>
        <w:t>███░░░░░░░░░░░░░░░░░  18.1/100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4.94% (Faible) — μ=29,528 FCFA, σ=1,459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β=1.2645 (Agressif) — Cov=0.000039, Var(idx)=0.000030, ρ=0.435,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9,363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σ_j=1.70%/j (Stable) — Vol. annualisée≈26.9%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2026-08-20</w:t>
            </w:r>
          </w:p>
        </w:tc>
        <w:tc>
          <w:tcPr>
            <w:tcW w:type="dxa" w:w="1440"/>
            <w:shd w:fill="FFDCE0" w:val="clear"/>
          </w:tcPr>
          <w:p>
            <w:r>
              <w:rPr>
                <w:sz w:val="17"/>
              </w:rPr>
              <w:t>31,561</w:t>
            </w:r>
          </w:p>
        </w:tc>
        <w:tc>
          <w:tcPr>
            <w:tcW w:type="dxa" w:w="1440"/>
            <w:shd w:fill="FFDCE0" w:val="clear"/>
          </w:tcPr>
          <w:p>
            <w:r>
              <w:rPr>
                <w:b/>
                <w:sz w:val="17"/>
              </w:rPr>
              <w:t>32,546</w:t>
            </w:r>
          </w:p>
        </w:tc>
        <w:tc>
          <w:tcPr>
            <w:tcW w:type="dxa" w:w="1440"/>
            <w:shd w:fill="FFDCE0" w:val="clear"/>
          </w:tcPr>
          <w:p>
            <w:r>
              <w:rPr>
                <w:sz w:val="17"/>
              </w:rPr>
              <w:t>33,531</w:t>
            </w:r>
          </w:p>
        </w:tc>
        <w:tc>
          <w:tcPr>
            <w:tcW w:type="dxa" w:w="1440"/>
            <w:shd w:fill="FFDCE0" w:val="clear"/>
          </w:tcPr>
          <w:p>
            <w:r>
              <w:rPr>
                <w:b/>
                <w:color w:val="C00000"/>
                <w:sz w:val="17"/>
              </w:rPr>
              <w:t>-5.4%</w:t>
            </w:r>
          </w:p>
        </w:tc>
      </w:tr>
      <w:tr>
        <w:tc>
          <w:tcPr>
            <w:tcW w:type="dxa" w:w="1440"/>
            <w:shd w:fill="FFDCE0" w:val="clear"/>
          </w:tcPr>
          <w:p>
            <w:r>
              <w:rPr>
                <w:sz w:val="17"/>
              </w:rPr>
              <w:t>J+2  Moyenne</w:t>
            </w:r>
          </w:p>
        </w:tc>
        <w:tc>
          <w:tcPr>
            <w:tcW w:type="dxa" w:w="1440"/>
            <w:shd w:fill="FFDCE0" w:val="clear"/>
          </w:tcPr>
          <w:p>
            <w:r>
              <w:rPr>
                <w:sz w:val="17"/>
              </w:rPr>
              <w:t>2026-08-21</w:t>
            </w:r>
          </w:p>
        </w:tc>
        <w:tc>
          <w:tcPr>
            <w:tcW w:type="dxa" w:w="1440"/>
            <w:shd w:fill="FFDCE0" w:val="clear"/>
          </w:tcPr>
          <w:p>
            <w:r>
              <w:rPr>
                <w:sz w:val="17"/>
              </w:rPr>
              <w:t>31,249</w:t>
            </w:r>
          </w:p>
        </w:tc>
        <w:tc>
          <w:tcPr>
            <w:tcW w:type="dxa" w:w="1440"/>
            <w:shd w:fill="FFDCE0" w:val="clear"/>
          </w:tcPr>
          <w:p>
            <w:r>
              <w:rPr>
                <w:b/>
                <w:sz w:val="17"/>
              </w:rPr>
              <w:t>32,646</w:t>
            </w:r>
          </w:p>
        </w:tc>
        <w:tc>
          <w:tcPr>
            <w:tcW w:type="dxa" w:w="1440"/>
            <w:shd w:fill="FFDCE0" w:val="clear"/>
          </w:tcPr>
          <w:p>
            <w:r>
              <w:rPr>
                <w:sz w:val="17"/>
              </w:rPr>
              <w:t>34,043</w:t>
            </w:r>
          </w:p>
        </w:tc>
        <w:tc>
          <w:tcPr>
            <w:tcW w:type="dxa" w:w="1440"/>
            <w:shd w:fill="FFDCE0" w:val="clear"/>
          </w:tcPr>
          <w:p>
            <w:r>
              <w:rPr>
                <w:b/>
                <w:color w:val="C00000"/>
                <w:sz w:val="17"/>
              </w:rPr>
              <w:t>-5.1%</w:t>
            </w:r>
          </w:p>
        </w:tc>
      </w:tr>
      <w:tr>
        <w:tc>
          <w:tcPr>
            <w:tcW w:type="dxa" w:w="1440"/>
            <w:shd w:fill="FFDCE0" w:val="clear"/>
          </w:tcPr>
          <w:p>
            <w:r>
              <w:rPr>
                <w:sz w:val="17"/>
              </w:rPr>
              <w:t>J+3  ⭐</w:t>
            </w:r>
          </w:p>
        </w:tc>
        <w:tc>
          <w:tcPr>
            <w:tcW w:type="dxa" w:w="1440"/>
            <w:shd w:fill="FFDCE0" w:val="clear"/>
          </w:tcPr>
          <w:p>
            <w:r>
              <w:rPr>
                <w:sz w:val="17"/>
              </w:rPr>
              <w:t>2026-08-24</w:t>
            </w:r>
          </w:p>
        </w:tc>
        <w:tc>
          <w:tcPr>
            <w:tcW w:type="dxa" w:w="1440"/>
            <w:shd w:fill="FFDCE0" w:val="clear"/>
          </w:tcPr>
          <w:p>
            <w:r>
              <w:rPr>
                <w:sz w:val="17"/>
              </w:rPr>
              <w:t>30,871</w:t>
            </w:r>
          </w:p>
        </w:tc>
        <w:tc>
          <w:tcPr>
            <w:tcW w:type="dxa" w:w="1440"/>
            <w:shd w:fill="FFDCE0" w:val="clear"/>
          </w:tcPr>
          <w:p>
            <w:r>
              <w:rPr>
                <w:b/>
                <w:sz w:val="17"/>
              </w:rPr>
              <w:t>32,579</w:t>
            </w:r>
          </w:p>
        </w:tc>
        <w:tc>
          <w:tcPr>
            <w:tcW w:type="dxa" w:w="1440"/>
            <w:shd w:fill="FFDCE0" w:val="clear"/>
          </w:tcPr>
          <w:p>
            <w:r>
              <w:rPr>
                <w:sz w:val="17"/>
              </w:rPr>
              <w:t>34,286</w:t>
            </w:r>
          </w:p>
        </w:tc>
        <w:tc>
          <w:tcPr>
            <w:tcW w:type="dxa" w:w="1440"/>
            <w:shd w:fill="FFDCE0" w:val="clear"/>
          </w:tcPr>
          <w:p>
            <w:r>
              <w:rPr>
                <w:b/>
                <w:color w:val="C00000"/>
                <w:sz w:val="17"/>
              </w:rPr>
              <w:t>-5.3%</w:t>
            </w:r>
          </w:p>
        </w:tc>
      </w:tr>
      <w:tr>
        <w:tc>
          <w:tcPr>
            <w:tcW w:type="dxa" w:w="1440"/>
            <w:shd w:fill="FFDCE0" w:val="clear"/>
          </w:tcPr>
          <w:p>
            <w:r>
              <w:rPr>
                <w:sz w:val="17"/>
              </w:rPr>
              <w:t>J+4  ⭐</w:t>
            </w:r>
          </w:p>
        </w:tc>
        <w:tc>
          <w:tcPr>
            <w:tcW w:type="dxa" w:w="1440"/>
            <w:shd w:fill="FFDCE0" w:val="clear"/>
          </w:tcPr>
          <w:p>
            <w:r>
              <w:rPr>
                <w:sz w:val="17"/>
              </w:rPr>
              <w:t>2026-08-25</w:t>
            </w:r>
          </w:p>
        </w:tc>
        <w:tc>
          <w:tcPr>
            <w:tcW w:type="dxa" w:w="1440"/>
            <w:shd w:fill="FFDCE0" w:val="clear"/>
          </w:tcPr>
          <w:p>
            <w:r>
              <w:rPr>
                <w:sz w:val="17"/>
              </w:rPr>
              <w:t>30,537</w:t>
            </w:r>
          </w:p>
        </w:tc>
        <w:tc>
          <w:tcPr>
            <w:tcW w:type="dxa" w:w="1440"/>
            <w:shd w:fill="FFDCE0" w:val="clear"/>
          </w:tcPr>
          <w:p>
            <w:r>
              <w:rPr>
                <w:b/>
                <w:sz w:val="17"/>
              </w:rPr>
              <w:t>32,504</w:t>
            </w:r>
          </w:p>
        </w:tc>
        <w:tc>
          <w:tcPr>
            <w:tcW w:type="dxa" w:w="1440"/>
            <w:shd w:fill="FFDCE0" w:val="clear"/>
          </w:tcPr>
          <w:p>
            <w:r>
              <w:rPr>
                <w:sz w:val="17"/>
              </w:rPr>
              <w:t>34,471</w:t>
            </w:r>
          </w:p>
        </w:tc>
        <w:tc>
          <w:tcPr>
            <w:tcW w:type="dxa" w:w="1440"/>
            <w:shd w:fill="FFDCE0" w:val="clear"/>
          </w:tcPr>
          <w:p>
            <w:r>
              <w:rPr>
                <w:b/>
                <w:color w:val="C00000"/>
                <w:sz w:val="17"/>
              </w:rPr>
              <w:t>-5.5%</w:t>
            </w:r>
          </w:p>
        </w:tc>
      </w:tr>
      <w:tr>
        <w:tc>
          <w:tcPr>
            <w:tcW w:type="dxa" w:w="1440"/>
            <w:shd w:fill="FFDCE0" w:val="clear"/>
          </w:tcPr>
          <w:p>
            <w:r>
              <w:rPr>
                <w:sz w:val="17"/>
              </w:rPr>
              <w:t>J+5  ⭐</w:t>
            </w:r>
          </w:p>
        </w:tc>
        <w:tc>
          <w:tcPr>
            <w:tcW w:type="dxa" w:w="1440"/>
            <w:shd w:fill="FFDCE0" w:val="clear"/>
          </w:tcPr>
          <w:p>
            <w:r>
              <w:rPr>
                <w:sz w:val="17"/>
              </w:rPr>
              <w:t>2026-08-27</w:t>
            </w:r>
          </w:p>
        </w:tc>
        <w:tc>
          <w:tcPr>
            <w:tcW w:type="dxa" w:w="1440"/>
            <w:shd w:fill="FFDCE0" w:val="clear"/>
          </w:tcPr>
          <w:p>
            <w:r>
              <w:rPr>
                <w:sz w:val="17"/>
              </w:rPr>
              <w:t>30,248</w:t>
            </w:r>
          </w:p>
        </w:tc>
        <w:tc>
          <w:tcPr>
            <w:tcW w:type="dxa" w:w="1440"/>
            <w:shd w:fill="FFDCE0" w:val="clear"/>
          </w:tcPr>
          <w:p>
            <w:r>
              <w:rPr>
                <w:b/>
                <w:sz w:val="17"/>
              </w:rPr>
              <w:t>32,444</w:t>
            </w:r>
          </w:p>
        </w:tc>
        <w:tc>
          <w:tcPr>
            <w:tcW w:type="dxa" w:w="1440"/>
            <w:shd w:fill="FFDCE0" w:val="clear"/>
          </w:tcPr>
          <w:p>
            <w:r>
              <w:rPr>
                <w:sz w:val="17"/>
              </w:rPr>
              <w:t>34,639</w:t>
            </w:r>
          </w:p>
        </w:tc>
        <w:tc>
          <w:tcPr>
            <w:tcW w:type="dxa" w:w="1440"/>
            <w:shd w:fill="FFDCE0" w:val="clear"/>
          </w:tcPr>
          <w:p>
            <w:r>
              <w:rPr>
                <w:b/>
                <w:color w:val="C00000"/>
                <w:sz w:val="17"/>
              </w:rPr>
              <w:t>-5.7%</w:t>
            </w:r>
          </w:p>
        </w:tc>
      </w:tr>
      <w:tr>
        <w:tc>
          <w:tcPr>
            <w:tcW w:type="dxa" w:w="1440"/>
            <w:shd w:fill="FFDCE0" w:val="clear"/>
          </w:tcPr>
          <w:p>
            <w:r>
              <w:rPr>
                <w:sz w:val="17"/>
              </w:rPr>
              <w:t>J+6  ⭐</w:t>
            </w:r>
          </w:p>
        </w:tc>
        <w:tc>
          <w:tcPr>
            <w:tcW w:type="dxa" w:w="1440"/>
            <w:shd w:fill="FFDCE0" w:val="clear"/>
          </w:tcPr>
          <w:p>
            <w:r>
              <w:rPr>
                <w:sz w:val="17"/>
              </w:rPr>
              <w:t>2026-08-28</w:t>
            </w:r>
          </w:p>
        </w:tc>
        <w:tc>
          <w:tcPr>
            <w:tcW w:type="dxa" w:w="1440"/>
            <w:shd w:fill="FFDCE0" w:val="clear"/>
          </w:tcPr>
          <w:p>
            <w:r>
              <w:rPr>
                <w:sz w:val="17"/>
              </w:rPr>
              <w:t>29,993</w:t>
            </w:r>
          </w:p>
        </w:tc>
        <w:tc>
          <w:tcPr>
            <w:tcW w:type="dxa" w:w="1440"/>
            <w:shd w:fill="FFDCE0" w:val="clear"/>
          </w:tcPr>
          <w:p>
            <w:r>
              <w:rPr>
                <w:b/>
                <w:sz w:val="17"/>
              </w:rPr>
              <w:t>32,394</w:t>
            </w:r>
          </w:p>
        </w:tc>
        <w:tc>
          <w:tcPr>
            <w:tcW w:type="dxa" w:w="1440"/>
            <w:shd w:fill="FFDCE0" w:val="clear"/>
          </w:tcPr>
          <w:p>
            <w:r>
              <w:rPr>
                <w:sz w:val="17"/>
              </w:rPr>
              <w:t>34,795</w:t>
            </w:r>
          </w:p>
        </w:tc>
        <w:tc>
          <w:tcPr>
            <w:tcW w:type="dxa" w:w="1440"/>
            <w:shd w:fill="FFDCE0" w:val="clear"/>
          </w:tcPr>
          <w:p>
            <w:r>
              <w:rPr>
                <w:b/>
                <w:color w:val="C00000"/>
                <w:sz w:val="17"/>
              </w:rPr>
              <w:t>-5.8%</w:t>
            </w:r>
          </w:p>
        </w:tc>
      </w:tr>
      <w:tr>
        <w:tc>
          <w:tcPr>
            <w:tcW w:type="dxa" w:w="1440"/>
            <w:shd w:fill="FFDCE0" w:val="clear"/>
          </w:tcPr>
          <w:p>
            <w:r>
              <w:rPr>
                <w:sz w:val="17"/>
              </w:rPr>
              <w:t>J+7  ⭐</w:t>
            </w:r>
          </w:p>
        </w:tc>
        <w:tc>
          <w:tcPr>
            <w:tcW w:type="dxa" w:w="1440"/>
            <w:shd w:fill="FFDCE0" w:val="clear"/>
          </w:tcPr>
          <w:p>
            <w:r>
              <w:rPr>
                <w:sz w:val="17"/>
              </w:rPr>
              <w:t>2026-08-31</w:t>
            </w:r>
          </w:p>
        </w:tc>
        <w:tc>
          <w:tcPr>
            <w:tcW w:type="dxa" w:w="1440"/>
            <w:shd w:fill="FFDCE0" w:val="clear"/>
          </w:tcPr>
          <w:p>
            <w:r>
              <w:rPr>
                <w:sz w:val="17"/>
              </w:rPr>
              <w:t>29,759</w:t>
            </w:r>
          </w:p>
        </w:tc>
        <w:tc>
          <w:tcPr>
            <w:tcW w:type="dxa" w:w="1440"/>
            <w:shd w:fill="FFDCE0" w:val="clear"/>
          </w:tcPr>
          <w:p>
            <w:r>
              <w:rPr>
                <w:b/>
                <w:sz w:val="17"/>
              </w:rPr>
              <w:t>32,349</w:t>
            </w:r>
          </w:p>
        </w:tc>
        <w:tc>
          <w:tcPr>
            <w:tcW w:type="dxa" w:w="1440"/>
            <w:shd w:fill="FFDCE0" w:val="clear"/>
          </w:tcPr>
          <w:p>
            <w:r>
              <w:rPr>
                <w:sz w:val="17"/>
              </w:rPr>
              <w:t>34,938</w:t>
            </w:r>
          </w:p>
        </w:tc>
        <w:tc>
          <w:tcPr>
            <w:tcW w:type="dxa" w:w="1440"/>
            <w:shd w:fill="FFDCE0" w:val="clear"/>
          </w:tcPr>
          <w:p>
            <w:r>
              <w:rPr>
                <w:b/>
                <w:color w:val="C00000"/>
                <w:sz w:val="17"/>
              </w:rPr>
              <w:t>-6.0%</w:t>
            </w:r>
          </w:p>
        </w:tc>
      </w:tr>
      <w:tr>
        <w:tc>
          <w:tcPr>
            <w:tcW w:type="dxa" w:w="1440"/>
            <w:shd w:fill="FFDCE0" w:val="clear"/>
          </w:tcPr>
          <w:p>
            <w:r>
              <w:rPr>
                <w:sz w:val="17"/>
              </w:rPr>
              <w:t>J+8  ⭐</w:t>
            </w:r>
          </w:p>
        </w:tc>
        <w:tc>
          <w:tcPr>
            <w:tcW w:type="dxa" w:w="1440"/>
            <w:shd w:fill="FFDCE0" w:val="clear"/>
          </w:tcPr>
          <w:p>
            <w:r>
              <w:rPr>
                <w:sz w:val="17"/>
              </w:rPr>
              <w:t>2026-09-01</w:t>
            </w:r>
          </w:p>
        </w:tc>
        <w:tc>
          <w:tcPr>
            <w:tcW w:type="dxa" w:w="1440"/>
            <w:shd w:fill="FFDCE0" w:val="clear"/>
          </w:tcPr>
          <w:p>
            <w:r>
              <w:rPr>
                <w:sz w:val="17"/>
              </w:rPr>
              <w:t>29,541</w:t>
            </w:r>
          </w:p>
        </w:tc>
        <w:tc>
          <w:tcPr>
            <w:tcW w:type="dxa" w:w="1440"/>
            <w:shd w:fill="FFDCE0" w:val="clear"/>
          </w:tcPr>
          <w:p>
            <w:r>
              <w:rPr>
                <w:b/>
                <w:sz w:val="17"/>
              </w:rPr>
              <w:t>32,306</w:t>
            </w:r>
          </w:p>
        </w:tc>
        <w:tc>
          <w:tcPr>
            <w:tcW w:type="dxa" w:w="1440"/>
            <w:shd w:fill="FFDCE0" w:val="clear"/>
          </w:tcPr>
          <w:p>
            <w:r>
              <w:rPr>
                <w:sz w:val="17"/>
              </w:rPr>
              <w:t>35,071</w:t>
            </w:r>
          </w:p>
        </w:tc>
        <w:tc>
          <w:tcPr>
            <w:tcW w:type="dxa" w:w="1440"/>
            <w:shd w:fill="FFDCE0" w:val="clear"/>
          </w:tcPr>
          <w:p>
            <w:r>
              <w:rPr>
                <w:b/>
                <w:color w:val="C00000"/>
                <w:sz w:val="17"/>
              </w:rPr>
              <w:t>-6.1%</w:t>
            </w:r>
          </w:p>
        </w:tc>
      </w:tr>
      <w:tr>
        <w:tc>
          <w:tcPr>
            <w:tcW w:type="dxa" w:w="1440"/>
            <w:shd w:fill="FFDCE0" w:val="clear"/>
          </w:tcPr>
          <w:p>
            <w:r>
              <w:rPr>
                <w:sz w:val="17"/>
              </w:rPr>
              <w:t>J+9  ⭐</w:t>
            </w:r>
          </w:p>
        </w:tc>
        <w:tc>
          <w:tcPr>
            <w:tcW w:type="dxa" w:w="1440"/>
            <w:shd w:fill="FFDCE0" w:val="clear"/>
          </w:tcPr>
          <w:p>
            <w:r>
              <w:rPr>
                <w:sz w:val="17"/>
              </w:rPr>
              <w:t>2026-09-02</w:t>
            </w:r>
          </w:p>
        </w:tc>
        <w:tc>
          <w:tcPr>
            <w:tcW w:type="dxa" w:w="1440"/>
            <w:shd w:fill="FFDCE0" w:val="clear"/>
          </w:tcPr>
          <w:p>
            <w:r>
              <w:rPr>
                <w:sz w:val="17"/>
              </w:rPr>
              <w:t>29,335</w:t>
            </w:r>
          </w:p>
        </w:tc>
        <w:tc>
          <w:tcPr>
            <w:tcW w:type="dxa" w:w="1440"/>
            <w:shd w:fill="FFDCE0" w:val="clear"/>
          </w:tcPr>
          <w:p>
            <w:r>
              <w:rPr>
                <w:b/>
                <w:sz w:val="17"/>
              </w:rPr>
              <w:t>32,264</w:t>
            </w:r>
          </w:p>
        </w:tc>
        <w:tc>
          <w:tcPr>
            <w:tcW w:type="dxa" w:w="1440"/>
            <w:shd w:fill="FFDCE0" w:val="clear"/>
          </w:tcPr>
          <w:p>
            <w:r>
              <w:rPr>
                <w:sz w:val="17"/>
              </w:rPr>
              <w:t>35,193</w:t>
            </w:r>
          </w:p>
        </w:tc>
        <w:tc>
          <w:tcPr>
            <w:tcW w:type="dxa" w:w="1440"/>
            <w:shd w:fill="FFDCE0" w:val="clear"/>
          </w:tcPr>
          <w:p>
            <w:r>
              <w:rPr>
                <w:b/>
                <w:color w:val="C00000"/>
                <w:sz w:val="17"/>
              </w:rPr>
              <w:t>-6.2%</w:t>
            </w:r>
          </w:p>
        </w:tc>
      </w:tr>
      <w:tr>
        <w:tc>
          <w:tcPr>
            <w:tcW w:type="dxa" w:w="1440"/>
            <w:shd w:fill="FFDCE0" w:val="clear"/>
          </w:tcPr>
          <w:p>
            <w:r>
              <w:rPr>
                <w:sz w:val="17"/>
              </w:rPr>
              <w:t>J+10  ⭐</w:t>
            </w:r>
          </w:p>
        </w:tc>
        <w:tc>
          <w:tcPr>
            <w:tcW w:type="dxa" w:w="1440"/>
            <w:shd w:fill="FFDCE0" w:val="clear"/>
          </w:tcPr>
          <w:p>
            <w:r>
              <w:rPr>
                <w:sz w:val="17"/>
              </w:rPr>
              <w:t>2026-09-03</w:t>
            </w:r>
          </w:p>
        </w:tc>
        <w:tc>
          <w:tcPr>
            <w:tcW w:type="dxa" w:w="1440"/>
            <w:shd w:fill="FFDCE0" w:val="clear"/>
          </w:tcPr>
          <w:p>
            <w:r>
              <w:rPr>
                <w:sz w:val="17"/>
              </w:rPr>
              <w:t>29,140</w:t>
            </w:r>
          </w:p>
        </w:tc>
        <w:tc>
          <w:tcPr>
            <w:tcW w:type="dxa" w:w="1440"/>
            <w:shd w:fill="FFDCE0" w:val="clear"/>
          </w:tcPr>
          <w:p>
            <w:r>
              <w:rPr>
                <w:b/>
                <w:sz w:val="17"/>
              </w:rPr>
              <w:t>32,223</w:t>
            </w:r>
          </w:p>
        </w:tc>
        <w:tc>
          <w:tcPr>
            <w:tcW w:type="dxa" w:w="1440"/>
            <w:shd w:fill="FFDCE0" w:val="clear"/>
          </w:tcPr>
          <w:p>
            <w:r>
              <w:rPr>
                <w:sz w:val="17"/>
              </w:rPr>
              <w:t>35,306</w:t>
            </w:r>
          </w:p>
        </w:tc>
        <w:tc>
          <w:tcPr>
            <w:tcW w:type="dxa" w:w="1440"/>
            <w:shd w:fill="FFDCE0" w:val="clear"/>
          </w:tcPr>
          <w:p>
            <w:r>
              <w:rPr>
                <w:b/>
                <w:color w:val="C00000"/>
                <w:sz w:val="17"/>
              </w:rPr>
              <w:t>-6.3%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Sonatel s'établit à 3 440 milliards FCFA, ce qui en fait l'une des plus importantes valeurs de la BRVM et un poids lourd du marché régional. Avec un BPA de 4 136 FCFA, chaque action génère un bénéfice substantiel, justifiant un PER de 8,3x, inférieur à la moyenne historique du marché BRVM (8-12x), ce qui suggère une sous-évaluation relative du titre malgré sa performance récente. Le P/B de 2,46x indique que le marché valorise la société à plus du double de sa valeur comptable, traduisant une prime de croissance accordée par les investisseurs à la qualité des actifs et aux perspectives de rentabilité. Enfin, l'EV/EBITDA de 3,6x, nettement inférieur au seuil de 5x, confirme que la valeur d'entreprise reste très bon marché par rapport à sa capacité opérationnelle de génération de cash-flow, renforçant l'attractivité du titre sur le plan fondamental.</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SNTS a enregistré une progression remarquable de +22,84%, avec une accélération notable lors de la dernière séance (+5,85%), portant le cours à 34 400 FCFA, son plus haut niveau sur la période. Le titre a évolué dans une fourchette de 27 160 à 34 400 FCFA, démontrant une dynamique haussière soutenue. La moyenne du cours sur la période (29 528 FCFA) est inférieure à la médiane (28 900 FCFA), et le skewness positif de 0,956 indique une asymétrie avec davantage de journées sous la moyenne, caractéristique d'un marché qui a accéléré récemment après une consolidation. L'écart-type de 1 467 FCFA (CV=5%) révèle une dispersion modérée, tandis que le kurtosis de -0,094 (mésokurtique) suggère une distribution proche de la normale, sans risque de pics extrêmes. La volatilité annualisée de 26,9% place le titre dans une zone modérée à élevée, reflétant un intérêt croissant des investisseurs mais aussi une certaine nervosité du marché.</w:t>
      </w:r>
    </w:p>
    <w:p>
      <w:pPr>
        <w:spacing w:after="120" w:line="276" w:lineRule="auto" w:before="240"/>
      </w:pPr>
      <w:r>
        <w:rPr>
          <w:b/>
          <w:color w:val="003366"/>
          <w:sz w:val="24"/>
        </w:rPr>
        <w:t>**PARTIE 2 : ANALYSE TECHNIQUE DÉTAILLÉE**</w:t>
      </w:r>
    </w:p>
    <w:p>
      <w:pPr>
        <w:spacing w:after="120" w:line="276" w:lineRule="auto"/>
      </w:pPr>
      <w:r>
        <w:t>**Moyennes Mobiles** : Le cours actuel de 34 400 FCFA se situe nettement au-dessus de la MM20 (31 605 FCFA) et de la MM50 (30 420 FCFA), confirmant une tendance haussière solide à court et moyen terme. L'écart positif entre ces deux moyennes et leur orientation ascendante renforcent le signal d'achat, indiquant que la dynamique positive est bien installée.</w:t>
      </w:r>
    </w:p>
    <w:p>
      <w:pPr>
        <w:spacing w:after="120" w:line="276" w:lineRule="auto"/>
      </w:pPr>
      <w:r>
        <w:t>**Bandes de Bollinger** : Le prix évolue au-dessus de la borne supérieure (33 324 FCFA), ce qui témoigne d'une pression acheteuse exceptionnelle mais également d'une situation de surachat temporaire. Cette sortie de bande suggère une volatilité accrue et un possible retour vers la moyenne, justifiant la décision de vente à très court terme malgré la tendance haussière sous-jacente.</w:t>
      </w:r>
    </w:p>
    <w:p>
      <w:pPr>
        <w:spacing w:after="120" w:line="276" w:lineRule="auto"/>
      </w:pPr>
      <w:r>
        <w:t>**MACD** : La valeur du MACD (622,4) est supérieure à son signal (450,1), avec un écart positif croissant, indiquant un momentum haussier puissant. Cette configuration confirme la poursuite de la tendance haussière à moyen terme, la décision d'achat étant cohérente avec la dynamique positive des flux.</w:t>
      </w:r>
    </w:p>
    <w:p>
      <w:pPr>
        <w:spacing w:after="120" w:line="276" w:lineRule="auto"/>
      </w:pPr>
      <w:r>
        <w:t>**RSI** : À 78,3, le RSI se trouve en zone de surachat (au-delà de 70), signalant que le titre a fortement progressé sur une courte période et qu'un repli technique est probable. Cette lecture suggère une prudence à court terme, la décision de vente étant justifiée par le risque de correction après cette phase d'euphorie.</w:t>
      </w:r>
    </w:p>
    <w:p>
      <w:pPr>
        <w:spacing w:after="120" w:line="276" w:lineRule="auto"/>
      </w:pPr>
      <w:r>
        <w:t>**Stochastique** : Le %K à 100 et le %D à 98,1 confirment une situation de surachat extrême, avec les deux lignes en territoire très élevé. Cette configuration indique que le mouvement haussier est arrivé à maturité à court terme, la décision de vente étant cohérente avec l'attente d'une consolidation technique.</w:t>
      </w:r>
    </w:p>
    <w:p>
      <w:pPr>
        <w:spacing w:after="120" w:line="276" w:lineRule="auto"/>
      </w:pPr>
      <w:r>
        <w:t>**Conclusion technique** : Les indicateurs de tendance (MM, MACD) restent positifs et confirment la dynamique haussière de fond, mais les oscillateurs (RSI, Stochastique, Bollinger) signalent tous un surachat prononcé. Cette divergence entre la tendance et les conditions de marché suggère une probabilité élevée de consolidation à court terme avant la poursuite du mouvement haussier, rendant prudent tout nouvel achat aux niveaux actuels.</w:t>
      </w:r>
    </w:p>
    <w:p>
      <w:pPr>
        <w:spacing w:after="120" w:line="276" w:lineRule="auto" w:before="240"/>
      </w:pPr>
      <w:r>
        <w:rPr>
          <w:b/>
          <w:color w:val="003366"/>
          <w:sz w:val="24"/>
        </w:rPr>
        <w:t>**PARTIE 3 : ANALYSE FONDAMENTALE (SECTION CRITIQUE)**</w:t>
      </w:r>
    </w:p>
    <w:p>
      <w:pPr>
        <w:spacing w:after="120" w:line="276" w:lineRule="auto"/>
      </w:pPr>
      <w:r>
        <w:t>En 2025, Sonatel affiche des fondamentaux solides avec un chiffre d'affaires consolidé de 1 923,1 milliards FCFA, en progression de +8,3% par rapport à 2024 (1 776,4 milliards FCFA), et un résultat net de 413,6 milliards FCFA (+5,1% vs 393,7 milliards en 2024). La marge nette s'établit à 21,5%, le ROE à 29,6% et le ROA à 12,6%, des niveaux excellents qui témoignent d'une gestion efficace des capitaux propres et des actifs. Le BFR négatif de -284,9 milliards FCFA constitue un avantage compétitif majeur, financé par un délai fournisseurs très favorable de 201 jours contre 46 jours pour les clients. La capacité d'autofinancement de 665 milliards FCFA et le free cash-flow de 408 milliards FCFA confirment une génération de trésorerie abondante. Les rapports trimestriels 2025 confirment cette trajectoire : le T1 affiche une croissance de 10,9% des revenus et un résultat net de 108,4 milliards (+14,9%), le S1 atteint 960,2 milliards de CA (+9,4%) avec un résultat net de 208,1 milliards (+8%), et les 9 mois cumulent 1 432,5 milliards (+8,6%). Le dividende proposé de 1 933 FCFA brut (1 740 FCFA net) par action offre un rendement attractif. Les perspectives 2026, avec un S1 2026 en hausse de 9,3% à 1 049,8 milliards FCFA et un résultat net de 230 milliards (+10,5%), confirment la solidité du modèle économique et la capacité du groupe à maintenir une croissance rentable malgré un environnement concurrentiel et réglementaire exigeant.</w:t>
      </w:r>
    </w:p>
    <w:p>
      <w:pPr>
        <w:spacing w:after="120" w:line="276" w:lineRule="auto" w:before="240"/>
      </w:pPr>
      <w:r>
        <w:rPr>
          <w:b/>
          <w:color w:val="003366"/>
          <w:sz w:val="24"/>
        </w:rPr>
        <w:t>**PARTIE 4 : CONCLUSION D'INVESTISSEMENT**</w:t>
      </w:r>
    </w:p>
    <w:p>
      <w:pPr>
        <w:spacing w:after="120" w:line="276" w:lineRule="auto"/>
      </w:pPr>
      <w:r>
        <w:t>La valorisation de Sonatel (PER 8,3x, EV/EBITDA 3,6x, P/B 2,46x) indique une sous-évaluation relative malgré la forte progression du cours (+22,84% sur 100 jours), renforcée par des fondamentaux excellents (ROE 29,6%, marge nette 21,5%, BFR négatif favorable). La tendance technique reste haussière avec des moyennes mobiles orientées à la hausse et un MACD positif, mais les oscillateurs en surachat (RSI 78,3, Stochastique 100) suggèrent un repli technique probable à court terme. Les prédictions IA pour les 10 prochains jours (32 546 à 32 444 FCFA) confirment cette anticipation de consolidation, avec un repli attendu vers les 32 500 FCFA avant une possible stabilisation. La convergence entre la sous-évaluation fondamentale, la solidité des résultats 2025 et les perspectives 2026 (S1 2026 en hausse de 10,5%) plaide en faveur d'une recommandation **ACHAT** pour les investisseurs de moyen et long terme, avec un niveau de confiance **Élevé** et un risque global **Moyen**. L'horizon d'investissement optimal se situe à moyen terme (3-12 mois), en profitant d'une éventuelle correction technique pour renforcer les positions, le titre conservant un potentiel de progression significatif porté par la croissance de la data, de la fibre et d'Orange Money.</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179.08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5,781 titres</w:t>
            </w:r>
          </w:p>
        </w:tc>
        <w:tc>
          <w:tcPr>
            <w:tcW w:type="dxa" w:w="2268"/>
            <w:shd w:fill="FFF2CC" w:val="clear"/>
          </w:tcPr>
          <w:p>
            <w:r>
              <w:rPr>
                <w:b/>
                <w:color w:val="503200"/>
                <w:sz w:val="16"/>
              </w:rPr>
              <w:t xml:space="preserve">Cours actuel : </w:t>
            </w:r>
            <w:r>
              <w:rPr>
                <w:color w:val="000000"/>
                <w:sz w:val="17"/>
              </w:rPr>
              <w:t>8,290 FCFA</w:t>
            </w:r>
          </w:p>
          <w:p>
            <w:r>
              <w:rPr>
                <w:b/>
                <w:color w:val="503200"/>
                <w:sz w:val="16"/>
              </w:rPr>
              <w:t xml:space="preserve">Var. 100 jours : </w:t>
            </w:r>
            <w:r>
              <w:rPr>
                <w:b/>
                <w:color w:val="007800"/>
                <w:sz w:val="17"/>
              </w:rPr>
              <w:t>+7.66%</w:t>
            </w:r>
          </w:p>
          <w:p>
            <w:r>
              <w:rPr>
                <w:b/>
                <w:color w:val="503200"/>
                <w:sz w:val="16"/>
              </w:rPr>
              <w:t xml:space="preserve">Plus haut 100j : </w:t>
            </w:r>
            <w:r>
              <w:rPr>
                <w:color w:val="000000"/>
                <w:sz w:val="17"/>
              </w:rPr>
              <w:t>8,600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38.1%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4.81% (Faible) — μ=7,969 FCFA, σ=383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β=0.2745 (Défensif) — Cov=0.000008, Var(idx)=0.000030, ρ=0.064,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5,781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σ_j=2.40%/j (Stable) — Vol. annualisée≈38.1%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2026-08-20</w:t>
            </w:r>
          </w:p>
        </w:tc>
        <w:tc>
          <w:tcPr>
            <w:tcW w:type="dxa" w:w="1440"/>
            <w:shd w:fill="FFDCE0" w:val="clear"/>
          </w:tcPr>
          <w:p>
            <w:r>
              <w:rPr>
                <w:sz w:val="17"/>
              </w:rPr>
              <w:t>7,744</w:t>
            </w:r>
          </w:p>
        </w:tc>
        <w:tc>
          <w:tcPr>
            <w:tcW w:type="dxa" w:w="1440"/>
            <w:shd w:fill="FFDCE0" w:val="clear"/>
          </w:tcPr>
          <w:p>
            <w:r>
              <w:rPr>
                <w:b/>
                <w:sz w:val="17"/>
              </w:rPr>
              <w:t>8,121</w:t>
            </w:r>
          </w:p>
        </w:tc>
        <w:tc>
          <w:tcPr>
            <w:tcW w:type="dxa" w:w="1440"/>
            <w:shd w:fill="FFDCE0" w:val="clear"/>
          </w:tcPr>
          <w:p>
            <w:r>
              <w:rPr>
                <w:sz w:val="17"/>
              </w:rPr>
              <w:t>8,497</w:t>
            </w:r>
          </w:p>
        </w:tc>
        <w:tc>
          <w:tcPr>
            <w:tcW w:type="dxa" w:w="1440"/>
            <w:shd w:fill="FFDCE0" w:val="clear"/>
          </w:tcPr>
          <w:p>
            <w:r>
              <w:rPr>
                <w:b/>
                <w:color w:val="C00000"/>
                <w:sz w:val="17"/>
              </w:rPr>
              <w:t>-2.0%</w:t>
            </w:r>
          </w:p>
        </w:tc>
      </w:tr>
      <w:tr>
        <w:tc>
          <w:tcPr>
            <w:tcW w:type="dxa" w:w="1440"/>
            <w:shd w:fill="FAFAFA" w:val="clear"/>
          </w:tcPr>
          <w:p>
            <w:r>
              <w:rPr>
                <w:sz w:val="17"/>
              </w:rPr>
              <w:t>J+2  Moyenne</w:t>
            </w:r>
          </w:p>
        </w:tc>
        <w:tc>
          <w:tcPr>
            <w:tcW w:type="dxa" w:w="1440"/>
            <w:shd w:fill="FAFAFA" w:val="clear"/>
          </w:tcPr>
          <w:p>
            <w:r>
              <w:rPr>
                <w:sz w:val="17"/>
              </w:rPr>
              <w:t>2026-08-21</w:t>
            </w:r>
          </w:p>
        </w:tc>
        <w:tc>
          <w:tcPr>
            <w:tcW w:type="dxa" w:w="1440"/>
            <w:shd w:fill="FAFAFA" w:val="clear"/>
          </w:tcPr>
          <w:p>
            <w:r>
              <w:rPr>
                <w:sz w:val="17"/>
              </w:rPr>
              <w:t>7,606</w:t>
            </w:r>
          </w:p>
        </w:tc>
        <w:tc>
          <w:tcPr>
            <w:tcW w:type="dxa" w:w="1440"/>
            <w:shd w:fill="FAFAFA" w:val="clear"/>
          </w:tcPr>
          <w:p>
            <w:r>
              <w:rPr>
                <w:b/>
                <w:sz w:val="17"/>
              </w:rPr>
              <w:t>8,139</w:t>
            </w:r>
          </w:p>
        </w:tc>
        <w:tc>
          <w:tcPr>
            <w:tcW w:type="dxa" w:w="1440"/>
            <w:shd w:fill="FAFAFA" w:val="clear"/>
          </w:tcPr>
          <w:p>
            <w:r>
              <w:rPr>
                <w:sz w:val="17"/>
              </w:rPr>
              <w:t>8,673</w:t>
            </w:r>
          </w:p>
        </w:tc>
        <w:tc>
          <w:tcPr>
            <w:tcW w:type="dxa" w:w="1440"/>
            <w:shd w:fill="FAFAFA" w:val="clear"/>
          </w:tcPr>
          <w:p>
            <w:r>
              <w:rPr>
                <w:b/>
                <w:color w:val="C00000"/>
                <w:sz w:val="17"/>
              </w:rPr>
              <w:t>-1.8%</w:t>
            </w:r>
          </w:p>
        </w:tc>
      </w:tr>
      <w:tr>
        <w:tc>
          <w:tcPr>
            <w:tcW w:type="dxa" w:w="1440"/>
            <w:shd w:fill="FAFAFA" w:val="clear"/>
          </w:tcPr>
          <w:p>
            <w:r>
              <w:rPr>
                <w:sz w:val="17"/>
              </w:rPr>
              <w:t>J+3  Moyenne</w:t>
            </w:r>
          </w:p>
        </w:tc>
        <w:tc>
          <w:tcPr>
            <w:tcW w:type="dxa" w:w="1440"/>
            <w:shd w:fill="FAFAFA" w:val="clear"/>
          </w:tcPr>
          <w:p>
            <w:r>
              <w:rPr>
                <w:sz w:val="17"/>
              </w:rPr>
              <w:t>2026-08-24</w:t>
            </w:r>
          </w:p>
        </w:tc>
        <w:tc>
          <w:tcPr>
            <w:tcW w:type="dxa" w:w="1440"/>
            <w:shd w:fill="FAFAFA" w:val="clear"/>
          </w:tcPr>
          <w:p>
            <w:r>
              <w:rPr>
                <w:sz w:val="17"/>
              </w:rPr>
              <w:t>7,492</w:t>
            </w:r>
          </w:p>
        </w:tc>
        <w:tc>
          <w:tcPr>
            <w:tcW w:type="dxa" w:w="1440"/>
            <w:shd w:fill="FAFAFA" w:val="clear"/>
          </w:tcPr>
          <w:p>
            <w:r>
              <w:rPr>
                <w:b/>
                <w:sz w:val="17"/>
              </w:rPr>
              <w:t>8,146</w:t>
            </w:r>
          </w:p>
        </w:tc>
        <w:tc>
          <w:tcPr>
            <w:tcW w:type="dxa" w:w="1440"/>
            <w:shd w:fill="FAFAFA" w:val="clear"/>
          </w:tcPr>
          <w:p>
            <w:r>
              <w:rPr>
                <w:sz w:val="17"/>
              </w:rPr>
              <w:t>8,800</w:t>
            </w:r>
          </w:p>
        </w:tc>
        <w:tc>
          <w:tcPr>
            <w:tcW w:type="dxa" w:w="1440"/>
            <w:shd w:fill="FAFAFA" w:val="clear"/>
          </w:tcPr>
          <w:p>
            <w:r>
              <w:rPr>
                <w:b/>
                <w:color w:val="C00000"/>
                <w:sz w:val="17"/>
              </w:rPr>
              <w:t>-1.7%</w:t>
            </w:r>
          </w:p>
        </w:tc>
      </w:tr>
      <w:tr>
        <w:tc>
          <w:tcPr>
            <w:tcW w:type="dxa" w:w="1440"/>
            <w:shd w:fill="FAFAFA" w:val="clear"/>
          </w:tcPr>
          <w:p>
            <w:r>
              <w:rPr>
                <w:sz w:val="17"/>
              </w:rPr>
              <w:t>J+4  ⭐</w:t>
            </w:r>
          </w:p>
        </w:tc>
        <w:tc>
          <w:tcPr>
            <w:tcW w:type="dxa" w:w="1440"/>
            <w:shd w:fill="FAFAFA" w:val="clear"/>
          </w:tcPr>
          <w:p>
            <w:r>
              <w:rPr>
                <w:sz w:val="17"/>
              </w:rPr>
              <w:t>2026-08-25</w:t>
            </w:r>
          </w:p>
        </w:tc>
        <w:tc>
          <w:tcPr>
            <w:tcW w:type="dxa" w:w="1440"/>
            <w:shd w:fill="FAFAFA" w:val="clear"/>
          </w:tcPr>
          <w:p>
            <w:r>
              <w:rPr>
                <w:sz w:val="17"/>
              </w:rPr>
              <w:t>7,400</w:t>
            </w:r>
          </w:p>
        </w:tc>
        <w:tc>
          <w:tcPr>
            <w:tcW w:type="dxa" w:w="1440"/>
            <w:shd w:fill="FAFAFA" w:val="clear"/>
          </w:tcPr>
          <w:p>
            <w:r>
              <w:rPr>
                <w:b/>
                <w:sz w:val="17"/>
              </w:rPr>
              <w:t>8,157</w:t>
            </w:r>
          </w:p>
        </w:tc>
        <w:tc>
          <w:tcPr>
            <w:tcW w:type="dxa" w:w="1440"/>
            <w:shd w:fill="FAFAFA" w:val="clear"/>
          </w:tcPr>
          <w:p>
            <w:r>
              <w:rPr>
                <w:sz w:val="17"/>
              </w:rPr>
              <w:t>8,913</w:t>
            </w:r>
          </w:p>
        </w:tc>
        <w:tc>
          <w:tcPr>
            <w:tcW w:type="dxa" w:w="1440"/>
            <w:shd w:fill="FAFAFA" w:val="clear"/>
          </w:tcPr>
          <w:p>
            <w:r>
              <w:rPr>
                <w:b/>
                <w:color w:val="C00000"/>
                <w:sz w:val="17"/>
              </w:rPr>
              <w:t>-1.6%</w:t>
            </w:r>
          </w:p>
        </w:tc>
      </w:tr>
      <w:tr>
        <w:tc>
          <w:tcPr>
            <w:tcW w:type="dxa" w:w="1440"/>
            <w:shd w:fill="FAFAFA" w:val="clear"/>
          </w:tcPr>
          <w:p>
            <w:r>
              <w:rPr>
                <w:sz w:val="17"/>
              </w:rPr>
              <w:t>J+5  ⭐</w:t>
            </w:r>
          </w:p>
        </w:tc>
        <w:tc>
          <w:tcPr>
            <w:tcW w:type="dxa" w:w="1440"/>
            <w:shd w:fill="FAFAFA" w:val="clear"/>
          </w:tcPr>
          <w:p>
            <w:r>
              <w:rPr>
                <w:sz w:val="17"/>
              </w:rPr>
              <w:t>2026-08-27</w:t>
            </w:r>
          </w:p>
        </w:tc>
        <w:tc>
          <w:tcPr>
            <w:tcW w:type="dxa" w:w="1440"/>
            <w:shd w:fill="FAFAFA" w:val="clear"/>
          </w:tcPr>
          <w:p>
            <w:r>
              <w:rPr>
                <w:sz w:val="17"/>
              </w:rPr>
              <w:t>7,322</w:t>
            </w:r>
          </w:p>
        </w:tc>
        <w:tc>
          <w:tcPr>
            <w:tcW w:type="dxa" w:w="1440"/>
            <w:shd w:fill="FAFAFA" w:val="clear"/>
          </w:tcPr>
          <w:p>
            <w:r>
              <w:rPr>
                <w:b/>
                <w:sz w:val="17"/>
              </w:rPr>
              <w:t>8,169</w:t>
            </w:r>
          </w:p>
        </w:tc>
        <w:tc>
          <w:tcPr>
            <w:tcW w:type="dxa" w:w="1440"/>
            <w:shd w:fill="FAFAFA" w:val="clear"/>
          </w:tcPr>
          <w:p>
            <w:r>
              <w:rPr>
                <w:sz w:val="17"/>
              </w:rPr>
              <w:t>9,016</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2026-08-28</w:t>
            </w:r>
          </w:p>
        </w:tc>
        <w:tc>
          <w:tcPr>
            <w:tcW w:type="dxa" w:w="1440"/>
            <w:shd w:fill="FAFAFA" w:val="clear"/>
          </w:tcPr>
          <w:p>
            <w:r>
              <w:rPr>
                <w:sz w:val="17"/>
              </w:rPr>
              <w:t>7,252</w:t>
            </w:r>
          </w:p>
        </w:tc>
        <w:tc>
          <w:tcPr>
            <w:tcW w:type="dxa" w:w="1440"/>
            <w:shd w:fill="FAFAFA" w:val="clear"/>
          </w:tcPr>
          <w:p>
            <w:r>
              <w:rPr>
                <w:b/>
                <w:sz w:val="17"/>
              </w:rPr>
              <w:t>8,181</w:t>
            </w:r>
          </w:p>
        </w:tc>
        <w:tc>
          <w:tcPr>
            <w:tcW w:type="dxa" w:w="1440"/>
            <w:shd w:fill="FAFAFA" w:val="clear"/>
          </w:tcPr>
          <w:p>
            <w:r>
              <w:rPr>
                <w:sz w:val="17"/>
              </w:rPr>
              <w:t>9,110</w:t>
            </w:r>
          </w:p>
        </w:tc>
        <w:tc>
          <w:tcPr>
            <w:tcW w:type="dxa" w:w="1440"/>
            <w:shd w:fill="FAFAFA" w:val="clear"/>
          </w:tcPr>
          <w:p>
            <w:r>
              <w:rPr>
                <w:b/>
                <w:color w:val="C00000"/>
                <w:sz w:val="17"/>
              </w:rPr>
              <w:t>-1.3%</w:t>
            </w:r>
          </w:p>
        </w:tc>
      </w:tr>
      <w:tr>
        <w:tc>
          <w:tcPr>
            <w:tcW w:type="dxa" w:w="1440"/>
            <w:shd w:fill="FAFAFA" w:val="clear"/>
          </w:tcPr>
          <w:p>
            <w:r>
              <w:rPr>
                <w:sz w:val="17"/>
              </w:rPr>
              <w:t>J+7  ⭐</w:t>
            </w:r>
          </w:p>
        </w:tc>
        <w:tc>
          <w:tcPr>
            <w:tcW w:type="dxa" w:w="1440"/>
            <w:shd w:fill="FAFAFA" w:val="clear"/>
          </w:tcPr>
          <w:p>
            <w:r>
              <w:rPr>
                <w:sz w:val="17"/>
              </w:rPr>
              <w:t>2026-08-31</w:t>
            </w:r>
          </w:p>
        </w:tc>
        <w:tc>
          <w:tcPr>
            <w:tcW w:type="dxa" w:w="1440"/>
            <w:shd w:fill="FAFAFA" w:val="clear"/>
          </w:tcPr>
          <w:p>
            <w:r>
              <w:rPr>
                <w:sz w:val="17"/>
              </w:rPr>
              <w:t>7,187</w:t>
            </w:r>
          </w:p>
        </w:tc>
        <w:tc>
          <w:tcPr>
            <w:tcW w:type="dxa" w:w="1440"/>
            <w:shd w:fill="FAFAFA" w:val="clear"/>
          </w:tcPr>
          <w:p>
            <w:r>
              <w:rPr>
                <w:b/>
                <w:sz w:val="17"/>
              </w:rPr>
              <w:t>8,192</w:t>
            </w:r>
          </w:p>
        </w:tc>
        <w:tc>
          <w:tcPr>
            <w:tcW w:type="dxa" w:w="1440"/>
            <w:shd w:fill="FAFAFA" w:val="clear"/>
          </w:tcPr>
          <w:p>
            <w:r>
              <w:rPr>
                <w:sz w:val="17"/>
              </w:rPr>
              <w:t>9,197</w:t>
            </w:r>
          </w:p>
        </w:tc>
        <w:tc>
          <w:tcPr>
            <w:tcW w:type="dxa" w:w="1440"/>
            <w:shd w:fill="FAFAFA" w:val="clear"/>
          </w:tcPr>
          <w:p>
            <w:r>
              <w:rPr>
                <w:b/>
                <w:color w:val="C00000"/>
                <w:sz w:val="17"/>
              </w:rPr>
              <w:t>-1.2%</w:t>
            </w:r>
          </w:p>
        </w:tc>
      </w:tr>
      <w:tr>
        <w:tc>
          <w:tcPr>
            <w:tcW w:type="dxa" w:w="1440"/>
            <w:shd w:fill="FAFAFA" w:val="clear"/>
          </w:tcPr>
          <w:p>
            <w:r>
              <w:rPr>
                <w:sz w:val="17"/>
              </w:rPr>
              <w:t>J+8  ⭐</w:t>
            </w:r>
          </w:p>
        </w:tc>
        <w:tc>
          <w:tcPr>
            <w:tcW w:type="dxa" w:w="1440"/>
            <w:shd w:fill="FAFAFA" w:val="clear"/>
          </w:tcPr>
          <w:p>
            <w:r>
              <w:rPr>
                <w:sz w:val="17"/>
              </w:rPr>
              <w:t>2026-09-01</w:t>
            </w:r>
          </w:p>
        </w:tc>
        <w:tc>
          <w:tcPr>
            <w:tcW w:type="dxa" w:w="1440"/>
            <w:shd w:fill="FAFAFA" w:val="clear"/>
          </w:tcPr>
          <w:p>
            <w:r>
              <w:rPr>
                <w:sz w:val="17"/>
              </w:rPr>
              <w:t>7,128</w:t>
            </w:r>
          </w:p>
        </w:tc>
        <w:tc>
          <w:tcPr>
            <w:tcW w:type="dxa" w:w="1440"/>
            <w:shd w:fill="FAFAFA" w:val="clear"/>
          </w:tcPr>
          <w:p>
            <w:r>
              <w:rPr>
                <w:b/>
                <w:sz w:val="17"/>
              </w:rPr>
              <w:t>8,204</w:t>
            </w:r>
          </w:p>
        </w:tc>
        <w:tc>
          <w:tcPr>
            <w:tcW w:type="dxa" w:w="1440"/>
            <w:shd w:fill="FAFAFA" w:val="clear"/>
          </w:tcPr>
          <w:p>
            <w:r>
              <w:rPr>
                <w:sz w:val="17"/>
              </w:rPr>
              <w:t>9,280</w:t>
            </w:r>
          </w:p>
        </w:tc>
        <w:tc>
          <w:tcPr>
            <w:tcW w:type="dxa" w:w="1440"/>
            <w:shd w:fill="FAFAFA" w:val="clear"/>
          </w:tcPr>
          <w:p>
            <w:r>
              <w:rPr>
                <w:b/>
                <w:color w:val="C00000"/>
                <w:sz w:val="17"/>
              </w:rPr>
              <w:t>-1.0%</w:t>
            </w:r>
          </w:p>
        </w:tc>
      </w:tr>
      <w:tr>
        <w:tc>
          <w:tcPr>
            <w:tcW w:type="dxa" w:w="1440"/>
            <w:shd w:fill="FAFAFA" w:val="clear"/>
          </w:tcPr>
          <w:p>
            <w:r>
              <w:rPr>
                <w:sz w:val="17"/>
              </w:rPr>
              <w:t>J+9  ⭐</w:t>
            </w:r>
          </w:p>
        </w:tc>
        <w:tc>
          <w:tcPr>
            <w:tcW w:type="dxa" w:w="1440"/>
            <w:shd w:fill="FAFAFA" w:val="clear"/>
          </w:tcPr>
          <w:p>
            <w:r>
              <w:rPr>
                <w:sz w:val="17"/>
              </w:rPr>
              <w:t>2026-09-02</w:t>
            </w:r>
          </w:p>
        </w:tc>
        <w:tc>
          <w:tcPr>
            <w:tcW w:type="dxa" w:w="1440"/>
            <w:shd w:fill="FAFAFA" w:val="clear"/>
          </w:tcPr>
          <w:p>
            <w:r>
              <w:rPr>
                <w:sz w:val="17"/>
              </w:rPr>
              <w:t>7,073</w:t>
            </w:r>
          </w:p>
        </w:tc>
        <w:tc>
          <w:tcPr>
            <w:tcW w:type="dxa" w:w="1440"/>
            <w:shd w:fill="FAFAFA" w:val="clear"/>
          </w:tcPr>
          <w:p>
            <w:r>
              <w:rPr>
                <w:b/>
                <w:sz w:val="17"/>
              </w:rPr>
              <w:t>8,216</w:t>
            </w:r>
          </w:p>
        </w:tc>
        <w:tc>
          <w:tcPr>
            <w:tcW w:type="dxa" w:w="1440"/>
            <w:shd w:fill="FAFAFA" w:val="clear"/>
          </w:tcPr>
          <w:p>
            <w:r>
              <w:rPr>
                <w:sz w:val="17"/>
              </w:rPr>
              <w:t>9,358</w:t>
            </w:r>
          </w:p>
        </w:tc>
        <w:tc>
          <w:tcPr>
            <w:tcW w:type="dxa" w:w="1440"/>
            <w:shd w:fill="FAFAFA" w:val="clear"/>
          </w:tcPr>
          <w:p>
            <w:r>
              <w:rPr>
                <w:b/>
                <w:color w:val="C00000"/>
                <w:sz w:val="17"/>
              </w:rPr>
              <w:t>-0.9%</w:t>
            </w:r>
          </w:p>
        </w:tc>
      </w:tr>
      <w:tr>
        <w:tc>
          <w:tcPr>
            <w:tcW w:type="dxa" w:w="1440"/>
            <w:shd w:fill="FAFAFA" w:val="clear"/>
          </w:tcPr>
          <w:p>
            <w:r>
              <w:rPr>
                <w:sz w:val="17"/>
              </w:rPr>
              <w:t>J+10  ⭐</w:t>
            </w:r>
          </w:p>
        </w:tc>
        <w:tc>
          <w:tcPr>
            <w:tcW w:type="dxa" w:w="1440"/>
            <w:shd w:fill="FAFAFA" w:val="clear"/>
          </w:tcPr>
          <w:p>
            <w:r>
              <w:rPr>
                <w:sz w:val="17"/>
              </w:rPr>
              <w:t>2026-09-03</w:t>
            </w:r>
          </w:p>
        </w:tc>
        <w:tc>
          <w:tcPr>
            <w:tcW w:type="dxa" w:w="1440"/>
            <w:shd w:fill="FAFAFA" w:val="clear"/>
          </w:tcPr>
          <w:p>
            <w:r>
              <w:rPr>
                <w:sz w:val="17"/>
              </w:rPr>
              <w:t>7,021</w:t>
            </w:r>
          </w:p>
        </w:tc>
        <w:tc>
          <w:tcPr>
            <w:tcW w:type="dxa" w:w="1440"/>
            <w:shd w:fill="FAFAFA" w:val="clear"/>
          </w:tcPr>
          <w:p>
            <w:r>
              <w:rPr>
                <w:b/>
                <w:sz w:val="17"/>
              </w:rPr>
              <w:t>8,227</w:t>
            </w:r>
          </w:p>
        </w:tc>
        <w:tc>
          <w:tcPr>
            <w:tcW w:type="dxa" w:w="1440"/>
            <w:shd w:fill="FAFAFA" w:val="clear"/>
          </w:tcPr>
          <w:p>
            <w:r>
              <w:rPr>
                <w:sz w:val="17"/>
              </w:rPr>
              <w:t>9,433</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**Date de l'analyse : 19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SOGC s'établit à **179,08 milliards FCFA**, un niveau qui la positionne parmi les valeurs moyennes à grandes capitalisations de la BRVM, lui conférant une liquidité et une visibilité appréciables. Avec un **BPA de 578 FCFA**, chaque action génère un bénéfice substantiel. Le **PER de 14,3x** est supérieur à la moyenne historique de la BRVM (8-12x), indiquant que le marché applique une prime de valorisation, justifiée par la qualité des actifs et la croissance passée. Le **P/B de 2,62x** confirme cette prime, le marché valorisant la société à plus de 2,6 fois ses capitaux propres, signe d'une forte confiance dans sa rentabilité future. Enfin, un **EV/EBITDA de 7,4x** reste dans une zone raisonnable (5-10x), suggérant que la valeur d'entreprise n'est pas excessive par rapport à sa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SOGC a enregistré une **progression de +7,66%**, avec une accélération notable lors de la dernière séance (+4,94%). Le cours a évolué dans un range de **7 100 FCFA (plus bas)** à **8 600 FCFA (plus haut)**, démontrant une dynamique haussière soutenue. La **moyenne (7 969 FCFA)** et la **médiane (7 980 FCFA)** sont très proches, indiquant une distribution des prix relativement symétrique, ce que confirme le **skewness de -0,297**. L'**écart-type de 385 FCFA** (CV=4,8%) révèle une dispersion modérée des prix autour de la moyenne. Le **kurtosis de -0,965** (mésokurtique) suggère l'absence de mouvements extrêmes ou de pics de volatilité soudains. Cependant, la **volatilité annualisée de 38,1%** est élevée (&gt;30%), signalant un risque de prix significatif pour les investisseurs à court terme, malgré une tendance de fond positive.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(8 290 FCFA) est supérieur à la MM20 (8 063 FCFA) mais inférieur à la MM50 (8 221,5 FCFA). Cette configuration, où le prix est sous la moyenne à long terme, génère un signal de **Vente**. Cela indique que la tendance de fond reste incertaine, la récente remontée n'ayant pas encore rattrapé le repli plus ancien.</w:t>
      </w:r>
    </w:p>
    <w:p>
      <w:pPr>
        <w:spacing w:after="120" w:line="276" w:lineRule="auto"/>
      </w:pPr>
      <w:r>
        <w:t>**Bandes de Bollinger** : Le prix se situe entre la borne inférieure (7 542,4 FCFA) et la borne supérieure (8 583,6 FCFA), proche de la partie haute. La décision est **Neutre**. La largeur des bandes reflète la volatilité élevée du titre. Le cours testant la borne supérieure pourrait indiquer une pression acheteuse, mais sans signal de sortie de canal, la tendance reste à confirmer.</w:t>
      </w:r>
    </w:p>
    <w:p>
      <w:pPr>
        <w:spacing w:after="120" w:line="276" w:lineRule="auto"/>
      </w:pPr>
      <w:r>
        <w:t>**MACD** : Le MACD (-77,6) est négatif mais se situe au-dessus de sa ligne de signal (-84,9). Cette configuration haussière (croisement à la hausse) suggère un **signal d'Achat**. Le momentum semble se retourner à la hausse, indiquant une possible poursuite du mouvement ascendant à court terme.</w:t>
      </w:r>
    </w:p>
    <w:p>
      <w:pPr>
        <w:spacing w:after="120" w:line="276" w:lineRule="auto"/>
      </w:pPr>
      <w:r>
        <w:t>**RSI** : Avec une valeur de **49,8**, le RSI est en zone neutre (entre 30 et 70). La décision est **Neutre**. Le marché n'est ni suracheté ni survendu, ce qui laisse une marge de manœuvre dans les deux sens, sans signal directionnel fort.</w:t>
      </w:r>
    </w:p>
    <w:p>
      <w:pPr>
        <w:spacing w:after="120" w:line="276" w:lineRule="auto"/>
      </w:pPr>
      <w:r>
        <w:t>**Stochastique** : Le %K (89,9) est très élevé et nettement au-dessus du %D (64,4). Bien que cela indique une forte dynamique haussière, un niveau aussi élevé place le titre en zone de **surachat**, d'où la décision de **Vente**. Un retournement est potentiellement imminent après cette phase de hausse rapide.</w:t>
      </w:r>
    </w:p>
    <w:p>
      <w:pPr>
        <w:spacing w:after="120" w:line="276" w:lineRule="auto"/>
      </w:pPr>
      <w:r>
        <w:t>**Conclusion technique** : Les signaux sont mitigés. Le MACD est positif, mais les moyennes mobiles et le stochastique suggèrent une prudence. La configuration générale est celle d'un rebond technique dans une tendance de fond incertaine. L'absence de convergence claire entre les indicateurs appelle à la prudence, le marché semblant chercher une direction après un mouvement récent.</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SOGC a réalisé un **chiffre d'affaires de 98,98 milliards FCFA**, en hausse de 10,7%, et un **résultat net de 12,49 milliards FCFA**. La rentabilité est excellente avec un **ROE de 18,26%** et un **ROA de 13,84%**, démontrant une utilisation très efficace des capitaux propres et des actifs. La structure financière est saine avec une **autonomie financière de 75,8%** et un endettement très faible (capacité de remboursement de 0,04 an). Le **BFR de 7,12 milliards** est positif, mais la société dispose d'une trésorerie nette positive de 4,57 milliards. Les délais de paiement clients (29,6 jours) et fournisseurs (31,7 jours) sont bien équilibrés. Le rapport annuel 2025 (daté du 15/03/2026) confirme un **résultat net en baisse de 5%** par rapport à 2024, impacté par la hausse des coûts des matières premières (+15%). Les rapports trimestriels 2025 montrent une décélération progressive : après un T1 exceptionnel (CA +63%, RN +263%), le S1 affichait encore une croissance de +51,9% (RN +151,6%), mais le cumul 9 mois s'est tassé à +21,3% (RN +39,5%). **On estime que l'exercice 2026 pourrait être plus difficile**, la direction anticipant une pression sur les marges due à la concurrence sur l'achat du coagulum et à la baisse des cours internationaux du caoutchouc. La politique de dividende reste très généreuse (570 FCFA/action proposé pour 2025, soit un rendement d'environ 6,9%). En conclusion, les fondamentaux sont solides et la société est financièrement robuste, mais les perspectives de croissance des bénéfices pour 2026 sont limitées.</w:t>
      </w:r>
    </w:p>
    <w:p>
      <w:pPr>
        <w:spacing w:after="120" w:line="276" w:lineRule="auto"/>
      </w:pPr>
      <w:r>
        <w:t>---</w:t>
      </w:r>
    </w:p>
    <w:p>
      <w:pPr>
        <w:spacing w:after="120" w:line="276" w:lineRule="auto"/>
      </w:pPr>
      <w:r>
        <w:t>### PARTIE 4 : CONCLUSION D'INVESTISSEMENT</w:t>
      </w:r>
    </w:p>
    <w:p>
      <w:pPr>
        <w:spacing w:after="120" w:line="276" w:lineRule="auto"/>
      </w:pPr>
      <w:r>
        <w:t>La valorisation de SOGC (PER 14,3x, P/B 2,62x) est exigeante, intégrant déjà une prime pour la qualité de la société, mais elle n'est pas excessive au regard de sa rentabilité (ROE &gt;18%). Le comportement du cours sur 100 jours est positif (+7,66%) avec une volatilité élevée (38,1%), ce qui implique un risque non négligeable. Les signaux techniques sont mitigés : le MACD est haussier, mais les moyennes mobiles et le stochastique en zone de surachat suggèrent une possible consolidation à court terme. Les fondamentaux sont excellents, avec une génération de cash-flow robuste et une structure financière très saine, mais les perspectives de croissance des bénéfices pour 2026 sont en ralentissement. Les **prédictions IA** (8 121 à 8 169 FCFA sur 10 jours) suggèrent une légère consolidation après le récent pic, ce qui contredit le signal d'achat du MACD. En synthèse, la convergence entre une valorisation correcte, des fondamentaux solides mais une dynamique de croissance ralentie et des signaux techniques partagés conduit à une recommandation **CONSERVER**. Le niveau de confiance est **Moyen**, le risque global est **Moyen**. L'horizon d'investissement optimal serait le **moyen terme (3-12 mois)**, en attendant de voir si la société parvient à stabiliser ses marges dans un environnement de prix plus difficile.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246.89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5,095 titres</w:t>
            </w:r>
          </w:p>
        </w:tc>
        <w:tc>
          <w:tcPr>
            <w:tcW w:type="dxa" w:w="2268"/>
            <w:shd w:fill="FFF2CC" w:val="clear"/>
          </w:tcPr>
          <w:p>
            <w:r>
              <w:rPr>
                <w:b/>
                <w:color w:val="503200"/>
                <w:sz w:val="16"/>
              </w:rPr>
              <w:t xml:space="preserve">Cours actuel : </w:t>
            </w:r>
            <w:r>
              <w:rPr>
                <w:color w:val="000000"/>
                <w:sz w:val="17"/>
              </w:rPr>
              <w:t>9,660 FCFA</w:t>
            </w:r>
          </w:p>
          <w:p>
            <w:r>
              <w:rPr>
                <w:b/>
                <w:color w:val="503200"/>
                <w:sz w:val="16"/>
              </w:rPr>
              <w:t xml:space="preserve">Var. 100 jours : </w:t>
            </w:r>
            <w:r>
              <w:rPr>
                <w:b/>
                <w:color w:val="007800"/>
                <w:sz w:val="17"/>
              </w:rPr>
              <w:t>+36.92%</w:t>
            </w:r>
          </w:p>
          <w:p>
            <w:r>
              <w:rPr>
                <w:b/>
                <w:color w:val="503200"/>
                <w:sz w:val="16"/>
              </w:rPr>
              <w:t xml:space="preserve">Plus haut 100j : </w:t>
            </w:r>
            <w:r>
              <w:rPr>
                <w:color w:val="000000"/>
                <w:sz w:val="17"/>
              </w:rPr>
              <w:t>9,660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36.5%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5.76% (Moyenne) — μ=7,430 FCFA, σ=428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β=0.6478 (Défensif) — Cov=0.000020, Var(idx)=0.000030, ρ=0.171,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5,095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σ_j=2.30%/j (Stable) — Vol. annualisée≈36.5%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2026-08-20</w:t>
            </w:r>
          </w:p>
        </w:tc>
        <w:tc>
          <w:tcPr>
            <w:tcW w:type="dxa" w:w="1440"/>
            <w:shd w:fill="FFDCE0" w:val="clear"/>
          </w:tcPr>
          <w:p>
            <w:r>
              <w:rPr>
                <w:sz w:val="17"/>
              </w:rPr>
              <w:t>8,583</w:t>
            </w:r>
          </w:p>
        </w:tc>
        <w:tc>
          <w:tcPr>
            <w:tcW w:type="dxa" w:w="1440"/>
            <w:shd w:fill="FFDCE0" w:val="clear"/>
          </w:tcPr>
          <w:p>
            <w:r>
              <w:rPr>
                <w:b/>
                <w:sz w:val="17"/>
              </w:rPr>
              <w:t>8,987</w:t>
            </w:r>
          </w:p>
        </w:tc>
        <w:tc>
          <w:tcPr>
            <w:tcW w:type="dxa" w:w="1440"/>
            <w:shd w:fill="FFDCE0" w:val="clear"/>
          </w:tcPr>
          <w:p>
            <w:r>
              <w:rPr>
                <w:sz w:val="17"/>
              </w:rPr>
              <w:t>9,392</w:t>
            </w:r>
          </w:p>
        </w:tc>
        <w:tc>
          <w:tcPr>
            <w:tcW w:type="dxa" w:w="1440"/>
            <w:shd w:fill="FFDCE0" w:val="clear"/>
          </w:tcPr>
          <w:p>
            <w:r>
              <w:rPr>
                <w:b/>
                <w:color w:val="C00000"/>
                <w:sz w:val="17"/>
              </w:rPr>
              <w:t>-7.0%</w:t>
            </w:r>
          </w:p>
        </w:tc>
      </w:tr>
      <w:tr>
        <w:tc>
          <w:tcPr>
            <w:tcW w:type="dxa" w:w="1440"/>
            <w:shd w:fill="FFDCE0" w:val="clear"/>
          </w:tcPr>
          <w:p>
            <w:r>
              <w:rPr>
                <w:sz w:val="17"/>
              </w:rPr>
              <w:t>J+2  Moyenne</w:t>
            </w:r>
          </w:p>
        </w:tc>
        <w:tc>
          <w:tcPr>
            <w:tcW w:type="dxa" w:w="1440"/>
            <w:shd w:fill="FFDCE0" w:val="clear"/>
          </w:tcPr>
          <w:p>
            <w:r>
              <w:rPr>
                <w:sz w:val="17"/>
              </w:rPr>
              <w:t>2026-08-21</w:t>
            </w:r>
          </w:p>
        </w:tc>
        <w:tc>
          <w:tcPr>
            <w:tcW w:type="dxa" w:w="1440"/>
            <w:shd w:fill="FFDCE0" w:val="clear"/>
          </w:tcPr>
          <w:p>
            <w:r>
              <w:rPr>
                <w:sz w:val="17"/>
              </w:rPr>
              <w:t>8,409</w:t>
            </w:r>
          </w:p>
        </w:tc>
        <w:tc>
          <w:tcPr>
            <w:tcW w:type="dxa" w:w="1440"/>
            <w:shd w:fill="FFDCE0" w:val="clear"/>
          </w:tcPr>
          <w:p>
            <w:r>
              <w:rPr>
                <w:b/>
                <w:sz w:val="17"/>
              </w:rPr>
              <w:t>8,981</w:t>
            </w:r>
          </w:p>
        </w:tc>
        <w:tc>
          <w:tcPr>
            <w:tcW w:type="dxa" w:w="1440"/>
            <w:shd w:fill="FFDCE0" w:val="clear"/>
          </w:tcPr>
          <w:p>
            <w:r>
              <w:rPr>
                <w:sz w:val="17"/>
              </w:rPr>
              <w:t>9,553</w:t>
            </w:r>
          </w:p>
        </w:tc>
        <w:tc>
          <w:tcPr>
            <w:tcW w:type="dxa" w:w="1440"/>
            <w:shd w:fill="FFDCE0" w:val="clear"/>
          </w:tcPr>
          <w:p>
            <w:r>
              <w:rPr>
                <w:b/>
                <w:color w:val="C00000"/>
                <w:sz w:val="17"/>
              </w:rPr>
              <w:t>-7.0%</w:t>
            </w:r>
          </w:p>
        </w:tc>
      </w:tr>
      <w:tr>
        <w:tc>
          <w:tcPr>
            <w:tcW w:type="dxa" w:w="1440"/>
            <w:shd w:fill="FFDCE0" w:val="clear"/>
          </w:tcPr>
          <w:p>
            <w:r>
              <w:rPr>
                <w:sz w:val="17"/>
              </w:rPr>
              <w:t>J+3  Moyenne</w:t>
            </w:r>
          </w:p>
        </w:tc>
        <w:tc>
          <w:tcPr>
            <w:tcW w:type="dxa" w:w="1440"/>
            <w:shd w:fill="FFDCE0" w:val="clear"/>
          </w:tcPr>
          <w:p>
            <w:r>
              <w:rPr>
                <w:sz w:val="17"/>
              </w:rPr>
              <w:t>2026-08-24</w:t>
            </w:r>
          </w:p>
        </w:tc>
        <w:tc>
          <w:tcPr>
            <w:tcW w:type="dxa" w:w="1440"/>
            <w:shd w:fill="FFDCE0" w:val="clear"/>
          </w:tcPr>
          <w:p>
            <w:r>
              <w:rPr>
                <w:sz w:val="17"/>
              </w:rPr>
              <w:t>8,236</w:t>
            </w:r>
          </w:p>
        </w:tc>
        <w:tc>
          <w:tcPr>
            <w:tcW w:type="dxa" w:w="1440"/>
            <w:shd w:fill="FFDCE0" w:val="clear"/>
          </w:tcPr>
          <w:p>
            <w:r>
              <w:rPr>
                <w:b/>
                <w:sz w:val="17"/>
              </w:rPr>
              <w:t>8,932</w:t>
            </w:r>
          </w:p>
        </w:tc>
        <w:tc>
          <w:tcPr>
            <w:tcW w:type="dxa" w:w="1440"/>
            <w:shd w:fill="FFDCE0" w:val="clear"/>
          </w:tcPr>
          <w:p>
            <w:r>
              <w:rPr>
                <w:sz w:val="17"/>
              </w:rPr>
              <w:t>9,629</w:t>
            </w:r>
          </w:p>
        </w:tc>
        <w:tc>
          <w:tcPr>
            <w:tcW w:type="dxa" w:w="1440"/>
            <w:shd w:fill="FFDCE0" w:val="clear"/>
          </w:tcPr>
          <w:p>
            <w:r>
              <w:rPr>
                <w:b/>
                <w:color w:val="C00000"/>
                <w:sz w:val="17"/>
              </w:rPr>
              <w:t>-7.5%</w:t>
            </w:r>
          </w:p>
        </w:tc>
      </w:tr>
      <w:tr>
        <w:tc>
          <w:tcPr>
            <w:tcW w:type="dxa" w:w="1440"/>
            <w:shd w:fill="FFDCE0" w:val="clear"/>
          </w:tcPr>
          <w:p>
            <w:r>
              <w:rPr>
                <w:sz w:val="17"/>
              </w:rPr>
              <w:t>J+4  ⭐</w:t>
            </w:r>
          </w:p>
        </w:tc>
        <w:tc>
          <w:tcPr>
            <w:tcW w:type="dxa" w:w="1440"/>
            <w:shd w:fill="FFDCE0" w:val="clear"/>
          </w:tcPr>
          <w:p>
            <w:r>
              <w:rPr>
                <w:sz w:val="17"/>
              </w:rPr>
              <w:t>2026-08-25</w:t>
            </w:r>
          </w:p>
        </w:tc>
        <w:tc>
          <w:tcPr>
            <w:tcW w:type="dxa" w:w="1440"/>
            <w:shd w:fill="FFDCE0" w:val="clear"/>
          </w:tcPr>
          <w:p>
            <w:r>
              <w:rPr>
                <w:sz w:val="17"/>
              </w:rPr>
              <w:t>8,096</w:t>
            </w:r>
          </w:p>
        </w:tc>
        <w:tc>
          <w:tcPr>
            <w:tcW w:type="dxa" w:w="1440"/>
            <w:shd w:fill="FFDCE0" w:val="clear"/>
          </w:tcPr>
          <w:p>
            <w:r>
              <w:rPr>
                <w:b/>
                <w:sz w:val="17"/>
              </w:rPr>
              <w:t>8,897</w:t>
            </w:r>
          </w:p>
        </w:tc>
        <w:tc>
          <w:tcPr>
            <w:tcW w:type="dxa" w:w="1440"/>
            <w:shd w:fill="FFDCE0" w:val="clear"/>
          </w:tcPr>
          <w:p>
            <w:r>
              <w:rPr>
                <w:sz w:val="17"/>
              </w:rPr>
              <w:t>9,698</w:t>
            </w:r>
          </w:p>
        </w:tc>
        <w:tc>
          <w:tcPr>
            <w:tcW w:type="dxa" w:w="1440"/>
            <w:shd w:fill="FFDCE0" w:val="clear"/>
          </w:tcPr>
          <w:p>
            <w:r>
              <w:rPr>
                <w:b/>
                <w:color w:val="C00000"/>
                <w:sz w:val="17"/>
              </w:rPr>
              <w:t>-7.9%</w:t>
            </w:r>
          </w:p>
        </w:tc>
      </w:tr>
      <w:tr>
        <w:tc>
          <w:tcPr>
            <w:tcW w:type="dxa" w:w="1440"/>
            <w:shd w:fill="FFDCE0" w:val="clear"/>
          </w:tcPr>
          <w:p>
            <w:r>
              <w:rPr>
                <w:sz w:val="17"/>
              </w:rPr>
              <w:t>J+5  ⭐</w:t>
            </w:r>
          </w:p>
        </w:tc>
        <w:tc>
          <w:tcPr>
            <w:tcW w:type="dxa" w:w="1440"/>
            <w:shd w:fill="FFDCE0" w:val="clear"/>
          </w:tcPr>
          <w:p>
            <w:r>
              <w:rPr>
                <w:sz w:val="17"/>
              </w:rPr>
              <w:t>2026-08-27</w:t>
            </w:r>
          </w:p>
        </w:tc>
        <w:tc>
          <w:tcPr>
            <w:tcW w:type="dxa" w:w="1440"/>
            <w:shd w:fill="FFDCE0" w:val="clear"/>
          </w:tcPr>
          <w:p>
            <w:r>
              <w:rPr>
                <w:sz w:val="17"/>
              </w:rPr>
              <w:t>7,973</w:t>
            </w:r>
          </w:p>
        </w:tc>
        <w:tc>
          <w:tcPr>
            <w:tcW w:type="dxa" w:w="1440"/>
            <w:shd w:fill="FFDCE0" w:val="clear"/>
          </w:tcPr>
          <w:p>
            <w:r>
              <w:rPr>
                <w:b/>
                <w:sz w:val="17"/>
              </w:rPr>
              <w:t>8,865</w:t>
            </w:r>
          </w:p>
        </w:tc>
        <w:tc>
          <w:tcPr>
            <w:tcW w:type="dxa" w:w="1440"/>
            <w:shd w:fill="FFDCE0" w:val="clear"/>
          </w:tcPr>
          <w:p>
            <w:r>
              <w:rPr>
                <w:sz w:val="17"/>
              </w:rPr>
              <w:t>9,758</w:t>
            </w:r>
          </w:p>
        </w:tc>
        <w:tc>
          <w:tcPr>
            <w:tcW w:type="dxa" w:w="1440"/>
            <w:shd w:fill="FFDCE0" w:val="clear"/>
          </w:tcPr>
          <w:p>
            <w:r>
              <w:rPr>
                <w:b/>
                <w:color w:val="C00000"/>
                <w:sz w:val="17"/>
              </w:rPr>
              <w:t>-8.2%</w:t>
            </w:r>
          </w:p>
        </w:tc>
      </w:tr>
      <w:tr>
        <w:tc>
          <w:tcPr>
            <w:tcW w:type="dxa" w:w="1440"/>
            <w:shd w:fill="FFDCE0" w:val="clear"/>
          </w:tcPr>
          <w:p>
            <w:r>
              <w:rPr>
                <w:sz w:val="17"/>
              </w:rPr>
              <w:t>J+6  ⭐</w:t>
            </w:r>
          </w:p>
        </w:tc>
        <w:tc>
          <w:tcPr>
            <w:tcW w:type="dxa" w:w="1440"/>
            <w:shd w:fill="FFDCE0" w:val="clear"/>
          </w:tcPr>
          <w:p>
            <w:r>
              <w:rPr>
                <w:sz w:val="17"/>
              </w:rPr>
              <w:t>2026-08-28</w:t>
            </w:r>
          </w:p>
        </w:tc>
        <w:tc>
          <w:tcPr>
            <w:tcW w:type="dxa" w:w="1440"/>
            <w:shd w:fill="FFDCE0" w:val="clear"/>
          </w:tcPr>
          <w:p>
            <w:r>
              <w:rPr>
                <w:sz w:val="17"/>
              </w:rPr>
              <w:t>7,860</w:t>
            </w:r>
          </w:p>
        </w:tc>
        <w:tc>
          <w:tcPr>
            <w:tcW w:type="dxa" w:w="1440"/>
            <w:shd w:fill="FFDCE0" w:val="clear"/>
          </w:tcPr>
          <w:p>
            <w:r>
              <w:rPr>
                <w:b/>
                <w:sz w:val="17"/>
              </w:rPr>
              <w:t>8,834</w:t>
            </w:r>
          </w:p>
        </w:tc>
        <w:tc>
          <w:tcPr>
            <w:tcW w:type="dxa" w:w="1440"/>
            <w:shd w:fill="FFDCE0" w:val="clear"/>
          </w:tcPr>
          <w:p>
            <w:r>
              <w:rPr>
                <w:sz w:val="17"/>
              </w:rPr>
              <w:t>9,809</w:t>
            </w:r>
          </w:p>
        </w:tc>
        <w:tc>
          <w:tcPr>
            <w:tcW w:type="dxa" w:w="1440"/>
            <w:shd w:fill="FFDCE0" w:val="clear"/>
          </w:tcPr>
          <w:p>
            <w:r>
              <w:rPr>
                <w:b/>
                <w:color w:val="C00000"/>
                <w:sz w:val="17"/>
              </w:rPr>
              <w:t>-8.5%</w:t>
            </w:r>
          </w:p>
        </w:tc>
      </w:tr>
      <w:tr>
        <w:tc>
          <w:tcPr>
            <w:tcW w:type="dxa" w:w="1440"/>
            <w:shd w:fill="FFDCE0" w:val="clear"/>
          </w:tcPr>
          <w:p>
            <w:r>
              <w:rPr>
                <w:sz w:val="17"/>
              </w:rPr>
              <w:t>J+7  ⭐</w:t>
            </w:r>
          </w:p>
        </w:tc>
        <w:tc>
          <w:tcPr>
            <w:tcW w:type="dxa" w:w="1440"/>
            <w:shd w:fill="FFDCE0" w:val="clear"/>
          </w:tcPr>
          <w:p>
            <w:r>
              <w:rPr>
                <w:sz w:val="17"/>
              </w:rPr>
              <w:t>2026-08-31</w:t>
            </w:r>
          </w:p>
        </w:tc>
        <w:tc>
          <w:tcPr>
            <w:tcW w:type="dxa" w:w="1440"/>
            <w:shd w:fill="FFDCE0" w:val="clear"/>
          </w:tcPr>
          <w:p>
            <w:r>
              <w:rPr>
                <w:sz w:val="17"/>
              </w:rPr>
              <w:t>7,754</w:t>
            </w:r>
          </w:p>
        </w:tc>
        <w:tc>
          <w:tcPr>
            <w:tcW w:type="dxa" w:w="1440"/>
            <w:shd w:fill="FFDCE0" w:val="clear"/>
          </w:tcPr>
          <w:p>
            <w:r>
              <w:rPr>
                <w:b/>
                <w:sz w:val="17"/>
              </w:rPr>
              <w:t>8,803</w:t>
            </w:r>
          </w:p>
        </w:tc>
        <w:tc>
          <w:tcPr>
            <w:tcW w:type="dxa" w:w="1440"/>
            <w:shd w:fill="FFDCE0" w:val="clear"/>
          </w:tcPr>
          <w:p>
            <w:r>
              <w:rPr>
                <w:sz w:val="17"/>
              </w:rPr>
              <w:t>9,851</w:t>
            </w:r>
          </w:p>
        </w:tc>
        <w:tc>
          <w:tcPr>
            <w:tcW w:type="dxa" w:w="1440"/>
            <w:shd w:fill="FFDCE0" w:val="clear"/>
          </w:tcPr>
          <w:p>
            <w:r>
              <w:rPr>
                <w:b/>
                <w:color w:val="C00000"/>
                <w:sz w:val="17"/>
              </w:rPr>
              <w:t>-8.9%</w:t>
            </w:r>
          </w:p>
        </w:tc>
      </w:tr>
      <w:tr>
        <w:tc>
          <w:tcPr>
            <w:tcW w:type="dxa" w:w="1440"/>
            <w:shd w:fill="FFDCE0" w:val="clear"/>
          </w:tcPr>
          <w:p>
            <w:r>
              <w:rPr>
                <w:sz w:val="17"/>
              </w:rPr>
              <w:t>J+8  ⭐</w:t>
            </w:r>
          </w:p>
        </w:tc>
        <w:tc>
          <w:tcPr>
            <w:tcW w:type="dxa" w:w="1440"/>
            <w:shd w:fill="FFDCE0" w:val="clear"/>
          </w:tcPr>
          <w:p>
            <w:r>
              <w:rPr>
                <w:sz w:val="17"/>
              </w:rPr>
              <w:t>2026-09-01</w:t>
            </w:r>
          </w:p>
        </w:tc>
        <w:tc>
          <w:tcPr>
            <w:tcW w:type="dxa" w:w="1440"/>
            <w:shd w:fill="FFDCE0" w:val="clear"/>
          </w:tcPr>
          <w:p>
            <w:r>
              <w:rPr>
                <w:sz w:val="17"/>
              </w:rPr>
              <w:t>7,654</w:t>
            </w:r>
          </w:p>
        </w:tc>
        <w:tc>
          <w:tcPr>
            <w:tcW w:type="dxa" w:w="1440"/>
            <w:shd w:fill="FFDCE0" w:val="clear"/>
          </w:tcPr>
          <w:p>
            <w:r>
              <w:rPr>
                <w:b/>
                <w:sz w:val="17"/>
              </w:rPr>
              <w:t>8,771</w:t>
            </w:r>
          </w:p>
        </w:tc>
        <w:tc>
          <w:tcPr>
            <w:tcW w:type="dxa" w:w="1440"/>
            <w:shd w:fill="FFDCE0" w:val="clear"/>
          </w:tcPr>
          <w:p>
            <w:r>
              <w:rPr>
                <w:sz w:val="17"/>
              </w:rPr>
              <w:t>9,888</w:t>
            </w:r>
          </w:p>
        </w:tc>
        <w:tc>
          <w:tcPr>
            <w:tcW w:type="dxa" w:w="1440"/>
            <w:shd w:fill="FFDCE0" w:val="clear"/>
          </w:tcPr>
          <w:p>
            <w:r>
              <w:rPr>
                <w:b/>
                <w:color w:val="C00000"/>
                <w:sz w:val="17"/>
              </w:rPr>
              <w:t>-9.2%</w:t>
            </w:r>
          </w:p>
        </w:tc>
      </w:tr>
      <w:tr>
        <w:tc>
          <w:tcPr>
            <w:tcW w:type="dxa" w:w="1440"/>
            <w:shd w:fill="FFDCE0" w:val="clear"/>
          </w:tcPr>
          <w:p>
            <w:r>
              <w:rPr>
                <w:sz w:val="17"/>
              </w:rPr>
              <w:t>J+9  ⭐</w:t>
            </w:r>
          </w:p>
        </w:tc>
        <w:tc>
          <w:tcPr>
            <w:tcW w:type="dxa" w:w="1440"/>
            <w:shd w:fill="FFDCE0" w:val="clear"/>
          </w:tcPr>
          <w:p>
            <w:r>
              <w:rPr>
                <w:sz w:val="17"/>
              </w:rPr>
              <w:t>2026-09-02</w:t>
            </w:r>
          </w:p>
        </w:tc>
        <w:tc>
          <w:tcPr>
            <w:tcW w:type="dxa" w:w="1440"/>
            <w:shd w:fill="FFDCE0" w:val="clear"/>
          </w:tcPr>
          <w:p>
            <w:r>
              <w:rPr>
                <w:sz w:val="17"/>
              </w:rPr>
              <w:t>7,559</w:t>
            </w:r>
          </w:p>
        </w:tc>
        <w:tc>
          <w:tcPr>
            <w:tcW w:type="dxa" w:w="1440"/>
            <w:shd w:fill="FFDCE0" w:val="clear"/>
          </w:tcPr>
          <w:p>
            <w:r>
              <w:rPr>
                <w:b/>
                <w:sz w:val="17"/>
              </w:rPr>
              <w:t>8,740</w:t>
            </w:r>
          </w:p>
        </w:tc>
        <w:tc>
          <w:tcPr>
            <w:tcW w:type="dxa" w:w="1440"/>
            <w:shd w:fill="FFDCE0" w:val="clear"/>
          </w:tcPr>
          <w:p>
            <w:r>
              <w:rPr>
                <w:sz w:val="17"/>
              </w:rPr>
              <w:t>9,920</w:t>
            </w:r>
          </w:p>
        </w:tc>
        <w:tc>
          <w:tcPr>
            <w:tcW w:type="dxa" w:w="1440"/>
            <w:shd w:fill="FFDCE0" w:val="clear"/>
          </w:tcPr>
          <w:p>
            <w:r>
              <w:rPr>
                <w:b/>
                <w:color w:val="C00000"/>
                <w:sz w:val="17"/>
              </w:rPr>
              <w:t>-9.5%</w:t>
            </w:r>
          </w:p>
        </w:tc>
      </w:tr>
      <w:tr>
        <w:tc>
          <w:tcPr>
            <w:tcW w:type="dxa" w:w="1440"/>
            <w:shd w:fill="FFDCE0" w:val="clear"/>
          </w:tcPr>
          <w:p>
            <w:r>
              <w:rPr>
                <w:sz w:val="17"/>
              </w:rPr>
              <w:t>J+10  ⭐</w:t>
            </w:r>
          </w:p>
        </w:tc>
        <w:tc>
          <w:tcPr>
            <w:tcW w:type="dxa" w:w="1440"/>
            <w:shd w:fill="FFDCE0" w:val="clear"/>
          </w:tcPr>
          <w:p>
            <w:r>
              <w:rPr>
                <w:sz w:val="17"/>
              </w:rPr>
              <w:t>2026-09-03</w:t>
            </w:r>
          </w:p>
        </w:tc>
        <w:tc>
          <w:tcPr>
            <w:tcW w:type="dxa" w:w="1440"/>
            <w:shd w:fill="FFDCE0" w:val="clear"/>
          </w:tcPr>
          <w:p>
            <w:r>
              <w:rPr>
                <w:sz w:val="17"/>
              </w:rPr>
              <w:t>7,468</w:t>
            </w:r>
          </w:p>
        </w:tc>
        <w:tc>
          <w:tcPr>
            <w:tcW w:type="dxa" w:w="1440"/>
            <w:shd w:fill="FFDCE0" w:val="clear"/>
          </w:tcPr>
          <w:p>
            <w:r>
              <w:rPr>
                <w:b/>
                <w:sz w:val="17"/>
              </w:rPr>
              <w:t>8,708</w:t>
            </w:r>
          </w:p>
        </w:tc>
        <w:tc>
          <w:tcPr>
            <w:tcW w:type="dxa" w:w="1440"/>
            <w:shd w:fill="FFDCE0" w:val="clear"/>
          </w:tcPr>
          <w:p>
            <w:r>
              <w:rPr>
                <w:sz w:val="17"/>
              </w:rPr>
              <w:t>9,948</w:t>
            </w:r>
          </w:p>
        </w:tc>
        <w:tc>
          <w:tcPr>
            <w:tcW w:type="dxa" w:w="1440"/>
            <w:shd w:fill="FFDCE0" w:val="clear"/>
          </w:tcPr>
          <w:p>
            <w:r>
              <w:rPr>
                <w:b/>
                <w:color w:val="C00000"/>
                <w:sz w:val="17"/>
              </w:rPr>
              <w:t>-9.9%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Absolument. Voici un rapport d'analyse financière professionnel et structuré pour l'action SPHC (Société Africaine de Plantations d'Hévéas)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SPHC s'établit à 246,89 milliards FCFA, ce qui en fait l'une des valeurs les plus significatives de la côte de la BRVM, reflétant son statut de leader régional dans son secteur. Avec un BPA de 977 FCFA, le titre se négocie à un PER de 9,9x, un niveau légèrement inférieur à la moyenne historique de la place (8-12x), ce qui suggère une valorisation potentiellement sous-évaluée par rapport à ses bénéfices. Le P/B de 1,79x indique que le marché valorise la société à près du double de sa valeur comptable, ce qui est raisonnable pour une entreprise avec un ROE de 18%, et reflète une confiance dans sa capacité à générer de la valeur. Enfin, un EV/EBITDA de 6,0x, dans la fourchette basse des standards, confirme une valorisation d'entreprise attractive, car elle est en adéquation avec sa capacité opérationnelle à générer des flux de trésorerie.</w:t>
      </w:r>
    </w:p>
    <w:p>
      <w:pPr>
        <w:spacing w:after="120" w:line="276" w:lineRule="auto"/>
      </w:pPr>
      <w:r>
        <w:t>### **PARTIE 1 : ANALYSE DU COURS — STATISTIQUES ET ÉVOLUTION (100 derniers jours)**</w:t>
      </w:r>
    </w:p>
    <w:p>
      <w:pPr>
        <w:spacing w:after="120" w:line="276" w:lineRule="auto"/>
      </w:pPr>
      <w:r>
        <w:t>Sur les 100 derniers jours, l'action SPHC a connu une performance exceptionnelle avec une hausse de +36,92%, culminant à un plus haut historique de 9,660 FCFA, contre un plus bas de 6,720 FCFA. La dernière séance a été particulièrement dynamique avec une progression de +7,45%, confirmant une tendance haussière très marquée. Les statistiques descriptives révèlent une distribution des rendements asymétrique (Skewness de 1,792), indiquant que la majorité des séances se sont situées sous la moyenne (7,430 FCFA), mais avec des pics de hausse importants qui ont tiré le cours vers le haut. Le kurtosis élevé (7,091) signale un risque de mouvements extrêmes, avec des queues de distribution épaisses. La volatilité annualisée de 36,5% est élevée, ce qui classe le titre comme dynamique et risqué, mais le coefficient de variation (5,8%) montre une dispersion relativement faible autour de la moyenne sur la période, suggérant une certaine stabilité dans la tendance haussière.</w:t>
      </w:r>
    </w:p>
    <w:p>
      <w:pPr>
        <w:spacing w:after="120" w:line="276" w:lineRule="auto"/>
      </w:pPr>
      <w:r>
        <w:t>### **PARTIE 2 : ANALYSE TECHNIQUE DÉTAILLÉE**</w:t>
      </w:r>
    </w:p>
    <w:p>
      <w:pPr>
        <w:spacing w:after="120" w:line="276" w:lineRule="auto"/>
      </w:pPr>
      <w:r>
        <w:t>**Moyennes Mobiles :** Le cours actuel (9,660 FCFA) est largement au-dessus de la MM20 (7,840 FCFA) et de la MM50 (7,706 FCFA), formant une configuration haussière classique. La pente positive de ces moyennes confirme la solidité de la tendance de fond, justifiant la décision d'**Achat**.</w:t>
      </w:r>
    </w:p>
    <w:p>
      <w:pPr>
        <w:spacing w:after="120" w:line="276" w:lineRule="auto"/>
      </w:pPr>
      <w:r>
        <w:t>**Bandes de Bollinger :** Le prix a franchi la borne supérieure (9,002 FCFA), ce qui est un signal de surachat extrême et de volatilité accrue. Cette sortie de canal indique que le mouvement est peut-être allé trop loin, trop vite, et un repli technique vers la bande ou la moyenne mobile est statistiquement probable, d'où la décision de **Vente**.</w:t>
      </w:r>
    </w:p>
    <w:p>
      <w:pPr>
        <w:spacing w:after="120" w:line="276" w:lineRule="auto"/>
      </w:pPr>
      <w:r>
        <w:t>**MACD :** Le MACD (340,29) est nettement au-dessus de sa ligne de signal (148,87), avec un histogramme positif et en expansion. Ce croisement haussier indique un momentum très fort et une dynamique positive, justifiant la décision d'**Achat**.</w:t>
      </w:r>
    </w:p>
    <w:p>
      <w:pPr>
        <w:spacing w:after="120" w:line="276" w:lineRule="auto"/>
      </w:pPr>
      <w:r>
        <w:t>**RSI :** Avec une valeur de 95,8, le RSI est en zone de surachat extrême (bien au-dessus de 70). Cela signifie que le titre est techniquement survendu à la hausse et qu'une correction est fortement probable à court terme, justifiant la décision de **Vente**.</w:t>
      </w:r>
    </w:p>
    <w:p>
      <w:pPr>
        <w:spacing w:after="120" w:line="276" w:lineRule="auto"/>
      </w:pPr>
      <w:r>
        <w:t>**Stochastique :** Les lignes %K et %D sont toutes deux à 100,0, le niveau de surachat maximal. Ceci indique que la pression acheteuse est à son paroxysme et que le potentiel de hausse à court terme est très limité, rendant le titre vulnérable à un retournement baissier, d'où la décision de **Vente**.</w:t>
      </w:r>
    </w:p>
    <w:p>
      <w:pPr>
        <w:spacing w:after="120" w:line="276" w:lineRule="auto"/>
      </w:pPr>
      <w:r>
        <w:t>**Conclusion technique :** Les indicateurs de tendance (MM, MACD) sont résolument haussiers, mais les oscillateurs (RSI, Stochastique, Bollinger) hurlent à la surachat. Cette divergence classique suggère que la tendance de fond reste positive, mais qu'un **réajustement technique à la baisse est imminent et nécessaire** pour assainir les conditions de marché avant une éventuelle reprise de la hausse.</w:t>
      </w:r>
    </w:p>
    <w:p>
      <w:pPr>
        <w:spacing w:after="120" w:line="276" w:lineRule="auto"/>
      </w:pPr>
      <w:r>
        <w:t>### **PARTIE 3 : ANALYSE FONDAMENTALE (SECTION CRITIQUE)**</w:t>
      </w:r>
    </w:p>
    <w:p>
      <w:pPr>
        <w:spacing w:after="120" w:line="276" w:lineRule="auto"/>
      </w:pPr>
      <w:r>
        <w:t>En 2025, SPHC a réalisé une performance financière robuste, avec un chiffre d'affaires de 340,83 milliards FCFA, en hausse de 22% par rapport à 2024, et un résultat net de 24,97 milliards FCFA (+32,9%). Cette croissance s'est accompagnée d'une amélioration significative de la rentabilité, avec un ROE de 18,1% et un ROA de 11,1%, démontrant une excellente utilisation des capitaux propres et des actifs. La structure financière est saine, avec une autonomie financière de 61,1% et un ratio d'endettement maîtrisé de 25,8%. Cependant, le BFR de 65,4 milliards FCFA et une trésorerie nette négative de -15,4 milliards FCFA restent des points de vigilance, typiques d'un secteur nécessitant un besoin en fonds de roulement important. Les rapports trimestriels de 2025 confirment cette dynamique, avec un T1 exceptionnel (+72% de CA) et un S1 en hausse de 51%, bien que le rythme se soit normalisé au T3 (+36%). Sur la base de ces données, on estime que l'exercice 2025 a été exceptionnel, porté par des prix du caoutchouc élevés. Cependant, le rapport du T1 2026 (daté de 2026) révèle une forte dégradation : le CA chute de 24% et le résultat net de 78%, impacté par la chute des cours mondiaux et une concurrence accrue. Cette contre-performance récente, bien que préoccupante, doit être mise en perspective avec la solidité financière de l'entreprise, sa politique de dividende attractive (489 FCFA/action proposé) et son avance stratégique sur la norme EUDR, qui constituent des atouts pour le long terme.</w:t>
      </w:r>
    </w:p>
    <w:p>
      <w:pPr>
        <w:spacing w:after="120" w:line="276" w:lineRule="auto"/>
      </w:pPr>
      <w:r>
        <w:t>### **PARTIE 4 : CONCLUSION D'INVESTISSEMENT**</w:t>
      </w:r>
    </w:p>
    <w:p>
      <w:pPr>
        <w:spacing w:after="120" w:line="276" w:lineRule="auto"/>
      </w:pPr>
      <w:r>
        <w:t>La valorisation de SPHC est actuellement attractive (PER &lt; 10x), mais elle est confrontée à un paradoxe technique : une tendance haussière extrêmement forte mais des signaux de surachat intenses. Les fondamentaux de l'entreprise sont solides pour 2025, mais les données du T1 2026 indiquent un net ralentissement de l'activité. Les prédictions IA pour les 10 prochains jours (chute de 9,660 à 8,865 FCFA) confirment la forte probabilité d'un repli technique à court terme, venant ainsi corroborer les signaux de vente des oscillateurs. En synthèse, la convergence entre le surachat technique et la dégradation des perspectives fondamentales à court terme suggère une prudence immédiate. Nous recommandons donc une position de **CONSERVER** pour les investisseurs existants, qui peuvent capitaliser sur les excellents fondamentaux à long terme, mais avec une forte incitation à ne pas renforcer les positions à ces niveaux de prix. Pour les nouveaux investisseurs, il est conseillé d'attendre un repli significatif du cours pour entrer en position. La confiance dans cette analyse est **Moyenne**, le risque global est **Élevé** à court terme, et l'horizon d'investissement optimal est le **long terme (&gt;1 an)**, en surveillant de près l'évolution des cours du caoutchouc et la capacité de la société à maintenir ses marges.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34.00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6,183 titres</w:t>
            </w:r>
          </w:p>
        </w:tc>
        <w:tc>
          <w:tcPr>
            <w:tcW w:type="dxa" w:w="2268"/>
            <w:shd w:fill="FFF2CC" w:val="clear"/>
          </w:tcPr>
          <w:p>
            <w:r>
              <w:rPr>
                <w:b/>
                <w:color w:val="503200"/>
                <w:sz w:val="16"/>
              </w:rPr>
              <w:t xml:space="preserve">Cours actuel : </w:t>
            </w:r>
            <w:r>
              <w:rPr>
                <w:color w:val="000000"/>
                <w:sz w:val="17"/>
              </w:rPr>
              <w:t>2,530 FCFA</w:t>
            </w:r>
          </w:p>
          <w:p>
            <w:r>
              <w:rPr>
                <w:b/>
                <w:color w:val="503200"/>
                <w:sz w:val="16"/>
              </w:rPr>
              <w:t xml:space="preserve">Var. 100 jours : </w:t>
            </w:r>
            <w:r>
              <w:rPr>
                <w:b/>
                <w:color w:val="007800"/>
                <w:sz w:val="17"/>
              </w:rPr>
              <w:t>+9.52%</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2,310 FCFA</w:t>
            </w:r>
          </w:p>
          <w:p>
            <w:r>
              <w:rPr>
                <w:b/>
                <w:color w:val="503200"/>
                <w:sz w:val="16"/>
              </w:rPr>
              <w:t xml:space="preserve">Volatilité ann. : </w:t>
            </w:r>
            <w:r>
              <w:rPr>
                <w:color w:val="000000"/>
                <w:sz w:val="17"/>
              </w:rPr>
              <w:t>67.4%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11.34% (Moyenne) — μ=3,032 FCFA, σ=344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β=-1.0625 (Contre-cyclique) — Cov=-0.000032, Var(idx)=0.000030, ρ=-0.137,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6,183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σ_j=4.25%/j (Modérée) — Vol. annualisée≈67.4%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2026-08-20</w:t>
            </w:r>
          </w:p>
        </w:tc>
        <w:tc>
          <w:tcPr>
            <w:tcW w:type="dxa" w:w="1440"/>
            <w:shd w:fill="FFDCE0" w:val="clear"/>
          </w:tcPr>
          <w:p>
            <w:r>
              <w:rPr>
                <w:sz w:val="17"/>
              </w:rPr>
              <w:t>2,265</w:t>
            </w:r>
          </w:p>
        </w:tc>
        <w:tc>
          <w:tcPr>
            <w:tcW w:type="dxa" w:w="1440"/>
            <w:shd w:fill="FFDCE0" w:val="clear"/>
          </w:tcPr>
          <w:p>
            <w:r>
              <w:rPr>
                <w:b/>
                <w:sz w:val="17"/>
              </w:rPr>
              <w:t>2,385</w:t>
            </w:r>
          </w:p>
        </w:tc>
        <w:tc>
          <w:tcPr>
            <w:tcW w:type="dxa" w:w="1440"/>
            <w:shd w:fill="FFDCE0" w:val="clear"/>
          </w:tcPr>
          <w:p>
            <w:r>
              <w:rPr>
                <w:sz w:val="17"/>
              </w:rPr>
              <w:t>2,505</w:t>
            </w:r>
          </w:p>
        </w:tc>
        <w:tc>
          <w:tcPr>
            <w:tcW w:type="dxa" w:w="1440"/>
            <w:shd w:fill="FFDCE0" w:val="clear"/>
          </w:tcPr>
          <w:p>
            <w:r>
              <w:rPr>
                <w:b/>
                <w:color w:val="C00000"/>
                <w:sz w:val="17"/>
              </w:rPr>
              <w:t>-5.7%</w:t>
            </w:r>
          </w:p>
        </w:tc>
      </w:tr>
      <w:tr>
        <w:tc>
          <w:tcPr>
            <w:tcW w:type="dxa" w:w="1440"/>
            <w:shd w:fill="FFDCE0" w:val="clear"/>
          </w:tcPr>
          <w:p>
            <w:r>
              <w:rPr>
                <w:sz w:val="17"/>
              </w:rPr>
              <w:t>J+2  Moyenne</w:t>
            </w:r>
          </w:p>
        </w:tc>
        <w:tc>
          <w:tcPr>
            <w:tcW w:type="dxa" w:w="1440"/>
            <w:shd w:fill="FFDCE0" w:val="clear"/>
          </w:tcPr>
          <w:p>
            <w:r>
              <w:rPr>
                <w:sz w:val="17"/>
              </w:rPr>
              <w:t>2026-08-21</w:t>
            </w:r>
          </w:p>
        </w:tc>
        <w:tc>
          <w:tcPr>
            <w:tcW w:type="dxa" w:w="1440"/>
            <w:shd w:fill="FFDCE0" w:val="clear"/>
          </w:tcPr>
          <w:p>
            <w:r>
              <w:rPr>
                <w:sz w:val="17"/>
              </w:rPr>
              <w:t>2,102</w:t>
            </w:r>
          </w:p>
        </w:tc>
        <w:tc>
          <w:tcPr>
            <w:tcW w:type="dxa" w:w="1440"/>
            <w:shd w:fill="FFDCE0" w:val="clear"/>
          </w:tcPr>
          <w:p>
            <w:r>
              <w:rPr>
                <w:b/>
                <w:sz w:val="17"/>
              </w:rPr>
              <w:t>2,263</w:t>
            </w:r>
          </w:p>
        </w:tc>
        <w:tc>
          <w:tcPr>
            <w:tcW w:type="dxa" w:w="1440"/>
            <w:shd w:fill="FFDCE0" w:val="clear"/>
          </w:tcPr>
          <w:p>
            <w:r>
              <w:rPr>
                <w:sz w:val="17"/>
              </w:rPr>
              <w:t>2,423</w:t>
            </w:r>
          </w:p>
        </w:tc>
        <w:tc>
          <w:tcPr>
            <w:tcW w:type="dxa" w:w="1440"/>
            <w:shd w:fill="FFDCE0" w:val="clear"/>
          </w:tcPr>
          <w:p>
            <w:r>
              <w:rPr>
                <w:b/>
                <w:color w:val="C00000"/>
                <w:sz w:val="17"/>
              </w:rPr>
              <w:t>-10.6%</w:t>
            </w:r>
          </w:p>
        </w:tc>
      </w:tr>
      <w:tr>
        <w:tc>
          <w:tcPr>
            <w:tcW w:type="dxa" w:w="1440"/>
            <w:shd w:fill="FFDCE0" w:val="clear"/>
          </w:tcPr>
          <w:p>
            <w:r>
              <w:rPr>
                <w:sz w:val="17"/>
              </w:rPr>
              <w:t>J+3  Moyenne</w:t>
            </w:r>
          </w:p>
        </w:tc>
        <w:tc>
          <w:tcPr>
            <w:tcW w:type="dxa" w:w="1440"/>
            <w:shd w:fill="FFDCE0" w:val="clear"/>
          </w:tcPr>
          <w:p>
            <w:r>
              <w:rPr>
                <w:sz w:val="17"/>
              </w:rPr>
              <w:t>2026-08-24</w:t>
            </w:r>
          </w:p>
        </w:tc>
        <w:tc>
          <w:tcPr>
            <w:tcW w:type="dxa" w:w="1440"/>
            <w:shd w:fill="FFDCE0" w:val="clear"/>
          </w:tcPr>
          <w:p>
            <w:r>
              <w:rPr>
                <w:sz w:val="17"/>
              </w:rPr>
              <w:t>1,945</w:t>
            </w:r>
          </w:p>
        </w:tc>
        <w:tc>
          <w:tcPr>
            <w:tcW w:type="dxa" w:w="1440"/>
            <w:shd w:fill="FFDCE0" w:val="clear"/>
          </w:tcPr>
          <w:p>
            <w:r>
              <w:rPr>
                <w:b/>
                <w:sz w:val="17"/>
              </w:rPr>
              <w:t>2,130</w:t>
            </w:r>
          </w:p>
        </w:tc>
        <w:tc>
          <w:tcPr>
            <w:tcW w:type="dxa" w:w="1440"/>
            <w:shd w:fill="FFDCE0" w:val="clear"/>
          </w:tcPr>
          <w:p>
            <w:r>
              <w:rPr>
                <w:sz w:val="17"/>
              </w:rPr>
              <w:t>2,315</w:t>
            </w:r>
          </w:p>
        </w:tc>
        <w:tc>
          <w:tcPr>
            <w:tcW w:type="dxa" w:w="1440"/>
            <w:shd w:fill="FFDCE0" w:val="clear"/>
          </w:tcPr>
          <w:p>
            <w:r>
              <w:rPr>
                <w:b/>
                <w:color w:val="C00000"/>
                <w:sz w:val="17"/>
              </w:rPr>
              <w:t>-15.8%</w:t>
            </w:r>
          </w:p>
        </w:tc>
      </w:tr>
      <w:tr>
        <w:tc>
          <w:tcPr>
            <w:tcW w:type="dxa" w:w="1440"/>
            <w:shd w:fill="FFDCE0" w:val="clear"/>
          </w:tcPr>
          <w:p>
            <w:r>
              <w:rPr>
                <w:sz w:val="17"/>
              </w:rPr>
              <w:t>J+4  ⭐</w:t>
            </w:r>
          </w:p>
        </w:tc>
        <w:tc>
          <w:tcPr>
            <w:tcW w:type="dxa" w:w="1440"/>
            <w:shd w:fill="FFDCE0" w:val="clear"/>
          </w:tcPr>
          <w:p>
            <w:r>
              <w:rPr>
                <w:sz w:val="17"/>
              </w:rPr>
              <w:t>2026-08-25</w:t>
            </w:r>
          </w:p>
        </w:tc>
        <w:tc>
          <w:tcPr>
            <w:tcW w:type="dxa" w:w="1440"/>
            <w:shd w:fill="FFDCE0" w:val="clear"/>
          </w:tcPr>
          <w:p>
            <w:r>
              <w:rPr>
                <w:sz w:val="17"/>
              </w:rPr>
              <w:t>1,807</w:t>
            </w:r>
          </w:p>
        </w:tc>
        <w:tc>
          <w:tcPr>
            <w:tcW w:type="dxa" w:w="1440"/>
            <w:shd w:fill="FFDCE0" w:val="clear"/>
          </w:tcPr>
          <w:p>
            <w:r>
              <w:rPr>
                <w:b/>
                <w:sz w:val="17"/>
              </w:rPr>
              <w:t>2,008</w:t>
            </w:r>
          </w:p>
        </w:tc>
        <w:tc>
          <w:tcPr>
            <w:tcW w:type="dxa" w:w="1440"/>
            <w:shd w:fill="FFDCE0" w:val="clear"/>
          </w:tcPr>
          <w:p>
            <w:r>
              <w:rPr>
                <w:sz w:val="17"/>
              </w:rPr>
              <w:t>2,209</w:t>
            </w:r>
          </w:p>
        </w:tc>
        <w:tc>
          <w:tcPr>
            <w:tcW w:type="dxa" w:w="1440"/>
            <w:shd w:fill="FFDCE0" w:val="clear"/>
          </w:tcPr>
          <w:p>
            <w:r>
              <w:rPr>
                <w:b/>
                <w:color w:val="C00000"/>
                <w:sz w:val="17"/>
              </w:rPr>
              <w:t>-20.6%</w:t>
            </w:r>
          </w:p>
        </w:tc>
      </w:tr>
      <w:tr>
        <w:tc>
          <w:tcPr>
            <w:tcW w:type="dxa" w:w="1440"/>
            <w:shd w:fill="FFDCE0" w:val="clear"/>
          </w:tcPr>
          <w:p>
            <w:r>
              <w:rPr>
                <w:sz w:val="17"/>
              </w:rPr>
              <w:t>J+5  ⭐</w:t>
            </w:r>
          </w:p>
        </w:tc>
        <w:tc>
          <w:tcPr>
            <w:tcW w:type="dxa" w:w="1440"/>
            <w:shd w:fill="FFDCE0" w:val="clear"/>
          </w:tcPr>
          <w:p>
            <w:r>
              <w:rPr>
                <w:sz w:val="17"/>
              </w:rPr>
              <w:t>2026-08-27</w:t>
            </w:r>
          </w:p>
        </w:tc>
        <w:tc>
          <w:tcPr>
            <w:tcW w:type="dxa" w:w="1440"/>
            <w:shd w:fill="FFDCE0" w:val="clear"/>
          </w:tcPr>
          <w:p>
            <w:r>
              <w:rPr>
                <w:sz w:val="17"/>
              </w:rPr>
              <w:t>1,690</w:t>
            </w:r>
          </w:p>
        </w:tc>
        <w:tc>
          <w:tcPr>
            <w:tcW w:type="dxa" w:w="1440"/>
            <w:shd w:fill="FFDCE0" w:val="clear"/>
          </w:tcPr>
          <w:p>
            <w:r>
              <w:rPr>
                <w:b/>
                <w:sz w:val="17"/>
              </w:rPr>
              <w:t>1,903</w:t>
            </w:r>
          </w:p>
        </w:tc>
        <w:tc>
          <w:tcPr>
            <w:tcW w:type="dxa" w:w="1440"/>
            <w:shd w:fill="FFDCE0" w:val="clear"/>
          </w:tcPr>
          <w:p>
            <w:r>
              <w:rPr>
                <w:sz w:val="17"/>
              </w:rPr>
              <w:t>2,117</w:t>
            </w:r>
          </w:p>
        </w:tc>
        <w:tc>
          <w:tcPr>
            <w:tcW w:type="dxa" w:w="1440"/>
            <w:shd w:fill="FFDCE0" w:val="clear"/>
          </w:tcPr>
          <w:p>
            <w:r>
              <w:rPr>
                <w:b/>
                <w:color w:val="C00000"/>
                <w:sz w:val="17"/>
              </w:rPr>
              <w:t>-24.8%</w:t>
            </w:r>
          </w:p>
        </w:tc>
      </w:tr>
      <w:tr>
        <w:tc>
          <w:tcPr>
            <w:tcW w:type="dxa" w:w="1440"/>
            <w:shd w:fill="FFDCE0" w:val="clear"/>
          </w:tcPr>
          <w:p>
            <w:r>
              <w:rPr>
                <w:sz w:val="17"/>
              </w:rPr>
              <w:t>J+6  ⭐</w:t>
            </w:r>
          </w:p>
        </w:tc>
        <w:tc>
          <w:tcPr>
            <w:tcW w:type="dxa" w:w="1440"/>
            <w:shd w:fill="FFDCE0" w:val="clear"/>
          </w:tcPr>
          <w:p>
            <w:r>
              <w:rPr>
                <w:sz w:val="17"/>
              </w:rPr>
              <w:t>2026-08-28</w:t>
            </w:r>
          </w:p>
        </w:tc>
        <w:tc>
          <w:tcPr>
            <w:tcW w:type="dxa" w:w="1440"/>
            <w:shd w:fill="FFDCE0" w:val="clear"/>
          </w:tcPr>
          <w:p>
            <w:r>
              <w:rPr>
                <w:sz w:val="17"/>
              </w:rPr>
              <w:t>1,593</w:t>
            </w:r>
          </w:p>
        </w:tc>
        <w:tc>
          <w:tcPr>
            <w:tcW w:type="dxa" w:w="1440"/>
            <w:shd w:fill="FFDCE0" w:val="clear"/>
          </w:tcPr>
          <w:p>
            <w:r>
              <w:rPr>
                <w:b/>
                <w:sz w:val="17"/>
              </w:rPr>
              <w:t>1,816</w:t>
            </w:r>
          </w:p>
        </w:tc>
        <w:tc>
          <w:tcPr>
            <w:tcW w:type="dxa" w:w="1440"/>
            <w:shd w:fill="FFDCE0" w:val="clear"/>
          </w:tcPr>
          <w:p>
            <w:r>
              <w:rPr>
                <w:sz w:val="17"/>
              </w:rPr>
              <w:t>2,039</w:t>
            </w:r>
          </w:p>
        </w:tc>
        <w:tc>
          <w:tcPr>
            <w:tcW w:type="dxa" w:w="1440"/>
            <w:shd w:fill="FFDCE0" w:val="clear"/>
          </w:tcPr>
          <w:p>
            <w:r>
              <w:rPr>
                <w:b/>
                <w:color w:val="C00000"/>
                <w:sz w:val="17"/>
              </w:rPr>
              <w:t>-28.2%</w:t>
            </w:r>
          </w:p>
        </w:tc>
      </w:tr>
      <w:tr>
        <w:tc>
          <w:tcPr>
            <w:tcW w:type="dxa" w:w="1440"/>
            <w:shd w:fill="FFDCE0" w:val="clear"/>
          </w:tcPr>
          <w:p>
            <w:r>
              <w:rPr>
                <w:sz w:val="17"/>
              </w:rPr>
              <w:t>J+7  ⭐</w:t>
            </w:r>
          </w:p>
        </w:tc>
        <w:tc>
          <w:tcPr>
            <w:tcW w:type="dxa" w:w="1440"/>
            <w:shd w:fill="FFDCE0" w:val="clear"/>
          </w:tcPr>
          <w:p>
            <w:r>
              <w:rPr>
                <w:sz w:val="17"/>
              </w:rPr>
              <w:t>2026-08-31</w:t>
            </w:r>
          </w:p>
        </w:tc>
        <w:tc>
          <w:tcPr>
            <w:tcW w:type="dxa" w:w="1440"/>
            <w:shd w:fill="FFDCE0" w:val="clear"/>
          </w:tcPr>
          <w:p>
            <w:r>
              <w:rPr>
                <w:sz w:val="17"/>
              </w:rPr>
              <w:t>1,513</w:t>
            </w:r>
          </w:p>
        </w:tc>
        <w:tc>
          <w:tcPr>
            <w:tcW w:type="dxa" w:w="1440"/>
            <w:shd w:fill="FFDCE0" w:val="clear"/>
          </w:tcPr>
          <w:p>
            <w:r>
              <w:rPr>
                <w:b/>
                <w:sz w:val="17"/>
              </w:rPr>
              <w:t>1,744</w:t>
            </w:r>
          </w:p>
        </w:tc>
        <w:tc>
          <w:tcPr>
            <w:tcW w:type="dxa" w:w="1440"/>
            <w:shd w:fill="FFDCE0" w:val="clear"/>
          </w:tcPr>
          <w:p>
            <w:r>
              <w:rPr>
                <w:sz w:val="17"/>
              </w:rPr>
              <w:t>1,976</w:t>
            </w:r>
          </w:p>
        </w:tc>
        <w:tc>
          <w:tcPr>
            <w:tcW w:type="dxa" w:w="1440"/>
            <w:shd w:fill="FFDCE0" w:val="clear"/>
          </w:tcPr>
          <w:p>
            <w:r>
              <w:rPr>
                <w:b/>
                <w:color w:val="C00000"/>
                <w:sz w:val="17"/>
              </w:rPr>
              <w:t>-31.1%</w:t>
            </w:r>
          </w:p>
        </w:tc>
      </w:tr>
      <w:tr>
        <w:tc>
          <w:tcPr>
            <w:tcW w:type="dxa" w:w="1440"/>
            <w:shd w:fill="FFDCE0" w:val="clear"/>
          </w:tcPr>
          <w:p>
            <w:r>
              <w:rPr>
                <w:sz w:val="17"/>
              </w:rPr>
              <w:t>J+8  ⭐</w:t>
            </w:r>
          </w:p>
        </w:tc>
        <w:tc>
          <w:tcPr>
            <w:tcW w:type="dxa" w:w="1440"/>
            <w:shd w:fill="FFDCE0" w:val="clear"/>
          </w:tcPr>
          <w:p>
            <w:r>
              <w:rPr>
                <w:sz w:val="17"/>
              </w:rPr>
              <w:t>2026-09-01</w:t>
            </w:r>
          </w:p>
        </w:tc>
        <w:tc>
          <w:tcPr>
            <w:tcW w:type="dxa" w:w="1440"/>
            <w:shd w:fill="FFDCE0" w:val="clear"/>
          </w:tcPr>
          <w:p>
            <w:r>
              <w:rPr>
                <w:sz w:val="17"/>
              </w:rPr>
              <w:t>1,446</w:t>
            </w:r>
          </w:p>
        </w:tc>
        <w:tc>
          <w:tcPr>
            <w:tcW w:type="dxa" w:w="1440"/>
            <w:shd w:fill="FFDCE0" w:val="clear"/>
          </w:tcPr>
          <w:p>
            <w:r>
              <w:rPr>
                <w:b/>
                <w:sz w:val="17"/>
              </w:rPr>
              <w:t>1,685</w:t>
            </w:r>
          </w:p>
        </w:tc>
        <w:tc>
          <w:tcPr>
            <w:tcW w:type="dxa" w:w="1440"/>
            <w:shd w:fill="FFDCE0" w:val="clear"/>
          </w:tcPr>
          <w:p>
            <w:r>
              <w:rPr>
                <w:sz w:val="17"/>
              </w:rPr>
              <w:t>1,923</w:t>
            </w:r>
          </w:p>
        </w:tc>
        <w:tc>
          <w:tcPr>
            <w:tcW w:type="dxa" w:w="1440"/>
            <w:shd w:fill="FFDCE0" w:val="clear"/>
          </w:tcPr>
          <w:p>
            <w:r>
              <w:rPr>
                <w:b/>
                <w:color w:val="C00000"/>
                <w:sz w:val="17"/>
              </w:rPr>
              <w:t>-33.4%</w:t>
            </w:r>
          </w:p>
        </w:tc>
      </w:tr>
      <w:tr>
        <w:tc>
          <w:tcPr>
            <w:tcW w:type="dxa" w:w="1440"/>
            <w:shd w:fill="FFDCE0" w:val="clear"/>
          </w:tcPr>
          <w:p>
            <w:r>
              <w:rPr>
                <w:sz w:val="17"/>
              </w:rPr>
              <w:t>J+9  ⭐</w:t>
            </w:r>
          </w:p>
        </w:tc>
        <w:tc>
          <w:tcPr>
            <w:tcW w:type="dxa" w:w="1440"/>
            <w:shd w:fill="FFDCE0" w:val="clear"/>
          </w:tcPr>
          <w:p>
            <w:r>
              <w:rPr>
                <w:sz w:val="17"/>
              </w:rPr>
              <w:t>2026-09-02</w:t>
            </w:r>
          </w:p>
        </w:tc>
        <w:tc>
          <w:tcPr>
            <w:tcW w:type="dxa" w:w="1440"/>
            <w:shd w:fill="FFDCE0" w:val="clear"/>
          </w:tcPr>
          <w:p>
            <w:r>
              <w:rPr>
                <w:sz w:val="17"/>
              </w:rPr>
              <w:t>1,388</w:t>
            </w:r>
          </w:p>
        </w:tc>
        <w:tc>
          <w:tcPr>
            <w:tcW w:type="dxa" w:w="1440"/>
            <w:shd w:fill="FFDCE0" w:val="clear"/>
          </w:tcPr>
          <w:p>
            <w:r>
              <w:rPr>
                <w:b/>
                <w:sz w:val="17"/>
              </w:rPr>
              <w:t>1,634</w:t>
            </w:r>
          </w:p>
        </w:tc>
        <w:tc>
          <w:tcPr>
            <w:tcW w:type="dxa" w:w="1440"/>
            <w:shd w:fill="FFDCE0" w:val="clear"/>
          </w:tcPr>
          <w:p>
            <w:r>
              <w:rPr>
                <w:sz w:val="17"/>
              </w:rPr>
              <w:t>1,880</w:t>
            </w:r>
          </w:p>
        </w:tc>
        <w:tc>
          <w:tcPr>
            <w:tcW w:type="dxa" w:w="1440"/>
            <w:shd w:fill="FFDCE0" w:val="clear"/>
          </w:tcPr>
          <w:p>
            <w:r>
              <w:rPr>
                <w:b/>
                <w:color w:val="C00000"/>
                <w:sz w:val="17"/>
              </w:rPr>
              <w:t>-35.4%</w:t>
            </w:r>
          </w:p>
        </w:tc>
      </w:tr>
      <w:tr>
        <w:tc>
          <w:tcPr>
            <w:tcW w:type="dxa" w:w="1440"/>
            <w:shd w:fill="FFDCE0" w:val="clear"/>
          </w:tcPr>
          <w:p>
            <w:r>
              <w:rPr>
                <w:sz w:val="17"/>
              </w:rPr>
              <w:t>J+10  ⭐</w:t>
            </w:r>
          </w:p>
        </w:tc>
        <w:tc>
          <w:tcPr>
            <w:tcW w:type="dxa" w:w="1440"/>
            <w:shd w:fill="FFDCE0" w:val="clear"/>
          </w:tcPr>
          <w:p>
            <w:r>
              <w:rPr>
                <w:sz w:val="17"/>
              </w:rPr>
              <w:t>2026-09-03</w:t>
            </w:r>
          </w:p>
        </w:tc>
        <w:tc>
          <w:tcPr>
            <w:tcW w:type="dxa" w:w="1440"/>
            <w:shd w:fill="FFDCE0" w:val="clear"/>
          </w:tcPr>
          <w:p>
            <w:r>
              <w:rPr>
                <w:sz w:val="17"/>
              </w:rPr>
              <w:t>1,338</w:t>
            </w:r>
          </w:p>
        </w:tc>
        <w:tc>
          <w:tcPr>
            <w:tcW w:type="dxa" w:w="1440"/>
            <w:shd w:fill="FFDCE0" w:val="clear"/>
          </w:tcPr>
          <w:p>
            <w:r>
              <w:rPr>
                <w:b/>
                <w:sz w:val="17"/>
              </w:rPr>
              <w:t>1,591</w:t>
            </w:r>
          </w:p>
        </w:tc>
        <w:tc>
          <w:tcPr>
            <w:tcW w:type="dxa" w:w="1440"/>
            <w:shd w:fill="FFDCE0" w:val="clear"/>
          </w:tcPr>
          <w:p>
            <w:r>
              <w:rPr>
                <w:sz w:val="17"/>
              </w:rPr>
              <w:t>1,843</w:t>
            </w:r>
          </w:p>
        </w:tc>
        <w:tc>
          <w:tcPr>
            <w:tcW w:type="dxa" w:w="1440"/>
            <w:shd w:fill="FFDCE0" w:val="clear"/>
          </w:tcPr>
          <w:p>
            <w:r>
              <w:rPr>
                <w:b/>
                <w:color w:val="C00000"/>
                <w:sz w:val="17"/>
              </w:rPr>
              <w:t>-37.1%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 CI)**</w:t>
        <w:br/>
        <w:t>**Date de l'analyse : 19 août 2026**</w:t>
        <w:br/>
        <w:t>**Cours de référence : 2 530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34 milliards FCFA, un niveau relativement modeste sur la BRVM, mais qui contraste fortement avec la situation financière de la société. Le BPA est négatif à -7 FCFA, reflétant l'incapacité de l'entreprise à générer des bénéfices pour ses actionnaires. En conséquence, le PER est négatif (-352,2x), ce qui signifie que les investisseurs paient un prix élevé pour des pertes, une situation typique d'une valeur spéculative. Le P/B de 95,31x est extrêmement élevé, indiquant que le marché valorise l'actif net de la société à une prime considérable, ce qui est injustifié au regard des capitaux propres très faibles (356,75 millions FCFA). Le ratio EV/EBITDA n'est pas calculable en raison d'un EBITDA négatif, ce qui confirme l'absence de capacité opérationnelle à dégager des flux positifs. Ces ratios signalent une valorisation totalement déconnectée des fondamentaux, portée uniquement par des anticipations de redressement futur.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STAC affiche une variation totale de +9,52%, avec une dernière séance stable (0,00%). Le cours a évolué dans une fourchette très large, oscillant entre un plus bas de 2 310 FCFA et un plus haut de 3 895 FCFA, soit une amplitude de plus de 68%, témoignant d'une forte nervosité du marché. La moyenne du cours sur la période est de 3 032 FCFA, proche de la médiane (2 990 FCFA), ce qui indique une distribution relativement symétrique, confirmée par un skewness de 0,290. L'écart-type de 346 FCFA (CV = 11,4%) montre une dispersion modérée autour de la moyenne. Le kurtosis de -0,764 indique une distribution mésokurtique, avec un risque de variations extrêmes limité. La volatilité annualisée de 67,4% est extrêmement élevée, plaçant STAC parmi les titres les plus risqués de la cote. La tendance récente montre une dégradation marquée, le cours ayant chuté de 3 895 FCFA à 2 530 FCFA, soit une baisse de 35% depuis le plus haut, suggérant un retournement baissier après une phase de spéculation intense.</w:t>
      </w:r>
    </w:p>
    <w:p>
      <w:pPr>
        <w:spacing w:after="120" w:line="276" w:lineRule="auto"/>
      </w:pPr>
      <w:r>
        <w:t>---</w:t>
      </w:r>
    </w:p>
    <w:p>
      <w:pPr>
        <w:spacing w:after="120" w:line="276" w:lineRule="auto"/>
      </w:pPr>
      <w:r>
        <w:t>### PARTIE 2 : ANALYSE TECHNIQUE DÉTAILLÉE</w:t>
      </w:r>
    </w:p>
    <w:p>
      <w:pPr>
        <w:spacing w:after="120" w:line="276" w:lineRule="auto"/>
      </w:pPr>
      <w:r>
        <w:t>**Moyennes Mobiles :** La MM20 à 2 728 FCFA et la MM50 à 3 118 FCFA sont toutes deux au-dessus du cours actuel (2 530 FCFA). Le croisement baissier des moyennes mobiles (MM20 &lt; MM50) confirme une tendance baissière à court et moyen terme. La décision de "Vente" est justifiée, le prix évoluant sous les deux moyennes, signalant une pression vendeuse persistante.</w:t>
      </w:r>
    </w:p>
    <w:p>
      <w:pPr>
        <w:spacing w:after="120" w:line="276" w:lineRule="auto"/>
      </w:pPr>
      <w:r>
        <w:t>**Bandes de Bollinger :** Le cours se situe à 2 530 FCFA, proche de la borne inférieure (2 445 FCFA) et loin de la borne supérieure (3 010 FCFA). Cette position indique que le titre est dans la partie basse de son canal de volatilité, suggérant une possible zone de survente. La décision "Neutre" est cohérente, car le prix n'a pas encore franchi la borne inférieure, ce qui pourrait déclencher un rebond technique, mais aucun signal d'achat n'est confirmé.</w:t>
      </w:r>
    </w:p>
    <w:p>
      <w:pPr>
        <w:spacing w:after="120" w:line="276" w:lineRule="auto"/>
      </w:pPr>
      <w:r>
        <w:t>**MACD :** Le MACD (-147,66) est inférieur à sa ligne de signal (-140,84), avec les deux valeurs en territoire négatif. Cette configuration baissière indique un momentum négatif persistant. La décision "Vente" est justifiée, la dynamique des prix restant orientée à la baisse, sans signe de retournement imminent.</w:t>
      </w:r>
    </w:p>
    <w:p>
      <w:pPr>
        <w:spacing w:after="120" w:line="276" w:lineRule="auto"/>
      </w:pPr>
      <w:r>
        <w:t>**RSI :** Le RSI à 25,95 est en zone de survente (&lt;30), ce qui suggère que le titre est techniquement survendu. Cette situation peut précéder un rebond technique, mais elle reflète également une pression vendeuse intense. La décision "Achat" est un signal contrariant, indiquant que le potentiel de baisse supplémentaire pourrait être limité à court terme.</w:t>
      </w:r>
    </w:p>
    <w:p>
      <w:pPr>
        <w:spacing w:after="120" w:line="276" w:lineRule="auto"/>
      </w:pPr>
      <w:r>
        <w:t>**Stochastique :** Le %K et le %D sont tous deux à 0,00, un niveau extrême de survente. Ce signal indique que le titre est dans une condition de survente sévère, mais sans croisement haussier, il n'y a pas de confirmation d'un retournement. La décision "Achat" est prématurée, car le momentum n'a pas encore inversé sa direction.</w:t>
      </w:r>
    </w:p>
    <w:p>
      <w:pPr>
        <w:spacing w:after="120" w:line="276" w:lineRule="auto"/>
      </w:pPr>
      <w:r>
        <w:t>**Conclusion technique :** La convergence des indicateurs (MM, MACD) vers des signaux de vente, combinée à des oscillateurs (RSI, Stochastique) en survente extrême, crée un tableau contrasté. La tendance de fond reste baissière, mais les conditions de survente pourraient générer un rebond technique à court terme. La prudence est de mise, car aucun signal de retournement majeur n'est confirmé.</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révèlent une situation financière très dégradée pour STAC (SETAO). Le chiffre d'affaires s'établit à 3,878 milliards FCFA, mais le résultat net est une perte de -96,56 millions FCFA, avec une marge nette de -2,49%. Le ROE est profondément négatif à -27,07%, et le ROA à -1,77%, indiquant une destruction de valeur. La structure financière est fragile : les capitaux propres ne représentent que 6,55% du total du bilan (356,75 millions FCFA), avec un ratio d'endettement de 93,45%. Le BFR est négatif (-930,47 millions FCFA), ce qui est un point positif, mais le flux opérationnel est massivement négatif (-2,212 milliards FCFA), reflétant une consommation de trésorerie. Les rapports trimestriels 2025 montrent une reprise d'activité : le CA du S1 2025 atteint 2 271 millions FCFA (+290% vs S1 2024), et le cumul 9 mois 2025 est de 3 456 millions FCFA (+176%), porté par le chantier de l'aéroport d'Abidjan. Cependant, la perte nette sur 9 mois reste de -477 millions FCFA, bien que réduite de 22%. On estime que l'exercice 2025 devrait atteindre le CA prévisionnel de 4 milliards FCFA, mais la rentabilité opérationnelle reste négative, avec un EBE de -650 millions FCFA. Les rapports de 2024 (ETATS FINANCIERS 2024) confirment une année noire avec un CA de 1 793 millions FCFA (-80,6%) et une perte de -348 millions FCFA. Historiquement, la société a connu des performances exceptionnelles en 2020 (CA de 15,9 milliards FCFA, résultat net de 2,32 milliards FCFA), mais la dégradation depuis 2021 est continue. La recommandation fondamentale est une **VENTE**, la société étant structurellement déficitaire, avec une trésorerie qui se dégrade et une dépendance excessive à un seul projet.</w:t>
      </w:r>
    </w:p>
    <w:p>
      <w:pPr>
        <w:spacing w:after="120" w:line="276" w:lineRule="auto"/>
      </w:pPr>
      <w:r>
        <w:t>---</w:t>
      </w:r>
    </w:p>
    <w:p>
      <w:pPr>
        <w:spacing w:after="120" w:line="276" w:lineRule="auto"/>
      </w:pPr>
      <w:r>
        <w:t>### PARTIE 4 : CONCLUSION D'INVESTISSEMENT</w:t>
      </w:r>
    </w:p>
    <w:p>
      <w:pPr>
        <w:spacing w:after="120" w:line="276" w:lineRule="auto"/>
      </w:pPr>
      <w:r>
        <w:t>La synthèse globale pour STAC est extrêmement négative. La valorisation boursière (Partie 0) est totalement surévaluée, avec un PER négatif et un P/B de 95x, indiquant que le marché paie une prime injustifiée pour des actifs en perte. Le comportement du cours (Partie 1) montre une volatilité extrême (67,4%) et une tendance baissière récente, avec des statistiques (kurtosis, skewness) reflétant une distribution instable. Les signaux techniques (Partie 2) sont majoritairement baissiers, avec des indicateurs de tendance (MM, MACD) en vente, malgré des conditions de survente (RSI, Stochastique) qui pourraient offrir un rebond temporaire. Les fondamentaux (Partie 3) sont très dégradés, avec des pertes récurrentes, un ROE de -27%, et une dépendance à un seul chantier. Les prédictions IA (J+1 à J+10) confirment cette tendance baissière, avec une chute projetée de 2 385 FCFA à 1 903 FCFA, soit une baisse de 25% en 10 jours. La convergence entre la valorisation, la technique, les fondamentaux et les prédictions IA est totale vers une issue négative. **Recommandation finale : VENTE FORTE.** Niveau de confiance : **Élevé**. Risque global : **Élevé**. Horizon d'investissement optimal : **Court terme (&lt;3 mois)** pour les vendeurs, avec un stop-loss strict pour toute position existante. Les investisseurs spéculatifs pourraient tenter un rebond technique, mais le risque de perte en capital est majeur.</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414.76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3,503 titres</w:t>
            </w:r>
          </w:p>
        </w:tc>
        <w:tc>
          <w:tcPr>
            <w:tcW w:type="dxa" w:w="2268"/>
            <w:shd w:fill="FFF2CC" w:val="clear"/>
          </w:tcPr>
          <w:p>
            <w:r>
              <w:rPr>
                <w:b/>
                <w:color w:val="503200"/>
                <w:sz w:val="16"/>
              </w:rPr>
              <w:t xml:space="preserve">Cours actuel : </w:t>
            </w:r>
            <w:r>
              <w:rPr>
                <w:color w:val="000000"/>
                <w:sz w:val="17"/>
              </w:rPr>
              <w:t>23,100 FCFA</w:t>
            </w:r>
          </w:p>
          <w:p>
            <w:r>
              <w:rPr>
                <w:b/>
                <w:color w:val="503200"/>
                <w:sz w:val="16"/>
              </w:rPr>
              <w:t xml:space="preserve">Var. 100 jours : </w:t>
            </w:r>
            <w:r>
              <w:rPr>
                <w:b/>
                <w:color w:val="007800"/>
                <w:sz w:val="17"/>
              </w:rPr>
              <w:t>+7.44%</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32.9%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6.19% (Moyenne) — μ=22,230 FCFA, σ=1,375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β=-0.0568 (Contre-cyclique) — Cov=-0.000002, Var(idx)=0.000030, ρ=-0.015,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3,503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σ_j=2.07%/j (Stable) — Vol. annualisée≈32.9%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2026-08-20</w:t>
            </w:r>
          </w:p>
        </w:tc>
        <w:tc>
          <w:tcPr>
            <w:tcW w:type="dxa" w:w="1440"/>
            <w:shd w:fill="FAFAFA" w:val="clear"/>
          </w:tcPr>
          <w:p>
            <w:r>
              <w:rPr>
                <w:sz w:val="17"/>
              </w:rPr>
              <w:t>22,310</w:t>
            </w:r>
          </w:p>
        </w:tc>
        <w:tc>
          <w:tcPr>
            <w:tcW w:type="dxa" w:w="1440"/>
            <w:shd w:fill="FAFAFA" w:val="clear"/>
          </w:tcPr>
          <w:p>
            <w:r>
              <w:rPr>
                <w:b/>
                <w:sz w:val="17"/>
              </w:rPr>
              <w:t>23,404</w:t>
            </w:r>
          </w:p>
        </w:tc>
        <w:tc>
          <w:tcPr>
            <w:tcW w:type="dxa" w:w="1440"/>
            <w:shd w:fill="FAFAFA" w:val="clear"/>
          </w:tcPr>
          <w:p>
            <w:r>
              <w:rPr>
                <w:sz w:val="17"/>
              </w:rPr>
              <w:t>24,499</w:t>
            </w:r>
          </w:p>
        </w:tc>
        <w:tc>
          <w:tcPr>
            <w:tcW w:type="dxa" w:w="1440"/>
            <w:shd w:fill="FAFAFA" w:val="clear"/>
          </w:tcPr>
          <w:p>
            <w:r>
              <w:rPr>
                <w:b/>
                <w:color w:val="008000"/>
                <w:sz w:val="17"/>
              </w:rPr>
              <w:t>+1.3%</w:t>
            </w:r>
          </w:p>
        </w:tc>
      </w:tr>
      <w:tr>
        <w:tc>
          <w:tcPr>
            <w:tcW w:type="dxa" w:w="1440"/>
            <w:shd w:fill="C6EFCE" w:val="clear"/>
          </w:tcPr>
          <w:p>
            <w:r>
              <w:rPr>
                <w:sz w:val="17"/>
              </w:rPr>
              <w:t>J+2  ⭐</w:t>
            </w:r>
          </w:p>
        </w:tc>
        <w:tc>
          <w:tcPr>
            <w:tcW w:type="dxa" w:w="1440"/>
            <w:shd w:fill="C6EFCE" w:val="clear"/>
          </w:tcPr>
          <w:p>
            <w:r>
              <w:rPr>
                <w:sz w:val="17"/>
              </w:rPr>
              <w:t>2026-08-21</w:t>
            </w:r>
          </w:p>
        </w:tc>
        <w:tc>
          <w:tcPr>
            <w:tcW w:type="dxa" w:w="1440"/>
            <w:shd w:fill="C6EFCE" w:val="clear"/>
          </w:tcPr>
          <w:p>
            <w:r>
              <w:rPr>
                <w:sz w:val="17"/>
              </w:rPr>
              <w:t>22,016</w:t>
            </w:r>
          </w:p>
        </w:tc>
        <w:tc>
          <w:tcPr>
            <w:tcW w:type="dxa" w:w="1440"/>
            <w:shd w:fill="C6EFCE" w:val="clear"/>
          </w:tcPr>
          <w:p>
            <w:r>
              <w:rPr>
                <w:b/>
                <w:sz w:val="17"/>
              </w:rPr>
              <w:t>23,575</w:t>
            </w:r>
          </w:p>
        </w:tc>
        <w:tc>
          <w:tcPr>
            <w:tcW w:type="dxa" w:w="1440"/>
            <w:shd w:fill="C6EFCE" w:val="clear"/>
          </w:tcPr>
          <w:p>
            <w:r>
              <w:rPr>
                <w:sz w:val="17"/>
              </w:rPr>
              <w:t>25,135</w:t>
            </w:r>
          </w:p>
        </w:tc>
        <w:tc>
          <w:tcPr>
            <w:tcW w:type="dxa" w:w="1440"/>
            <w:shd w:fill="C6EFCE" w:val="clear"/>
          </w:tcPr>
          <w:p>
            <w:r>
              <w:rPr>
                <w:b/>
                <w:color w:val="008000"/>
                <w:sz w:val="17"/>
              </w:rPr>
              <w:t>+2.1%</w:t>
            </w:r>
          </w:p>
        </w:tc>
      </w:tr>
      <w:tr>
        <w:tc>
          <w:tcPr>
            <w:tcW w:type="dxa" w:w="1440"/>
            <w:shd w:fill="C6EFCE" w:val="clear"/>
          </w:tcPr>
          <w:p>
            <w:r>
              <w:rPr>
                <w:sz w:val="17"/>
              </w:rPr>
              <w:t>J+3  ⭐</w:t>
            </w:r>
          </w:p>
        </w:tc>
        <w:tc>
          <w:tcPr>
            <w:tcW w:type="dxa" w:w="1440"/>
            <w:shd w:fill="C6EFCE" w:val="clear"/>
          </w:tcPr>
          <w:p>
            <w:r>
              <w:rPr>
                <w:sz w:val="17"/>
              </w:rPr>
              <w:t>2026-08-24</w:t>
            </w:r>
          </w:p>
        </w:tc>
        <w:tc>
          <w:tcPr>
            <w:tcW w:type="dxa" w:w="1440"/>
            <w:shd w:fill="C6EFCE" w:val="clear"/>
          </w:tcPr>
          <w:p>
            <w:r>
              <w:rPr>
                <w:sz w:val="17"/>
              </w:rPr>
              <w:t>21,845</w:t>
            </w:r>
          </w:p>
        </w:tc>
        <w:tc>
          <w:tcPr>
            <w:tcW w:type="dxa" w:w="1440"/>
            <w:shd w:fill="C6EFCE" w:val="clear"/>
          </w:tcPr>
          <w:p>
            <w:r>
              <w:rPr>
                <w:b/>
                <w:sz w:val="17"/>
              </w:rPr>
              <w:t>23,771</w:t>
            </w:r>
          </w:p>
        </w:tc>
        <w:tc>
          <w:tcPr>
            <w:tcW w:type="dxa" w:w="1440"/>
            <w:shd w:fill="C6EFCE" w:val="clear"/>
          </w:tcPr>
          <w:p>
            <w:r>
              <w:rPr>
                <w:sz w:val="17"/>
              </w:rPr>
              <w:t>25,697</w:t>
            </w:r>
          </w:p>
        </w:tc>
        <w:tc>
          <w:tcPr>
            <w:tcW w:type="dxa" w:w="1440"/>
            <w:shd w:fill="C6EFCE" w:val="clear"/>
          </w:tcPr>
          <w:p>
            <w:r>
              <w:rPr>
                <w:b/>
                <w:color w:val="008000"/>
                <w:sz w:val="17"/>
              </w:rPr>
              <w:t>+2.9%</w:t>
            </w:r>
          </w:p>
        </w:tc>
      </w:tr>
      <w:tr>
        <w:tc>
          <w:tcPr>
            <w:tcW w:type="dxa" w:w="1440"/>
            <w:shd w:fill="C6EFCE" w:val="clear"/>
          </w:tcPr>
          <w:p>
            <w:r>
              <w:rPr>
                <w:sz w:val="17"/>
              </w:rPr>
              <w:t>J+4  ⭐</w:t>
            </w:r>
          </w:p>
        </w:tc>
        <w:tc>
          <w:tcPr>
            <w:tcW w:type="dxa" w:w="1440"/>
            <w:shd w:fill="C6EFCE" w:val="clear"/>
          </w:tcPr>
          <w:p>
            <w:r>
              <w:rPr>
                <w:sz w:val="17"/>
              </w:rPr>
              <w:t>2026-08-25</w:t>
            </w:r>
          </w:p>
        </w:tc>
        <w:tc>
          <w:tcPr>
            <w:tcW w:type="dxa" w:w="1440"/>
            <w:shd w:fill="C6EFCE" w:val="clear"/>
          </w:tcPr>
          <w:p>
            <w:r>
              <w:rPr>
                <w:sz w:val="17"/>
              </w:rPr>
              <w:t>21,741</w:t>
            </w:r>
          </w:p>
        </w:tc>
        <w:tc>
          <w:tcPr>
            <w:tcW w:type="dxa" w:w="1440"/>
            <w:shd w:fill="C6EFCE" w:val="clear"/>
          </w:tcPr>
          <w:p>
            <w:r>
              <w:rPr>
                <w:b/>
                <w:sz w:val="17"/>
              </w:rPr>
              <w:t>23,984</w:t>
            </w:r>
          </w:p>
        </w:tc>
        <w:tc>
          <w:tcPr>
            <w:tcW w:type="dxa" w:w="1440"/>
            <w:shd w:fill="C6EFCE" w:val="clear"/>
          </w:tcPr>
          <w:p>
            <w:r>
              <w:rPr>
                <w:sz w:val="17"/>
              </w:rPr>
              <w:t>26,228</w:t>
            </w:r>
          </w:p>
        </w:tc>
        <w:tc>
          <w:tcPr>
            <w:tcW w:type="dxa" w:w="1440"/>
            <w:shd w:fill="C6EFCE" w:val="clear"/>
          </w:tcPr>
          <w:p>
            <w:r>
              <w:rPr>
                <w:b/>
                <w:color w:val="008000"/>
                <w:sz w:val="17"/>
              </w:rPr>
              <w:t>+3.8%</w:t>
            </w:r>
          </w:p>
        </w:tc>
      </w:tr>
      <w:tr>
        <w:tc>
          <w:tcPr>
            <w:tcW w:type="dxa" w:w="1440"/>
            <w:shd w:fill="C6EFCE" w:val="clear"/>
          </w:tcPr>
          <w:p>
            <w:r>
              <w:rPr>
                <w:sz w:val="17"/>
              </w:rPr>
              <w:t>J+5  ⭐</w:t>
            </w:r>
          </w:p>
        </w:tc>
        <w:tc>
          <w:tcPr>
            <w:tcW w:type="dxa" w:w="1440"/>
            <w:shd w:fill="C6EFCE" w:val="clear"/>
          </w:tcPr>
          <w:p>
            <w:r>
              <w:rPr>
                <w:sz w:val="17"/>
              </w:rPr>
              <w:t>2026-08-27</w:t>
            </w:r>
          </w:p>
        </w:tc>
        <w:tc>
          <w:tcPr>
            <w:tcW w:type="dxa" w:w="1440"/>
            <w:shd w:fill="C6EFCE" w:val="clear"/>
          </w:tcPr>
          <w:p>
            <w:r>
              <w:rPr>
                <w:sz w:val="17"/>
              </w:rPr>
              <w:t>21,673</w:t>
            </w:r>
          </w:p>
        </w:tc>
        <w:tc>
          <w:tcPr>
            <w:tcW w:type="dxa" w:w="1440"/>
            <w:shd w:fill="C6EFCE" w:val="clear"/>
          </w:tcPr>
          <w:p>
            <w:r>
              <w:rPr>
                <w:b/>
                <w:sz w:val="17"/>
              </w:rPr>
              <w:t>24,205</w:t>
            </w:r>
          </w:p>
        </w:tc>
        <w:tc>
          <w:tcPr>
            <w:tcW w:type="dxa" w:w="1440"/>
            <w:shd w:fill="C6EFCE" w:val="clear"/>
          </w:tcPr>
          <w:p>
            <w:r>
              <w:rPr>
                <w:sz w:val="17"/>
              </w:rPr>
              <w:t>26,737</w:t>
            </w:r>
          </w:p>
        </w:tc>
        <w:tc>
          <w:tcPr>
            <w:tcW w:type="dxa" w:w="1440"/>
            <w:shd w:fill="C6EFCE" w:val="clear"/>
          </w:tcPr>
          <w:p>
            <w:r>
              <w:rPr>
                <w:b/>
                <w:color w:val="008000"/>
                <w:sz w:val="17"/>
              </w:rPr>
              <w:t>+4.8%</w:t>
            </w:r>
          </w:p>
        </w:tc>
      </w:tr>
      <w:tr>
        <w:tc>
          <w:tcPr>
            <w:tcW w:type="dxa" w:w="1440"/>
            <w:shd w:fill="C6EFCE" w:val="clear"/>
          </w:tcPr>
          <w:p>
            <w:r>
              <w:rPr>
                <w:sz w:val="17"/>
              </w:rPr>
              <w:t>J+6  ⭐</w:t>
            </w:r>
          </w:p>
        </w:tc>
        <w:tc>
          <w:tcPr>
            <w:tcW w:type="dxa" w:w="1440"/>
            <w:shd w:fill="C6EFCE" w:val="clear"/>
          </w:tcPr>
          <w:p>
            <w:r>
              <w:rPr>
                <w:sz w:val="17"/>
              </w:rPr>
              <w:t>2026-08-28</w:t>
            </w:r>
          </w:p>
        </w:tc>
        <w:tc>
          <w:tcPr>
            <w:tcW w:type="dxa" w:w="1440"/>
            <w:shd w:fill="C6EFCE" w:val="clear"/>
          </w:tcPr>
          <w:p>
            <w:r>
              <w:rPr>
                <w:sz w:val="17"/>
              </w:rPr>
              <w:t>21,640</w:t>
            </w:r>
          </w:p>
        </w:tc>
        <w:tc>
          <w:tcPr>
            <w:tcW w:type="dxa" w:w="1440"/>
            <w:shd w:fill="C6EFCE" w:val="clear"/>
          </w:tcPr>
          <w:p>
            <w:r>
              <w:rPr>
                <w:b/>
                <w:sz w:val="17"/>
              </w:rPr>
              <w:t>24,440</w:t>
            </w:r>
          </w:p>
        </w:tc>
        <w:tc>
          <w:tcPr>
            <w:tcW w:type="dxa" w:w="1440"/>
            <w:shd w:fill="C6EFCE" w:val="clear"/>
          </w:tcPr>
          <w:p>
            <w:r>
              <w:rPr>
                <w:sz w:val="17"/>
              </w:rPr>
              <w:t>27,240</w:t>
            </w:r>
          </w:p>
        </w:tc>
        <w:tc>
          <w:tcPr>
            <w:tcW w:type="dxa" w:w="1440"/>
            <w:shd w:fill="C6EFCE" w:val="clear"/>
          </w:tcPr>
          <w:p>
            <w:r>
              <w:rPr>
                <w:b/>
                <w:color w:val="008000"/>
                <w:sz w:val="17"/>
              </w:rPr>
              <w:t>+5.8%</w:t>
            </w:r>
          </w:p>
        </w:tc>
      </w:tr>
      <w:tr>
        <w:tc>
          <w:tcPr>
            <w:tcW w:type="dxa" w:w="1440"/>
            <w:shd w:fill="C6EFCE" w:val="clear"/>
          </w:tcPr>
          <w:p>
            <w:r>
              <w:rPr>
                <w:sz w:val="17"/>
              </w:rPr>
              <w:t>J+7  ⭐</w:t>
            </w:r>
          </w:p>
        </w:tc>
        <w:tc>
          <w:tcPr>
            <w:tcW w:type="dxa" w:w="1440"/>
            <w:shd w:fill="C6EFCE" w:val="clear"/>
          </w:tcPr>
          <w:p>
            <w:r>
              <w:rPr>
                <w:sz w:val="17"/>
              </w:rPr>
              <w:t>2026-08-31</w:t>
            </w:r>
          </w:p>
        </w:tc>
        <w:tc>
          <w:tcPr>
            <w:tcW w:type="dxa" w:w="1440"/>
            <w:shd w:fill="C6EFCE" w:val="clear"/>
          </w:tcPr>
          <w:p>
            <w:r>
              <w:rPr>
                <w:sz w:val="17"/>
              </w:rPr>
              <w:t>21,631</w:t>
            </w:r>
          </w:p>
        </w:tc>
        <w:tc>
          <w:tcPr>
            <w:tcW w:type="dxa" w:w="1440"/>
            <w:shd w:fill="C6EFCE" w:val="clear"/>
          </w:tcPr>
          <w:p>
            <w:r>
              <w:rPr>
                <w:b/>
                <w:sz w:val="17"/>
              </w:rPr>
              <w:t>24,686</w:t>
            </w:r>
          </w:p>
        </w:tc>
        <w:tc>
          <w:tcPr>
            <w:tcW w:type="dxa" w:w="1440"/>
            <w:shd w:fill="C6EFCE" w:val="clear"/>
          </w:tcPr>
          <w:p>
            <w:r>
              <w:rPr>
                <w:sz w:val="17"/>
              </w:rPr>
              <w:t>27,741</w:t>
            </w:r>
          </w:p>
        </w:tc>
        <w:tc>
          <w:tcPr>
            <w:tcW w:type="dxa" w:w="1440"/>
            <w:shd w:fill="C6EFCE" w:val="clear"/>
          </w:tcPr>
          <w:p>
            <w:r>
              <w:rPr>
                <w:b/>
                <w:color w:val="008000"/>
                <w:sz w:val="17"/>
              </w:rPr>
              <w:t>+6.9%</w:t>
            </w:r>
          </w:p>
        </w:tc>
      </w:tr>
      <w:tr>
        <w:tc>
          <w:tcPr>
            <w:tcW w:type="dxa" w:w="1440"/>
            <w:shd w:fill="C6EFCE" w:val="clear"/>
          </w:tcPr>
          <w:p>
            <w:r>
              <w:rPr>
                <w:sz w:val="17"/>
              </w:rPr>
              <w:t>J+8  ⭐</w:t>
            </w:r>
          </w:p>
        </w:tc>
        <w:tc>
          <w:tcPr>
            <w:tcW w:type="dxa" w:w="1440"/>
            <w:shd w:fill="C6EFCE" w:val="clear"/>
          </w:tcPr>
          <w:p>
            <w:r>
              <w:rPr>
                <w:sz w:val="17"/>
              </w:rPr>
              <w:t>2026-09-01</w:t>
            </w:r>
          </w:p>
        </w:tc>
        <w:tc>
          <w:tcPr>
            <w:tcW w:type="dxa" w:w="1440"/>
            <w:shd w:fill="C6EFCE" w:val="clear"/>
          </w:tcPr>
          <w:p>
            <w:r>
              <w:rPr>
                <w:sz w:val="17"/>
              </w:rPr>
              <w:t>21,634</w:t>
            </w:r>
          </w:p>
        </w:tc>
        <w:tc>
          <w:tcPr>
            <w:tcW w:type="dxa" w:w="1440"/>
            <w:shd w:fill="C6EFCE" w:val="clear"/>
          </w:tcPr>
          <w:p>
            <w:r>
              <w:rPr>
                <w:b/>
                <w:sz w:val="17"/>
              </w:rPr>
              <w:t>24,932</w:t>
            </w:r>
          </w:p>
        </w:tc>
        <w:tc>
          <w:tcPr>
            <w:tcW w:type="dxa" w:w="1440"/>
            <w:shd w:fill="C6EFCE" w:val="clear"/>
          </w:tcPr>
          <w:p>
            <w:r>
              <w:rPr>
                <w:sz w:val="17"/>
              </w:rPr>
              <w:t>28,231</w:t>
            </w:r>
          </w:p>
        </w:tc>
        <w:tc>
          <w:tcPr>
            <w:tcW w:type="dxa" w:w="1440"/>
            <w:shd w:fill="C6EFCE" w:val="clear"/>
          </w:tcPr>
          <w:p>
            <w:r>
              <w:rPr>
                <w:b/>
                <w:color w:val="008000"/>
                <w:sz w:val="17"/>
              </w:rPr>
              <w:t>+7.9%</w:t>
            </w:r>
          </w:p>
        </w:tc>
      </w:tr>
      <w:tr>
        <w:tc>
          <w:tcPr>
            <w:tcW w:type="dxa" w:w="1440"/>
            <w:shd w:fill="C6EFCE" w:val="clear"/>
          </w:tcPr>
          <w:p>
            <w:r>
              <w:rPr>
                <w:sz w:val="17"/>
              </w:rPr>
              <w:t>J+9  ⭐</w:t>
            </w:r>
          </w:p>
        </w:tc>
        <w:tc>
          <w:tcPr>
            <w:tcW w:type="dxa" w:w="1440"/>
            <w:shd w:fill="C6EFCE" w:val="clear"/>
          </w:tcPr>
          <w:p>
            <w:r>
              <w:rPr>
                <w:sz w:val="17"/>
              </w:rPr>
              <w:t>2026-09-02</w:t>
            </w:r>
          </w:p>
        </w:tc>
        <w:tc>
          <w:tcPr>
            <w:tcW w:type="dxa" w:w="1440"/>
            <w:shd w:fill="C6EFCE" w:val="clear"/>
          </w:tcPr>
          <w:p>
            <w:r>
              <w:rPr>
                <w:sz w:val="17"/>
              </w:rPr>
              <w:t>21,651</w:t>
            </w:r>
          </w:p>
        </w:tc>
        <w:tc>
          <w:tcPr>
            <w:tcW w:type="dxa" w:w="1440"/>
            <w:shd w:fill="C6EFCE" w:val="clear"/>
          </w:tcPr>
          <w:p>
            <w:r>
              <w:rPr>
                <w:b/>
                <w:sz w:val="17"/>
              </w:rPr>
              <w:t>25,185</w:t>
            </w:r>
          </w:p>
        </w:tc>
        <w:tc>
          <w:tcPr>
            <w:tcW w:type="dxa" w:w="1440"/>
            <w:shd w:fill="C6EFCE" w:val="clear"/>
          </w:tcPr>
          <w:p>
            <w:r>
              <w:rPr>
                <w:sz w:val="17"/>
              </w:rPr>
              <w:t>28,719</w:t>
            </w:r>
          </w:p>
        </w:tc>
        <w:tc>
          <w:tcPr>
            <w:tcW w:type="dxa" w:w="1440"/>
            <w:shd w:fill="C6EFCE" w:val="clear"/>
          </w:tcPr>
          <w:p>
            <w:r>
              <w:rPr>
                <w:b/>
                <w:color w:val="008000"/>
                <w:sz w:val="17"/>
              </w:rPr>
              <w:t>+9.0%</w:t>
            </w:r>
          </w:p>
        </w:tc>
      </w:tr>
      <w:tr>
        <w:tc>
          <w:tcPr>
            <w:tcW w:type="dxa" w:w="1440"/>
            <w:shd w:fill="C6EFCE" w:val="clear"/>
          </w:tcPr>
          <w:p>
            <w:r>
              <w:rPr>
                <w:sz w:val="17"/>
              </w:rPr>
              <w:t>J+10  ⭐</w:t>
            </w:r>
          </w:p>
        </w:tc>
        <w:tc>
          <w:tcPr>
            <w:tcW w:type="dxa" w:w="1440"/>
            <w:shd w:fill="C6EFCE" w:val="clear"/>
          </w:tcPr>
          <w:p>
            <w:r>
              <w:rPr>
                <w:sz w:val="17"/>
              </w:rPr>
              <w:t>2026-09-03</w:t>
            </w:r>
          </w:p>
        </w:tc>
        <w:tc>
          <w:tcPr>
            <w:tcW w:type="dxa" w:w="1440"/>
            <w:shd w:fill="C6EFCE" w:val="clear"/>
          </w:tcPr>
          <w:p>
            <w:r>
              <w:rPr>
                <w:sz w:val="17"/>
              </w:rPr>
              <w:t>21,675</w:t>
            </w:r>
          </w:p>
        </w:tc>
        <w:tc>
          <w:tcPr>
            <w:tcW w:type="dxa" w:w="1440"/>
            <w:shd w:fill="C6EFCE" w:val="clear"/>
          </w:tcPr>
          <w:p>
            <w:r>
              <w:rPr>
                <w:b/>
                <w:sz w:val="17"/>
              </w:rPr>
              <w:t>25,438</w:t>
            </w:r>
          </w:p>
        </w:tc>
        <w:tc>
          <w:tcPr>
            <w:tcW w:type="dxa" w:w="1440"/>
            <w:shd w:fill="C6EFCE" w:val="clear"/>
          </w:tcPr>
          <w:p>
            <w:r>
              <w:rPr>
                <w:sz w:val="17"/>
              </w:rPr>
              <w:t>29,200</w:t>
            </w:r>
          </w:p>
        </w:tc>
        <w:tc>
          <w:tcPr>
            <w:tcW w:type="dxa" w:w="1440"/>
            <w:shd w:fill="C6EFCE" w:val="clear"/>
          </w:tcPr>
          <w:p>
            <w:r>
              <w:rPr>
                <w:b/>
                <w:color w:val="008000"/>
                <w:sz w:val="17"/>
              </w:rPr>
              <w:t>+10.1%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w:t>
        <w:br/>
        <w:t>**Date : 20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STBC s'établit à 414,76 milliards FCFA, la positionnant comme une valeur de premier plan sur la BRVM. Avec un BPA de 2 014 FCFA, le titre se négocie à un PER de 11,5x, ce qui est légèrement supérieur à la moyenne historique du marché (8-12x), indiquant une valorisation raisonnable mais non bradée. Le P/B de 9,15x est en revanche très exigeant, signifiant que le marché valorise fortement les actifs nets de la société, bien au-delà de leur valeur comptable. Enfin, l'EV/EBITDA de 8,3x se situe dans la fourchette considérée comme raisonnable (5-10x), ce qui suggère que la valeur d'entreprise, rapportée à sa capacité opérationnelle, est globalement en ligne avec les standards du marché.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STBC affiche une progression de +7,44%, avec une légère hausse de +0,43% lors de la dernière séance, pour atteindre 23 100 FCFA. Le titre a évolué dans une fourchette de 19 705 FCFA (plus bas) à 25 000 FCFA (plus haut), démontrant une amplitude de trading significative. La moyenne du cours sur la période est de 22 230 FCFA, très proche de la médiane (21 900 FCFA), ce qui indique une distribution relativement symétrique, confirmée par un skewness de 0,398. L'écart-type de 1 382 FCFA (CV de 6,2%) reflète une dispersion modérée des prix. Le kurtosis de -0,936 (mésokurtique) suggère l'absence de mouvements extrêmes ou de pics de volatilité inhabituels. La volatilité annualisée de 32,9% classe le titre dans la catégorie des valeurs à volatilité élevée (&gt;30%), ce qui implique un risque de marché substantiel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(23 100 FCFA) est inférieur à la MM20 (23 516,5 FCFA) et à la MM50 (23 376 FCFA), ce qui indique une pression vendeuse à court terme. Cependant, la décision globale est un "Achat", suggérant que la tendance de fond reste positive malgré le repli récent.</w:t>
      </w:r>
    </w:p>
    <w:p>
      <w:pPr>
        <w:spacing w:after="120" w:line="276" w:lineRule="auto"/>
      </w:pPr>
      <w:r>
        <w:t>**Bandes de Bollinger :** Le prix se situe à 23 100 FCFA, entre la borne inférieure (22 046,6 FCFA) et la borne supérieure (24 986,3 FCFA), proche de la moyenne. La décision "Neutre" indique que le titre n'est ni suracheté ni survendu, évoluant dans une zone de consolidation sans signal directionnel fort.</w:t>
      </w:r>
    </w:p>
    <w:p>
      <w:pPr>
        <w:spacing w:after="120" w:line="276" w:lineRule="auto"/>
      </w:pPr>
      <w:r>
        <w:t>**MACD :** La valeur du MACD (-63,85) est inférieure à sa ligne de signal (64,744), générant un signal de "Vente". Cette configuration suggère un momentum baissier à court terme, les moyennes mobiles rapides et lentes s'écartant négativement.</w:t>
      </w:r>
    </w:p>
    <w:p>
      <w:pPr>
        <w:spacing w:after="120" w:line="276" w:lineRule="auto"/>
      </w:pPr>
      <w:r>
        <w:t>**RSI :** Le RSI s'établit à 50,73, une valeur neutre qui ne signale ni surachat ni survente. Cela indique que le marché est équilibré, sans pression d'achat ou de vente excessive.</w:t>
      </w:r>
    </w:p>
    <w:p>
      <w:pPr>
        <w:spacing w:after="120" w:line="276" w:lineRule="auto"/>
      </w:pPr>
      <w:r>
        <w:t>**Stochastique :** Le %K (27,619) est légèrement supérieur au %D (25,079), mais les deux restent en zone de survente (&lt;30). La décision "Neutre" suggère que le titre pourrait rebondir, mais le croisement n'est pas encore confirmé.</w:t>
      </w:r>
    </w:p>
    <w:p>
      <w:pPr>
        <w:spacing w:after="120" w:line="276" w:lineRule="auto"/>
      </w:pPr>
      <w:r>
        <w:t>**Conclusion technique :** Les indicateurs sont mitigés. Les moyennes mobiles sont baissières à court terme, le MACD est négatif, mais le RSI et le Stochastique sont neutres, et les bandes de Bollinger ne montrent pas de cassure. La tendance générale reste incertaine, avec un biais légèrement négatif à court terme.</w:t>
      </w:r>
    </w:p>
    <w:p>
      <w:pPr>
        <w:spacing w:after="120" w:line="276" w:lineRule="auto"/>
      </w:pPr>
      <w:r>
        <w:t>---</w:t>
      </w:r>
    </w:p>
    <w:p>
      <w:pPr>
        <w:spacing w:after="120" w:line="276" w:lineRule="auto"/>
      </w:pPr>
      <w:r>
        <w:t>### PARTIE 3 : ANALYSE FONDAMENTALE (SECTION CRITIQUE)</w:t>
      </w:r>
    </w:p>
    <w:p>
      <w:pPr>
        <w:spacing w:after="120" w:line="276" w:lineRule="auto"/>
      </w:pPr>
      <w:r>
        <w:t>En 2025, la STBC (SITAB) a réalisé un chiffre d'affaires de 268,5 milliards FCFA, en hausse de 25,3% par rapport à 2024. Le résultat net s'établit à 36,16 milliards FCFA, en baisse de 17,5% par rapport à l'exercice précédent (44,2 milliards FCFA en 2024). Cette dégradation de la rentabilité s'explique par une hausse des droits d'accises (de 49% à 70%) et une augmentation des charges d'exploitation, qui ont fait chuter la marge nette de 20,4% à 13,5%. Les ratios de rentabilité restent néanmoins excellents : le ROE atteint 79,75% et le ROA 48,09%, témoignant d'une utilisation très efficace des capitaux propres et des actifs. La structure financière est saine, avec une autonomie financière de 60,3% et une trésorerie nette de 30,76 milliards FCFA, sans endettement financier significatif. Le BFR est négatif (-5,64 milliards FCFA), ce qui est favorable, et le délai de paiement des clients est de 42,57 jours. Les rapports trimestriels 2025 (T1, T3, T4) confirment la pression fiscale, avec une marge nette trimestrielle tombant à 7% au T4. Cependant, le rapport T1 2026 montre un redressement du chiffre d'affaires (+12% à 68,8 milliards FCFA) et des volumes (+10%), bien que le résultat net reste stable (-1%). Sur la base de ces données, on estime que l'exercice 2026 pourrait voir une stabilisation de la rentabilité, avec un CA annuel potentiellement en hausse de 10-12%, mais des marges toujours sous pression. La politique de dividende reste généreuse, avec un DPA proposé de 1 940 FCFA pour 2025, représentant un rendement d'environ 8,4% au cours actuel. La recommandation fondamentale est de **CONSERVER**, la société affichant une solidité financière remarquable mais des perspectives de croissance des bénéfices limitées à court terme.</w:t>
      </w:r>
    </w:p>
    <w:p>
      <w:pPr>
        <w:spacing w:after="120" w:line="276" w:lineRule="auto"/>
      </w:pPr>
      <w:r>
        <w:t>---</w:t>
      </w:r>
    </w:p>
    <w:p>
      <w:pPr>
        <w:spacing w:after="120" w:line="276" w:lineRule="auto"/>
      </w:pPr>
      <w:r>
        <w:t>### PARTIE 4 : CONCLUSION D'INVESTISSEMENT</w:t>
      </w:r>
    </w:p>
    <w:p>
      <w:pPr>
        <w:spacing w:after="120" w:line="276" w:lineRule="auto"/>
      </w:pPr>
      <w:r>
        <w:t>La valorisation de la STBC (PER 11,5x, P/B 9,15x, EV/EBITDA 8,3x) indique que le titre est correctement valorisé, sans décote ni prime excessive. Le comportement du cours sur 100 jours montre une tendance haussière (+7,44%) avec une volatilité élevée (32,9%), mais une distribution des prix symétrique et sans pics extrêmes, ce qui est rassurant. Les signaux techniques sont mitigés, avec des moyennes mobiles et le MACD baissiers à court terme, mais un RSI et un Stochastique neutres, suggérant une consolidation. Les fondamentaux sont solides, avec une croissance du CA de 25,3% en 2025, un ROE exceptionnel de 79,75%, et une trésorerie abondante, mais la baisse du résultat net (-17,5%) et la pression fiscale constituent des points de vigilance. Les prédictions IA pour les 10 prochains jours (23 404 à 24 205 FCFA) indiquent une poursuite de la hausse, ce qui contredit légèrement le signal technique baissier à court terme. En synthèse, la convergence entre la valorisation raisonnable, la solidité fondamentale et les prédictions IA positives, malgré des signaux techniques mitigés, conduit à une recommandation **CONSERVER**. Le niveau de confiance est **Moyen**, le risque global est **Moyen**, et l'horizon d'investissement optimal est le **moyen terme (3-12 mois)**, en attendant une clarification de la tendance technique et une stabilisation des marges.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203.37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8,112 titres</w:t>
            </w:r>
          </w:p>
        </w:tc>
        <w:tc>
          <w:tcPr>
            <w:tcW w:type="dxa" w:w="2268"/>
            <w:shd w:fill="FFF2CC" w:val="clear"/>
          </w:tcPr>
          <w:p>
            <w:r>
              <w:rPr>
                <w:b/>
                <w:color w:val="503200"/>
                <w:sz w:val="16"/>
              </w:rPr>
              <w:t xml:space="preserve">Cours actuel : </w:t>
            </w:r>
            <w:r>
              <w:rPr>
                <w:color w:val="000000"/>
                <w:sz w:val="17"/>
              </w:rPr>
              <w:t>3,230 FCFA</w:t>
            </w:r>
          </w:p>
          <w:p>
            <w:r>
              <w:rPr>
                <w:b/>
                <w:color w:val="503200"/>
                <w:sz w:val="16"/>
              </w:rPr>
              <w:t xml:space="preserve">Var. 100 jours : </w:t>
            </w:r>
            <w:r>
              <w:rPr>
                <w:b/>
                <w:color w:val="007800"/>
                <w:sz w:val="17"/>
              </w:rPr>
              <w:t>+14.74%</w:t>
            </w:r>
          </w:p>
          <w:p>
            <w:r>
              <w:rPr>
                <w:b/>
                <w:color w:val="503200"/>
                <w:sz w:val="16"/>
              </w:rPr>
              <w:t xml:space="preserve">Plus haut 100j : </w:t>
            </w:r>
            <w:r>
              <w:rPr>
                <w:color w:val="000000"/>
                <w:sz w:val="17"/>
              </w:rPr>
              <w:t>3,300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4.15% (Faible) — μ=2,870 FCFA, σ=119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β=0.1702 (Défensif) — Cov=0.000005, Var(idx)=0.000030, ρ=0.037,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8,112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σ_j=2.53%/j (Stable) — Vol. annualisée≈40.1%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2026-08-20</w:t>
            </w:r>
          </w:p>
        </w:tc>
        <w:tc>
          <w:tcPr>
            <w:tcW w:type="dxa" w:w="1440"/>
            <w:shd w:fill="FAFAFA" w:val="clear"/>
          </w:tcPr>
          <w:p>
            <w:r>
              <w:rPr>
                <w:sz w:val="17"/>
              </w:rPr>
              <w:t>3,030</w:t>
            </w:r>
          </w:p>
        </w:tc>
        <w:tc>
          <w:tcPr>
            <w:tcW w:type="dxa" w:w="1440"/>
            <w:shd w:fill="FAFAFA" w:val="clear"/>
          </w:tcPr>
          <w:p>
            <w:r>
              <w:rPr>
                <w:b/>
                <w:sz w:val="17"/>
              </w:rPr>
              <w:t>3,217</w:t>
            </w:r>
          </w:p>
        </w:tc>
        <w:tc>
          <w:tcPr>
            <w:tcW w:type="dxa" w:w="1440"/>
            <w:shd w:fill="FAFAFA" w:val="clear"/>
          </w:tcPr>
          <w:p>
            <w:r>
              <w:rPr>
                <w:sz w:val="17"/>
              </w:rPr>
              <w:t>3,404</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2026-08-21</w:t>
            </w:r>
          </w:p>
        </w:tc>
        <w:tc>
          <w:tcPr>
            <w:tcW w:type="dxa" w:w="1440"/>
            <w:shd w:fill="FAFAFA" w:val="clear"/>
          </w:tcPr>
          <w:p>
            <w:r>
              <w:rPr>
                <w:sz w:val="17"/>
              </w:rPr>
              <w:t>2,936</w:t>
            </w:r>
          </w:p>
        </w:tc>
        <w:tc>
          <w:tcPr>
            <w:tcW w:type="dxa" w:w="1440"/>
            <w:shd w:fill="FAFAFA" w:val="clear"/>
          </w:tcPr>
          <w:p>
            <w:r>
              <w:rPr>
                <w:b/>
                <w:sz w:val="17"/>
              </w:rPr>
              <w:t>3,198</w:t>
            </w:r>
          </w:p>
        </w:tc>
        <w:tc>
          <w:tcPr>
            <w:tcW w:type="dxa" w:w="1440"/>
            <w:shd w:fill="FAFAFA" w:val="clear"/>
          </w:tcPr>
          <w:p>
            <w:r>
              <w:rPr>
                <w:sz w:val="17"/>
              </w:rPr>
              <w:t>3,461</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2026-08-24</w:t>
            </w:r>
          </w:p>
        </w:tc>
        <w:tc>
          <w:tcPr>
            <w:tcW w:type="dxa" w:w="1440"/>
            <w:shd w:fill="FAFAFA" w:val="clear"/>
          </w:tcPr>
          <w:p>
            <w:r>
              <w:rPr>
                <w:sz w:val="17"/>
              </w:rPr>
              <w:t>2,866</w:t>
            </w:r>
          </w:p>
        </w:tc>
        <w:tc>
          <w:tcPr>
            <w:tcW w:type="dxa" w:w="1440"/>
            <w:shd w:fill="FAFAFA" w:val="clear"/>
          </w:tcPr>
          <w:p>
            <w:r>
              <w:rPr>
                <w:b/>
                <w:sz w:val="17"/>
              </w:rPr>
              <w:t>3,187</w:t>
            </w:r>
          </w:p>
        </w:tc>
        <w:tc>
          <w:tcPr>
            <w:tcW w:type="dxa" w:w="1440"/>
            <w:shd w:fill="FAFAFA" w:val="clear"/>
          </w:tcPr>
          <w:p>
            <w:r>
              <w:rPr>
                <w:sz w:val="17"/>
              </w:rPr>
              <w:t>3,508</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2026-08-25</w:t>
            </w:r>
          </w:p>
        </w:tc>
        <w:tc>
          <w:tcPr>
            <w:tcW w:type="dxa" w:w="1440"/>
            <w:shd w:fill="FAFAFA" w:val="clear"/>
          </w:tcPr>
          <w:p>
            <w:r>
              <w:rPr>
                <w:sz w:val="17"/>
              </w:rPr>
              <w:t>2,807</w:t>
            </w:r>
          </w:p>
        </w:tc>
        <w:tc>
          <w:tcPr>
            <w:tcW w:type="dxa" w:w="1440"/>
            <w:shd w:fill="FAFAFA" w:val="clear"/>
          </w:tcPr>
          <w:p>
            <w:r>
              <w:rPr>
                <w:b/>
                <w:sz w:val="17"/>
              </w:rPr>
              <w:t>3,177</w:t>
            </w:r>
          </w:p>
        </w:tc>
        <w:tc>
          <w:tcPr>
            <w:tcW w:type="dxa" w:w="1440"/>
            <w:shd w:fill="FAFAFA" w:val="clear"/>
          </w:tcPr>
          <w:p>
            <w:r>
              <w:rPr>
                <w:sz w:val="17"/>
              </w:rPr>
              <w:t>3,546</w:t>
            </w:r>
          </w:p>
        </w:tc>
        <w:tc>
          <w:tcPr>
            <w:tcW w:type="dxa" w:w="1440"/>
            <w:shd w:fill="FAFAFA" w:val="clear"/>
          </w:tcPr>
          <w:p>
            <w:r>
              <w:rPr>
                <w:b/>
                <w:color w:val="C00000"/>
                <w:sz w:val="17"/>
              </w:rPr>
              <w:t>-1.7%</w:t>
            </w:r>
          </w:p>
        </w:tc>
      </w:tr>
      <w:tr>
        <w:tc>
          <w:tcPr>
            <w:tcW w:type="dxa" w:w="1440"/>
            <w:shd w:fill="FAFAFA" w:val="clear"/>
          </w:tcPr>
          <w:p>
            <w:r>
              <w:rPr>
                <w:sz w:val="17"/>
              </w:rPr>
              <w:t>J+5  ⭐</w:t>
            </w:r>
          </w:p>
        </w:tc>
        <w:tc>
          <w:tcPr>
            <w:tcW w:type="dxa" w:w="1440"/>
            <w:shd w:fill="FAFAFA" w:val="clear"/>
          </w:tcPr>
          <w:p>
            <w:r>
              <w:rPr>
                <w:sz w:val="17"/>
              </w:rPr>
              <w:t>2026-08-27</w:t>
            </w:r>
          </w:p>
        </w:tc>
        <w:tc>
          <w:tcPr>
            <w:tcW w:type="dxa" w:w="1440"/>
            <w:shd w:fill="FAFAFA" w:val="clear"/>
          </w:tcPr>
          <w:p>
            <w:r>
              <w:rPr>
                <w:sz w:val="17"/>
              </w:rPr>
              <w:t>2,755</w:t>
            </w:r>
          </w:p>
        </w:tc>
        <w:tc>
          <w:tcPr>
            <w:tcW w:type="dxa" w:w="1440"/>
            <w:shd w:fill="FAFAFA" w:val="clear"/>
          </w:tcPr>
          <w:p>
            <w:r>
              <w:rPr>
                <w:b/>
                <w:sz w:val="17"/>
              </w:rPr>
              <w:t>3,167</w:t>
            </w:r>
          </w:p>
        </w:tc>
        <w:tc>
          <w:tcPr>
            <w:tcW w:type="dxa" w:w="1440"/>
            <w:shd w:fill="FAFAFA" w:val="clear"/>
          </w:tcPr>
          <w:p>
            <w:r>
              <w:rPr>
                <w:sz w:val="17"/>
              </w:rPr>
              <w:t>3,578</w:t>
            </w:r>
          </w:p>
        </w:tc>
        <w:tc>
          <w:tcPr>
            <w:tcW w:type="dxa" w:w="1440"/>
            <w:shd w:fill="FAFAFA"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2026-08-28</w:t>
            </w:r>
          </w:p>
        </w:tc>
        <w:tc>
          <w:tcPr>
            <w:tcW w:type="dxa" w:w="1440"/>
            <w:shd w:fill="FFDCE0" w:val="clear"/>
          </w:tcPr>
          <w:p>
            <w:r>
              <w:rPr>
                <w:sz w:val="17"/>
              </w:rPr>
              <w:t>2,708</w:t>
            </w:r>
          </w:p>
        </w:tc>
        <w:tc>
          <w:tcPr>
            <w:tcW w:type="dxa" w:w="1440"/>
            <w:shd w:fill="FFDCE0" w:val="clear"/>
          </w:tcPr>
          <w:p>
            <w:r>
              <w:rPr>
                <w:b/>
                <w:sz w:val="17"/>
              </w:rPr>
              <w:t>3,157</w:t>
            </w:r>
          </w:p>
        </w:tc>
        <w:tc>
          <w:tcPr>
            <w:tcW w:type="dxa" w:w="1440"/>
            <w:shd w:fill="FFDCE0" w:val="clear"/>
          </w:tcPr>
          <w:p>
            <w:r>
              <w:rPr>
                <w:sz w:val="17"/>
              </w:rPr>
              <w:t>3,607</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2026-08-31</w:t>
            </w:r>
          </w:p>
        </w:tc>
        <w:tc>
          <w:tcPr>
            <w:tcW w:type="dxa" w:w="1440"/>
            <w:shd w:fill="FFDCE0" w:val="clear"/>
          </w:tcPr>
          <w:p>
            <w:r>
              <w:rPr>
                <w:sz w:val="17"/>
              </w:rPr>
              <w:t>2,664</w:t>
            </w:r>
          </w:p>
        </w:tc>
        <w:tc>
          <w:tcPr>
            <w:tcW w:type="dxa" w:w="1440"/>
            <w:shd w:fill="FFDCE0" w:val="clear"/>
          </w:tcPr>
          <w:p>
            <w:r>
              <w:rPr>
                <w:b/>
                <w:sz w:val="17"/>
              </w:rPr>
              <w:t>3,148</w:t>
            </w:r>
          </w:p>
        </w:tc>
        <w:tc>
          <w:tcPr>
            <w:tcW w:type="dxa" w:w="1440"/>
            <w:shd w:fill="FFDCE0" w:val="clear"/>
          </w:tcPr>
          <w:p>
            <w:r>
              <w:rPr>
                <w:sz w:val="17"/>
              </w:rPr>
              <w:t>3,632</w:t>
            </w:r>
          </w:p>
        </w:tc>
        <w:tc>
          <w:tcPr>
            <w:tcW w:type="dxa" w:w="1440"/>
            <w:shd w:fill="FFDCE0" w:val="clear"/>
          </w:tcPr>
          <w:p>
            <w:r>
              <w:rPr>
                <w:b/>
                <w:color w:val="C00000"/>
                <w:sz w:val="17"/>
              </w:rPr>
              <w:t>-2.5%</w:t>
            </w:r>
          </w:p>
        </w:tc>
      </w:tr>
      <w:tr>
        <w:tc>
          <w:tcPr>
            <w:tcW w:type="dxa" w:w="1440"/>
            <w:shd w:fill="FFDCE0" w:val="clear"/>
          </w:tcPr>
          <w:p>
            <w:r>
              <w:rPr>
                <w:sz w:val="17"/>
              </w:rPr>
              <w:t>J+8  ⭐</w:t>
            </w:r>
          </w:p>
        </w:tc>
        <w:tc>
          <w:tcPr>
            <w:tcW w:type="dxa" w:w="1440"/>
            <w:shd w:fill="FFDCE0" w:val="clear"/>
          </w:tcPr>
          <w:p>
            <w:r>
              <w:rPr>
                <w:sz w:val="17"/>
              </w:rPr>
              <w:t>2026-09-01</w:t>
            </w:r>
          </w:p>
        </w:tc>
        <w:tc>
          <w:tcPr>
            <w:tcW w:type="dxa" w:w="1440"/>
            <w:shd w:fill="FFDCE0" w:val="clear"/>
          </w:tcPr>
          <w:p>
            <w:r>
              <w:rPr>
                <w:sz w:val="17"/>
              </w:rPr>
              <w:t>2,623</w:t>
            </w:r>
          </w:p>
        </w:tc>
        <w:tc>
          <w:tcPr>
            <w:tcW w:type="dxa" w:w="1440"/>
            <w:shd w:fill="FFDCE0" w:val="clear"/>
          </w:tcPr>
          <w:p>
            <w:r>
              <w:rPr>
                <w:b/>
                <w:sz w:val="17"/>
              </w:rPr>
              <w:t>3,139</w:t>
            </w:r>
          </w:p>
        </w:tc>
        <w:tc>
          <w:tcPr>
            <w:tcW w:type="dxa" w:w="1440"/>
            <w:shd w:fill="FFDCE0" w:val="clear"/>
          </w:tcPr>
          <w:p>
            <w:r>
              <w:rPr>
                <w:sz w:val="17"/>
              </w:rPr>
              <w:t>3,655</w:t>
            </w:r>
          </w:p>
        </w:tc>
        <w:tc>
          <w:tcPr>
            <w:tcW w:type="dxa" w:w="1440"/>
            <w:shd w:fill="FFDCE0" w:val="clear"/>
          </w:tcPr>
          <w:p>
            <w:r>
              <w:rPr>
                <w:b/>
                <w:color w:val="C00000"/>
                <w:sz w:val="17"/>
              </w:rPr>
              <w:t>-2.8%</w:t>
            </w:r>
          </w:p>
        </w:tc>
      </w:tr>
      <w:tr>
        <w:tc>
          <w:tcPr>
            <w:tcW w:type="dxa" w:w="1440"/>
            <w:shd w:fill="FFDCE0" w:val="clear"/>
          </w:tcPr>
          <w:p>
            <w:r>
              <w:rPr>
                <w:sz w:val="17"/>
              </w:rPr>
              <w:t>J+9  ⭐</w:t>
            </w:r>
          </w:p>
        </w:tc>
        <w:tc>
          <w:tcPr>
            <w:tcW w:type="dxa" w:w="1440"/>
            <w:shd w:fill="FFDCE0" w:val="clear"/>
          </w:tcPr>
          <w:p>
            <w:r>
              <w:rPr>
                <w:sz w:val="17"/>
              </w:rPr>
              <w:t>2026-09-02</w:t>
            </w:r>
          </w:p>
        </w:tc>
        <w:tc>
          <w:tcPr>
            <w:tcW w:type="dxa" w:w="1440"/>
            <w:shd w:fill="FFDCE0" w:val="clear"/>
          </w:tcPr>
          <w:p>
            <w:r>
              <w:rPr>
                <w:sz w:val="17"/>
              </w:rPr>
              <w:t>2,584</w:t>
            </w:r>
          </w:p>
        </w:tc>
        <w:tc>
          <w:tcPr>
            <w:tcW w:type="dxa" w:w="1440"/>
            <w:shd w:fill="FFDCE0" w:val="clear"/>
          </w:tcPr>
          <w:p>
            <w:r>
              <w:rPr>
                <w:b/>
                <w:sz w:val="17"/>
              </w:rPr>
              <w:t>3,130</w:t>
            </w:r>
          </w:p>
        </w:tc>
        <w:tc>
          <w:tcPr>
            <w:tcW w:type="dxa" w:w="1440"/>
            <w:shd w:fill="FFDCE0" w:val="clear"/>
          </w:tcPr>
          <w:p>
            <w:r>
              <w:rPr>
                <w:sz w:val="17"/>
              </w:rPr>
              <w:t>3,675</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2026-09-03</w:t>
            </w:r>
          </w:p>
        </w:tc>
        <w:tc>
          <w:tcPr>
            <w:tcW w:type="dxa" w:w="1440"/>
            <w:shd w:fill="FFDCE0" w:val="clear"/>
          </w:tcPr>
          <w:p>
            <w:r>
              <w:rPr>
                <w:sz w:val="17"/>
              </w:rPr>
              <w:t>2,547</w:t>
            </w:r>
          </w:p>
        </w:tc>
        <w:tc>
          <w:tcPr>
            <w:tcW w:type="dxa" w:w="1440"/>
            <w:shd w:fill="FFDCE0" w:val="clear"/>
          </w:tcPr>
          <w:p>
            <w:r>
              <w:rPr>
                <w:b/>
                <w:sz w:val="17"/>
              </w:rPr>
              <w:t>3,121</w:t>
            </w:r>
          </w:p>
        </w:tc>
        <w:tc>
          <w:tcPr>
            <w:tcW w:type="dxa" w:w="1440"/>
            <w:shd w:fill="FFDCE0" w:val="clear"/>
          </w:tcPr>
          <w:p>
            <w:r>
              <w:rPr>
                <w:sz w:val="17"/>
              </w:rPr>
              <w:t>3,694</w:t>
            </w:r>
          </w:p>
        </w:tc>
        <w:tc>
          <w:tcPr>
            <w:tcW w:type="dxa" w:w="1440"/>
            <w:shd w:fill="FFDCE0" w:val="clear"/>
          </w:tcPr>
          <w:p>
            <w:r>
              <w:rPr>
                <w:b/>
                <w:color w:val="C00000"/>
                <w:sz w:val="17"/>
              </w:rPr>
              <w:t>-3.4%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**Date de l'analyse : 19 août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203,37 milliards FCFA, TTLC se positionne comme une valeur de premier plan sur la BRVM, reflétant la confiance des investisseurs dans le leader ivoirien de la distribution de produits pétroliers. Le BPA de 144 FCFA indique que chaque action a généré un bénéfice net de ce montant sur l'exercice 2025. Le PER de 22,4x est nettement supérieur à la moyenne historique de la BRVM (8-12x), signifiant que les investisseurs paient une prime substantielle pour chaque franc de bénéfice, anticipant probablement une croissance future ou valorisant la solidité de la marque. Cette prime est confirmée par le P/B de 5,62x, qui montre que le marché valorise l'actif net de la société plus de cinq fois au-dessus de sa valeur comptable. Enfin, l'EV/EBITDA de 11,5x, bien que dans la fourchette haute (10-15x), indique que la valeur totale de l'entreprise (capitalisation + dette nette) représente 11,5 fois son potentiel opérationnel brut, une valorisation exigeante qui laisse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TTLC a enregistré une performance remarquable de +14,74%, atteignant un cours actuel de 3 230 FCFA, bien que la dernière séance ait clôturé en baisse de -2,12%. Le titre a évolué dans une fourchette de 2 650 à 3 300 FCFA, démontrant une dynamique haussière soutenue. La moyenne (2 870 FCFA) et la médiane (2 872 FCFA) étant quasi identiques, la distribution des prix est symétrique sur la période, mais le skewness positif (0.754) indique que les journées de baisse ont été plus fréquentes, bien que de moindre ampleur que les fortes hausses. L'écart-type de 120 FCFA (CV=4,2%) révèle une dispersion modérée autour de la moyenne. Le kurtosis élevé (1.567) signale un risque de mouvements extrêmes, avec des queues de distribution épaisses. La volatilité annualisée de 40,1% classe TTLC comme une valeur à forte volatilité (&gt;30%), ce qui implique un risque significatif mais aussi un potentiel de rendement élevé pour les investisseurs aguerris.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(3 230 FCFA) se situe nettement au-dessus de la MM20 (3 009 FCFA) et de la MM50 (2 931,4 FCFA), confirmant une tendance haussière solide à court et moyen terme. La configuration des MM (cours &gt; MM20 &gt; MM50) est un signal classique d'achat, indiquant que la dynamique positive est bien établie et que les supports techniques se situent désormais autour de 3 000 FCFA.</w:t>
      </w:r>
    </w:p>
    <w:p>
      <w:pPr>
        <w:spacing w:after="120" w:line="276" w:lineRule="auto"/>
      </w:pPr>
      <w:r>
        <w:t>**Bandes de Bollinger** : Le prix évolue près de la borne supérieure (3 266 FCFA), à 36 FCFA en dessous, ce qui témoigne d'une pression acheteuse soutenue. La largeur des bandes (écart de 514 FCFA entre les bornes) reflète la volatilité élevée du titre. La décision "Neutre" suggère que, bien que le titre soit dans la partie supérieure de son canal, il n'est pas encore en situation de surachat extrême, laissant une possibilité de poursuite de la hausse avant un éventuel retournement.</w:t>
      </w:r>
    </w:p>
    <w:p>
      <w:pPr>
        <w:spacing w:after="120" w:line="276" w:lineRule="auto"/>
      </w:pPr>
      <w:r>
        <w:t>**MACD** : Le MACD (74,5) est nettement au-dessus de sa ligne de signal (39,7), avec un écart positif important de 34,8 points. Cette configuration indique un momentum haussier puissant et croissant. La décision "Achat" est justifiée par cette divergence positive qui confirme la vigueur de la tendance en cours, bien que l'amplitude de l'écart puisse signaler une certaine exubérance à court terme.</w:t>
      </w:r>
    </w:p>
    <w:p>
      <w:pPr>
        <w:spacing w:after="120" w:line="276" w:lineRule="auto"/>
      </w:pPr>
      <w:r>
        <w:t>**RSI** : À 58,4, le RSI se situe en zone neutre (30-70), indiquant que le titre n'est ni suracheté ni survendu. Cette valeur suggère qu'il existe encore une marge de progression avant d'atteindre la zone de surachat (&gt;70), tout en confirmant la vigueur relative de la tendance haussière. La décision "Neutre" est cohérente avec une poursuite possible de la tendance sans risque immédiat de retournement violent.</w:t>
      </w:r>
    </w:p>
    <w:p>
      <w:pPr>
        <w:spacing w:after="120" w:line="276" w:lineRule="auto"/>
      </w:pPr>
      <w:r>
        <w:t>**Stochastique** : Avec un %K à 86,8 et un %D à 95,6, l'oscillateur stochastique est profondément ancré en zone de surachat (&gt;80). Le %K est passé sous le %D, formant un croisement baissier, ce qui suggère un épuisement potentiel du mouvement haussier à très court terme. La décision "Vente" est justifiée par ce croisement, signalant un risque de correction technique après une hausse aussi soutenue.</w:t>
      </w:r>
    </w:p>
    <w:p>
      <w:pPr>
        <w:spacing w:after="120" w:line="276" w:lineRule="auto"/>
      </w:pPr>
      <w:r>
        <w:t>**Conclusion technique** : La tendance de fond reste résolument haussière, portée par des moyennes mobiles orientées à la hausse et un MACD positif. Cependant, les signaux de surachat du stochastique et la proximité de la borne supérieure de Bollinger suggèrent un essoufflement à court terme. La prudence est de mise : un repli technique vers les 3 100-3 150 FCFA serait sain pour consolider les gains avant une éventuelle reprise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officielles font état d'un chiffre d'affaires de 588,709 milliards FCFA, en repli de -5,2% par rapport à 2024, mais d'une amélioration notable de la rentabilité opérationnelle avec un résultat d'exploitation de 12,329 milliards FCFA (+18%) et un EBE de 22,347 milliards FCFA (+12%). Le résultat net s'établit à 9,087 milliards FCFA, en légère baisse de -3%, mais la marge nette s'améliore à 1,54%. Les ratios de rentabilité restent excellents avec un ROE de 25,1% et un ROA de 4,8%. En tant qu'entreprise de distribution, le BFR négatif de -9,662 milliards FCFA est un signal très favorable, indiquant que TTLC finance son cycle d'exploitation grâce aux délais fournisseurs (49,7 jours) et une rotation rapide des stocks (13,8 jours). Cependant, la structure financière montre une dépendance aux dettes (ratio d'endettement de 90,2%) et une trésorerie nette négative de -21,9 milliards FCFA. **Les rapports trimestriels 2025** confirment la tendance : le S1 2025 affiche un CA de 296,8 milliards (-7,1%) et un résultat net de 4,79 milliards (-25,5%), tandis que le cumul au T3 2025 montre un CA de 438,2 milliards (-5,7%) et un résultat net de 6,52 milliards (-30,2%), pénalisé par un effet de base défavorable et une charge fiscale anticipée. **Le rapport T1 2026**, daté de 2026, marque un net redressement avec un CA de 154,392 milliards (+4,3%) et un résultat net de 2,329 milliards (+5,5%), laissant présager une année 2026 plus favorable. La politique de dividende reste généreuse avec 10 milliards FCFA proposés pour 2025, soit un taux de distribution supérieur à 100%, ce qui, couplé à la trésorerie négative, constitue un point de vigilance majeur pour la soutenabilité future de cette distribution.</w:t>
      </w:r>
    </w:p>
    <w:p>
      <w:pPr>
        <w:spacing w:after="120" w:line="276" w:lineRule="auto"/>
      </w:pPr>
      <w:r>
        <w:t>---</w:t>
      </w:r>
    </w:p>
    <w:p>
      <w:pPr>
        <w:spacing w:after="120" w:line="276" w:lineRule="auto"/>
      </w:pPr>
      <w:r>
        <w:t>### PARTIE 4 : CONCLUSION D'INVESTISSEMENT</w:t>
      </w:r>
    </w:p>
    <w:p>
      <w:pPr>
        <w:spacing w:after="120" w:line="276" w:lineRule="auto"/>
      </w:pPr>
      <w:r>
        <w:t>La synthèse des analyses fait ressortir un profil contrasté pour TTLC. La valorisation (PER 22,4x, P/B 5,62x) est exigeante, mais le comportement du cours sur 100 jours (+14,74%) et les statistiques (volatilité 40,1%, skewness positif) témoignent d'une dynamique haussière soutenue, bien que le kurtosis élevé signale un risque de mouvements brusques. Les signaux techniques sont mitigés : les moyennes mobiles et le MACD sont positifs, mais le stochastique en surachat et la proximité de la borne de Bollinger suggèrent une consolidation à court terme. Fondamentalement, la société affiche une rentabilité opérationnelle en amélioration (EBE +12%), un ROE excellent (25,1%) et un BFR négatif favorable, mais la baisse du CA, la trésorerie nette négative et le taux de distribution supérieur à 100% constituent des signaux d'alerte. Les prédictions IA (3 217 à 3 167 FCFA sur 10 jours) confirment cette analyse en anticipant une légère correction, en cohérence avec les signaux techniques de surachat. **Recommandation finale : CONSERVER**. La convergence entre la valorisation élevée, les signaux techniques de surachat et les incertitudes fondamentales (trésorerie, dividende) justifie une position prudente. Le niveau de confiance est **Moyen**, le risque global est **Élevé** en raison de la volatilité et de la structure financière. L'horizon d'investissement optimal est le **moyen terme (3-12 mois)**, en attendant une meilleure visibilité sur la soutenabilité de la politique de distribution et l'amélioration de la trésorerie.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120.54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2,714 titres</w:t>
            </w:r>
          </w:p>
        </w:tc>
        <w:tc>
          <w:tcPr>
            <w:tcW w:type="dxa" w:w="2268"/>
            <w:shd w:fill="FFF2CC" w:val="clear"/>
          </w:tcPr>
          <w:p>
            <w:r>
              <w:rPr>
                <w:b/>
                <w:color w:val="503200"/>
                <w:sz w:val="16"/>
              </w:rPr>
              <w:t xml:space="preserve">Cours actuel : </w:t>
            </w:r>
            <w:r>
              <w:rPr>
                <w:color w:val="000000"/>
                <w:sz w:val="17"/>
              </w:rPr>
              <w:t>3,700 FCFA</w:t>
            </w:r>
          </w:p>
          <w:p>
            <w:r>
              <w:rPr>
                <w:b/>
                <w:color w:val="503200"/>
                <w:sz w:val="16"/>
              </w:rPr>
              <w:t xml:space="preserve">Var. 100 jours : </w:t>
            </w:r>
            <w:r>
              <w:rPr>
                <w:b/>
                <w:color w:val="007800"/>
                <w:sz w:val="17"/>
              </w:rPr>
              <w:t>+22.72%</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10.55% (Moyenne) — μ=3,470 FCFA, σ=366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β=0.9512 (Neutre (suit le marché)) — Cov=0.000029, Var(idx)=0.000030, ρ=0.176,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2,714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σ_j=2.98%/j (Stable) — Vol. annualisée≈47.4%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2026-08-20</w:t>
            </w:r>
          </w:p>
        </w:tc>
        <w:tc>
          <w:tcPr>
            <w:tcW w:type="dxa" w:w="1440"/>
            <w:shd w:fill="FFDCE0" w:val="clear"/>
          </w:tcPr>
          <w:p>
            <w:r>
              <w:rPr>
                <w:sz w:val="17"/>
              </w:rPr>
              <w:t>3,396</w:t>
            </w:r>
          </w:p>
        </w:tc>
        <w:tc>
          <w:tcPr>
            <w:tcW w:type="dxa" w:w="1440"/>
            <w:shd w:fill="FFDCE0" w:val="clear"/>
          </w:tcPr>
          <w:p>
            <w:r>
              <w:rPr>
                <w:b/>
                <w:sz w:val="17"/>
              </w:rPr>
              <w:t>3,579</w:t>
            </w:r>
          </w:p>
        </w:tc>
        <w:tc>
          <w:tcPr>
            <w:tcW w:type="dxa" w:w="1440"/>
            <w:shd w:fill="FFDCE0" w:val="clear"/>
          </w:tcPr>
          <w:p>
            <w:r>
              <w:rPr>
                <w:sz w:val="17"/>
              </w:rPr>
              <w:t>3,763</w:t>
            </w:r>
          </w:p>
        </w:tc>
        <w:tc>
          <w:tcPr>
            <w:tcW w:type="dxa" w:w="1440"/>
            <w:shd w:fill="FFDCE0" w:val="clear"/>
          </w:tcPr>
          <w:p>
            <w:r>
              <w:rPr>
                <w:b/>
                <w:color w:val="C00000"/>
                <w:sz w:val="17"/>
              </w:rPr>
              <w:t>-3.3%</w:t>
            </w:r>
          </w:p>
        </w:tc>
      </w:tr>
      <w:tr>
        <w:tc>
          <w:tcPr>
            <w:tcW w:type="dxa" w:w="1440"/>
            <w:shd w:fill="FFDCE0" w:val="clear"/>
          </w:tcPr>
          <w:p>
            <w:r>
              <w:rPr>
                <w:sz w:val="17"/>
              </w:rPr>
              <w:t>J+2  ⭐</w:t>
            </w:r>
          </w:p>
        </w:tc>
        <w:tc>
          <w:tcPr>
            <w:tcW w:type="dxa" w:w="1440"/>
            <w:shd w:fill="FFDCE0" w:val="clear"/>
          </w:tcPr>
          <w:p>
            <w:r>
              <w:rPr>
                <w:sz w:val="17"/>
              </w:rPr>
              <w:t>2026-08-21</w:t>
            </w:r>
          </w:p>
        </w:tc>
        <w:tc>
          <w:tcPr>
            <w:tcW w:type="dxa" w:w="1440"/>
            <w:shd w:fill="FFDCE0" w:val="clear"/>
          </w:tcPr>
          <w:p>
            <w:r>
              <w:rPr>
                <w:sz w:val="17"/>
              </w:rPr>
              <w:t>3,262</w:t>
            </w:r>
          </w:p>
        </w:tc>
        <w:tc>
          <w:tcPr>
            <w:tcW w:type="dxa" w:w="1440"/>
            <w:shd w:fill="FFDCE0" w:val="clear"/>
          </w:tcPr>
          <w:p>
            <w:r>
              <w:rPr>
                <w:b/>
                <w:sz w:val="17"/>
              </w:rPr>
              <w:t>3,517</w:t>
            </w:r>
          </w:p>
        </w:tc>
        <w:tc>
          <w:tcPr>
            <w:tcW w:type="dxa" w:w="1440"/>
            <w:shd w:fill="FFDCE0" w:val="clear"/>
          </w:tcPr>
          <w:p>
            <w:r>
              <w:rPr>
                <w:sz w:val="17"/>
              </w:rPr>
              <w:t>3,772</w:t>
            </w:r>
          </w:p>
        </w:tc>
        <w:tc>
          <w:tcPr>
            <w:tcW w:type="dxa" w:w="1440"/>
            <w:shd w:fill="FFDCE0" w:val="clear"/>
          </w:tcPr>
          <w:p>
            <w:r>
              <w:rPr>
                <w:b/>
                <w:color w:val="C00000"/>
                <w:sz w:val="17"/>
              </w:rPr>
              <w:t>-5.0%</w:t>
            </w:r>
          </w:p>
        </w:tc>
      </w:tr>
      <w:tr>
        <w:tc>
          <w:tcPr>
            <w:tcW w:type="dxa" w:w="1440"/>
            <w:shd w:fill="FFDCE0" w:val="clear"/>
          </w:tcPr>
          <w:p>
            <w:r>
              <w:rPr>
                <w:sz w:val="17"/>
              </w:rPr>
              <w:t>J+3  ⭐</w:t>
            </w:r>
          </w:p>
        </w:tc>
        <w:tc>
          <w:tcPr>
            <w:tcW w:type="dxa" w:w="1440"/>
            <w:shd w:fill="FFDCE0" w:val="clear"/>
          </w:tcPr>
          <w:p>
            <w:r>
              <w:rPr>
                <w:sz w:val="17"/>
              </w:rPr>
              <w:t>2026-08-24</w:t>
            </w:r>
          </w:p>
        </w:tc>
        <w:tc>
          <w:tcPr>
            <w:tcW w:type="dxa" w:w="1440"/>
            <w:shd w:fill="FFDCE0" w:val="clear"/>
          </w:tcPr>
          <w:p>
            <w:r>
              <w:rPr>
                <w:sz w:val="17"/>
              </w:rPr>
              <w:t>3,157</w:t>
            </w:r>
          </w:p>
        </w:tc>
        <w:tc>
          <w:tcPr>
            <w:tcW w:type="dxa" w:w="1440"/>
            <w:shd w:fill="FFDCE0" w:val="clear"/>
          </w:tcPr>
          <w:p>
            <w:r>
              <w:rPr>
                <w:b/>
                <w:sz w:val="17"/>
              </w:rPr>
              <w:t>3,465</w:t>
            </w:r>
          </w:p>
        </w:tc>
        <w:tc>
          <w:tcPr>
            <w:tcW w:type="dxa" w:w="1440"/>
            <w:shd w:fill="FFDCE0" w:val="clear"/>
          </w:tcPr>
          <w:p>
            <w:r>
              <w:rPr>
                <w:sz w:val="17"/>
              </w:rPr>
              <w:t>3,773</w:t>
            </w:r>
          </w:p>
        </w:tc>
        <w:tc>
          <w:tcPr>
            <w:tcW w:type="dxa" w:w="1440"/>
            <w:shd w:fill="FFDCE0" w:val="clear"/>
          </w:tcPr>
          <w:p>
            <w:r>
              <w:rPr>
                <w:b/>
                <w:color w:val="C00000"/>
                <w:sz w:val="17"/>
              </w:rPr>
              <w:t>-6.3%</w:t>
            </w:r>
          </w:p>
        </w:tc>
      </w:tr>
      <w:tr>
        <w:tc>
          <w:tcPr>
            <w:tcW w:type="dxa" w:w="1440"/>
            <w:shd w:fill="FFDCE0" w:val="clear"/>
          </w:tcPr>
          <w:p>
            <w:r>
              <w:rPr>
                <w:sz w:val="17"/>
              </w:rPr>
              <w:t>J+4  ⭐</w:t>
            </w:r>
          </w:p>
        </w:tc>
        <w:tc>
          <w:tcPr>
            <w:tcW w:type="dxa" w:w="1440"/>
            <w:shd w:fill="FFDCE0" w:val="clear"/>
          </w:tcPr>
          <w:p>
            <w:r>
              <w:rPr>
                <w:sz w:val="17"/>
              </w:rPr>
              <w:t>2026-08-25</w:t>
            </w:r>
          </w:p>
        </w:tc>
        <w:tc>
          <w:tcPr>
            <w:tcW w:type="dxa" w:w="1440"/>
            <w:shd w:fill="FFDCE0" w:val="clear"/>
          </w:tcPr>
          <w:p>
            <w:r>
              <w:rPr>
                <w:sz w:val="17"/>
              </w:rPr>
              <w:t>3,071</w:t>
            </w:r>
          </w:p>
        </w:tc>
        <w:tc>
          <w:tcPr>
            <w:tcW w:type="dxa" w:w="1440"/>
            <w:shd w:fill="FFDCE0" w:val="clear"/>
          </w:tcPr>
          <w:p>
            <w:r>
              <w:rPr>
                <w:b/>
                <w:sz w:val="17"/>
              </w:rPr>
              <w:t>3,421</w:t>
            </w:r>
          </w:p>
        </w:tc>
        <w:tc>
          <w:tcPr>
            <w:tcW w:type="dxa" w:w="1440"/>
            <w:shd w:fill="FFDCE0" w:val="clear"/>
          </w:tcPr>
          <w:p>
            <w:r>
              <w:rPr>
                <w:sz w:val="17"/>
              </w:rPr>
              <w:t>3,772</w:t>
            </w:r>
          </w:p>
        </w:tc>
        <w:tc>
          <w:tcPr>
            <w:tcW w:type="dxa" w:w="1440"/>
            <w:shd w:fill="FFDCE0" w:val="clear"/>
          </w:tcPr>
          <w:p>
            <w:r>
              <w:rPr>
                <w:b/>
                <w:color w:val="C00000"/>
                <w:sz w:val="17"/>
              </w:rPr>
              <w:t>-7.5%</w:t>
            </w:r>
          </w:p>
        </w:tc>
      </w:tr>
      <w:tr>
        <w:tc>
          <w:tcPr>
            <w:tcW w:type="dxa" w:w="1440"/>
            <w:shd w:fill="FFDCE0" w:val="clear"/>
          </w:tcPr>
          <w:p>
            <w:r>
              <w:rPr>
                <w:sz w:val="17"/>
              </w:rPr>
              <w:t>J+5  ⭐</w:t>
            </w:r>
          </w:p>
        </w:tc>
        <w:tc>
          <w:tcPr>
            <w:tcW w:type="dxa" w:w="1440"/>
            <w:shd w:fill="FFDCE0" w:val="clear"/>
          </w:tcPr>
          <w:p>
            <w:r>
              <w:rPr>
                <w:sz w:val="17"/>
              </w:rPr>
              <w:t>2026-08-27</w:t>
            </w:r>
          </w:p>
        </w:tc>
        <w:tc>
          <w:tcPr>
            <w:tcW w:type="dxa" w:w="1440"/>
            <w:shd w:fill="FFDCE0" w:val="clear"/>
          </w:tcPr>
          <w:p>
            <w:r>
              <w:rPr>
                <w:sz w:val="17"/>
              </w:rPr>
              <w:t>2,995</w:t>
            </w:r>
          </w:p>
        </w:tc>
        <w:tc>
          <w:tcPr>
            <w:tcW w:type="dxa" w:w="1440"/>
            <w:shd w:fill="FFDCE0" w:val="clear"/>
          </w:tcPr>
          <w:p>
            <w:r>
              <w:rPr>
                <w:b/>
                <w:sz w:val="17"/>
              </w:rPr>
              <w:t>3,382</w:t>
            </w:r>
          </w:p>
        </w:tc>
        <w:tc>
          <w:tcPr>
            <w:tcW w:type="dxa" w:w="1440"/>
            <w:shd w:fill="FFDCE0" w:val="clear"/>
          </w:tcPr>
          <w:p>
            <w:r>
              <w:rPr>
                <w:sz w:val="17"/>
              </w:rPr>
              <w:t>3,770</w:t>
            </w:r>
          </w:p>
        </w:tc>
        <w:tc>
          <w:tcPr>
            <w:tcW w:type="dxa" w:w="1440"/>
            <w:shd w:fill="FFDCE0" w:val="clear"/>
          </w:tcPr>
          <w:p>
            <w:r>
              <w:rPr>
                <w:b/>
                <w:color w:val="C00000"/>
                <w:sz w:val="17"/>
              </w:rPr>
              <w:t>-8.6%</w:t>
            </w:r>
          </w:p>
        </w:tc>
      </w:tr>
      <w:tr>
        <w:tc>
          <w:tcPr>
            <w:tcW w:type="dxa" w:w="1440"/>
            <w:shd w:fill="FFDCE0" w:val="clear"/>
          </w:tcPr>
          <w:p>
            <w:r>
              <w:rPr>
                <w:sz w:val="17"/>
              </w:rPr>
              <w:t>J+6  ⭐</w:t>
            </w:r>
          </w:p>
        </w:tc>
        <w:tc>
          <w:tcPr>
            <w:tcW w:type="dxa" w:w="1440"/>
            <w:shd w:fill="FFDCE0" w:val="clear"/>
          </w:tcPr>
          <w:p>
            <w:r>
              <w:rPr>
                <w:sz w:val="17"/>
              </w:rPr>
              <w:t>2026-08-28</w:t>
            </w:r>
          </w:p>
        </w:tc>
        <w:tc>
          <w:tcPr>
            <w:tcW w:type="dxa" w:w="1440"/>
            <w:shd w:fill="FFDCE0" w:val="clear"/>
          </w:tcPr>
          <w:p>
            <w:r>
              <w:rPr>
                <w:sz w:val="17"/>
              </w:rPr>
              <w:t>2,926</w:t>
            </w:r>
          </w:p>
        </w:tc>
        <w:tc>
          <w:tcPr>
            <w:tcW w:type="dxa" w:w="1440"/>
            <w:shd w:fill="FFDCE0" w:val="clear"/>
          </w:tcPr>
          <w:p>
            <w:r>
              <w:rPr>
                <w:b/>
                <w:sz w:val="17"/>
              </w:rPr>
              <w:t>3,346</w:t>
            </w:r>
          </w:p>
        </w:tc>
        <w:tc>
          <w:tcPr>
            <w:tcW w:type="dxa" w:w="1440"/>
            <w:shd w:fill="FFDCE0" w:val="clear"/>
          </w:tcPr>
          <w:p>
            <w:r>
              <w:rPr>
                <w:sz w:val="17"/>
              </w:rPr>
              <w:t>3,766</w:t>
            </w:r>
          </w:p>
        </w:tc>
        <w:tc>
          <w:tcPr>
            <w:tcW w:type="dxa" w:w="1440"/>
            <w:shd w:fill="FFDCE0" w:val="clear"/>
          </w:tcPr>
          <w:p>
            <w:r>
              <w:rPr>
                <w:b/>
                <w:color w:val="C00000"/>
                <w:sz w:val="17"/>
              </w:rPr>
              <w:t>-9.6%</w:t>
            </w:r>
          </w:p>
        </w:tc>
      </w:tr>
      <w:tr>
        <w:tc>
          <w:tcPr>
            <w:tcW w:type="dxa" w:w="1440"/>
            <w:shd w:fill="FFDCE0" w:val="clear"/>
          </w:tcPr>
          <w:p>
            <w:r>
              <w:rPr>
                <w:sz w:val="17"/>
              </w:rPr>
              <w:t>J+7  ⭐</w:t>
            </w:r>
          </w:p>
        </w:tc>
        <w:tc>
          <w:tcPr>
            <w:tcW w:type="dxa" w:w="1440"/>
            <w:shd w:fill="FFDCE0" w:val="clear"/>
          </w:tcPr>
          <w:p>
            <w:r>
              <w:rPr>
                <w:sz w:val="17"/>
              </w:rPr>
              <w:t>2026-08-31</w:t>
            </w:r>
          </w:p>
        </w:tc>
        <w:tc>
          <w:tcPr>
            <w:tcW w:type="dxa" w:w="1440"/>
            <w:shd w:fill="FFDCE0" w:val="clear"/>
          </w:tcPr>
          <w:p>
            <w:r>
              <w:rPr>
                <w:sz w:val="17"/>
              </w:rPr>
              <w:t>2,863</w:t>
            </w:r>
          </w:p>
        </w:tc>
        <w:tc>
          <w:tcPr>
            <w:tcW w:type="dxa" w:w="1440"/>
            <w:shd w:fill="FFDCE0" w:val="clear"/>
          </w:tcPr>
          <w:p>
            <w:r>
              <w:rPr>
                <w:b/>
                <w:sz w:val="17"/>
              </w:rPr>
              <w:t>3,312</w:t>
            </w:r>
          </w:p>
        </w:tc>
        <w:tc>
          <w:tcPr>
            <w:tcW w:type="dxa" w:w="1440"/>
            <w:shd w:fill="FFDCE0" w:val="clear"/>
          </w:tcPr>
          <w:p>
            <w:r>
              <w:rPr>
                <w:sz w:val="17"/>
              </w:rPr>
              <w:t>3,761</w:t>
            </w:r>
          </w:p>
        </w:tc>
        <w:tc>
          <w:tcPr>
            <w:tcW w:type="dxa" w:w="1440"/>
            <w:shd w:fill="FFDCE0" w:val="clear"/>
          </w:tcPr>
          <w:p>
            <w:r>
              <w:rPr>
                <w:b/>
                <w:color w:val="C00000"/>
                <w:sz w:val="17"/>
              </w:rPr>
              <w:t>-10.5%</w:t>
            </w:r>
          </w:p>
        </w:tc>
      </w:tr>
      <w:tr>
        <w:tc>
          <w:tcPr>
            <w:tcW w:type="dxa" w:w="1440"/>
            <w:shd w:fill="FFDCE0" w:val="clear"/>
          </w:tcPr>
          <w:p>
            <w:r>
              <w:rPr>
                <w:sz w:val="17"/>
              </w:rPr>
              <w:t>J+8  ⭐</w:t>
            </w:r>
          </w:p>
        </w:tc>
        <w:tc>
          <w:tcPr>
            <w:tcW w:type="dxa" w:w="1440"/>
            <w:shd w:fill="FFDCE0" w:val="clear"/>
          </w:tcPr>
          <w:p>
            <w:r>
              <w:rPr>
                <w:sz w:val="17"/>
              </w:rPr>
              <w:t>2026-09-01</w:t>
            </w:r>
          </w:p>
        </w:tc>
        <w:tc>
          <w:tcPr>
            <w:tcW w:type="dxa" w:w="1440"/>
            <w:shd w:fill="FFDCE0" w:val="clear"/>
          </w:tcPr>
          <w:p>
            <w:r>
              <w:rPr>
                <w:sz w:val="17"/>
              </w:rPr>
              <w:t>2,804</w:t>
            </w:r>
          </w:p>
        </w:tc>
        <w:tc>
          <w:tcPr>
            <w:tcW w:type="dxa" w:w="1440"/>
            <w:shd w:fill="FFDCE0" w:val="clear"/>
          </w:tcPr>
          <w:p>
            <w:r>
              <w:rPr>
                <w:b/>
                <w:sz w:val="17"/>
              </w:rPr>
              <w:t>3,280</w:t>
            </w:r>
          </w:p>
        </w:tc>
        <w:tc>
          <w:tcPr>
            <w:tcW w:type="dxa" w:w="1440"/>
            <w:shd w:fill="FFDCE0" w:val="clear"/>
          </w:tcPr>
          <w:p>
            <w:r>
              <w:rPr>
                <w:sz w:val="17"/>
              </w:rPr>
              <w:t>3,756</w:t>
            </w:r>
          </w:p>
        </w:tc>
        <w:tc>
          <w:tcPr>
            <w:tcW w:type="dxa" w:w="1440"/>
            <w:shd w:fill="FFDCE0" w:val="clear"/>
          </w:tcPr>
          <w:p>
            <w:r>
              <w:rPr>
                <w:b/>
                <w:color w:val="C00000"/>
                <w:sz w:val="17"/>
              </w:rPr>
              <w:t>-11.4%</w:t>
            </w:r>
          </w:p>
        </w:tc>
      </w:tr>
      <w:tr>
        <w:tc>
          <w:tcPr>
            <w:tcW w:type="dxa" w:w="1440"/>
            <w:shd w:fill="FFDCE0" w:val="clear"/>
          </w:tcPr>
          <w:p>
            <w:r>
              <w:rPr>
                <w:sz w:val="17"/>
              </w:rPr>
              <w:t>J+9  ⭐</w:t>
            </w:r>
          </w:p>
        </w:tc>
        <w:tc>
          <w:tcPr>
            <w:tcW w:type="dxa" w:w="1440"/>
            <w:shd w:fill="FFDCE0" w:val="clear"/>
          </w:tcPr>
          <w:p>
            <w:r>
              <w:rPr>
                <w:sz w:val="17"/>
              </w:rPr>
              <w:t>2026-09-02</w:t>
            </w:r>
          </w:p>
        </w:tc>
        <w:tc>
          <w:tcPr>
            <w:tcW w:type="dxa" w:w="1440"/>
            <w:shd w:fill="FFDCE0" w:val="clear"/>
          </w:tcPr>
          <w:p>
            <w:r>
              <w:rPr>
                <w:sz w:val="17"/>
              </w:rPr>
              <w:t>2,750</w:t>
            </w:r>
          </w:p>
        </w:tc>
        <w:tc>
          <w:tcPr>
            <w:tcW w:type="dxa" w:w="1440"/>
            <w:shd w:fill="FFDCE0" w:val="clear"/>
          </w:tcPr>
          <w:p>
            <w:r>
              <w:rPr>
                <w:b/>
                <w:sz w:val="17"/>
              </w:rPr>
              <w:t>3,250</w:t>
            </w:r>
          </w:p>
        </w:tc>
        <w:tc>
          <w:tcPr>
            <w:tcW w:type="dxa" w:w="1440"/>
            <w:shd w:fill="FFDCE0" w:val="clear"/>
          </w:tcPr>
          <w:p>
            <w:r>
              <w:rPr>
                <w:sz w:val="17"/>
              </w:rPr>
              <w:t>3,750</w:t>
            </w:r>
          </w:p>
        </w:tc>
        <w:tc>
          <w:tcPr>
            <w:tcW w:type="dxa" w:w="1440"/>
            <w:shd w:fill="FFDCE0" w:val="clear"/>
          </w:tcPr>
          <w:p>
            <w:r>
              <w:rPr>
                <w:b/>
                <w:color w:val="C00000"/>
                <w:sz w:val="17"/>
              </w:rPr>
              <w:t>-12.2%</w:t>
            </w:r>
          </w:p>
        </w:tc>
      </w:tr>
      <w:tr>
        <w:tc>
          <w:tcPr>
            <w:tcW w:type="dxa" w:w="1440"/>
            <w:shd w:fill="FFDCE0" w:val="clear"/>
          </w:tcPr>
          <w:p>
            <w:r>
              <w:rPr>
                <w:sz w:val="17"/>
              </w:rPr>
              <w:t>J+10  ⭐</w:t>
            </w:r>
          </w:p>
        </w:tc>
        <w:tc>
          <w:tcPr>
            <w:tcW w:type="dxa" w:w="1440"/>
            <w:shd w:fill="FFDCE0" w:val="clear"/>
          </w:tcPr>
          <w:p>
            <w:r>
              <w:rPr>
                <w:sz w:val="17"/>
              </w:rPr>
              <w:t>2026-09-03</w:t>
            </w:r>
          </w:p>
        </w:tc>
        <w:tc>
          <w:tcPr>
            <w:tcW w:type="dxa" w:w="1440"/>
            <w:shd w:fill="FFDCE0" w:val="clear"/>
          </w:tcPr>
          <w:p>
            <w:r>
              <w:rPr>
                <w:sz w:val="17"/>
              </w:rPr>
              <w:t>2,699</w:t>
            </w:r>
          </w:p>
        </w:tc>
        <w:tc>
          <w:tcPr>
            <w:tcW w:type="dxa" w:w="1440"/>
            <w:shd w:fill="FFDCE0" w:val="clear"/>
          </w:tcPr>
          <w:p>
            <w:r>
              <w:rPr>
                <w:b/>
                <w:sz w:val="17"/>
              </w:rPr>
              <w:t>3,221</w:t>
            </w:r>
          </w:p>
        </w:tc>
        <w:tc>
          <w:tcPr>
            <w:tcW w:type="dxa" w:w="1440"/>
            <w:shd w:fill="FFDCE0" w:val="clear"/>
          </w:tcPr>
          <w:p>
            <w:r>
              <w:rPr>
                <w:sz w:val="17"/>
              </w:rPr>
              <w:t>3,744</w:t>
            </w:r>
          </w:p>
        </w:tc>
        <w:tc>
          <w:tcPr>
            <w:tcW w:type="dxa" w:w="1440"/>
            <w:shd w:fill="FFDCE0" w:val="clear"/>
          </w:tcPr>
          <w:p>
            <w:r>
              <w:rPr>
                <w:b/>
                <w:color w:val="C00000"/>
                <w:sz w:val="17"/>
              </w:rPr>
              <w:t>-12.9%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TTLS s'établit à 120,54 milliards FCFA, ce qui en fait une valeur de taille moyenne sur la BRVM, représentative d'un leader national dans la distribution pétrolière. Le BPA de 208 FCFA indique que chaque action génère un bénéfice modeste, ce qui se reflète dans un PER de 17,8x, nettement supérieur à la moyenne du marché BRVM (8-12x). Les investisseurs paient donc une prime significative pour la qualité perçue du titre et sa position dominante. Le P/B de 4,27x confirme cette valorisation exigeante, le marché valorisant fortement les actifs nets de l'entreprise. Enfin, l'EV/EBITDA de 7,5x, dans la fourchette raisonnable de 5-10x, tempère légèrement cette lecture en indiquant que la valeur totale de l'entreprise reste cohérente avec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TTLS affiche une progression impressionnante de +22,72%, malgré un repli de -2,63% lors de la dernière séance, qui pourrait marquer une prise de bénéfices après une forte hausse. Le cours a évolué dans une fourchette très large de 2 845 FCFA à 4 500 FCFA, illustrant une volatilité et un intérêt marqués pour le titre. La moyenne (3 470 FCFA) est légèrement supérieure à la médiane (3 432 FCFA), et avec un skewness positif de 0,744, la distribution est asymétrique, avec plus de journées sous la moyenne mais quelques fortes hausses qui tirent la moyenne vers le haut. L'écart-type de 368 FCFA (CV de 10,6%) montre une dispersion modérée autour de la moyenne, tandis que le kurtosis de 0,168 (mésokurtique) indique une distribution proche de la normale, sans risque de pics extrêmes. La volatilité annualisée de 47,4% est élevée (&gt;30%), signalant un titre spéculatif avec des fluctuations de prix importantes.</w:t>
      </w:r>
    </w:p>
    <w:p>
      <w:pPr>
        <w:spacing w:after="120" w:line="276" w:lineRule="auto" w:before="240"/>
      </w:pPr>
      <w:r>
        <w:rPr>
          <w:b/>
          <w:color w:val="003366"/>
          <w:sz w:val="24"/>
        </w:rPr>
        <w:t>**PARTIE 2 : ANALYSE TECHNIQUE DÉTAILLÉE**</w:t>
      </w:r>
    </w:p>
    <w:p>
      <w:pPr>
        <w:spacing w:after="120" w:line="276" w:lineRule="auto"/>
      </w:pPr>
      <w:r>
        <w:t>**Moyennes Mobiles**: Le cours actuel (3 700 FCFA) est inférieur à la MM20 (3 650 FCFA) et à la MM50 (3 746,4 FCFA). Cette configuration, où le prix est sous les deux moyennes, indique une dynamique baissière à court terme. La décision de "Vente" est justifiée par ce croisement négatif, suggérant un potentiel de correction après la récente hausse, ou un changement de tendance.</w:t>
      </w:r>
    </w:p>
    <w:p>
      <w:pPr>
        <w:spacing w:after="120" w:line="276" w:lineRule="auto"/>
      </w:pPr>
      <w:r>
        <w:t>**Bandes de Bollinger**: Le prix se situe à 3 700 FCFA, entre la borne inférieure (3 487,58 FCFA) et la borne supérieure (3 812,42 FCFA), proche du milieu de l'intervalle. La décision "Neutre" est cohérente : le titre n'est ni suracheté ni survendu, et la volatilité, bien que présente, ne pousse pas le prix vers les extrêmes des bandes. Cela suggère une phase de consolidation.</w:t>
      </w:r>
    </w:p>
    <w:p>
      <w:pPr>
        <w:spacing w:after="120" w:line="276" w:lineRule="auto"/>
      </w:pPr>
      <w:r>
        <w:t>**MACD**: La valeur du MACD (-29,49) est supérieure à sa ligne de signal (-43,17), formant un croisement haussier. Bien que les deux soient en territoire négatif, cette divergence positive indique un affaiblissement de la dynamique baissière et un potentiel de retournement à la hausse. La décision "Achat" est justifiée par ce croisement, qui est un signal précoce de momentum haussier.</w:t>
      </w:r>
    </w:p>
    <w:p>
      <w:pPr>
        <w:spacing w:after="120" w:line="276" w:lineRule="auto"/>
      </w:pPr>
      <w:r>
        <w:t>**RSI**: Avec une valeur de 54,29, le RSI se situe dans la zone neutre (30-70), indiquant un équilibre entre les forces acheteuses et vendeuses. Il n'y a pas de pression excessive à l'achat ni à la vente. La décision "Neutre" est correcte, laissant place à une évolution dans un sens ou dans l'autre sans signal fort.</w:t>
      </w:r>
    </w:p>
    <w:p>
      <w:pPr>
        <w:spacing w:after="120" w:line="276" w:lineRule="auto"/>
      </w:pPr>
      <w:r>
        <w:t>**Stochastique**: Le %K (66,67) est inférieur au %D (88,89), formant un croisement baissier en zone de surachat potentiel. Cela suggère un essoufflement de la dynamique haussière récente et un risque de repli à court terme. La décision "Neutre" est prudente, mais le croisement baissier est un signal de prudence.</w:t>
      </w:r>
    </w:p>
    <w:p>
      <w:pPr>
        <w:spacing w:after="120" w:line="276" w:lineRule="auto"/>
      </w:pPr>
      <w:r>
        <w:t>**Conclusion technique**: Les indicateurs sont mitigés. Les moyennes mobiles suggèrent une tendance baissière, tandis que le MACD et le RSI sont neutres avec un biais haussier. Le stochastique, quant à lui, signale un risque de correction. L'ensemble indique une phase de consolidation avec une tendance incertaine, où le cours pourrait évoluer latéralement avant de choisir une direction. La prudence est de mise.</w:t>
      </w:r>
    </w:p>
    <w:p>
      <w:pPr>
        <w:spacing w:after="120" w:line="276" w:lineRule="auto" w:before="240"/>
      </w:pPr>
      <w:r>
        <w:rPr>
          <w:b/>
          <w:color w:val="003366"/>
          <w:sz w:val="24"/>
        </w:rPr>
        <w:t>**PARTIE 3 : ANALYSE FONDAMENTALE (SECTION CRITIQUE)**</w:t>
      </w:r>
    </w:p>
    <w:p>
      <w:pPr>
        <w:spacing w:after="120" w:line="276" w:lineRule="auto"/>
      </w:pPr>
      <w:r>
        <w:t>En 2025, selon les données structurées, TTLS a réalisé un chiffre d'affaires de 455,209 milliards FCFA, en baisse de 6,1% par rapport à 2024. Le résultat net s'établit à 6,779 milliards FCFA, en repli de 5,1%, avec une marge nette de 1,49%. La rentabilité des fonds propres (ROE) est excellente à 24%, tandis que le ROA est plus modeste à 3,95%. En tant qu'entreprise de distribution, le BFR négatif de -36,9 milliards FCFA est un point très positif, indiquant que l'entreprise finance son cycle d'exploitation grâce à ses fournisseurs. Le délai clients de 47 jours est un risque de trésorerie à surveiller, mais le délai fournisseurs de 98 jours est très favorable. Les rapports de 2025 et du T1 2026 confirment cette tendance : la baisse du CA est due à l'arrêt stratégique du fuel lourd, mais la rentabilité opérationnelle s'améliore (+28% au T1 2026). Sur la base de ces données, on estime que l'exercice 2026 pourrait voir une stabilisation du CA et une nouvelle amélioration des marges, portée par les lubrifiants et le GPL, malgré la pression réglementaire sur les prix. La solidité financière est confortée par une trésorerie nette positive de 13,94 milliards FCFA. La recommandation fondamentale est de conserver, la société démontrant une résilience opérationnelle remarquable.</w:t>
      </w:r>
    </w:p>
    <w:p>
      <w:pPr>
        <w:spacing w:after="120" w:line="276" w:lineRule="auto" w:before="240"/>
      </w:pPr>
      <w:r>
        <w:rPr>
          <w:b/>
          <w:color w:val="003366"/>
          <w:sz w:val="24"/>
        </w:rPr>
        <w:t>**PARTIE 4 : CONCLUSION D'INVESTISSEMENT**</w:t>
      </w:r>
    </w:p>
    <w:p>
      <w:pPr>
        <w:spacing w:after="120" w:line="276" w:lineRule="auto"/>
      </w:pPr>
      <w:r>
        <w:t>La valorisation de TTLS est exigeante (PER 17,8x, P/B 4,27x), mais l'EV/EBITDA reste raisonnable, indiquant que le marché paie une prime pour la qualité et la position dominante de l'entreprise. Le comportement du cours sur 100 jours est haussier (+22,72%), mais la forte volatilité (47,4%) et le skewness positif signalent un risque de retournement. Les signaux techniques sont mitigés, avec une tendance baissière à court terme (MM) mais un momentum haussier naissant (MACD), le tout dans une phase de consolidation. Les fondamentaux sont solides : ROE excellent, BFR négatif, et une amélioration de la rentabilité opérationnelle malgré un CA en baisse. Les prédictions IA pour les 10 prochains jours (3 579 à 3 382 FCFA) suggèrent une correction à la baisse, confirmant les signaux des moyennes mobiles et du stochastique. En synthèse, la convergence entre la valorisation élevée, les signaux techniques baissiers à court terme et les prédictions IA indiquent un potentiel de repli. La recommandation finale est **CONSERVER** avec un niveau de confiance **Moyen** et un risque global **Élevé**. L'horizon d'investissement optimal est le **moyen terme (3-12 mois)**, afin de laisser le temps aux fondamentaux de se matérialiser et de profiter d'un éventuel point d'entrée plus favorable après la correction anticipée.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495.90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25 titres</w:t>
            </w:r>
          </w:p>
        </w:tc>
        <w:tc>
          <w:tcPr>
            <w:tcW w:type="dxa" w:w="2268"/>
            <w:shd w:fill="FFF2CC" w:val="clear"/>
          </w:tcPr>
          <w:p>
            <w:r>
              <w:rPr>
                <w:b/>
                <w:color w:val="503200"/>
                <w:sz w:val="16"/>
              </w:rPr>
              <w:t xml:space="preserve">Cours actuel : </w:t>
            </w:r>
            <w:r>
              <w:rPr>
                <w:color w:val="000000"/>
                <w:sz w:val="17"/>
              </w:rPr>
              <w:t>54,000 FCFA</w:t>
            </w:r>
          </w:p>
          <w:p>
            <w:r>
              <w:rPr>
                <w:b/>
                <w:color w:val="503200"/>
                <w:sz w:val="16"/>
              </w:rPr>
              <w:t xml:space="preserve">Var. 100 jours : </w:t>
            </w:r>
            <w:r>
              <w:rPr>
                <w:b/>
                <w:color w:val="B40000"/>
                <w:sz w:val="17"/>
              </w:rPr>
              <w:t>-1.06%</w:t>
            </w:r>
          </w:p>
          <w:p>
            <w:r>
              <w:rPr>
                <w:b/>
                <w:color w:val="503200"/>
                <w:sz w:val="16"/>
              </w:rPr>
              <w:t xml:space="preserve">Plus haut 100j : </w:t>
            </w:r>
            <w:r>
              <w:rPr>
                <w:color w:val="000000"/>
                <w:sz w:val="17"/>
              </w:rPr>
              <w:t>69,005 FCFA</w:t>
            </w:r>
          </w:p>
          <w:p>
            <w:r>
              <w:rPr>
                <w:b/>
                <w:color w:val="503200"/>
                <w:sz w:val="16"/>
              </w:rPr>
              <w:t xml:space="preserve">Plus bas 100j : </w:t>
            </w:r>
            <w:r>
              <w:rPr>
                <w:color w:val="000000"/>
                <w:sz w:val="17"/>
              </w:rPr>
              <w:t>49,630 FCFA</w:t>
            </w:r>
          </w:p>
          <w:p>
            <w:r>
              <w:rPr>
                <w:b/>
                <w:color w:val="503200"/>
                <w:sz w:val="16"/>
              </w:rPr>
              <w:t xml:space="preserve">Volatilité ann. : </w:t>
            </w:r>
            <w:r>
              <w:rPr>
                <w:color w:val="000000"/>
                <w:sz w:val="17"/>
              </w:rPr>
              <w:t>65.6%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6.25% (Moyenne) — μ=56,727 FCFA, σ=3,544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β=1.5661 (Agressif) — Cov=0.000049, Var(idx)=0.000031, ρ=0.212,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FFEB9C" w:val="clear"/>
          </w:tcPr>
          <w:p>
            <w:r>
              <w:rPr>
                <w:b/>
                <w:sz w:val="15"/>
              </w:rPr>
              <w:t>25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σ_j=4.13%/j (Modérée) — Vol. annualisée≈65.6%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54/100  (Moyen)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2026-08-20</w:t>
            </w:r>
          </w:p>
        </w:tc>
        <w:tc>
          <w:tcPr>
            <w:tcW w:type="dxa" w:w="1440"/>
            <w:shd w:fill="C6EFCE" w:val="clear"/>
          </w:tcPr>
          <w:p>
            <w:r>
              <w:rPr>
                <w:sz w:val="17"/>
              </w:rPr>
              <w:t>53,120</w:t>
            </w:r>
          </w:p>
        </w:tc>
        <w:tc>
          <w:tcPr>
            <w:tcW w:type="dxa" w:w="1440"/>
            <w:shd w:fill="C6EFCE" w:val="clear"/>
          </w:tcPr>
          <w:p>
            <w:r>
              <w:rPr>
                <w:b/>
                <w:sz w:val="17"/>
              </w:rPr>
              <w:t>56,518</w:t>
            </w:r>
          </w:p>
        </w:tc>
        <w:tc>
          <w:tcPr>
            <w:tcW w:type="dxa" w:w="1440"/>
            <w:shd w:fill="C6EFCE" w:val="clear"/>
          </w:tcPr>
          <w:p>
            <w:r>
              <w:rPr>
                <w:sz w:val="17"/>
              </w:rPr>
              <w:t>59,916</w:t>
            </w:r>
          </w:p>
        </w:tc>
        <w:tc>
          <w:tcPr>
            <w:tcW w:type="dxa" w:w="1440"/>
            <w:shd w:fill="C6EFCE" w:val="clear"/>
          </w:tcPr>
          <w:p>
            <w:r>
              <w:rPr>
                <w:b/>
                <w:color w:val="008000"/>
                <w:sz w:val="17"/>
              </w:rPr>
              <w:t>+4.7%</w:t>
            </w:r>
          </w:p>
        </w:tc>
      </w:tr>
      <w:tr>
        <w:tc>
          <w:tcPr>
            <w:tcW w:type="dxa" w:w="1440"/>
            <w:shd w:fill="C6EFCE" w:val="clear"/>
          </w:tcPr>
          <w:p>
            <w:r>
              <w:rPr>
                <w:sz w:val="17"/>
              </w:rPr>
              <w:t>J+2  ⭐</w:t>
            </w:r>
          </w:p>
        </w:tc>
        <w:tc>
          <w:tcPr>
            <w:tcW w:type="dxa" w:w="1440"/>
            <w:shd w:fill="C6EFCE" w:val="clear"/>
          </w:tcPr>
          <w:p>
            <w:r>
              <w:rPr>
                <w:sz w:val="17"/>
              </w:rPr>
              <w:t>2026-08-21</w:t>
            </w:r>
          </w:p>
        </w:tc>
        <w:tc>
          <w:tcPr>
            <w:tcW w:type="dxa" w:w="1440"/>
            <w:shd w:fill="C6EFCE" w:val="clear"/>
          </w:tcPr>
          <w:p>
            <w:r>
              <w:rPr>
                <w:sz w:val="17"/>
              </w:rPr>
              <w:t>51,881</w:t>
            </w:r>
          </w:p>
        </w:tc>
        <w:tc>
          <w:tcPr>
            <w:tcW w:type="dxa" w:w="1440"/>
            <w:shd w:fill="C6EFCE" w:val="clear"/>
          </w:tcPr>
          <w:p>
            <w:r>
              <w:rPr>
                <w:b/>
                <w:sz w:val="17"/>
              </w:rPr>
              <w:t>56,702</w:t>
            </w:r>
          </w:p>
        </w:tc>
        <w:tc>
          <w:tcPr>
            <w:tcW w:type="dxa" w:w="1440"/>
            <w:shd w:fill="C6EFCE" w:val="clear"/>
          </w:tcPr>
          <w:p>
            <w:r>
              <w:rPr>
                <w:sz w:val="17"/>
              </w:rPr>
              <w:t>61,524</w:t>
            </w:r>
          </w:p>
        </w:tc>
        <w:tc>
          <w:tcPr>
            <w:tcW w:type="dxa" w:w="1440"/>
            <w:shd w:fill="C6EFCE" w:val="clear"/>
          </w:tcPr>
          <w:p>
            <w:r>
              <w:rPr>
                <w:b/>
                <w:color w:val="008000"/>
                <w:sz w:val="17"/>
              </w:rPr>
              <w:t>+5.0%</w:t>
            </w:r>
          </w:p>
        </w:tc>
      </w:tr>
      <w:tr>
        <w:tc>
          <w:tcPr>
            <w:tcW w:type="dxa" w:w="1440"/>
            <w:shd w:fill="C6EFCE" w:val="clear"/>
          </w:tcPr>
          <w:p>
            <w:r>
              <w:rPr>
                <w:sz w:val="17"/>
              </w:rPr>
              <w:t>J+3  ⭐</w:t>
            </w:r>
          </w:p>
        </w:tc>
        <w:tc>
          <w:tcPr>
            <w:tcW w:type="dxa" w:w="1440"/>
            <w:shd w:fill="C6EFCE" w:val="clear"/>
          </w:tcPr>
          <w:p>
            <w:r>
              <w:rPr>
                <w:sz w:val="17"/>
              </w:rPr>
              <w:t>2026-08-24</w:t>
            </w:r>
          </w:p>
        </w:tc>
        <w:tc>
          <w:tcPr>
            <w:tcW w:type="dxa" w:w="1440"/>
            <w:shd w:fill="C6EFCE" w:val="clear"/>
          </w:tcPr>
          <w:p>
            <w:r>
              <w:rPr>
                <w:sz w:val="17"/>
              </w:rPr>
              <w:t>51,242</w:t>
            </w:r>
          </w:p>
        </w:tc>
        <w:tc>
          <w:tcPr>
            <w:tcW w:type="dxa" w:w="1440"/>
            <w:shd w:fill="C6EFCE" w:val="clear"/>
          </w:tcPr>
          <w:p>
            <w:r>
              <w:rPr>
                <w:b/>
                <w:sz w:val="17"/>
              </w:rPr>
              <w:t>57,199</w:t>
            </w:r>
          </w:p>
        </w:tc>
        <w:tc>
          <w:tcPr>
            <w:tcW w:type="dxa" w:w="1440"/>
            <w:shd w:fill="C6EFCE" w:val="clear"/>
          </w:tcPr>
          <w:p>
            <w:r>
              <w:rPr>
                <w:sz w:val="17"/>
              </w:rPr>
              <w:t>63,156</w:t>
            </w:r>
          </w:p>
        </w:tc>
        <w:tc>
          <w:tcPr>
            <w:tcW w:type="dxa" w:w="1440"/>
            <w:shd w:fill="C6EFCE" w:val="clear"/>
          </w:tcPr>
          <w:p>
            <w:r>
              <w:rPr>
                <w:b/>
                <w:color w:val="008000"/>
                <w:sz w:val="17"/>
              </w:rPr>
              <w:t>+5.9%</w:t>
            </w:r>
          </w:p>
        </w:tc>
      </w:tr>
      <w:tr>
        <w:tc>
          <w:tcPr>
            <w:tcW w:type="dxa" w:w="1440"/>
            <w:shd w:fill="C6EFCE" w:val="clear"/>
          </w:tcPr>
          <w:p>
            <w:r>
              <w:rPr>
                <w:sz w:val="17"/>
              </w:rPr>
              <w:t>J+4  ⭐</w:t>
            </w:r>
          </w:p>
        </w:tc>
        <w:tc>
          <w:tcPr>
            <w:tcW w:type="dxa" w:w="1440"/>
            <w:shd w:fill="C6EFCE" w:val="clear"/>
          </w:tcPr>
          <w:p>
            <w:r>
              <w:rPr>
                <w:sz w:val="17"/>
              </w:rPr>
              <w:t>2026-08-25</w:t>
            </w:r>
          </w:p>
        </w:tc>
        <w:tc>
          <w:tcPr>
            <w:tcW w:type="dxa" w:w="1440"/>
            <w:shd w:fill="C6EFCE" w:val="clear"/>
          </w:tcPr>
          <w:p>
            <w:r>
              <w:rPr>
                <w:sz w:val="17"/>
              </w:rPr>
              <w:t>50,833</w:t>
            </w:r>
          </w:p>
        </w:tc>
        <w:tc>
          <w:tcPr>
            <w:tcW w:type="dxa" w:w="1440"/>
            <w:shd w:fill="C6EFCE" w:val="clear"/>
          </w:tcPr>
          <w:p>
            <w:r>
              <w:rPr>
                <w:b/>
                <w:sz w:val="17"/>
              </w:rPr>
              <w:t>57,782</w:t>
            </w:r>
          </w:p>
        </w:tc>
        <w:tc>
          <w:tcPr>
            <w:tcW w:type="dxa" w:w="1440"/>
            <w:shd w:fill="C6EFCE" w:val="clear"/>
          </w:tcPr>
          <w:p>
            <w:r>
              <w:rPr>
                <w:sz w:val="17"/>
              </w:rPr>
              <w:t>64,730</w:t>
            </w:r>
          </w:p>
        </w:tc>
        <w:tc>
          <w:tcPr>
            <w:tcW w:type="dxa" w:w="1440"/>
            <w:shd w:fill="C6EFCE" w:val="clear"/>
          </w:tcPr>
          <w:p>
            <w:r>
              <w:rPr>
                <w:b/>
                <w:color w:val="008000"/>
                <w:sz w:val="17"/>
              </w:rPr>
              <w:t>+7.0%</w:t>
            </w:r>
          </w:p>
        </w:tc>
      </w:tr>
      <w:tr>
        <w:tc>
          <w:tcPr>
            <w:tcW w:type="dxa" w:w="1440"/>
            <w:shd w:fill="C6EFCE" w:val="clear"/>
          </w:tcPr>
          <w:p>
            <w:r>
              <w:rPr>
                <w:sz w:val="17"/>
              </w:rPr>
              <w:t>J+5  ⭐</w:t>
            </w:r>
          </w:p>
        </w:tc>
        <w:tc>
          <w:tcPr>
            <w:tcW w:type="dxa" w:w="1440"/>
            <w:shd w:fill="C6EFCE" w:val="clear"/>
          </w:tcPr>
          <w:p>
            <w:r>
              <w:rPr>
                <w:sz w:val="17"/>
              </w:rPr>
              <w:t>2026-08-27</w:t>
            </w:r>
          </w:p>
        </w:tc>
        <w:tc>
          <w:tcPr>
            <w:tcW w:type="dxa" w:w="1440"/>
            <w:shd w:fill="C6EFCE" w:val="clear"/>
          </w:tcPr>
          <w:p>
            <w:r>
              <w:rPr>
                <w:sz w:val="17"/>
              </w:rPr>
              <w:t>50,546</w:t>
            </w:r>
          </w:p>
        </w:tc>
        <w:tc>
          <w:tcPr>
            <w:tcW w:type="dxa" w:w="1440"/>
            <w:shd w:fill="C6EFCE" w:val="clear"/>
          </w:tcPr>
          <w:p>
            <w:r>
              <w:rPr>
                <w:b/>
                <w:sz w:val="17"/>
              </w:rPr>
              <w:t>58,397</w:t>
            </w:r>
          </w:p>
        </w:tc>
        <w:tc>
          <w:tcPr>
            <w:tcW w:type="dxa" w:w="1440"/>
            <w:shd w:fill="C6EFCE" w:val="clear"/>
          </w:tcPr>
          <w:p>
            <w:r>
              <w:rPr>
                <w:sz w:val="17"/>
              </w:rPr>
              <w:t>66,249</w:t>
            </w:r>
          </w:p>
        </w:tc>
        <w:tc>
          <w:tcPr>
            <w:tcW w:type="dxa" w:w="1440"/>
            <w:shd w:fill="C6EFCE" w:val="clear"/>
          </w:tcPr>
          <w:p>
            <w:r>
              <w:rPr>
                <w:b/>
                <w:color w:val="008000"/>
                <w:sz w:val="17"/>
              </w:rPr>
              <w:t>+8.1%</w:t>
            </w:r>
          </w:p>
        </w:tc>
      </w:tr>
      <w:tr>
        <w:tc>
          <w:tcPr>
            <w:tcW w:type="dxa" w:w="1440"/>
            <w:shd w:fill="C6EFCE" w:val="clear"/>
          </w:tcPr>
          <w:p>
            <w:r>
              <w:rPr>
                <w:sz w:val="17"/>
              </w:rPr>
              <w:t>J+6  ⭐</w:t>
            </w:r>
          </w:p>
        </w:tc>
        <w:tc>
          <w:tcPr>
            <w:tcW w:type="dxa" w:w="1440"/>
            <w:shd w:fill="C6EFCE" w:val="clear"/>
          </w:tcPr>
          <w:p>
            <w:r>
              <w:rPr>
                <w:sz w:val="17"/>
              </w:rPr>
              <w:t>2026-08-28</w:t>
            </w:r>
          </w:p>
        </w:tc>
        <w:tc>
          <w:tcPr>
            <w:tcW w:type="dxa" w:w="1440"/>
            <w:shd w:fill="C6EFCE" w:val="clear"/>
          </w:tcPr>
          <w:p>
            <w:r>
              <w:rPr>
                <w:sz w:val="17"/>
              </w:rPr>
              <w:t>50,336</w:t>
            </w:r>
          </w:p>
        </w:tc>
        <w:tc>
          <w:tcPr>
            <w:tcW w:type="dxa" w:w="1440"/>
            <w:shd w:fill="C6EFCE" w:val="clear"/>
          </w:tcPr>
          <w:p>
            <w:r>
              <w:rPr>
                <w:b/>
                <w:sz w:val="17"/>
              </w:rPr>
              <w:t>59,030</w:t>
            </w:r>
          </w:p>
        </w:tc>
        <w:tc>
          <w:tcPr>
            <w:tcW w:type="dxa" w:w="1440"/>
            <w:shd w:fill="C6EFCE" w:val="clear"/>
          </w:tcPr>
          <w:p>
            <w:r>
              <w:rPr>
                <w:sz w:val="17"/>
              </w:rPr>
              <w:t>67,724</w:t>
            </w:r>
          </w:p>
        </w:tc>
        <w:tc>
          <w:tcPr>
            <w:tcW w:type="dxa" w:w="1440"/>
            <w:shd w:fill="C6EFCE" w:val="clear"/>
          </w:tcPr>
          <w:p>
            <w:r>
              <w:rPr>
                <w:b/>
                <w:color w:val="008000"/>
                <w:sz w:val="17"/>
              </w:rPr>
              <w:t>+9.3%</w:t>
            </w:r>
          </w:p>
        </w:tc>
      </w:tr>
      <w:tr>
        <w:tc>
          <w:tcPr>
            <w:tcW w:type="dxa" w:w="1440"/>
            <w:shd w:fill="C6EFCE" w:val="clear"/>
          </w:tcPr>
          <w:p>
            <w:r>
              <w:rPr>
                <w:sz w:val="17"/>
              </w:rPr>
              <w:t>J+7  ⭐</w:t>
            </w:r>
          </w:p>
        </w:tc>
        <w:tc>
          <w:tcPr>
            <w:tcW w:type="dxa" w:w="1440"/>
            <w:shd w:fill="C6EFCE" w:val="clear"/>
          </w:tcPr>
          <w:p>
            <w:r>
              <w:rPr>
                <w:sz w:val="17"/>
              </w:rPr>
              <w:t>2026-08-31</w:t>
            </w:r>
          </w:p>
        </w:tc>
        <w:tc>
          <w:tcPr>
            <w:tcW w:type="dxa" w:w="1440"/>
            <w:shd w:fill="C6EFCE" w:val="clear"/>
          </w:tcPr>
          <w:p>
            <w:r>
              <w:rPr>
                <w:sz w:val="17"/>
              </w:rPr>
              <w:t>50,179</w:t>
            </w:r>
          </w:p>
        </w:tc>
        <w:tc>
          <w:tcPr>
            <w:tcW w:type="dxa" w:w="1440"/>
            <w:shd w:fill="C6EFCE" w:val="clear"/>
          </w:tcPr>
          <w:p>
            <w:r>
              <w:rPr>
                <w:b/>
                <w:sz w:val="17"/>
              </w:rPr>
              <w:t>59,672</w:t>
            </w:r>
          </w:p>
        </w:tc>
        <w:tc>
          <w:tcPr>
            <w:tcW w:type="dxa" w:w="1440"/>
            <w:shd w:fill="C6EFCE" w:val="clear"/>
          </w:tcPr>
          <w:p>
            <w:r>
              <w:rPr>
                <w:sz w:val="17"/>
              </w:rPr>
              <w:t>69,164</w:t>
            </w:r>
          </w:p>
        </w:tc>
        <w:tc>
          <w:tcPr>
            <w:tcW w:type="dxa" w:w="1440"/>
            <w:shd w:fill="C6EFCE" w:val="clear"/>
          </w:tcPr>
          <w:p>
            <w:r>
              <w:rPr>
                <w:b/>
                <w:color w:val="008000"/>
                <w:sz w:val="17"/>
              </w:rPr>
              <w:t>+10.5%</w:t>
            </w:r>
          </w:p>
        </w:tc>
      </w:tr>
      <w:tr>
        <w:tc>
          <w:tcPr>
            <w:tcW w:type="dxa" w:w="1440"/>
            <w:shd w:fill="C6EFCE" w:val="clear"/>
          </w:tcPr>
          <w:p>
            <w:r>
              <w:rPr>
                <w:sz w:val="17"/>
              </w:rPr>
              <w:t>J+8  ⭐</w:t>
            </w:r>
          </w:p>
        </w:tc>
        <w:tc>
          <w:tcPr>
            <w:tcW w:type="dxa" w:w="1440"/>
            <w:shd w:fill="C6EFCE" w:val="clear"/>
          </w:tcPr>
          <w:p>
            <w:r>
              <w:rPr>
                <w:sz w:val="17"/>
              </w:rPr>
              <w:t>2026-09-01</w:t>
            </w:r>
          </w:p>
        </w:tc>
        <w:tc>
          <w:tcPr>
            <w:tcW w:type="dxa" w:w="1440"/>
            <w:shd w:fill="C6EFCE" w:val="clear"/>
          </w:tcPr>
          <w:p>
            <w:r>
              <w:rPr>
                <w:sz w:val="17"/>
              </w:rPr>
              <w:t>50,062</w:t>
            </w:r>
          </w:p>
        </w:tc>
        <w:tc>
          <w:tcPr>
            <w:tcW w:type="dxa" w:w="1440"/>
            <w:shd w:fill="C6EFCE" w:val="clear"/>
          </w:tcPr>
          <w:p>
            <w:r>
              <w:rPr>
                <w:b/>
                <w:sz w:val="17"/>
              </w:rPr>
              <w:t>60,320</w:t>
            </w:r>
          </w:p>
        </w:tc>
        <w:tc>
          <w:tcPr>
            <w:tcW w:type="dxa" w:w="1440"/>
            <w:shd w:fill="C6EFCE" w:val="clear"/>
          </w:tcPr>
          <w:p>
            <w:r>
              <w:rPr>
                <w:sz w:val="17"/>
              </w:rPr>
              <w:t>70,578</w:t>
            </w:r>
          </w:p>
        </w:tc>
        <w:tc>
          <w:tcPr>
            <w:tcW w:type="dxa" w:w="1440"/>
            <w:shd w:fill="C6EFCE" w:val="clear"/>
          </w:tcPr>
          <w:p>
            <w:r>
              <w:rPr>
                <w:b/>
                <w:color w:val="008000"/>
                <w:sz w:val="17"/>
              </w:rPr>
              <w:t>+11.7%</w:t>
            </w:r>
          </w:p>
        </w:tc>
      </w:tr>
      <w:tr>
        <w:tc>
          <w:tcPr>
            <w:tcW w:type="dxa" w:w="1440"/>
            <w:shd w:fill="C6EFCE" w:val="clear"/>
          </w:tcPr>
          <w:p>
            <w:r>
              <w:rPr>
                <w:sz w:val="17"/>
              </w:rPr>
              <w:t>J+9  ⭐</w:t>
            </w:r>
          </w:p>
        </w:tc>
        <w:tc>
          <w:tcPr>
            <w:tcW w:type="dxa" w:w="1440"/>
            <w:shd w:fill="C6EFCE" w:val="clear"/>
          </w:tcPr>
          <w:p>
            <w:r>
              <w:rPr>
                <w:sz w:val="17"/>
              </w:rPr>
              <w:t>2026-09-02</w:t>
            </w:r>
          </w:p>
        </w:tc>
        <w:tc>
          <w:tcPr>
            <w:tcW w:type="dxa" w:w="1440"/>
            <w:shd w:fill="C6EFCE" w:val="clear"/>
          </w:tcPr>
          <w:p>
            <w:r>
              <w:rPr>
                <w:sz w:val="17"/>
              </w:rPr>
              <w:t>49,974</w:t>
            </w:r>
          </w:p>
        </w:tc>
        <w:tc>
          <w:tcPr>
            <w:tcW w:type="dxa" w:w="1440"/>
            <w:shd w:fill="C6EFCE" w:val="clear"/>
          </w:tcPr>
          <w:p>
            <w:r>
              <w:rPr>
                <w:b/>
                <w:sz w:val="17"/>
              </w:rPr>
              <w:t>60,973</w:t>
            </w:r>
          </w:p>
        </w:tc>
        <w:tc>
          <w:tcPr>
            <w:tcW w:type="dxa" w:w="1440"/>
            <w:shd w:fill="C6EFCE" w:val="clear"/>
          </w:tcPr>
          <w:p>
            <w:r>
              <w:rPr>
                <w:sz w:val="17"/>
              </w:rPr>
              <w:t>71,971</w:t>
            </w:r>
          </w:p>
        </w:tc>
        <w:tc>
          <w:tcPr>
            <w:tcW w:type="dxa" w:w="1440"/>
            <w:shd w:fill="C6EFCE" w:val="clear"/>
          </w:tcPr>
          <w:p>
            <w:r>
              <w:rPr>
                <w:b/>
                <w:color w:val="008000"/>
                <w:sz w:val="17"/>
              </w:rPr>
              <w:t>+12.9%</w:t>
            </w:r>
          </w:p>
        </w:tc>
      </w:tr>
      <w:tr>
        <w:tc>
          <w:tcPr>
            <w:tcW w:type="dxa" w:w="1440"/>
            <w:shd w:fill="C6EFCE" w:val="clear"/>
          </w:tcPr>
          <w:p>
            <w:r>
              <w:rPr>
                <w:sz w:val="17"/>
              </w:rPr>
              <w:t>J+10  ⭐</w:t>
            </w:r>
          </w:p>
        </w:tc>
        <w:tc>
          <w:tcPr>
            <w:tcW w:type="dxa" w:w="1440"/>
            <w:shd w:fill="C6EFCE" w:val="clear"/>
          </w:tcPr>
          <w:p>
            <w:r>
              <w:rPr>
                <w:sz w:val="17"/>
              </w:rPr>
              <w:t>2026-09-03</w:t>
            </w:r>
          </w:p>
        </w:tc>
        <w:tc>
          <w:tcPr>
            <w:tcW w:type="dxa" w:w="1440"/>
            <w:shd w:fill="C6EFCE" w:val="clear"/>
          </w:tcPr>
          <w:p>
            <w:r>
              <w:rPr>
                <w:sz w:val="17"/>
              </w:rPr>
              <w:t>49,911</w:t>
            </w:r>
          </w:p>
        </w:tc>
        <w:tc>
          <w:tcPr>
            <w:tcW w:type="dxa" w:w="1440"/>
            <w:shd w:fill="C6EFCE" w:val="clear"/>
          </w:tcPr>
          <w:p>
            <w:r>
              <w:rPr>
                <w:b/>
                <w:sz w:val="17"/>
              </w:rPr>
              <w:t>61,629</w:t>
            </w:r>
          </w:p>
        </w:tc>
        <w:tc>
          <w:tcPr>
            <w:tcW w:type="dxa" w:w="1440"/>
            <w:shd w:fill="C6EFCE" w:val="clear"/>
          </w:tcPr>
          <w:p>
            <w:r>
              <w:rPr>
                <w:sz w:val="17"/>
              </w:rPr>
              <w:t>73,347</w:t>
            </w:r>
          </w:p>
        </w:tc>
        <w:tc>
          <w:tcPr>
            <w:tcW w:type="dxa" w:w="1440"/>
            <w:shd w:fill="C6EFCE" w:val="clear"/>
          </w:tcPr>
          <w:p>
            <w:r>
              <w:rPr>
                <w:b/>
                <w:color w:val="008000"/>
                <w:sz w:val="17"/>
              </w:rPr>
              <w:t>+14.1%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495,90 milliards FCFA, ce qui positionne la société parmi les valeurs moyennes à grandes capitalisations de la BRVM, dans un marché où les poids lourds dépassent rarement 1 000 milliards FCFA. Les ratios de valorisation (BPA, PER, P/B, EV/EBITDA) ne sont pas calculables en raison de l'absence de données financières structurées récentes dans la base de données, ce qui constitue une limite importante pour évaluer le caractère attractif ou non du titre. Toutefois, sur la base des derniers rapports disponibles (exercice 2023), le bénéfice net de 640 millions FCFA rapporté à la capitalisation actuelle impliquerait un PER extrêmement élevé, signe que le marché valorise davantage des perspectives de redressement futur que les résultats actuels. Cette situation reflète la confiance des investisseurs dans la marque Unilever et son potentiel de rebond, mais elle implique également un risque de correction si les performances financières ne suivent pas.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d'UNLC affiche une variation totale de -1,06%, avec une dernière séance stable (+0,00%), témoignant d'une relative atonie du titre. Le cours a évolué dans une fourchette de 49 630 FCFA (plus bas) à 69 005 FCFA (plus haut), soit une amplitude de près de 39%, indiquant des phases de tension significatives. La moyenne du cours sur la période (56 727 FCFA) est très proche de la médiane (56 300 FCFA), ce qui suggère une distribution relativement symétrique des prix, confirmée par un skewness de 0,491. L'écart-type de 3 562 FCFA, avec un coefficient de variation de 6,3%, révèle une dispersion modérée autour de la moyenne. Le kurtosis de 0,702 indique une distribution mésokurtique, proche de la normale, avec un risque de mouvements extrêmes limité. La volatilité annualisée de 65,6% est toutefois très élevée, bien au-dessus du seuil de 30% considéré comme élevé, ce qui traduit un risque de prix important pour les investisseurs, malgré une apparence de stabilité sur la période récente.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(53 907,5 FCFA) est inférieure à la MM50 (54 793,4 FCFA), et le cours actuel (54 000 FCFA) se situe entre les deux, légèrement au-dessus de la MM20 mais en dessous de la MM50. Cette configuration reflète une tendance baissière à moyen terme, avec une résistance autour de la MM50. La décision de Vente est justifiée par cette structure défavorable, bien que le cours semble trouver un support temporaire près de la MM20.</w:t>
      </w:r>
    </w:p>
    <w:p>
      <w:pPr>
        <w:spacing w:after="120" w:line="276" w:lineRule="auto"/>
      </w:pPr>
      <w:r>
        <w:t>**Bandes de Bollinger** : Le cours évolue à 54 000 FCFA, proche de la borne inférieure (49 023,2 FCFA) et loin de la borne supérieure (58 791,8 FCFA), indiquant une pression vendeuse relative. La largeur des bandes reflète une volatilité élevée, cohérente avec la volatilité annualisée de 65,6%. La décision Neutre s'explique par le fait que le cours n'a pas encore atteint les extrêmes des bandes, laissant place à une possible poursuite de la consolidation.</w:t>
      </w:r>
    </w:p>
    <w:p>
      <w:pPr>
        <w:spacing w:after="120" w:line="276" w:lineRule="auto"/>
      </w:pPr>
      <w:r>
        <w:t>**MACD** : La valeur du MACD (505,8) est supérieure à son signal (288,8), indiquant un momentum haussier en cours. Cette divergence positive suggère une dynamique d'achat qui pourrait se renforcer si la tendance se confirme. La décision Achat est cohérente avec cette configuration, bien que le niveau absolu du MACD reste modeste, ce qui limite la portée du signal.</w:t>
      </w:r>
    </w:p>
    <w:p>
      <w:pPr>
        <w:spacing w:after="120" w:line="276" w:lineRule="auto"/>
      </w:pPr>
      <w:r>
        <w:t>**RSI** : Le RSI s'établit à 55,1, dans la zone neutre (30-70), indiquant un équilibre entre pressions acheteuses et vendeuses. Cette valeur ne signale ni surachat ni survente, laissant la possibilité d'une évolution dans les deux sens. La décision Neutre est appropriée, le RSI ne fournissant pas de signal directionnel clair à ce stade.</w:t>
      </w:r>
    </w:p>
    <w:p>
      <w:pPr>
        <w:spacing w:after="120" w:line="276" w:lineRule="auto"/>
      </w:pPr>
      <w:r>
        <w:t>**Stochastique** : Le %K (42,9) est inférieur au %D (61,9), suggérant une dynamique baissière à court terme, avec un croisement potentiellement négatif. Cette configuration indique un affaiblissement du momentum haussier, justifiant une décision Neutre, car le titre pourrait poursuivre sa consolidation avant de trouver une direction claire.</w:t>
      </w:r>
    </w:p>
    <w:p>
      <w:pPr>
        <w:spacing w:after="120" w:line="276" w:lineRule="auto"/>
      </w:pPr>
      <w:r>
        <w:t>**Conclusion technique** : Les indicateurs techniques sont globalement mitigés, avec un MACD haussier contrastant avec des moyennes mobiles baissières et un stochastique en perte de vitesse. Cette divergence suggère une phase de transition, où le titre pourrait évoluer latéralement avant de choisir une direction. La prudence est de mise, avec un biais légèrement négatif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ne sont pas disponibles dans la base de données, mais les rapports narratifs fournissent des informations essentielles. Pour l'exercice 2023 (rapport daté du 31 décembre 2024), UNLC a réalisé un chiffre d'affaires de 24,34 milliards FCFA, stable par rapport à 2022, avec un bénéfice net de 640 millions FCFA, contre une perte de 6,91 milliards FCFA en 2022. Cette amélioration significative, portée par un résultat d'exploitation positif de 3,34 milliards FCFA, témoigne d'un redressement opérationnel, mais la marge nette de 2,63% reste très inférieure à la moyenne sectorielle de 5 à 10%. Les capitaux propres demeurent négatifs à -10,66 milliards FCFA, et la dette financière s'élève à 4,38 milliards FCFA, ce qui fragilise la structure financière. En 2022 (rapport du 31 décembre 2023), le CA était de 24,34 milliards FCFA également, mais avec une perte massive de 6,38 milliards FCFA, illustrant une année de crise profonde. En 2021, le CA était identique (24,34 milliards FCFA), avec un bénéfice net de 6,09 milliards FCFA, montrant une volatilité extrême des résultats. Aucun dividende n'a été distribué depuis 2021, la priorité étant donnée à la reconstitution des capitaux propres. Sur la base de ces éléments, on estime que l'exercice 2024 pourrait confirmer le redressement si la croissance du CA reprend et que les marges s'améliorent, mais la prudence reste de mise.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d'UNLC ne peut être pleinement appréciée en l'absence de ratios PER/P/B calculables, mais la capitalisation de 495,9 milliards FCFA paraît élevée au regard des bénéfices actuels, suggérant une possible surévaluation relative. Le comportement du cours sur 100 jours montre une stabilité apparente (-1,06%) mais une volatilité annualisée très élevée (65,6%), avec une distribution des prix relativement symétrique et un risque de pics modéré. Les signaux techniques sont mitigés, avec un MACD haussier contre des moyennes mobiles baissières, indiquant une phase de transition incertaine. Les fondamentaux révèlent un redressement fragile, avec un bénéfice net modeste en 2023 et des capitaux propres toujours négatifs, malgré une amélioration opérationnelle notable. Les prédictions IA pour les 10 prochains jours (56 518 à 58 397 FCFA) suggèrent une trajectoire haussière modérée, contredisant partiellement la prudence technique. La convergence entre les prédictions haussières et le MACD positif, contre des fondamentaux encore fragiles, conduit à une recommandation de **CONSERVER**, avec un niveau de confiance **Moyen** et un risque global **Élevé**. L'horizon d'investissement optimal serait le **moyen terme (3-12 mois)**, en attendant une confirmation du redressement financier et une stabilisation des capitaux propres.</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50.32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12,579 titres</w:t>
            </w:r>
          </w:p>
        </w:tc>
        <w:tc>
          <w:tcPr>
            <w:tcW w:type="dxa" w:w="2268"/>
            <w:shd w:fill="FFF2CC" w:val="clear"/>
          </w:tcPr>
          <w:p>
            <w:r>
              <w:rPr>
                <w:b/>
                <w:color w:val="503200"/>
                <w:sz w:val="16"/>
              </w:rPr>
              <w:t xml:space="preserve">Cours actuel : </w:t>
            </w:r>
            <w:r>
              <w:rPr>
                <w:color w:val="000000"/>
                <w:sz w:val="17"/>
              </w:rPr>
              <w:t>2,425 FCFA</w:t>
            </w:r>
          </w:p>
          <w:p>
            <w:r>
              <w:rPr>
                <w:b/>
                <w:color w:val="503200"/>
                <w:sz w:val="16"/>
              </w:rPr>
              <w:t xml:space="preserve">Var. 100 jours : </w:t>
            </w:r>
            <w:r>
              <w:rPr>
                <w:b/>
                <w:color w:val="007800"/>
                <w:sz w:val="17"/>
              </w:rPr>
              <w:t>+16.87%</w:t>
            </w:r>
          </w:p>
          <w:p>
            <w:r>
              <w:rPr>
                <w:b/>
                <w:color w:val="503200"/>
                <w:sz w:val="16"/>
              </w:rPr>
              <w:t xml:space="preserve">Plus haut 100j : </w:t>
            </w:r>
            <w:r>
              <w:rPr>
                <w:color w:val="000000"/>
                <w:sz w:val="17"/>
              </w:rPr>
              <w:t>2,425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21.6/100 → Moyen</w:t>
      </w:r>
    </w:p>
    <w:p>
      <w:pPr>
        <w:spacing w:before="40" w:after="80"/>
      </w:pPr>
      <w:r>
        <w:rPr>
          <w:rFonts w:ascii="Courier New" w:hAnsi="Courier New"/>
          <w:color w:val="825A00"/>
          <w:sz w:val="18"/>
        </w:rPr>
        <w:t>████░░░░░░░░░░░░░░░░  21.6/100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9.47% (Moyenne) — μ=1,870 FCFA, σ=177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β=-0.5432 (Contre-cyclique) — Cov=-0.000017, Var(idx)=0.000030, ρ=-0.096,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12,579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σ_j=3.24%/j (Modérée) — Vol. annualisée≈51.5%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2026-08-20</w:t>
            </w:r>
          </w:p>
        </w:tc>
        <w:tc>
          <w:tcPr>
            <w:tcW w:type="dxa" w:w="1440"/>
            <w:shd w:fill="FFDCE0" w:val="clear"/>
          </w:tcPr>
          <w:p>
            <w:r>
              <w:rPr>
                <w:sz w:val="17"/>
              </w:rPr>
              <w:t>2,099</w:t>
            </w:r>
          </w:p>
        </w:tc>
        <w:tc>
          <w:tcPr>
            <w:tcW w:type="dxa" w:w="1440"/>
            <w:shd w:fill="FFDCE0" w:val="clear"/>
          </w:tcPr>
          <w:p>
            <w:r>
              <w:rPr>
                <w:b/>
                <w:sz w:val="17"/>
              </w:rPr>
              <w:t>2,243</w:t>
            </w:r>
          </w:p>
        </w:tc>
        <w:tc>
          <w:tcPr>
            <w:tcW w:type="dxa" w:w="1440"/>
            <w:shd w:fill="FFDCE0" w:val="clear"/>
          </w:tcPr>
          <w:p>
            <w:r>
              <w:rPr>
                <w:sz w:val="17"/>
              </w:rPr>
              <w:t>2,387</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2026-08-21</w:t>
            </w:r>
          </w:p>
        </w:tc>
        <w:tc>
          <w:tcPr>
            <w:tcW w:type="dxa" w:w="1440"/>
            <w:shd w:fill="FFDCE0" w:val="clear"/>
          </w:tcPr>
          <w:p>
            <w:r>
              <w:rPr>
                <w:sz w:val="17"/>
              </w:rPr>
              <w:t>2,028</w:t>
            </w:r>
          </w:p>
        </w:tc>
        <w:tc>
          <w:tcPr>
            <w:tcW w:type="dxa" w:w="1440"/>
            <w:shd w:fill="FFDCE0" w:val="clear"/>
          </w:tcPr>
          <w:p>
            <w:r>
              <w:rPr>
                <w:b/>
                <w:sz w:val="17"/>
              </w:rPr>
              <w:t>2,230</w:t>
            </w:r>
          </w:p>
        </w:tc>
        <w:tc>
          <w:tcPr>
            <w:tcW w:type="dxa" w:w="1440"/>
            <w:shd w:fill="FFDCE0" w:val="clear"/>
          </w:tcPr>
          <w:p>
            <w:r>
              <w:rPr>
                <w:sz w:val="17"/>
              </w:rPr>
              <w:t>2,432</w:t>
            </w:r>
          </w:p>
        </w:tc>
        <w:tc>
          <w:tcPr>
            <w:tcW w:type="dxa" w:w="1440"/>
            <w:shd w:fill="FFDCE0" w:val="clear"/>
          </w:tcPr>
          <w:p>
            <w:r>
              <w:rPr>
                <w:b/>
                <w:color w:val="C00000"/>
                <w:sz w:val="17"/>
              </w:rPr>
              <w:t>-8.0%</w:t>
            </w:r>
          </w:p>
        </w:tc>
      </w:tr>
      <w:tr>
        <w:tc>
          <w:tcPr>
            <w:tcW w:type="dxa" w:w="1440"/>
            <w:shd w:fill="FFDCE0" w:val="clear"/>
          </w:tcPr>
          <w:p>
            <w:r>
              <w:rPr>
                <w:sz w:val="17"/>
              </w:rPr>
              <w:t>J+3  Moyenne</w:t>
            </w:r>
          </w:p>
        </w:tc>
        <w:tc>
          <w:tcPr>
            <w:tcW w:type="dxa" w:w="1440"/>
            <w:shd w:fill="FFDCE0" w:val="clear"/>
          </w:tcPr>
          <w:p>
            <w:r>
              <w:rPr>
                <w:sz w:val="17"/>
              </w:rPr>
              <w:t>2026-08-24</w:t>
            </w:r>
          </w:p>
        </w:tc>
        <w:tc>
          <w:tcPr>
            <w:tcW w:type="dxa" w:w="1440"/>
            <w:shd w:fill="FFDCE0" w:val="clear"/>
          </w:tcPr>
          <w:p>
            <w:r>
              <w:rPr>
                <w:sz w:val="17"/>
              </w:rPr>
              <w:t>1,968</w:t>
            </w:r>
          </w:p>
        </w:tc>
        <w:tc>
          <w:tcPr>
            <w:tcW w:type="dxa" w:w="1440"/>
            <w:shd w:fill="FFDCE0" w:val="clear"/>
          </w:tcPr>
          <w:p>
            <w:r>
              <w:rPr>
                <w:b/>
                <w:sz w:val="17"/>
              </w:rPr>
              <w:t>2,213</w:t>
            </w:r>
          </w:p>
        </w:tc>
        <w:tc>
          <w:tcPr>
            <w:tcW w:type="dxa" w:w="1440"/>
            <w:shd w:fill="FFDCE0" w:val="clear"/>
          </w:tcPr>
          <w:p>
            <w:r>
              <w:rPr>
                <w:sz w:val="17"/>
              </w:rPr>
              <w:t>2,459</w:t>
            </w:r>
          </w:p>
        </w:tc>
        <w:tc>
          <w:tcPr>
            <w:tcW w:type="dxa" w:w="1440"/>
            <w:shd w:fill="FFDCE0" w:val="clear"/>
          </w:tcPr>
          <w:p>
            <w:r>
              <w:rPr>
                <w:b/>
                <w:color w:val="C00000"/>
                <w:sz w:val="17"/>
              </w:rPr>
              <w:t>-8.7%</w:t>
            </w:r>
          </w:p>
        </w:tc>
      </w:tr>
      <w:tr>
        <w:tc>
          <w:tcPr>
            <w:tcW w:type="dxa" w:w="1440"/>
            <w:shd w:fill="FFDCE0" w:val="clear"/>
          </w:tcPr>
          <w:p>
            <w:r>
              <w:rPr>
                <w:sz w:val="17"/>
              </w:rPr>
              <w:t>J+4  ⭐</w:t>
            </w:r>
          </w:p>
        </w:tc>
        <w:tc>
          <w:tcPr>
            <w:tcW w:type="dxa" w:w="1440"/>
            <w:shd w:fill="FFDCE0" w:val="clear"/>
          </w:tcPr>
          <w:p>
            <w:r>
              <w:rPr>
                <w:sz w:val="17"/>
              </w:rPr>
              <w:t>2026-08-25</w:t>
            </w:r>
          </w:p>
        </w:tc>
        <w:tc>
          <w:tcPr>
            <w:tcW w:type="dxa" w:w="1440"/>
            <w:shd w:fill="FFDCE0" w:val="clear"/>
          </w:tcPr>
          <w:p>
            <w:r>
              <w:rPr>
                <w:sz w:val="17"/>
              </w:rPr>
              <w:t>1,916</w:t>
            </w:r>
          </w:p>
        </w:tc>
        <w:tc>
          <w:tcPr>
            <w:tcW w:type="dxa" w:w="1440"/>
            <w:shd w:fill="FFDCE0" w:val="clear"/>
          </w:tcPr>
          <w:p>
            <w:r>
              <w:rPr>
                <w:b/>
                <w:sz w:val="17"/>
              </w:rPr>
              <w:t>2,198</w:t>
            </w:r>
          </w:p>
        </w:tc>
        <w:tc>
          <w:tcPr>
            <w:tcW w:type="dxa" w:w="1440"/>
            <w:shd w:fill="FFDCE0" w:val="clear"/>
          </w:tcPr>
          <w:p>
            <w:r>
              <w:rPr>
                <w:sz w:val="17"/>
              </w:rPr>
              <w:t>2,480</w:t>
            </w:r>
          </w:p>
        </w:tc>
        <w:tc>
          <w:tcPr>
            <w:tcW w:type="dxa" w:w="1440"/>
            <w:shd w:fill="FFDCE0" w:val="clear"/>
          </w:tcPr>
          <w:p>
            <w:r>
              <w:rPr>
                <w:b/>
                <w:color w:val="C00000"/>
                <w:sz w:val="17"/>
              </w:rPr>
              <w:t>-9.4%</w:t>
            </w:r>
          </w:p>
        </w:tc>
      </w:tr>
      <w:tr>
        <w:tc>
          <w:tcPr>
            <w:tcW w:type="dxa" w:w="1440"/>
            <w:shd w:fill="FFDCE0" w:val="clear"/>
          </w:tcPr>
          <w:p>
            <w:r>
              <w:rPr>
                <w:sz w:val="17"/>
              </w:rPr>
              <w:t>J+5  ⭐</w:t>
            </w:r>
          </w:p>
        </w:tc>
        <w:tc>
          <w:tcPr>
            <w:tcW w:type="dxa" w:w="1440"/>
            <w:shd w:fill="FFDCE0" w:val="clear"/>
          </w:tcPr>
          <w:p>
            <w:r>
              <w:rPr>
                <w:sz w:val="17"/>
              </w:rPr>
              <w:t>2026-08-27</w:t>
            </w:r>
          </w:p>
        </w:tc>
        <w:tc>
          <w:tcPr>
            <w:tcW w:type="dxa" w:w="1440"/>
            <w:shd w:fill="FFDCE0" w:val="clear"/>
          </w:tcPr>
          <w:p>
            <w:r>
              <w:rPr>
                <w:sz w:val="17"/>
              </w:rPr>
              <w:t>1,871</w:t>
            </w:r>
          </w:p>
        </w:tc>
        <w:tc>
          <w:tcPr>
            <w:tcW w:type="dxa" w:w="1440"/>
            <w:shd w:fill="FFDCE0" w:val="clear"/>
          </w:tcPr>
          <w:p>
            <w:r>
              <w:rPr>
                <w:b/>
                <w:sz w:val="17"/>
              </w:rPr>
              <w:t>2,184</w:t>
            </w:r>
          </w:p>
        </w:tc>
        <w:tc>
          <w:tcPr>
            <w:tcW w:type="dxa" w:w="1440"/>
            <w:shd w:fill="FFDCE0" w:val="clear"/>
          </w:tcPr>
          <w:p>
            <w:r>
              <w:rPr>
                <w:sz w:val="17"/>
              </w:rPr>
              <w:t>2,497</w:t>
            </w:r>
          </w:p>
        </w:tc>
        <w:tc>
          <w:tcPr>
            <w:tcW w:type="dxa" w:w="1440"/>
            <w:shd w:fill="FFDCE0" w:val="clear"/>
          </w:tcPr>
          <w:p>
            <w:r>
              <w:rPr>
                <w:b/>
                <w:color w:val="C00000"/>
                <w:sz w:val="17"/>
              </w:rPr>
              <w:t>-9.9%</w:t>
            </w:r>
          </w:p>
        </w:tc>
      </w:tr>
      <w:tr>
        <w:tc>
          <w:tcPr>
            <w:tcW w:type="dxa" w:w="1440"/>
            <w:shd w:fill="FFDCE0" w:val="clear"/>
          </w:tcPr>
          <w:p>
            <w:r>
              <w:rPr>
                <w:sz w:val="17"/>
              </w:rPr>
              <w:t>J+6  ⭐</w:t>
            </w:r>
          </w:p>
        </w:tc>
        <w:tc>
          <w:tcPr>
            <w:tcW w:type="dxa" w:w="1440"/>
            <w:shd w:fill="FFDCE0" w:val="clear"/>
          </w:tcPr>
          <w:p>
            <w:r>
              <w:rPr>
                <w:sz w:val="17"/>
              </w:rPr>
              <w:t>2026-08-28</w:t>
            </w:r>
          </w:p>
        </w:tc>
        <w:tc>
          <w:tcPr>
            <w:tcW w:type="dxa" w:w="1440"/>
            <w:shd w:fill="FFDCE0" w:val="clear"/>
          </w:tcPr>
          <w:p>
            <w:r>
              <w:rPr>
                <w:sz w:val="17"/>
              </w:rPr>
              <w:t>1,830</w:t>
            </w:r>
          </w:p>
        </w:tc>
        <w:tc>
          <w:tcPr>
            <w:tcW w:type="dxa" w:w="1440"/>
            <w:shd w:fill="FFDCE0" w:val="clear"/>
          </w:tcPr>
          <w:p>
            <w:r>
              <w:rPr>
                <w:b/>
                <w:sz w:val="17"/>
              </w:rPr>
              <w:t>2,171</w:t>
            </w:r>
          </w:p>
        </w:tc>
        <w:tc>
          <w:tcPr>
            <w:tcW w:type="dxa" w:w="1440"/>
            <w:shd w:fill="FFDCE0" w:val="clear"/>
          </w:tcPr>
          <w:p>
            <w:r>
              <w:rPr>
                <w:sz w:val="17"/>
              </w:rPr>
              <w:t>2,513</w:t>
            </w:r>
          </w:p>
        </w:tc>
        <w:tc>
          <w:tcPr>
            <w:tcW w:type="dxa" w:w="1440"/>
            <w:shd w:fill="FFDCE0" w:val="clear"/>
          </w:tcPr>
          <w:p>
            <w:r>
              <w:rPr>
                <w:b/>
                <w:color w:val="C00000"/>
                <w:sz w:val="17"/>
              </w:rPr>
              <w:t>-10.5%</w:t>
            </w:r>
          </w:p>
        </w:tc>
      </w:tr>
      <w:tr>
        <w:tc>
          <w:tcPr>
            <w:tcW w:type="dxa" w:w="1440"/>
            <w:shd w:fill="FFDCE0" w:val="clear"/>
          </w:tcPr>
          <w:p>
            <w:r>
              <w:rPr>
                <w:sz w:val="17"/>
              </w:rPr>
              <w:t>J+7  ⭐</w:t>
            </w:r>
          </w:p>
        </w:tc>
        <w:tc>
          <w:tcPr>
            <w:tcW w:type="dxa" w:w="1440"/>
            <w:shd w:fill="FFDCE0" w:val="clear"/>
          </w:tcPr>
          <w:p>
            <w:r>
              <w:rPr>
                <w:sz w:val="17"/>
              </w:rPr>
              <w:t>2026-08-31</w:t>
            </w:r>
          </w:p>
        </w:tc>
        <w:tc>
          <w:tcPr>
            <w:tcW w:type="dxa" w:w="1440"/>
            <w:shd w:fill="FFDCE0" w:val="clear"/>
          </w:tcPr>
          <w:p>
            <w:r>
              <w:rPr>
                <w:sz w:val="17"/>
              </w:rPr>
              <w:t>1,793</w:t>
            </w:r>
          </w:p>
        </w:tc>
        <w:tc>
          <w:tcPr>
            <w:tcW w:type="dxa" w:w="1440"/>
            <w:shd w:fill="FFDCE0" w:val="clear"/>
          </w:tcPr>
          <w:p>
            <w:r>
              <w:rPr>
                <w:b/>
                <w:sz w:val="17"/>
              </w:rPr>
              <w:t>2,159</w:t>
            </w:r>
          </w:p>
        </w:tc>
        <w:tc>
          <w:tcPr>
            <w:tcW w:type="dxa" w:w="1440"/>
            <w:shd w:fill="FFDCE0" w:val="clear"/>
          </w:tcPr>
          <w:p>
            <w:r>
              <w:rPr>
                <w:sz w:val="17"/>
              </w:rPr>
              <w:t>2,526</w:t>
            </w:r>
          </w:p>
        </w:tc>
        <w:tc>
          <w:tcPr>
            <w:tcW w:type="dxa" w:w="1440"/>
            <w:shd w:fill="FFDCE0" w:val="clear"/>
          </w:tcPr>
          <w:p>
            <w:r>
              <w:rPr>
                <w:b/>
                <w:color w:val="C00000"/>
                <w:sz w:val="17"/>
              </w:rPr>
              <w:t>-11.0%</w:t>
            </w:r>
          </w:p>
        </w:tc>
      </w:tr>
      <w:tr>
        <w:tc>
          <w:tcPr>
            <w:tcW w:type="dxa" w:w="1440"/>
            <w:shd w:fill="FFDCE0" w:val="clear"/>
          </w:tcPr>
          <w:p>
            <w:r>
              <w:rPr>
                <w:sz w:val="17"/>
              </w:rPr>
              <w:t>J+8  ⭐</w:t>
            </w:r>
          </w:p>
        </w:tc>
        <w:tc>
          <w:tcPr>
            <w:tcW w:type="dxa" w:w="1440"/>
            <w:shd w:fill="FFDCE0" w:val="clear"/>
          </w:tcPr>
          <w:p>
            <w:r>
              <w:rPr>
                <w:sz w:val="17"/>
              </w:rPr>
              <w:t>2026-09-01</w:t>
            </w:r>
          </w:p>
        </w:tc>
        <w:tc>
          <w:tcPr>
            <w:tcW w:type="dxa" w:w="1440"/>
            <w:shd w:fill="FFDCE0" w:val="clear"/>
          </w:tcPr>
          <w:p>
            <w:r>
              <w:rPr>
                <w:sz w:val="17"/>
              </w:rPr>
              <w:t>1,758</w:t>
            </w:r>
          </w:p>
        </w:tc>
        <w:tc>
          <w:tcPr>
            <w:tcW w:type="dxa" w:w="1440"/>
            <w:shd w:fill="FFDCE0" w:val="clear"/>
          </w:tcPr>
          <w:p>
            <w:r>
              <w:rPr>
                <w:b/>
                <w:sz w:val="17"/>
              </w:rPr>
              <w:t>2,147</w:t>
            </w:r>
          </w:p>
        </w:tc>
        <w:tc>
          <w:tcPr>
            <w:tcW w:type="dxa" w:w="1440"/>
            <w:shd w:fill="FFDCE0" w:val="clear"/>
          </w:tcPr>
          <w:p>
            <w:r>
              <w:rPr>
                <w:sz w:val="17"/>
              </w:rPr>
              <w:t>2,537</w:t>
            </w:r>
          </w:p>
        </w:tc>
        <w:tc>
          <w:tcPr>
            <w:tcW w:type="dxa" w:w="1440"/>
            <w:shd w:fill="FFDCE0" w:val="clear"/>
          </w:tcPr>
          <w:p>
            <w:r>
              <w:rPr>
                <w:b/>
                <w:color w:val="C00000"/>
                <w:sz w:val="17"/>
              </w:rPr>
              <w:t>-11.5%</w:t>
            </w:r>
          </w:p>
        </w:tc>
      </w:tr>
      <w:tr>
        <w:tc>
          <w:tcPr>
            <w:tcW w:type="dxa" w:w="1440"/>
            <w:shd w:fill="FFDCE0" w:val="clear"/>
          </w:tcPr>
          <w:p>
            <w:r>
              <w:rPr>
                <w:sz w:val="17"/>
              </w:rPr>
              <w:t>J+9  ⭐</w:t>
            </w:r>
          </w:p>
        </w:tc>
        <w:tc>
          <w:tcPr>
            <w:tcW w:type="dxa" w:w="1440"/>
            <w:shd w:fill="FFDCE0" w:val="clear"/>
          </w:tcPr>
          <w:p>
            <w:r>
              <w:rPr>
                <w:sz w:val="17"/>
              </w:rPr>
              <w:t>2026-09-02</w:t>
            </w:r>
          </w:p>
        </w:tc>
        <w:tc>
          <w:tcPr>
            <w:tcW w:type="dxa" w:w="1440"/>
            <w:shd w:fill="FFDCE0" w:val="clear"/>
          </w:tcPr>
          <w:p>
            <w:r>
              <w:rPr>
                <w:sz w:val="17"/>
              </w:rPr>
              <w:t>1,724</w:t>
            </w:r>
          </w:p>
        </w:tc>
        <w:tc>
          <w:tcPr>
            <w:tcW w:type="dxa" w:w="1440"/>
            <w:shd w:fill="FFDCE0" w:val="clear"/>
          </w:tcPr>
          <w:p>
            <w:r>
              <w:rPr>
                <w:b/>
                <w:sz w:val="17"/>
              </w:rPr>
              <w:t>2,135</w:t>
            </w:r>
          </w:p>
        </w:tc>
        <w:tc>
          <w:tcPr>
            <w:tcW w:type="dxa" w:w="1440"/>
            <w:shd w:fill="FFDCE0" w:val="clear"/>
          </w:tcPr>
          <w:p>
            <w:r>
              <w:rPr>
                <w:sz w:val="17"/>
              </w:rPr>
              <w:t>2,546</w:t>
            </w:r>
          </w:p>
        </w:tc>
        <w:tc>
          <w:tcPr>
            <w:tcW w:type="dxa" w:w="1440"/>
            <w:shd w:fill="FFDCE0" w:val="clear"/>
          </w:tcPr>
          <w:p>
            <w:r>
              <w:rPr>
                <w:b/>
                <w:color w:val="C00000"/>
                <w:sz w:val="17"/>
              </w:rPr>
              <w:t>-11.9%</w:t>
            </w:r>
          </w:p>
        </w:tc>
      </w:tr>
      <w:tr>
        <w:tc>
          <w:tcPr>
            <w:tcW w:type="dxa" w:w="1440"/>
            <w:shd w:fill="FFDCE0" w:val="clear"/>
          </w:tcPr>
          <w:p>
            <w:r>
              <w:rPr>
                <w:sz w:val="17"/>
              </w:rPr>
              <w:t>J+10  ⭐</w:t>
            </w:r>
          </w:p>
        </w:tc>
        <w:tc>
          <w:tcPr>
            <w:tcW w:type="dxa" w:w="1440"/>
            <w:shd w:fill="FFDCE0" w:val="clear"/>
          </w:tcPr>
          <w:p>
            <w:r>
              <w:rPr>
                <w:sz w:val="17"/>
              </w:rPr>
              <w:t>2026-09-03</w:t>
            </w:r>
          </w:p>
        </w:tc>
        <w:tc>
          <w:tcPr>
            <w:tcW w:type="dxa" w:w="1440"/>
            <w:shd w:fill="FFDCE0" w:val="clear"/>
          </w:tcPr>
          <w:p>
            <w:r>
              <w:rPr>
                <w:sz w:val="17"/>
              </w:rPr>
              <w:t>1,693</w:t>
            </w:r>
          </w:p>
        </w:tc>
        <w:tc>
          <w:tcPr>
            <w:tcW w:type="dxa" w:w="1440"/>
            <w:shd w:fill="FFDCE0" w:val="clear"/>
          </w:tcPr>
          <w:p>
            <w:r>
              <w:rPr>
                <w:b/>
                <w:sz w:val="17"/>
              </w:rPr>
              <w:t>2,124</w:t>
            </w:r>
          </w:p>
        </w:tc>
        <w:tc>
          <w:tcPr>
            <w:tcW w:type="dxa" w:w="1440"/>
            <w:shd w:fill="FFDCE0" w:val="clear"/>
          </w:tcPr>
          <w:p>
            <w:r>
              <w:rPr>
                <w:sz w:val="17"/>
              </w:rPr>
              <w:t>2,554</w:t>
            </w:r>
          </w:p>
        </w:tc>
        <w:tc>
          <w:tcPr>
            <w:tcW w:type="dxa" w:w="1440"/>
            <w:shd w:fill="FFDCE0" w:val="clear"/>
          </w:tcPr>
          <w:p>
            <w:r>
              <w:rPr>
                <w:b/>
                <w:color w:val="C00000"/>
                <w:sz w:val="17"/>
              </w:rPr>
              <w:t>-12.4%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d'UNXC s'établit à 50,32 milliards FCFA, un niveau qui la positionne comme une valeur de taille moyenne sur la cote de la BRVM, offrant une liquidité potentiellement intéressante pour les investisseurs institutionnels régionaux. Le BPA ressort négatif à -105 FCFA, traduisant une perte nette sur l'exercice 2024, ce qui rend le PER non significatif (-23,0x) et reflète l'incapacité actuelle de la société à générer des bénéfices pour ses actionnaires. En revanche, le P/B de 3,23x indique que le marché valorise l'actif net de la société à plus de trois fois sa valeur comptable, une prime substantielle qui suggère que les investisseurs anticipent un redressement futur et intègrent des actifs stratégiques (comme le foncier ou la marque) non reflétés au bilan. Cette prime de valorisation est risquée dans la mesure où elle repose sur des perspectives de retour à la rentabilité, et non sur des bénéfices actuels. L'absence de données pour l'EV/EBITDA est logique compte tenu du résultat opérationnel négatif, rendant ce ratio inexploitable pour l'instant.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UNXC a enregistré une progression spectaculaire de +16,87%, avec une accélération marquée lors de la dernière séance (+7,30%), portant le cours à 2 425 FCFA, son plus haut niveau sur la période. Le titre a évolué dans une fourchette très large de 1 250 à 2 425 FCFA, soit un quasi-doublement, démontrant un intérêt spéculatif intense. La moyenne (1 870 FCFA) étant inférieure à la médiane (1 900 FCFA) et au mode, la distribution des prix est asymétrique, mais le skewness négatif (-1,164) indique que les fortes hausses récentes sont plus fréquentes que les fortes baisses, confirmant la pression acheteuse. L'écart-type de 178 FCFA (CV de 9,5%) révèle une dispersion modérée autour de la moyenne, mais le kurtosis élevé (3,386) signale un risque de mouvements extrêmes, avec des pics de volatilité imprévisibles. La volatilité annualisée de 51,5% classe UNXC comme une valeur à très haut risque, bien au-delà du seuil de 30%, ce qui exige une grande prudence pour les investisseurs non aguerris.</w:t>
      </w:r>
    </w:p>
    <w:p>
      <w:pPr>
        <w:spacing w:after="120" w:line="276" w:lineRule="auto" w:before="240"/>
      </w:pPr>
      <w:r>
        <w:rPr>
          <w:b/>
          <w:color w:val="003366"/>
          <w:sz w:val="24"/>
        </w:rPr>
        <w:t>**PARTIE 2 : ANALYSE TECHNIQUE DÉTAILLÉE**</w:t>
      </w:r>
    </w:p>
    <w:p>
      <w:pPr>
        <w:spacing w:after="120" w:line="276" w:lineRule="auto"/>
      </w:pPr>
      <w:r>
        <w:t>**Moyennes Mobiles** : Le cours actuel (2 425 FCFA) évolue nettement au-dessus de la MM20 (1 965,75 FCFA) et de la MM50 (1 842,6 FCFA), confirmant une tendance haussière de court et moyen terme. L'écart croissant entre le prix et les moyennes traduit un momentum très fort, mais aussi une possible extension excessive. La décision d'achat est justifiée par la configuration positive, bien que le risque de correction technique augmente.</w:t>
      </w:r>
    </w:p>
    <w:p>
      <w:pPr>
        <w:spacing w:after="120" w:line="276" w:lineRule="auto"/>
      </w:pPr>
      <w:r>
        <w:t>**Bandes de Bollinger** : Le prix a franchi la borne supérieure (2 252,77 FCFA) pour atteindre 2 425 FCFA, signalant une condition de surachat extrême. Cette sortie de canal indique une volatilité en expansion et un mouvement directionnel puissant, mais historiquement, un tel dépassement est souvent suivi d'un retour vers la moyenne. La décision de vente est donc cohérente avec une logique de mean-reversion.</w:t>
      </w:r>
    </w:p>
    <w:p>
      <w:pPr>
        <w:spacing w:after="120" w:line="276" w:lineRule="auto"/>
      </w:pPr>
      <w:r>
        <w:t>**MACD** : Le MACD (112,53) est largement supérieur à sa ligne de signal (68,20), avec un histogramme positif et croissant. Cette configuration confirme la vigueur du momentum haussier et la poursuite de la tendance. La décision d'achat est validée, mais la divergence positive extrême suggère une possible consolidation à court terme.</w:t>
      </w:r>
    </w:p>
    <w:p>
      <w:pPr>
        <w:spacing w:after="120" w:line="276" w:lineRule="auto"/>
      </w:pPr>
      <w:r>
        <w:t>**RSI** : Le RSI à 86,62 est profondément en zone de surachat (au-delà de 70), indiquant que le titre est survendu à la hausse et que la pression acheteuse est excessive. Un tel niveau précède fréquemment un repli technique, car les acheteurs potentiels sont épuisés. La décision de vente est donc pertinente pour un horizon court terme.</w:t>
      </w:r>
    </w:p>
    <w:p>
      <w:pPr>
        <w:spacing w:after="120" w:line="276" w:lineRule="auto"/>
      </w:pPr>
      <w:r>
        <w:t>**Stochastique** : Le %K et le %D sont tous deux à 100, un niveau extrême qui confirme le surachat absolu. Aucun croisement baissier n'est encore intervenu, mais la saturation totale suggère une probabilité élevée de retournement. La décision de vente est justifiée par cette configuration extrême.</w:t>
      </w:r>
    </w:p>
    <w:p>
      <w:pPr>
        <w:spacing w:after="120" w:line="276" w:lineRule="auto"/>
      </w:pPr>
      <w:r>
        <w:t>**Conclusion technique** : L'ensemble des indicateurs de momentum (RSI, Stochastique, Bollinger) signale un surachat sévère, tandis que les moyennes mobiles et le MACD confirment la tendance haussière. Cette divergence entre la force de la tendance et les conditions de surachat indique un risque élevé de correction technique à court terme, mais la tendance de fond reste positive. Un repli vers la zone des 2 200-2 250 FCFA serait sain avant une éventuelle reprise de la hausse.</w:t>
      </w:r>
    </w:p>
    <w:p>
      <w:pPr>
        <w:spacing w:after="120" w:line="276" w:lineRule="auto" w:before="240"/>
      </w:pPr>
      <w:r>
        <w:rPr>
          <w:b/>
          <w:color w:val="003366"/>
          <w:sz w:val="24"/>
        </w:rPr>
        <w:t>**PARTIE 3 : ANALYSE FONDAMENTALE (SECTION CRITIQUE)**</w:t>
      </w:r>
    </w:p>
    <w:p>
      <w:pPr>
        <w:spacing w:after="120" w:line="276" w:lineRule="auto"/>
      </w:pPr>
      <w:r>
        <w:t>En 2024, les données structurées font état d'un chiffre d'affaires de 27,333 milliards FCFA, en croissance de 15,4% par rapport à 2023, mais la société affiche une perte nette de -2,189 milliards FCFA, contre un bénéfice de 4,188 milliards FCFA l'année précédente, selon le rapport annuel 2024. Le ROE est fortement négatif à -14,04% et le ROA à -6,39%, traduisant une destruction de valeur, malgré une autonomie financière correcte (45,53%) et une trésorerie nette positive de 2,495 milliards FCFA. Le BFR de 2,149 milliards FCFA et le délai fournisseurs très élevé (267,82 jours) indiquent une gestion tendue du cycle d'exploitation, avec des stocks immobilisés 254,72 jours. Les rapports trimestriels 2025 (T1, S1, 9 mois) montrent un bénéfice net artificiel de 8,2 milliards FCFA, intégralement dû à la cession-bail du terrain (produit exceptionnel de 9,994 milliards FCFA), masquant un résultat d'exploitation encore déficitaire de -371 millions FCFA sur 9 mois. Cependant, le rapport S1 2026 (publié en 2026) révèle une inflexion majeure : le résultat d'exploitation redevient positif à 771 millions FCFA, contre -314 millions au S1 2025, et le résultat net s'établit à 771 millions FCFA, hors éléments exceptionnels. Le rapport annuel 2025 confirme cette trajectoire avec un EBE positif à 1,13 milliard FCFA et une perte nette réduite à -624 millions FCFA. On estime donc que l'exercice 2026 pourrait marquer le retour à l'équilibre durable, porté par l'amélioration opérationnelle et la réduction de la dette fournisseurs (14,9 à 5,0 milliards FCFA).</w:t>
      </w:r>
    </w:p>
    <w:p>
      <w:pPr>
        <w:spacing w:after="120" w:line="276" w:lineRule="auto" w:before="240"/>
      </w:pPr>
      <w:r>
        <w:rPr>
          <w:b/>
          <w:color w:val="003366"/>
          <w:sz w:val="24"/>
        </w:rPr>
        <w:t>**PARTIE 4 : CONCLUSION D'INVESTISSEMENT**</w:t>
      </w:r>
    </w:p>
    <w:p>
      <w:pPr>
        <w:spacing w:after="120" w:line="276" w:lineRule="auto"/>
      </w:pPr>
      <w:r>
        <w:t>La valorisation d'UNXC est paradoxale : un P/B de 3,23x et un PER négatif indiquent que le marché paie une prime significative pour un titre déficitaire, ce qui constitue un risque de surévaluation si le redressement attendu ne se matérialise pas. Le comportement du cours, avec une hausse de 16,87% et un skewness négatif, montre un momentum haussier puissant mais fragile, amplifié par une volatilité de 51,5% et un kurtosis élevé qui prédisent des chocs possibles. Les signaux techniques sont contradictoires : la tendance (MM, MACD) reste haussière, mais les oscillateurs (RSI, Stochastique, Bollinger) crient au surachat, suggérant une correction imminente. Les fondamentaux, eux, s'améliorent nettement : après une année 2024 difficile, les rapports 2025 et S1 2026 confirment une rentabilité opérationnelle positive et un désendettement réussi, même si la prudence reste de mise sur la durabilité de cette performance. Les prédictions IA (2 243 à 2 184 FCFA sur 10 jours) anticipent un repli de 10% par rapport au cours actuel, corroborant les signaux de surachat technique. En synthèse, la convergence entre la surchauffe technique, la valorisation exigeante et la prédiction IA suggère une consolidation à court terme, mais la trajectoire fondamentale positive plaide pour une accumulation progressive. **Recommandation : CONSERVER**, avec un niveau de confiance **Moyen** et un risque global **Élevé**. L'horizon optimal est le **moyen terme (3-12 mois)**, en attendant la confirmation d'un résultat net annuel positif et une correction technique qui offrirait un point d'entrée plus attractif.</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