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08/08/2026 à 05:20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TTLS  (score 77/100)</w:t>
      </w:r>
    </w:p>
    <w:p>
      <w:pPr>
        <w:spacing w:before="20" w:after="20"/>
        <w:ind w:left="360" w:right="360"/>
        <w:shd w:val="clear" w:color="auto" w:fill="EBF5FB"/>
      </w:pPr>
      <w:r>
        <w:rPr>
          <w:b/>
          <w:sz w:val="19"/>
        </w:rPr>
        <w:t xml:space="preserve">Secteur surperformant :  </w:t>
      </w:r>
      <w:r>
        <w:rPr>
          <w:color w:val="008000"/>
          <w:sz w:val="19"/>
        </w:rPr>
        <w:t>SERVICES PUBLICS  (+52.7%)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485.48 points </w:t>
      </w:r>
      <w:r>
        <w:rPr>
          <w:color w:val="008000"/>
        </w:rPr>
        <w:t>(+0.66%)</w:t>
      </w:r>
      <w:r>
        <w:t xml:space="preserve"> sur la séance. </w:t>
      </w:r>
      <w:r>
        <w:t>La capitalisation globale du marché atteint 18 702,115 milliards FCFA.</w:t>
      </w:r>
    </w:p>
    <w:p/>
    <w:p>
      <w:pPr>
        <w:pStyle w:val="Heading3"/>
      </w:pPr>
      <w:r>
        <w:t>📊 Évolution de l'indice BRVM Composite (100 derniers jours)</w:t>
      </w:r>
    </w:p>
    <w:p>
      <w:r>
        <w:rPr>
          <w:b/>
        </w:rPr>
        <w:t xml:space="preserve">BRVM Composite — </w:t>
      </w:r>
      <w:r>
        <w:t xml:space="preserve">Sur les 99 derniers jours de cotation (2026-03-11 au 2026-08-06), l'indice BRVM Composite a évolué de </w:t>
      </w:r>
      <w:r>
        <w:rPr>
          <w:b/>
          <w:color w:val="008000"/>
        </w:rPr>
        <w:t>+17.13%</w:t>
      </w:r>
      <w:r>
        <w:t>, passant de 414.49 pts à 485.48 pts. Le plus haut atteint est 485.89 pts et le plus bas 397.33 pts. Sur l'ensemble de la période, la moyenne de l'indice s'établit à 433.45 pts, la médiane à 425.54 pts et le mode à 403.36 pts</w:t>
      </w:r>
      <w:r>
        <w:t xml:space="preserve"> (asymétrie positive — plus de jours sous la moyenne). </w:t>
      </w:r>
      <w:r>
        <w:t xml:space="preserve">L'écart-type de 29.94 pts (CV=6.9%) traduit une faible dispersion des cotations. Le kurtosis de -1.23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+17.03%</w:t>
      </w:r>
      <w:r>
        <w:t xml:space="preserve"> sur la période, passant de 15 981,136 Mds FCFA à 18 702,115 Mds FCFA. Le pic de capitalisation observé est de 18 718,133 Mds FCFA et le plancher de 15 319,235 Mds FCFA. La moyenne de la capitalisation sur la période s'établit à 16 704,846 Mds FCFA, la médiane à 16 404,333 Mds FCFA et le mode à 15 319,235 Mds FCFA</w:t>
      </w:r>
      <w:r>
        <w:t xml:space="preserve"> (asymétrie positive). </w:t>
      </w:r>
      <w:r>
        <w:t>L'écart-type de 1 147,899 Mds FCFA (CV=6.9%) reflète une faible variabilité de la valorisation du marché. Le kurtosis de -1.22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3010 FCFA | </w:t>
      </w:r>
      <w:r>
        <w:rPr>
          <w:b/>
          <w:color w:val="008000"/>
        </w:rPr>
        <w:t>ACHAT</w:t>
      </w:r>
      <w:r>
        <w:t xml:space="preserve"> | Confiance: Faible | Risque: Moyen</w:t>
      </w:r>
    </w:p>
    <w:p>
      <w:pPr>
        <w:pStyle w:val="ListNumber"/>
      </w:pPr>
      <w:r>
        <w:rPr>
          <w:b/>
        </w:rPr>
        <w:t>BICB - BIIC BN - Banque internationale pour le commerce du benin</w:t>
      </w:r>
      <w:r>
        <w:t xml:space="preserve"> | Prix: 7595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29100 FCFA | </w:t>
      </w:r>
      <w:r>
        <w:rPr>
          <w:b/>
          <w:color w:val="008000"/>
        </w:rPr>
        <w:t>ACHAT</w:t>
      </w:r>
      <w:r>
        <w:t xml:space="preserve"> | Confiance: Faible | Risque: Moyen</w:t>
      </w:r>
    </w:p>
    <w:p>
      <w:pPr>
        <w:pStyle w:val="ListNumber"/>
      </w:pPr>
      <w:r>
        <w:rPr>
          <w:b/>
        </w:rPr>
        <w:t>BNBC - BNBC - BERNABE CI</w:t>
      </w:r>
      <w:r>
        <w:t xml:space="preserve"> | Prix: 1900 FCFA | </w:t>
      </w:r>
      <w:r>
        <w:rPr>
          <w:b/>
          <w:color w:val="008000"/>
        </w:rPr>
        <w:t>ACHAT</w:t>
      </w:r>
      <w:r>
        <w:t xml:space="preserve"> | Confiance: Moyen | Risque: Moyen</w:t>
      </w:r>
    </w:p>
    <w:p>
      <w:pPr>
        <w:pStyle w:val="ListNumber"/>
      </w:pPr>
      <w:r>
        <w:rPr>
          <w:b/>
        </w:rPr>
        <w:t>BOAB - BANK OF AFRICA BENIN</w:t>
      </w:r>
      <w:r>
        <w:t xml:space="preserve"> | Prix: 8710 FCFA | </w:t>
      </w:r>
      <w:r>
        <w:rPr>
          <w:b/>
          <w:color w:val="008000"/>
        </w:rPr>
        <w:t>ACHAT</w:t>
      </w:r>
      <w:r>
        <w:t xml:space="preserve"> | Confiance: Faible | Risque: Moyen</w:t>
      </w:r>
    </w:p>
    <w:p>
      <w:pPr>
        <w:pStyle w:val="ListNumber"/>
      </w:pPr>
      <w:r>
        <w:rPr>
          <w:b/>
        </w:rPr>
        <w:t>BOABF - BANK OF AFRICA BURKINA FASO</w:t>
      </w:r>
      <w:r>
        <w:t xml:space="preserve"> | Prix: 7230 FCFA | </w:t>
      </w:r>
      <w:r>
        <w:rPr>
          <w:b/>
          <w:color w:val="008000"/>
        </w:rPr>
        <w:t>ACHAT</w:t>
      </w:r>
      <w:r>
        <w:t xml:space="preserve"> | Confiance: Faible | Risque: Faible</w:t>
      </w:r>
    </w:p>
    <w:p>
      <w:pPr>
        <w:pStyle w:val="ListNumber"/>
      </w:pPr>
      <w:r>
        <w:rPr>
          <w:b/>
        </w:rPr>
        <w:t>BOAC - BANK OF AFRICA COTE D'IVOIRE</w:t>
      </w:r>
      <w:r>
        <w:t xml:space="preserve"> | Prix: 11600 FCFA | </w:t>
      </w:r>
      <w:r>
        <w:rPr>
          <w:b/>
          <w:color w:val="008000"/>
        </w:rPr>
        <w:t>ACHAT</w:t>
      </w:r>
      <w:r>
        <w:t xml:space="preserve"> | Confiance: Moyen | Risque: Faible</w:t>
      </w:r>
    </w:p>
    <w:p>
      <w:pPr>
        <w:pStyle w:val="ListNumber"/>
      </w:pPr>
      <w:r>
        <w:rPr>
          <w:b/>
        </w:rPr>
        <w:t>BOAM - BANK OF AFRICA MALI</w:t>
      </w:r>
      <w:r>
        <w:t xml:space="preserve"> | Prix: 5590 FCFA | </w:t>
      </w:r>
      <w:r>
        <w:rPr>
          <w:b/>
          <w:color w:val="008000"/>
        </w:rPr>
        <w:t>ACHAT</w:t>
      </w:r>
      <w:r>
        <w:t xml:space="preserve"> | Confiance: Moyen | Risque: Faible</w:t>
      </w:r>
    </w:p>
    <w:p>
      <w:pPr>
        <w:pStyle w:val="ListNumber"/>
      </w:pPr>
      <w:r>
        <w:rPr>
          <w:b/>
        </w:rPr>
        <w:t>BOAN - BANK OF AFRICA NIGER</w:t>
      </w:r>
      <w:r>
        <w:t xml:space="preserve"> | Prix: 5200 FCFA | </w:t>
      </w:r>
      <w:r>
        <w:rPr>
          <w:b/>
          <w:color w:val="008000"/>
        </w:rPr>
        <w:t>ACHAT</w:t>
      </w:r>
      <w:r>
        <w:t xml:space="preserve"> | Confiance: Moyen | Risque: Moyen</w:t>
      </w:r>
    </w:p>
    <w:p>
      <w:pPr>
        <w:pStyle w:val="ListNumber"/>
      </w:pPr>
      <w:r>
        <w:rPr>
          <w:b/>
        </w:rPr>
        <w:t>BOAS - BANK OF AFRICA SENEGAL</w:t>
      </w:r>
      <w:r>
        <w:t xml:space="preserve"> | Prix: 7710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SPHC - SPHC - Société Africaine de Plantation d'Hévéas de Côte d'Ivoire</w:t>
      </w:r>
      <w:r>
        <w:t xml:space="preserve"> | Prix: 7600 FCFA | </w:t>
      </w:r>
      <w:r>
        <w:rPr>
          <w:b/>
          <w:color w:val="C00000"/>
        </w:rPr>
        <w:t>CONSERVER ⚠️</w:t>
      </w:r>
      <w:r>
        <w:t xml:space="preserve"> | Confiance: Moyen | Risque: Moyen</w:t>
      </w:r>
    </w:p>
    <w:p>
      <w:pPr>
        <w:pStyle w:val="ListNumber"/>
      </w:pPr>
      <w:r>
        <w:rPr>
          <w:b/>
        </w:rPr>
        <w:t>FTSC - FTSC - FILTISAC COTE D'IVOIRE</w:t>
      </w:r>
      <w:r>
        <w:t xml:space="preserve"> | Prix: 2000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52.74%</w:t>
      </w:r>
      <w:r>
        <w:t xml:space="preserve">  |  </w:t>
      </w:r>
      <w:r>
        <w:rPr>
          <w:b/>
        </w:rPr>
        <w:t xml:space="preserve">vs BRVM Composite: </w:t>
      </w:r>
      <w:r>
        <w:rPr>
          <w:b/>
          <w:color w:val="008000"/>
        </w:rPr>
        <w:t>+35.61%  🟢 Surperformance</w:t>
      </w:r>
      <w:r>
        <w:br/>
      </w:r>
      <w:r>
        <w:rPr>
          <w:b/>
        </w:rPr>
        <w:t xml:space="preserve">Sentiment général: </w:t>
      </w:r>
      <w:r>
        <w:t xml:space="preserve">ACHAT  |  </w:t>
      </w:r>
      <w:r>
        <w:rPr>
          <w:b/>
        </w:rPr>
        <w:t xml:space="preserve">Risque moyen: </w:t>
      </w:r>
      <w:r>
        <w:t xml:space="preserve">Moyen  |  </w:t>
      </w:r>
      <w:r>
        <w:rPr>
          <w:b/>
        </w:rPr>
        <w:t xml:space="preserve">Prix moyen: </w:t>
      </w:r>
      <w:r>
        <w:t>8460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32.77%</w:t>
      </w:r>
      <w:r>
        <w:t xml:space="preserve">  |  </w:t>
      </w:r>
      <w:r>
        <w:rPr>
          <w:b/>
        </w:rPr>
        <w:t xml:space="preserve">vs BRVM Composite: </w:t>
      </w:r>
      <w:r>
        <w:rPr>
          <w:b/>
          <w:color w:val="008000"/>
        </w:rPr>
        <w:t>+15.65%  🟢 Surperformance</w:t>
      </w:r>
      <w:r>
        <w:br/>
      </w:r>
      <w:r>
        <w:rPr>
          <w:b/>
        </w:rPr>
        <w:t xml:space="preserve">Sentiment général: </w:t>
      </w:r>
      <w:r>
        <w:t xml:space="preserve">ACHAT  |  </w:t>
      </w:r>
      <w:r>
        <w:rPr>
          <w:b/>
        </w:rPr>
        <w:t xml:space="preserve">Risque moyen: </w:t>
      </w:r>
      <w:r>
        <w:t xml:space="preserve">Faible  |  </w:t>
      </w:r>
      <w:r>
        <w:rPr>
          <w:b/>
        </w:rPr>
        <w:t xml:space="preserve">Prix moyen: </w:t>
      </w:r>
      <w:r>
        <w:t>12908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23.86%</w:t>
      </w:r>
      <w:r>
        <w:t xml:space="preserve">  |  </w:t>
      </w:r>
      <w:r>
        <w:rPr>
          <w:b/>
        </w:rPr>
        <w:t xml:space="preserve">vs BRVM Composite: </w:t>
      </w:r>
      <w:r>
        <w:rPr>
          <w:b/>
          <w:color w:val="008000"/>
        </w:rPr>
        <w:t>+6.73%  🟢 Surperformance</w:t>
      </w:r>
      <w:r>
        <w:br/>
      </w:r>
      <w:r>
        <w:rPr>
          <w:b/>
        </w:rPr>
        <w:t xml:space="preserve">Sentiment général: </w:t>
      </w:r>
      <w:r>
        <w:t xml:space="preserve">ACHAT  |  </w:t>
      </w:r>
      <w:r>
        <w:rPr>
          <w:b/>
        </w:rPr>
        <w:t xml:space="preserve">Risque moyen: </w:t>
      </w:r>
      <w:r>
        <w:t xml:space="preserve">Moyen  |  </w:t>
      </w:r>
      <w:r>
        <w:rPr>
          <w:b/>
        </w:rPr>
        <w:t xml:space="preserve">Prix moyen: </w:t>
      </w:r>
      <w:r>
        <w:t>18721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8.02%</w:t>
      </w:r>
      <w:r>
        <w:t xml:space="preserve">  |  </w:t>
      </w:r>
      <w:r>
        <w:rPr>
          <w:b/>
        </w:rPr>
        <w:t xml:space="preserve">vs BRVM Composite: </w:t>
      </w:r>
      <w:r>
        <w:rPr>
          <w:b/>
          <w:color w:val="C00000"/>
        </w:rPr>
        <w:t>-9.11%  🔴 Sous-performance</w:t>
      </w:r>
      <w:r>
        <w:br/>
      </w:r>
      <w:r>
        <w:rPr>
          <w:b/>
        </w:rPr>
        <w:t xml:space="preserve">Sentiment général: </w:t>
      </w:r>
      <w:r>
        <w:t xml:space="preserve">ACHAT  |  </w:t>
      </w:r>
      <w:r>
        <w:rPr>
          <w:b/>
        </w:rPr>
        <w:t xml:space="preserve">Risque moyen: </w:t>
      </w:r>
      <w:r>
        <w:t xml:space="preserve">Moyen  |  </w:t>
      </w:r>
      <w:r>
        <w:rPr>
          <w:b/>
        </w:rPr>
        <w:t xml:space="preserve">Prix moyen: </w:t>
      </w:r>
      <w:r>
        <w:t>6286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5.50%</w:t>
      </w:r>
      <w:r>
        <w:t xml:space="preserve">  |  </w:t>
      </w:r>
      <w:r>
        <w:rPr>
          <w:b/>
        </w:rPr>
        <w:t xml:space="preserve">vs BRVM Composite: </w:t>
      </w:r>
      <w:r>
        <w:rPr>
          <w:b/>
          <w:color w:val="C00000"/>
        </w:rPr>
        <w:t>-11.63%  🔴 Sous-performance</w:t>
      </w:r>
      <w:r>
        <w:br/>
      </w:r>
      <w:r>
        <w:rPr>
          <w:b/>
        </w:rPr>
        <w:t xml:space="preserve">Sentiment général: </w:t>
      </w:r>
      <w:r>
        <w:t xml:space="preserve">ACHAT  |  </w:t>
      </w:r>
      <w:r>
        <w:rPr>
          <w:b/>
        </w:rPr>
        <w:t xml:space="preserve">Risque moyen: </w:t>
      </w:r>
      <w:r>
        <w:t xml:space="preserve">Faible  |  </w:t>
      </w:r>
      <w:r>
        <w:rPr>
          <w:b/>
        </w:rPr>
        <w:t xml:space="preserve">Prix moyen: </w:t>
      </w:r>
      <w:r>
        <w:t>17038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4.81%</w:t>
      </w:r>
      <w:r>
        <w:t xml:space="preserve">  |  </w:t>
      </w:r>
      <w:r>
        <w:rPr>
          <w:b/>
        </w:rPr>
        <w:t xml:space="preserve">vs BRVM Composite: </w:t>
      </w:r>
      <w:r>
        <w:rPr>
          <w:b/>
          <w:color w:val="C00000"/>
        </w:rPr>
        <w:t>-12.32%  🔴 Sous-performance</w:t>
      </w:r>
      <w:r>
        <w:br/>
      </w:r>
      <w:r>
        <w:rPr>
          <w:b/>
        </w:rPr>
        <w:t xml:space="preserve">Sentiment général: </w:t>
      </w:r>
      <w:r>
        <w:t xml:space="preserve">ACHAT  |  </w:t>
      </w:r>
      <w:r>
        <w:rPr>
          <w:b/>
        </w:rPr>
        <w:t xml:space="preserve">Risque moyen: </w:t>
      </w:r>
      <w:r>
        <w:t xml:space="preserve">Moyen  |  </w:t>
      </w:r>
      <w:r>
        <w:rPr>
          <w:b/>
        </w:rPr>
        <w:t xml:space="preserve">Prix moyen: </w:t>
      </w:r>
      <w:r>
        <w:t>2772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-6.40%</w:t>
      </w:r>
      <w:r>
        <w:t xml:space="preserve">  |  </w:t>
      </w:r>
      <w:r>
        <w:rPr>
          <w:b/>
        </w:rPr>
        <w:t xml:space="preserve">vs BRVM Composite: </w:t>
      </w:r>
      <w:r>
        <w:rPr>
          <w:b/>
          <w:color w:val="C00000"/>
        </w:rPr>
        <w:t>-23.52%  🔴 Sous-performance</w:t>
      </w:r>
      <w:r>
        <w:br/>
      </w:r>
      <w:r>
        <w:rPr>
          <w:b/>
        </w:rPr>
        <w:t xml:space="preserve">Sentiment général: </w:t>
      </w:r>
      <w:r>
        <w:t xml:space="preserve">ACHAT  |  </w:t>
      </w:r>
      <w:r>
        <w:rPr>
          <w:b/>
        </w:rPr>
        <w:t xml:space="preserve">Risque moyen: </w:t>
      </w:r>
      <w:r>
        <w:t xml:space="preserve">Moyen  |  </w:t>
      </w:r>
      <w:r>
        <w:rPr>
          <w:b/>
        </w:rPr>
        <w:t xml:space="preserve">Prix moyen: </w:t>
      </w:r>
      <w:r>
        <w:t>2388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CIEC, ETIT, NEIC, PALC, SCRC, SHEC, SIBC, SIVC, STBC,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BOAC, BOAM, BOAN, BOAS, LNBB, NSBC, ORAC, ORGT, PRSC, SAFC, SDSC, SICC, SNTS, STAC,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BICC, BOAB, BOABF, CABC, CBIBF, CFAC, ECOC, NTLC, ONTBF, SDCC, SEMC, SGBC, SLBC, SMBC, SOGC</w:t>
            </w:r>
          </w:p>
        </w:tc>
        <w:tc>
          <w:tcPr>
            <w:tcW w:type="dxa" w:w="2160"/>
            <w:shd w:fill="FFC7CE" w:val="clear"/>
          </w:tcPr>
          <w:p>
            <w:pPr>
              <w:spacing w:before="40" w:after="40"/>
            </w:pPr>
            <w:r/>
            <w:r>
              <w:rPr>
                <w:b w:val="0"/>
                <w:sz w:val="16"/>
              </w:rPr>
              <w:t>FTSC, SPHC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2536843</w:t>
            </w:r>
          </w:p>
        </w:tc>
        <w:tc>
          <w:tcPr>
            <w:tcW w:type="dxa" w:w="1728"/>
          </w:tcPr>
          <w:p>
            <w:r>
              <w:t>173907246 FCFA</w:t>
            </w:r>
          </w:p>
        </w:tc>
        <w:tc>
          <w:tcPr>
            <w:tcW w:type="dxa" w:w="1728"/>
          </w:tcPr>
          <w:p>
            <w:r>
              <w:t>103.12%</w:t>
            </w:r>
          </w:p>
        </w:tc>
        <w:tc>
          <w:tcPr>
            <w:tcW w:type="dxa" w:w="1728"/>
          </w:tcPr>
          <w:p>
            <w:r>
              <w:t>ACHAT</w:t>
            </w:r>
          </w:p>
        </w:tc>
      </w:tr>
      <w:tr>
        <w:tc>
          <w:tcPr>
            <w:tcW w:type="dxa" w:w="1728"/>
          </w:tcPr>
          <w:p>
            <w:r>
              <w:t>SDSC (SDSC - AFRICA GLOBAL LOGISTICS CI)</w:t>
            </w:r>
          </w:p>
        </w:tc>
        <w:tc>
          <w:tcPr>
            <w:tcW w:type="dxa" w:w="1728"/>
          </w:tcPr>
          <w:p>
            <w:r>
              <w:t>16560</w:t>
            </w:r>
          </w:p>
        </w:tc>
        <w:tc>
          <w:tcPr>
            <w:tcW w:type="dxa" w:w="1728"/>
          </w:tcPr>
          <w:p>
            <w:r>
              <w:t>41676252 FCFA</w:t>
            </w:r>
          </w:p>
        </w:tc>
        <w:tc>
          <w:tcPr>
            <w:tcW w:type="dxa" w:w="1728"/>
          </w:tcPr>
          <w:p>
            <w:r>
              <w:t>21.63%</w:t>
            </w:r>
          </w:p>
        </w:tc>
        <w:tc>
          <w:tcPr>
            <w:tcW w:type="dxa" w:w="1728"/>
          </w:tcPr>
          <w:p>
            <w:r>
              <w:t>ACHAT</w:t>
            </w:r>
          </w:p>
        </w:tc>
      </w:tr>
      <w:tr>
        <w:tc>
          <w:tcPr>
            <w:tcW w:type="dxa" w:w="1728"/>
          </w:tcPr>
          <w:p>
            <w:r>
              <w:t>SNTS (SNTS - SONATEL SN)</w:t>
            </w:r>
          </w:p>
        </w:tc>
        <w:tc>
          <w:tcPr>
            <w:tcW w:type="dxa" w:w="1728"/>
          </w:tcPr>
          <w:p>
            <w:r>
              <w:t>12774</w:t>
            </w:r>
          </w:p>
        </w:tc>
        <w:tc>
          <w:tcPr>
            <w:tcW w:type="dxa" w:w="1728"/>
          </w:tcPr>
          <w:p>
            <w:r>
              <w:t>397741221 FCFA</w:t>
            </w:r>
          </w:p>
        </w:tc>
        <w:tc>
          <w:tcPr>
            <w:tcW w:type="dxa" w:w="1728"/>
          </w:tcPr>
          <w:p>
            <w:r>
              <w:t>6.90%</w:t>
            </w:r>
          </w:p>
        </w:tc>
        <w:tc>
          <w:tcPr>
            <w:tcW w:type="dxa" w:w="1728"/>
          </w:tcPr>
          <w:p>
            <w:r>
              <w:t>ACHAT</w:t>
            </w:r>
          </w:p>
        </w:tc>
      </w:tr>
      <w:tr>
        <w:tc>
          <w:tcPr>
            <w:tcW w:type="dxa" w:w="1728"/>
          </w:tcPr>
          <w:p>
            <w:r>
              <w:t>UNXC (UNXC - UNIWAX COTE D'IVOIRE)</w:t>
            </w:r>
          </w:p>
        </w:tc>
        <w:tc>
          <w:tcPr>
            <w:tcW w:type="dxa" w:w="1728"/>
          </w:tcPr>
          <w:p>
            <w:r>
              <w:t>12600</w:t>
            </w:r>
          </w:p>
        </w:tc>
        <w:tc>
          <w:tcPr>
            <w:tcW w:type="dxa" w:w="1728"/>
          </w:tcPr>
          <w:p>
            <w:r>
              <w:t>21605605 FCFA</w:t>
            </w:r>
          </w:p>
        </w:tc>
        <w:tc>
          <w:tcPr>
            <w:tcW w:type="dxa" w:w="1728"/>
          </w:tcPr>
          <w:p>
            <w:r>
              <w:t>-9.52%</w:t>
            </w:r>
          </w:p>
        </w:tc>
        <w:tc>
          <w:tcPr>
            <w:tcW w:type="dxa" w:w="1728"/>
          </w:tcPr>
          <w:p>
            <w:r>
              <w:t>ACHAT</w:t>
            </w:r>
          </w:p>
        </w:tc>
      </w:tr>
      <w:tr>
        <w:tc>
          <w:tcPr>
            <w:tcW w:type="dxa" w:w="1728"/>
          </w:tcPr>
          <w:p>
            <w:r>
              <w:t>SIBC (SIBC - SOCIETE IVOIRIENNE DE BANQUE)</w:t>
            </w:r>
          </w:p>
        </w:tc>
        <w:tc>
          <w:tcPr>
            <w:tcW w:type="dxa" w:w="1728"/>
          </w:tcPr>
          <w:p>
            <w:r>
              <w:t>9480</w:t>
            </w:r>
          </w:p>
        </w:tc>
        <w:tc>
          <w:tcPr>
            <w:tcW w:type="dxa" w:w="1728"/>
          </w:tcPr>
          <w:p>
            <w:r>
              <w:t>84381956 FCFA</w:t>
            </w:r>
          </w:p>
        </w:tc>
        <w:tc>
          <w:tcPr>
            <w:tcW w:type="dxa" w:w="1728"/>
          </w:tcPr>
          <w:p>
            <w:r>
              <w:t>30.99%</w:t>
            </w:r>
          </w:p>
        </w:tc>
        <w:tc>
          <w:tcPr>
            <w:tcW w:type="dxa" w:w="1728"/>
          </w:tcPr>
          <w:p>
            <w:r>
              <w:t>ACHAT</w:t>
            </w:r>
          </w:p>
        </w:tc>
      </w:tr>
      <w:tr>
        <w:tc>
          <w:tcPr>
            <w:tcW w:type="dxa" w:w="1728"/>
          </w:tcPr>
          <w:p>
            <w:r>
              <w:t>BOAS (BANK OF AFRICA SENEGAL)</w:t>
            </w:r>
          </w:p>
        </w:tc>
        <w:tc>
          <w:tcPr>
            <w:tcW w:type="dxa" w:w="1728"/>
          </w:tcPr>
          <w:p>
            <w:r>
              <w:t>9467</w:t>
            </w:r>
          </w:p>
        </w:tc>
        <w:tc>
          <w:tcPr>
            <w:tcW w:type="dxa" w:w="1728"/>
          </w:tcPr>
          <w:p>
            <w:r>
              <w:t>70344027 FCFA</w:t>
            </w:r>
          </w:p>
        </w:tc>
        <w:tc>
          <w:tcPr>
            <w:tcW w:type="dxa" w:w="1728"/>
          </w:tcPr>
          <w:p>
            <w:r>
              <w:t>10.14%</w:t>
            </w:r>
          </w:p>
        </w:tc>
        <w:tc>
          <w:tcPr>
            <w:tcW w:type="dxa" w:w="1728"/>
          </w:tcPr>
          <w:p>
            <w:r>
              <w:t>ACHAT</w:t>
            </w:r>
          </w:p>
        </w:tc>
      </w:tr>
      <w:tr>
        <w:tc>
          <w:tcPr>
            <w:tcW w:type="dxa" w:w="1728"/>
          </w:tcPr>
          <w:p>
            <w:r>
              <w:t>ONTBF (ONTBF - ONATEL BURKINA FASO)</w:t>
            </w:r>
          </w:p>
        </w:tc>
        <w:tc>
          <w:tcPr>
            <w:tcW w:type="dxa" w:w="1728"/>
          </w:tcPr>
          <w:p>
            <w:r>
              <w:t>8464</w:t>
            </w:r>
          </w:p>
        </w:tc>
        <w:tc>
          <w:tcPr>
            <w:tcW w:type="dxa" w:w="1728"/>
          </w:tcPr>
          <w:p>
            <w:r>
              <w:t>23206507 FCFA</w:t>
            </w:r>
          </w:p>
        </w:tc>
        <w:tc>
          <w:tcPr>
            <w:tcW w:type="dxa" w:w="1728"/>
          </w:tcPr>
          <w:p>
            <w:r>
              <w:t>-2.65%</w:t>
            </w:r>
          </w:p>
        </w:tc>
        <w:tc>
          <w:tcPr>
            <w:tcW w:type="dxa" w:w="1728"/>
          </w:tcPr>
          <w:p>
            <w:r>
              <w:t>ACHAT</w:t>
            </w:r>
          </w:p>
        </w:tc>
      </w:tr>
      <w:tr>
        <w:tc>
          <w:tcPr>
            <w:tcW w:type="dxa" w:w="1728"/>
          </w:tcPr>
          <w:p>
            <w:r>
              <w:t>BICB (BIIC BN - Banque internationale pour le commerce du benin)</w:t>
            </w:r>
          </w:p>
        </w:tc>
        <w:tc>
          <w:tcPr>
            <w:tcW w:type="dxa" w:w="1728"/>
          </w:tcPr>
          <w:p>
            <w:r>
              <w:t>8184</w:t>
            </w:r>
          </w:p>
        </w:tc>
        <w:tc>
          <w:tcPr>
            <w:tcW w:type="dxa" w:w="1728"/>
          </w:tcPr>
          <w:p>
            <w:r>
              <w:t>58751867 FCFA</w:t>
            </w:r>
          </w:p>
        </w:tc>
        <w:tc>
          <w:tcPr>
            <w:tcW w:type="dxa" w:w="1728"/>
          </w:tcPr>
          <w:p>
            <w:r>
              <w:t>46.06%</w:t>
            </w:r>
          </w:p>
        </w:tc>
        <w:tc>
          <w:tcPr>
            <w:tcW w:type="dxa" w:w="1728"/>
          </w:tcPr>
          <w:p>
            <w:r>
              <w:t>ACHAT</w:t>
            </w:r>
          </w:p>
        </w:tc>
      </w:tr>
      <w:tr>
        <w:tc>
          <w:tcPr>
            <w:tcW w:type="dxa" w:w="1728"/>
          </w:tcPr>
          <w:p>
            <w:r>
              <w:t>SCRC (SCRC - SUCRIVOIRE)</w:t>
            </w:r>
          </w:p>
        </w:tc>
        <w:tc>
          <w:tcPr>
            <w:tcW w:type="dxa" w:w="1728"/>
          </w:tcPr>
          <w:p>
            <w:r>
              <w:t>7988</w:t>
            </w:r>
          </w:p>
        </w:tc>
        <w:tc>
          <w:tcPr>
            <w:tcW w:type="dxa" w:w="1728"/>
          </w:tcPr>
          <w:p>
            <w:r>
              <w:t>28725728 FCFA</w:t>
            </w:r>
          </w:p>
        </w:tc>
        <w:tc>
          <w:tcPr>
            <w:tcW w:type="dxa" w:w="1728"/>
          </w:tcPr>
          <w:p>
            <w:r>
              <w:t>135.88%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PALC (PALC - PALM COTE D'IVOIRE)</w:t>
            </w:r>
          </w:p>
        </w:tc>
        <w:tc>
          <w:tcPr>
            <w:tcW w:type="dxa" w:w="1728"/>
          </w:tcPr>
          <w:p>
            <w:r>
              <w:t>3290</w:t>
            </w:r>
          </w:p>
        </w:tc>
        <w:tc>
          <w:tcPr>
            <w:tcW w:type="dxa" w:w="1728"/>
          </w:tcPr>
          <w:p>
            <w:r>
              <w:t>28964706 FCFA</w:t>
            </w:r>
          </w:p>
        </w:tc>
        <w:tc>
          <w:tcPr>
            <w:tcW w:type="dxa" w:w="1728"/>
          </w:tcPr>
          <w:p>
            <w:r>
              <w:t>-4.52%</w:t>
            </w:r>
          </w:p>
        </w:tc>
        <w:tc>
          <w:tcPr>
            <w:tcW w:type="dxa" w:w="1728"/>
          </w:tcPr>
          <w:p>
            <w:r>
              <w:t>ACHAT</w:t>
            </w:r>
          </w:p>
        </w:tc>
      </w:tr>
      <w:tr>
        <w:tc>
          <w:tcPr>
            <w:tcW w:type="dxa" w:w="1728"/>
          </w:tcPr>
          <w:p>
            <w:r>
              <w:t>STBC (STBC - SITAB COTE D'IVOIRE)</w:t>
            </w:r>
          </w:p>
        </w:tc>
        <w:tc>
          <w:tcPr>
            <w:tcW w:type="dxa" w:w="1728"/>
          </w:tcPr>
          <w:p>
            <w:r>
              <w:t>3260</w:t>
            </w:r>
          </w:p>
        </w:tc>
        <w:tc>
          <w:tcPr>
            <w:tcW w:type="dxa" w:w="1728"/>
          </w:tcPr>
          <w:p>
            <w:r>
              <w:t>76873626 FCFA</w:t>
            </w:r>
          </w:p>
        </w:tc>
        <w:tc>
          <w:tcPr>
            <w:tcW w:type="dxa" w:w="1728"/>
          </w:tcPr>
          <w:p>
            <w:r>
              <w:t>15.65%</w:t>
            </w:r>
          </w:p>
        </w:tc>
        <w:tc>
          <w:tcPr>
            <w:tcW w:type="dxa" w:w="1728"/>
          </w:tcPr>
          <w:p>
            <w:r>
              <w:t>ACHAT</w:t>
            </w:r>
          </w:p>
        </w:tc>
      </w:tr>
      <w:tr>
        <w:tc>
          <w:tcPr>
            <w:tcW w:type="dxa" w:w="1728"/>
          </w:tcPr>
          <w:p>
            <w:r>
              <w:t>SOGC (SOGC - Société des caoutchoucs de Grand-Béréby)</w:t>
            </w:r>
          </w:p>
        </w:tc>
        <w:tc>
          <w:tcPr>
            <w:tcW w:type="dxa" w:w="1728"/>
          </w:tcPr>
          <w:p>
            <w:r>
              <w:t>3203</w:t>
            </w:r>
          </w:p>
        </w:tc>
        <w:tc>
          <w:tcPr>
            <w:tcW w:type="dxa" w:w="1728"/>
          </w:tcPr>
          <w:p>
            <w:r>
              <w:t>26202806 FCFA</w:t>
            </w:r>
          </w:p>
        </w:tc>
        <w:tc>
          <w:tcPr>
            <w:tcW w:type="dxa" w:w="1728"/>
          </w:tcPr>
          <w:p>
            <w:r>
              <w:t>-8.06%</w:t>
            </w:r>
          </w:p>
        </w:tc>
        <w:tc>
          <w:tcPr>
            <w:tcW w:type="dxa" w:w="1728"/>
          </w:tcPr>
          <w:p>
            <w:r>
              <w:t>ACHAT</w:t>
            </w:r>
          </w:p>
        </w:tc>
      </w:tr>
      <w:tr>
        <w:tc>
          <w:tcPr>
            <w:tcW w:type="dxa" w:w="1728"/>
          </w:tcPr>
          <w:p>
            <w:r>
              <w:t>LNBB (LNBB - LOTERIE NATIONALE DU BENIN)</w:t>
            </w:r>
          </w:p>
        </w:tc>
        <w:tc>
          <w:tcPr>
            <w:tcW w:type="dxa" w:w="1728"/>
          </w:tcPr>
          <w:p>
            <w:r>
              <w:t>3186</w:t>
            </w:r>
          </w:p>
        </w:tc>
        <w:tc>
          <w:tcPr>
            <w:tcW w:type="dxa" w:w="1728"/>
          </w:tcPr>
          <w:p>
            <w:r>
              <w:t>13797167 FCFA</w:t>
            </w:r>
          </w:p>
        </w:tc>
        <w:tc>
          <w:tcPr>
            <w:tcW w:type="dxa" w:w="1728"/>
          </w:tcPr>
          <w:p>
            <w:r>
              <w:t>10.26%</w:t>
            </w:r>
          </w:p>
        </w:tc>
        <w:tc>
          <w:tcPr>
            <w:tcW w:type="dxa" w:w="1728"/>
          </w:tcPr>
          <w:p>
            <w:r>
              <w:t>ACHAT</w:t>
            </w:r>
          </w:p>
        </w:tc>
      </w:tr>
      <w:tr>
        <w:tc>
          <w:tcPr>
            <w:tcW w:type="dxa" w:w="1728"/>
          </w:tcPr>
          <w:p>
            <w:r>
              <w:t>CABC (CABC - SICABLE COTE D'IVOIRE)</w:t>
            </w:r>
          </w:p>
        </w:tc>
        <w:tc>
          <w:tcPr>
            <w:tcW w:type="dxa" w:w="1728"/>
          </w:tcPr>
          <w:p>
            <w:r>
              <w:t>2923</w:t>
            </w:r>
          </w:p>
        </w:tc>
        <w:tc>
          <w:tcPr>
            <w:tcW w:type="dxa" w:w="1728"/>
          </w:tcPr>
          <w:p>
            <w:r>
              <w:t>10720762 FCFA</w:t>
            </w:r>
          </w:p>
        </w:tc>
        <w:tc>
          <w:tcPr>
            <w:tcW w:type="dxa" w:w="1728"/>
          </w:tcPr>
          <w:p>
            <w:r>
              <w:t>-7.79%</w:t>
            </w:r>
          </w:p>
        </w:tc>
        <w:tc>
          <w:tcPr>
            <w:tcW w:type="dxa" w:w="1728"/>
          </w:tcPr>
          <w:p>
            <w:r>
              <w:t>ACHAT</w:t>
            </w:r>
          </w:p>
        </w:tc>
      </w:tr>
      <w:tr>
        <w:tc>
          <w:tcPr>
            <w:tcW w:type="dxa" w:w="1728"/>
          </w:tcPr>
          <w:p>
            <w:r>
              <w:t>SLBC (SLBC - SOLIBRA COTE D'IVOIRE)</w:t>
            </w:r>
          </w:p>
        </w:tc>
        <w:tc>
          <w:tcPr>
            <w:tcW w:type="dxa" w:w="1728"/>
          </w:tcPr>
          <w:p>
            <w:r>
              <w:t>2766</w:t>
            </w:r>
          </w:p>
        </w:tc>
        <w:tc>
          <w:tcPr>
            <w:tcW w:type="dxa" w:w="1728"/>
          </w:tcPr>
          <w:p>
            <w:r>
              <w:t>108740164 FCFA</w:t>
            </w:r>
          </w:p>
        </w:tc>
        <w:tc>
          <w:tcPr>
            <w:tcW w:type="dxa" w:w="1728"/>
          </w:tcPr>
          <w:p>
            <w:r>
              <w:t>-5.16%</w:t>
            </w:r>
          </w:p>
        </w:tc>
        <w:tc>
          <w:tcPr>
            <w:tcW w:type="dxa" w:w="1728"/>
          </w:tcPr>
          <w:p>
            <w:r>
              <w:t>ACHAT</w:t>
            </w:r>
          </w:p>
        </w:tc>
      </w:tr>
      <w:tr>
        <w:tc>
          <w:tcPr>
            <w:tcW w:type="dxa" w:w="1728"/>
          </w:tcPr>
          <w:p>
            <w:r>
              <w:t>ECOC (ECOC - ECOBANK COTE D'IVOIRE)</w:t>
            </w:r>
          </w:p>
        </w:tc>
        <w:tc>
          <w:tcPr>
            <w:tcW w:type="dxa" w:w="1728"/>
          </w:tcPr>
          <w:p>
            <w:r>
              <w:t>2680</w:t>
            </w:r>
          </w:p>
        </w:tc>
        <w:tc>
          <w:tcPr>
            <w:tcW w:type="dxa" w:w="1728"/>
          </w:tcPr>
          <w:p>
            <w:r>
              <w:t>42790358 FCFA</w:t>
            </w:r>
          </w:p>
        </w:tc>
        <w:tc>
          <w:tcPr>
            <w:tcW w:type="dxa" w:w="1728"/>
          </w:tcPr>
          <w:p>
            <w:r>
              <w:t>-1.22%</w:t>
            </w:r>
          </w:p>
        </w:tc>
        <w:tc>
          <w:tcPr>
            <w:tcW w:type="dxa" w:w="1728"/>
          </w:tcPr>
          <w:p>
            <w:r>
              <w:t>ACHAT</w:t>
            </w:r>
          </w:p>
        </w:tc>
      </w:tr>
      <w:tr>
        <w:tc>
          <w:tcPr>
            <w:tcW w:type="dxa" w:w="1728"/>
          </w:tcPr>
          <w:p>
            <w:r>
              <w:t>SMBC (SMBC - Société Multinationale de Bitumes COTE D'IVOIRE)</w:t>
            </w:r>
          </w:p>
        </w:tc>
        <w:tc>
          <w:tcPr>
            <w:tcW w:type="dxa" w:w="1728"/>
          </w:tcPr>
          <w:p>
            <w:r>
              <w:t>2447</w:t>
            </w:r>
          </w:p>
        </w:tc>
        <w:tc>
          <w:tcPr>
            <w:tcW w:type="dxa" w:w="1728"/>
          </w:tcPr>
          <w:p>
            <w:r>
              <w:t>39613091 FCFA</w:t>
            </w:r>
          </w:p>
        </w:tc>
        <w:tc>
          <w:tcPr>
            <w:tcW w:type="dxa" w:w="1728"/>
          </w:tcPr>
          <w:p>
            <w:r>
              <w:t>23.51%</w:t>
            </w:r>
          </w:p>
        </w:tc>
        <w:tc>
          <w:tcPr>
            <w:tcW w:type="dxa" w:w="1728"/>
          </w:tcPr>
          <w:p>
            <w:r>
              <w:t>ACHAT</w:t>
            </w:r>
          </w:p>
        </w:tc>
      </w:tr>
      <w:tr>
        <w:tc>
          <w:tcPr>
            <w:tcW w:type="dxa" w:w="1728"/>
          </w:tcPr>
          <w:p>
            <w:r>
              <w:t>NEIC (NEIC - NEI-CEDA CI)</w:t>
            </w:r>
          </w:p>
        </w:tc>
        <w:tc>
          <w:tcPr>
            <w:tcW w:type="dxa" w:w="1728"/>
          </w:tcPr>
          <w:p>
            <w:r>
              <w:t>1875</w:t>
            </w:r>
          </w:p>
        </w:tc>
        <w:tc>
          <w:tcPr>
            <w:tcW w:type="dxa" w:w="1728"/>
          </w:tcPr>
          <w:p>
            <w:r>
              <w:t>4130973 FCFA</w:t>
            </w:r>
          </w:p>
        </w:tc>
        <w:tc>
          <w:tcPr>
            <w:tcW w:type="dxa" w:w="1728"/>
          </w:tcPr>
          <w:p>
            <w:r>
              <w:t>48.42%</w:t>
            </w:r>
          </w:p>
        </w:tc>
        <w:tc>
          <w:tcPr>
            <w:tcW w:type="dxa" w:w="1728"/>
          </w:tcPr>
          <w:p>
            <w:r>
              <w:t>ACHAT</w:t>
            </w:r>
          </w:p>
        </w:tc>
      </w:tr>
      <w:tr>
        <w:tc>
          <w:tcPr>
            <w:tcW w:type="dxa" w:w="1728"/>
          </w:tcPr>
          <w:p>
            <w:r>
              <w:t>BNBC (BNBC - BERNABE CI)</w:t>
            </w:r>
          </w:p>
        </w:tc>
        <w:tc>
          <w:tcPr>
            <w:tcW w:type="dxa" w:w="1728"/>
          </w:tcPr>
          <w:p>
            <w:r>
              <w:t>1816</w:t>
            </w:r>
          </w:p>
        </w:tc>
        <w:tc>
          <w:tcPr>
            <w:tcW w:type="dxa" w:w="1728"/>
          </w:tcPr>
          <w:p>
            <w:r>
              <w:t>3413866 FCFA</w:t>
            </w:r>
          </w:p>
        </w:tc>
        <w:tc>
          <w:tcPr>
            <w:tcW w:type="dxa" w:w="1728"/>
          </w:tcPr>
          <w:p>
            <w:r>
              <w:t>18.75%</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SDCC - SDCC - Société de Distribution d'Eau de Côte d'Ivoire</w:t>
      </w:r>
    </w:p>
    <w:p>
      <w:r>
        <w:rPr>
          <w:b/>
        </w:rPr>
        <w:t xml:space="preserve">Score de divergence: </w:t>
      </w:r>
      <w:r>
        <w:t>6/8</w:t>
        <w:br/>
      </w:r>
      <w:r>
        <w:rPr>
          <w:b/>
        </w:rPr>
        <w:t xml:space="preserve">Description: </w:t>
      </w:r>
      <w:r>
        <w:t>Signaux de vente: MM, MACD,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de vente: MM, MACD | Recommandation finale: ACHAT</w:t>
        <w:br/>
      </w:r>
    </w:p>
    <w:p/>
    <w:p>
      <w:pPr>
        <w:pStyle w:val="Heading3"/>
      </w:pPr>
      <w:r>
        <w:t>3. ONTBF - ONTBF - ONATEL BURKINA FASO</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4. SEMC - SEMC - EVIOSYS PACKAGING SIEM CI</w:t>
      </w:r>
    </w:p>
    <w:p>
      <w:r>
        <w:rPr>
          <w:b/>
        </w:rPr>
        <w:t xml:space="preserve">Score de divergence: </w:t>
      </w:r>
      <w:r>
        <w:t>5/8</w:t>
        <w:br/>
      </w:r>
      <w:r>
        <w:rPr>
          <w:b/>
        </w:rPr>
        <w:t xml:space="preserve">Description: </w:t>
      </w:r>
      <w:r>
        <w:t>Signaux de vente: MM, MACD | Recommandation finale: ACHAT</w:t>
        <w:br/>
      </w:r>
    </w:p>
    <w:p/>
    <w:p>
      <w:pPr>
        <w:pStyle w:val="Heading3"/>
      </w:pPr>
      <w:r>
        <w:t>5. SGBC - SGBC - SOCIETE GENERALE COTE D'IVOIRE</w:t>
      </w:r>
    </w:p>
    <w:p>
      <w:r>
        <w:rPr>
          <w:b/>
        </w:rPr>
        <w:t xml:space="preserve">Score de divergence: </w:t>
      </w:r>
      <w:r>
        <w:t>5/8</w:t>
        <w:br/>
      </w:r>
      <w:r>
        <w:rPr>
          <w:b/>
        </w:rPr>
        <w:t xml:space="preserve">Description: </w:t>
      </w:r>
      <w:r>
        <w:t>Signaux de vente: MM, MACD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23</w:t>
            </w:r>
          </w:p>
        </w:tc>
        <w:tc>
          <w:tcPr>
            <w:tcW w:type="dxa" w:w="2160"/>
          </w:tcPr>
          <w:p>
            <w:r>
              <w:t>0</w:t>
            </w:r>
          </w:p>
        </w:tc>
      </w:tr>
      <w:tr>
        <w:tc>
          <w:tcPr>
            <w:tcW w:type="dxa" w:w="2160"/>
          </w:tcPr>
          <w:p>
            <w:r>
              <w:t>Risque Moyen</w:t>
            </w:r>
          </w:p>
        </w:tc>
        <w:tc>
          <w:tcPr>
            <w:tcW w:type="dxa" w:w="2160"/>
          </w:tcPr>
          <w:p>
            <w:r>
              <w:t>0</w:t>
            </w:r>
          </w:p>
        </w:tc>
        <w:tc>
          <w:tcPr>
            <w:tcW w:type="dxa" w:w="2160"/>
          </w:tcPr>
          <w:p>
            <w:r>
              <w:t>24</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et du maïs s'effondrent simultanément sur les marchés internationaux, entraînant une baisse de l'indice des matières premières MXV pendant trois séances consécutives. Parallèlement, les taux d'intérêt européens chutent fortement suite à l'annonce d'un cessez-le-feu en Iran, ce qui réduit les tensions géopolitiques et les pressions inflationnistes. La BCE pourrait ainsi temporiser dans son cycle de resserrement monétaire, ce qui allège la pression sur les devises des marchés émergents.</w:t>
      </w:r>
    </w:p>
    <w:p>
      <w:pPr>
        <w:pStyle w:val="Heading3"/>
      </w:pPr>
      <w:r>
        <w:rPr>
          <w:color w:val="500050"/>
        </w:rPr>
        <w:t>⚡ Impact estimé sur la BRVM</w:t>
      </w:r>
    </w:p>
    <w:p>
      <w:pPr>
        <w:spacing w:before="20" w:after="40"/>
        <w:ind w:left="280"/>
      </w:pPr>
      <w:r>
        <w:rPr>
          <w:i/>
          <w:sz w:val="18"/>
        </w:rPr>
        <w:t>La baisse des prix du pétrole est globalement positive pour les économies importatrices de la zone UEMOA, réduisant les coûts énergétiques pour les entreprises comme **TTLS** et **TTLC** (distribution de produits pétroliers) dont les marges pourraient s'améliorer. La chute du maïs bénéficie aux industries agroalimentaires de consommation de base telles que **SCRC** et **STBC**. La détente des taux européens soutient l'appétit pour le risque sur les marchés émergents, favorable à la BRVM.</w:t>
      </w:r>
    </w:p>
    <w:p>
      <w:pPr>
        <w:pStyle w:val="Heading2"/>
      </w:pPr>
      <w:r>
        <w:rPr>
          <w:color w:val="006E32"/>
        </w:rPr>
        <w:t>🌍 Plan Africain</w:t>
      </w:r>
    </w:p>
    <w:p>
      <w:pPr>
        <w:spacing w:before="20" w:after="40"/>
        <w:ind w:left="0"/>
      </w:pPr>
      <w:r>
        <w:rPr>
          <w:sz w:val="18"/>
        </w:rPr>
        <w:t>Un responsable officiel sénégalais affirme que l'investissement dans l'économie des soins pourrait constituer un levier de croissance stratégique pour le continent. Par ailleurs, la Senelec a émis 108 milliards de FCFA de dette verte à la Bourse de Luxembourg, illustrant l'émergence de la finance durable en Afrique de l'Ouest. L'OMS recommande l'investissement privé dans le secteur de la santé en Mauritanie, signe d'une dynamique sectorielle régionale.</w:t>
      </w:r>
    </w:p>
    <w:p>
      <w:pPr>
        <w:pStyle w:val="Heading3"/>
      </w:pPr>
      <w:r>
        <w:rPr>
          <w:color w:val="500050"/>
        </w:rPr>
        <w:t>⚡ Impact estimé sur la BRVM</w:t>
      </w:r>
    </w:p>
    <w:p>
      <w:pPr>
        <w:spacing w:before="20" w:after="40"/>
        <w:ind w:left="280"/>
      </w:pPr>
      <w:r>
        <w:rPr>
          <w:i/>
          <w:sz w:val="18"/>
        </w:rPr>
        <w:t>La finance verte et les investissements dans les secteurs sociaux pourraient indirectement bénéficier aux institutions financières cotées comme **BOAC**, **BICB** et **ETIT** qui accompagnent ces projets. La dynamique de croissance régionale renforce l'attractivité des valeurs bancaires de la BRVM, qui captent une part significative des flux de financement des projets structurants.</w:t>
      </w:r>
    </w:p>
    <w:p>
      <w:pPr>
        <w:pStyle w:val="Heading2"/>
      </w:pPr>
      <w:r>
        <w:rPr>
          <w:color w:val="145A28"/>
        </w:rPr>
        <w:t>🌍 Plan Afrique de l'Ouest</w:t>
      </w:r>
    </w:p>
    <w:p>
      <w:pPr>
        <w:spacing w:before="20" w:after="40"/>
        <w:ind w:left="0"/>
      </w:pPr>
      <w:r>
        <w:rPr>
          <w:sz w:val="18"/>
        </w:rPr>
        <w:t>Le Premier ministre guinéen salue le modèle de développement ivoirien, confirmant le leadership économique de la Côte d'Ivoire dans la sous-région. Le projet de monnaie unique ECO prévu pour 2027 suscite des doutes quant à sa faisabilité, et la Guinée a annoncé renoncer à intégrer cette monnaie commune, marquant un retrait significatif du projet.</w:t>
      </w:r>
    </w:p>
    <w:p>
      <w:pPr>
        <w:pStyle w:val="Heading3"/>
      </w:pPr>
      <w:r>
        <w:rPr>
          <w:color w:val="500050"/>
        </w:rPr>
        <w:t>⚡ Impact estimé sur la BRVM</w:t>
      </w:r>
    </w:p>
    <w:p>
      <w:pPr>
        <w:spacing w:before="20" w:after="40"/>
        <w:ind w:left="280"/>
      </w:pPr>
      <w:r>
        <w:rPr>
          <w:i/>
          <w:sz w:val="18"/>
        </w:rPr>
        <w:t>Le leadership ivoirien renforce la confiance dans les sociétés cotées basées en Côte d'Ivoire, notamment **NEIC**, **UNXC** et **PALC**. L'incertitude autour de l'ECO et le retrait guinéen créent un flou monétaire qui pourrait freiner l'intégration économique régionale, mais la BRVM, en tant que marché de la zone franc, reste relativement protégée par la stabilité du FCFA.</w:t>
      </w:r>
    </w:p>
    <w:p>
      <w:pPr>
        <w:pStyle w:val="Heading2"/>
      </w:pPr>
      <w:r>
        <w:rPr>
          <w:color w:val="8C4600"/>
        </w:rPr>
        <w:t>🏦 Plan UEMOA / Zone Franc</w:t>
      </w:r>
    </w:p>
    <w:p>
      <w:pPr>
        <w:spacing w:before="20" w:after="40"/>
        <w:ind w:left="0"/>
      </w:pPr>
      <w:r>
        <w:rPr>
          <w:sz w:val="18"/>
        </w:rPr>
        <w:t>Les actualités spécifiques à la zone UEMOA sont limitées dans les données fournies. La stabilité du FCFA et la politique monétaire de la BCEAO ne sont pas directement évoquées dans les actualités collectées. Aucune information sur l'inflation régionale, la liquidité bancaire ou les cours du cacao et du caoutchouc n'est disponible.</w:t>
      </w:r>
    </w:p>
    <w:p>
      <w:pPr>
        <w:pStyle w:val="Heading3"/>
      </w:pPr>
      <w:r>
        <w:rPr>
          <w:color w:val="500050"/>
        </w:rPr>
        <w:t>⚡ Impact estimé sur la BRVM</w:t>
      </w:r>
    </w:p>
    <w:p>
      <w:pPr>
        <w:spacing w:before="20" w:after="40"/>
        <w:ind w:left="280"/>
      </w:pPr>
      <w:r>
        <w:rPr>
          <w:i/>
          <w:sz w:val="18"/>
        </w:rPr>
        <w:t>Données insuffisantes pour une analyse précise de l'impact macroéconomique direct sur les secteurs bancaires et agro-industriels de la BRVM.</w:t>
      </w:r>
    </w:p>
    <w:p>
      <w:pPr>
        <w:pStyle w:val="Heading2"/>
      </w:pPr>
      <w:r>
        <w:rPr>
          <w:color w:val="003366"/>
        </w:rPr>
        <w:t>📈 Plan BRVM</w:t>
      </w:r>
    </w:p>
    <w:p>
      <w:pPr>
        <w:spacing w:before="20" w:after="40"/>
        <w:ind w:left="0"/>
      </w:pPr>
      <w:r>
        <w:rPr>
          <w:sz w:val="18"/>
        </w:rPr>
        <w:t>Les résultats encourageants des sociétés cotées ivoiriennes à la BRVM ont été mis en avant en juin dernier, témoignant d'une dynamique positive des fondamentaux des entreprises. L'indice BRVM Composite se situe à 485.48 points, dans un contexte de flux d'actualités mitigés.</w:t>
      </w:r>
    </w:p>
    <w:p>
      <w:pPr>
        <w:pStyle w:val="Heading3"/>
      </w:pPr>
      <w:r>
        <w:rPr>
          <w:color w:val="500050"/>
        </w:rPr>
        <w:t>⚡ Impact estimé sur la BRVM</w:t>
      </w:r>
    </w:p>
    <w:p>
      <w:pPr>
        <w:spacing w:before="20" w:after="40"/>
        <w:ind w:left="280"/>
      </w:pPr>
      <w:r>
        <w:rPr>
          <w:i/>
          <w:sz w:val="18"/>
        </w:rPr>
        <w:t>La solidité des résultats des sociétés ivoiriennes soutient la tendance de fond du marché. Les investisseurs peuvent maintenir leurs positions sur les valeurs de qualité comme **SGBC**, **BICB**, **PALC**, **SOGC**, **ETIT**, **NTLC**, **SIVC**, **ONTBF** et **CFAC**, en s'appuyant sur la bonne tenue des fondamentaux.</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 cessez-le-feu en Iran constitue l'événement géopolitique majeur, réduisant les tensions au Moyen-Orient et apaisant les marchés financiers internationaux. Cette accalmie géopolitique se traduit par une baisse des taux en Europe et une détente sur les prix des matières premières.</w:t>
      </w:r>
    </w:p>
    <w:p>
      <w:pPr>
        <w:pStyle w:val="Heading3"/>
      </w:pPr>
      <w:r>
        <w:rPr>
          <w:color w:val="500050"/>
        </w:rPr>
        <w:t>⚡ Impact estimé sur la BRVM</w:t>
      </w:r>
    </w:p>
    <w:p>
      <w:pPr>
        <w:spacing w:before="20" w:after="40"/>
        <w:ind w:left="280"/>
      </w:pPr>
      <w:r>
        <w:rPr>
          <w:i/>
          <w:sz w:val="18"/>
        </w:rPr>
        <w:t>La réduction des tensions géopolitiques mondiales diminue l'aversion au risque des investisseurs internationaux, ce qui pourrait favoriser des flux vers les marchés émergents comme la BRVM. Les valeurs énergétiques **TTLS** et **TTLC** pourraient toutefois voir leurs cours légèrement affectés par la baisse des prix du pétrole.</w:t>
      </w:r>
    </w:p>
    <w:p>
      <w:pPr>
        <w:pStyle w:val="Heading2"/>
      </w:pPr>
      <w:r>
        <w:rPr>
          <w:color w:val="006E32"/>
        </w:rPr>
        <w:t>🌍 Plan Africain</w:t>
      </w:r>
    </w:p>
    <w:p>
      <w:pPr>
        <w:spacing w:before="20" w:after="40"/>
        <w:ind w:left="0"/>
      </w:pPr>
      <w:r>
        <w:rPr>
          <w:sz w:val="18"/>
        </w:rPr>
        <w:t>Les tensions politiques au Sénégal et au Mali dominent l'actualité africaine. Au Sénégal, Thierno Alassane Sall accuse le parti Pastef de duplicité concernant l'ASER, et trois influenceurs ont été condamnés à de la prison pour "offense au chef de l'État". Au Mali, la Cour suprême a confirmé la condamnation d'une ancienne ministre dans l'affaire de l'achat d'un avion présidentiel.</w:t>
      </w:r>
    </w:p>
    <w:p>
      <w:pPr>
        <w:pStyle w:val="Heading3"/>
      </w:pPr>
      <w:r>
        <w:rPr>
          <w:color w:val="500050"/>
        </w:rPr>
        <w:t>⚡ Impact estimé sur la BRVM</w:t>
      </w:r>
    </w:p>
    <w:p>
      <w:pPr>
        <w:spacing w:before="20" w:after="40"/>
        <w:ind w:left="280"/>
      </w:pPr>
      <w:r>
        <w:rPr>
          <w:i/>
          <w:sz w:val="18"/>
        </w:rPr>
        <w:t>Les tensions politiques au Sénégal et au Mali créent un climat d'incertitude régionale qui peut peser sur la confiance des investisseurs. Cependant, les sociétés cotées à la BRVM sont majoritairement ivoiriennes et relativement préservées de ces risques politiques nationaux spécifiques.</w:t>
      </w:r>
    </w:p>
    <w:p>
      <w:pPr>
        <w:pStyle w:val="Heading2"/>
      </w:pPr>
      <w:r>
        <w:rPr>
          <w:color w:val="145A28"/>
        </w:rPr>
        <w:t>🌍 Plan Afrique de l'Ouest</w:t>
      </w:r>
    </w:p>
    <w:p>
      <w:pPr>
        <w:spacing w:before="20" w:after="40"/>
        <w:ind w:left="0"/>
      </w:pPr>
      <w:r>
        <w:rPr>
          <w:sz w:val="18"/>
        </w:rPr>
        <w:t>Le Premier ministre guinéen salue le modèle ivoirien de développement, renforçant le positionnement de la Côte d'Ivoire comme pôle de stabilité régionale. Le projet de monnaie unique ECO en 2027 reste incertain, avec le retrait annoncé de la Guinée, ce qui fragilise le projet d'intégration monétaire de la CEDEAO.</w:t>
      </w:r>
    </w:p>
    <w:p>
      <w:pPr>
        <w:pStyle w:val="Heading3"/>
      </w:pPr>
      <w:r>
        <w:rPr>
          <w:color w:val="500050"/>
        </w:rPr>
        <w:t>⚡ Impact estimé sur la BRVM</w:t>
      </w:r>
    </w:p>
    <w:p>
      <w:pPr>
        <w:spacing w:before="20" w:after="40"/>
        <w:ind w:left="280"/>
      </w:pPr>
      <w:r>
        <w:rPr>
          <w:i/>
          <w:sz w:val="18"/>
        </w:rPr>
        <w:t>La stabilité politique ivoirienne est un atout majeur pour la BRVM, qui concentre l'essentiel de ses cotations sur Abidjan. Les incertitudes sur l'ECO n'affectent pas directement les opérations des sociétés cotées, qui continuent de fonctionner dans le cadre du FCFA.</w:t>
      </w:r>
    </w:p>
    <w:p>
      <w:pPr>
        <w:pStyle w:val="Heading2"/>
      </w:pPr>
      <w:r>
        <w:rPr>
          <w:color w:val="8C4600"/>
        </w:rPr>
        <w:t>🏦 Plan UEMOA / Zone Franc</w:t>
      </w:r>
    </w:p>
    <w:p>
      <w:pPr>
        <w:spacing w:before="20" w:after="40"/>
        <w:ind w:left="0"/>
      </w:pPr>
      <w:r>
        <w:rPr>
          <w:sz w:val="18"/>
        </w:rPr>
        <w:t>Les tensions politiques au Sénégal, pays membre de l'UEMOA, et la situation judiciaire au Mali, également membre, constituent des signaux de fragilité institutionnelle dans la zone. La condamnation d'influenceurs pour offense au chef de l'État au Sénégal soulève des questions sur la liberté d'expression dans la région.</w:t>
      </w:r>
    </w:p>
    <w:p>
      <w:pPr>
        <w:pStyle w:val="Heading3"/>
      </w:pPr>
      <w:r>
        <w:rPr>
          <w:color w:val="500050"/>
        </w:rPr>
        <w:t>⚡ Impact estimé sur la BRVM</w:t>
      </w:r>
    </w:p>
    <w:p>
      <w:pPr>
        <w:spacing w:before="20" w:after="40"/>
        <w:ind w:left="280"/>
      </w:pPr>
      <w:r>
        <w:rPr>
          <w:i/>
          <w:sz w:val="18"/>
        </w:rPr>
        <w:t>Ces tensions politiques pourraient générer une prudence accrue des investisseurs régionaux, mais l'impact direct sur les sociétés cotées reste limité car la majorité des activités sont concentrées en Côte d'Ivoire. Les banques panafricaines comme **BOAC** et **ETIT** pourraient toutefois être sensibles à la dégradation du climat politique dans certains pays.</w:t>
      </w:r>
    </w:p>
    <w:p>
      <w:pPr>
        <w:pStyle w:val="Heading2"/>
      </w:pPr>
      <w:r>
        <w:rPr>
          <w:color w:val="003366"/>
        </w:rPr>
        <w:t>📈 Plan BRVM</w:t>
      </w:r>
    </w:p>
    <w:p>
      <w:pPr>
        <w:spacing w:before="20" w:after="40"/>
        <w:ind w:left="0"/>
      </w:pPr>
      <w:r>
        <w:rPr>
          <w:sz w:val="18"/>
        </w:rPr>
        <w:t>Aucune actualité spécifique concernant la réglementation CREPMF, de nouvelles cotations ou la gouvernance des sociétés cotées n'est disponible dans les données fournies.</w:t>
      </w:r>
    </w:p>
    <w:p>
      <w:pPr>
        <w:pStyle w:val="Heading3"/>
      </w:pPr>
      <w:r>
        <w:rPr>
          <w:color w:val="500050"/>
        </w:rPr>
        <w:t>⚡ Impact estimé sur la BRVM</w:t>
      </w:r>
    </w:p>
    <w:p>
      <w:pPr>
        <w:spacing w:before="20" w:after="40"/>
        <w:ind w:left="280"/>
      </w:pPr>
      <w:r>
        <w:rPr>
          <w:i/>
          <w:sz w:val="18"/>
        </w:rPr>
        <w:t>Données insuffisantes pour analyser les décisions réglementaires et leurs effets sur le marché.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chute des taux en Europe suite au cessez-le-feu en Iran crée un environnement plus favorable aux actifs risqués. La baisse simultanée des prix du pétrole et du maïs reflète des pressions déflationnistes qui pourraient influencer les politiques monétaires mondiales.</w:t>
      </w:r>
    </w:p>
    <w:p>
      <w:pPr>
        <w:pStyle w:val="Heading3"/>
      </w:pPr>
      <w:r>
        <w:rPr>
          <w:color w:val="500050"/>
        </w:rPr>
        <w:t>⚡ Impact estimé sur la BRVM</w:t>
      </w:r>
    </w:p>
    <w:p>
      <w:pPr>
        <w:spacing w:before="20" w:after="40"/>
        <w:ind w:left="280"/>
      </w:pPr>
      <w:r>
        <w:rPr>
          <w:i/>
          <w:sz w:val="18"/>
        </w:rPr>
        <w:t>La détente monétaire en Europe et la baisse de l'inflation mondiale sont favorables aux marchés émergents. Les investisseurs internationaux pourraient accroître leur exposition aux actifs africains, bénéficiant à la BRVM et à ses valeurs vedettes comme **BOAC** et **SGBC**.</w:t>
      </w:r>
    </w:p>
    <w:p>
      <w:pPr>
        <w:pStyle w:val="Heading2"/>
      </w:pPr>
      <w:r>
        <w:rPr>
          <w:color w:val="006E32"/>
        </w:rPr>
        <w:t>🌍 Plan Africain</w:t>
      </w:r>
    </w:p>
    <w:p>
      <w:pPr>
        <w:spacing w:before="20" w:after="40"/>
        <w:ind w:left="0"/>
      </w:pPr>
      <w:r>
        <w:rPr>
          <w:sz w:val="18"/>
        </w:rPr>
        <w:t>L'émission de dette verte de 108 milliards de FCFA par la Senelec à la Bourse de Luxembourg démontre l'intérêt croissant des investisseurs internationaux pour les instruments financiers africains durables. Cette opération pourrait ouvrir la voie à d'autres émissions similaires dans la région.</w:t>
      </w:r>
    </w:p>
    <w:p>
      <w:pPr>
        <w:pStyle w:val="Heading3"/>
      </w:pPr>
      <w:r>
        <w:rPr>
          <w:color w:val="500050"/>
        </w:rPr>
        <w:t>⚡ Impact estimé sur la BRVM</w:t>
      </w:r>
    </w:p>
    <w:p>
      <w:pPr>
        <w:spacing w:before="20" w:after="40"/>
        <w:ind w:left="280"/>
      </w:pPr>
      <w:r>
        <w:rPr>
          <w:i/>
          <w:sz w:val="18"/>
        </w:rPr>
        <w:t>Le succès de ces émissions renforce la crédibilité financière de la région et pourrait attirer davantage d'investisseurs institutionnels vers la BRVM. Les banques cotées comme **BICB** et **ETIT** pourraient bénéficier de ces flux financiers accrus.</w:t>
      </w:r>
    </w:p>
    <w:p>
      <w:pPr>
        <w:pStyle w:val="Heading2"/>
      </w:pPr>
      <w:r>
        <w:rPr>
          <w:color w:val="145A28"/>
        </w:rPr>
        <w:t>🌍 Plan Afrique de l'Ouest</w:t>
      </w:r>
    </w:p>
    <w:p>
      <w:pPr>
        <w:spacing w:before="20" w:after="40"/>
        <w:ind w:left="0"/>
      </w:pPr>
      <w:r>
        <w:rPr>
          <w:sz w:val="18"/>
        </w:rPr>
        <w:t>La performance remarquable de Safca Côte d'Ivoire (SAFC) avec une hausse de +45,71% et Bank of Africa (BOAC) avec +6,47% démontre la vitalité du marché régional. Ces mouvements reflètent l'intérêt des investisseurs pour les valeurs ivoiriennes.</w:t>
      </w:r>
    </w:p>
    <w:p>
      <w:pPr>
        <w:pStyle w:val="Heading3"/>
      </w:pPr>
      <w:r>
        <w:rPr>
          <w:color w:val="500050"/>
        </w:rPr>
        <w:t>⚡ Impact estimé sur la BRVM</w:t>
      </w:r>
    </w:p>
    <w:p>
      <w:pPr>
        <w:spacing w:before="20" w:after="40"/>
        <w:ind w:left="280"/>
      </w:pPr>
      <w:r>
        <w:rPr>
          <w:i/>
          <w:sz w:val="18"/>
        </w:rPr>
        <w:t>La forte progression de **BOAC** (+6,47%) confirme la confiance dans le secteur financier régional. Cette dynamique positive pourrait entraîner les autres valeurs bancaires comme **SGBC**, **BICB** et **ETIT** dans son sillage.</w:t>
      </w:r>
    </w:p>
    <w:p>
      <w:pPr>
        <w:pStyle w:val="Heading2"/>
      </w:pPr>
      <w:r>
        <w:rPr>
          <w:color w:val="8C4600"/>
        </w:rPr>
        <w:t>🏦 Plan UEMOA / Zone Franc</w:t>
      </w:r>
    </w:p>
    <w:p>
      <w:pPr>
        <w:spacing w:before="20" w:after="40"/>
        <w:ind w:left="0"/>
      </w:pPr>
      <w:r>
        <w:rPr>
          <w:sz w:val="18"/>
        </w:rPr>
        <w:t>Données insuffisantes concernant le marché des titres publics UEMOA, le taux interbancaire ou la liquidité dans la zone.</w:t>
      </w:r>
    </w:p>
    <w:p>
      <w:pPr>
        <w:pStyle w:val="Heading3"/>
      </w:pPr>
      <w:r>
        <w:rPr>
          <w:color w:val="500050"/>
        </w:rPr>
        <w:t>⚡ Impact estimé sur la BRVM</w:t>
      </w:r>
    </w:p>
    <w:p>
      <w:pPr>
        <w:spacing w:before="20" w:after="40"/>
        <w:ind w:left="280"/>
      </w:pPr>
      <w:r>
        <w:rPr>
          <w:i/>
          <w:sz w:val="18"/>
        </w:rPr>
        <w:t>Données insuffisantes pour analyser l'arbitrage entre titres publics et actions BRVM.</w:t>
      </w:r>
    </w:p>
    <w:p>
      <w:pPr>
        <w:pStyle w:val="Heading2"/>
      </w:pPr>
      <w:r>
        <w:rPr>
          <w:color w:val="003366"/>
        </w:rPr>
        <w:t>📈 Plan BRVM</w:t>
      </w:r>
    </w:p>
    <w:p>
      <w:pPr>
        <w:spacing w:before="20" w:after="40"/>
        <w:ind w:left="0"/>
      </w:pPr>
      <w:r>
        <w:rPr>
          <w:sz w:val="18"/>
        </w:rPr>
        <w:t>L'indice BRVM Composite se maintient à 485.48 points. Les mouvements notables incluent la hausse spectaculaire de SAFC (+45,71%) et la progression de BOAC (+6,47%). Les résultats encourageants des sociétés cotées ivoiriennes soutiennent la tendance positive du marché.</w:t>
      </w:r>
    </w:p>
    <w:p>
      <w:pPr>
        <w:pStyle w:val="Heading3"/>
      </w:pPr>
      <w:r>
        <w:rPr>
          <w:color w:val="500050"/>
        </w:rPr>
        <w:t>⚡ Impact estimé sur la BRVM</w:t>
      </w:r>
    </w:p>
    <w:p>
      <w:pPr>
        <w:spacing w:before="20" w:after="40"/>
        <w:ind w:left="280"/>
      </w:pPr>
      <w:r>
        <w:rPr>
          <w:i/>
          <w:sz w:val="18"/>
        </w:rPr>
        <w:t>La performance de **BOAC** (+6,47%) confirme la solidité du secteur financier. Les investisseurs peuvent considérer des positions sur les valeurs bancaires de qualité (**SGBC**, **BICB**, **ETIT**) et les valeurs de consommation de base (**PALC**, **SCRC**, **STBC**) qui bénéficient de la stabilité économique ivoirienne. **SAFC** ayant déjà fortement progressé, une prudence est recommandée sur ce titre à court terme.</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 contexte macroéconomique est globalement favorable avec la détente géopolitique (cessez-le-feu en Iran), la baisse des taux européens et le repli des prix des matières premières qui réduisent les coûts pour les entreprises de la zone. La dynamique positive des résultats des sociétés cotées ivoiriennes et les performances récentes du marché (BOAC +6,47%) confirment la solidité des fondamentaux. Les tensions politiques au Sénégal et au Mali constituent des risques résiduels, mais l'ancrage ivoirien de la majorité des sociétés cotées protège le marché. Recommandation : maintenir une exposition aux valeurs bancaires et de consommation de base, tout en surveillant l'évolution du projet ECO et la stabilité politique régionale.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2026-08-06</w:t>
            </w:r>
          </w:p>
        </w:tc>
        <w:tc>
          <w:tcPr>
            <w:tcW w:type="dxa" w:w="1728"/>
          </w:tcPr>
          <w:p>
            <w:r>
              <w:rPr>
                <w:sz w:val="14"/>
              </w:rPr>
              <w:t>Le Marché de la BRVM en Effervescence : 4 Actions Clés Affichent des G</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2026-08-06</w:t>
            </w:r>
          </w:p>
        </w:tc>
        <w:tc>
          <w:tcPr>
            <w:tcW w:type="dxa" w:w="1728"/>
          </w:tcPr>
          <w:p>
            <w:r>
              <w:rPr>
                <w:sz w:val="14"/>
              </w:rPr>
              <w:t>Sénégal : Le ministre de la Justice somme les responsables de déclarer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2026-08-06</w:t>
            </w:r>
          </w:p>
        </w:tc>
        <w:tc>
          <w:tcPr>
            <w:tcW w:type="dxa" w:w="1728"/>
          </w:tcPr>
          <w:p>
            <w:r>
              <w:rPr>
                <w:sz w:val="14"/>
              </w:rPr>
              <w:t>Le Marché de la BRVM en Effervescence : 4 Actions Clés Affichent des G</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2026-08-05</w:t>
            </w:r>
          </w:p>
        </w:tc>
        <w:tc>
          <w:tcPr>
            <w:tcW w:type="dxa" w:w="1728"/>
          </w:tcPr>
          <w:p>
            <w:r>
              <w:rPr>
                <w:sz w:val="14"/>
              </w:rPr>
              <w:t>Achat d’un avion présidentiel au Mali : la Cour suprême confirme la co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2026-08-06</w:t>
            </w:r>
          </w:p>
        </w:tc>
        <w:tc>
          <w:tcPr>
            <w:tcW w:type="dxa" w:w="1728"/>
          </w:tcPr>
          <w:p>
            <w:r>
              <w:rPr>
                <w:sz w:val="14"/>
              </w:rPr>
              <w:t>Le Marché de la BRVM en Effervescence : 4 Actions Clés Affichent des G</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(11 alerte(s))</w:t>
      </w:r>
    </w:p>
    <w:p>
      <w:pPr>
        <w:spacing w:before="40" w:after="40"/>
        <w:ind w:left="360"/>
      </w:pPr>
      <w:r>
        <w:rPr>
          <w:color w:val="646464"/>
          <w:sz w:val="17"/>
        </w:rPr>
        <w:t xml:space="preserve">[07/08/2026] 🔴  </w:t>
      </w:r>
      <w:r>
        <w:rPr>
          <w:b/>
          <w:color w:val="C00000"/>
          <w:sz w:val="18"/>
        </w:rPr>
        <w:t>Sénégal: trois influenceurs condamnés à de la prison pour "offense au chef de l'État" - tv5monde</w:t>
      </w:r>
      <w:r>
        <w:rPr>
          <w:color w:val="787878"/>
          <w:sz w:val="15"/>
        </w:rPr>
        <w:t xml:space="preserve">  [politique]</w:t>
      </w:r>
      <w:r>
        <w:rPr>
          <w:color w:val="B47800"/>
          <w:sz w:val="16"/>
        </w:rPr>
        <w:t xml:space="preserve">  ★ 50/10</w:t>
      </w:r>
    </w:p>
    <w:p>
      <w:pPr>
        <w:spacing w:before="0" w:after="20"/>
        <w:ind w:left="600"/>
      </w:pPr>
      <w:r>
        <w:rPr>
          <w:color w:val="323232"/>
          <w:sz w:val="17"/>
        </w:rPr>
        <w:t>Trois influenceurs sénégalais ont été condamnés à des peines de prison pour offense au chef de l'État, une décision qui soulève des questions sur la liberté d'expression dans le pays. Cette actualité politique, bien que située au Sénégal, s'inscrit dans un contexte régional de l'UEMOA où la stabilité politique est un facteur clé pour les investisse</w:t>
      </w:r>
    </w:p>
    <w:p>
      <w:pPr>
        <w:spacing w:before="0" w:after="40"/>
        <w:ind w:left="600"/>
      </w:pPr>
      <w:r>
        <w:rPr>
          <w:color w:val="00643C"/>
          <w:sz w:val="16"/>
        </w:rPr>
        <w:t>Points clés : Condamnation de trois influenceurs pour offense au chef de l'État au Sénégal.  •  Soulève des préoccupations sur la liberté d'expression et la stabilité politique dans l'UEMOA.  •  Impact potentiel sur la perception des risques politiques pour les investisseurs régionaux.  •  Aucun effet direct attendu sur les entreprises cotées à la BRVM.</w:t>
      </w:r>
    </w:p>
    <w:p>
      <w:pPr>
        <w:spacing w:before="0" w:after="60"/>
        <w:ind w:left="600"/>
      </w:pPr>
      <w:r>
        <w:rPr>
          <w:color w:val="0064B4"/>
          <w:sz w:val="15"/>
        </w:rPr>
        <w:t>Source : https://news.google.com/rss/articles/CBMixwFBVV95cUxPaFBoZS1lZHdYNjFEc2RRZXZtNmV</w:t>
      </w:r>
    </w:p>
    <w:p>
      <w:pPr>
        <w:spacing w:before="40" w:after="40"/>
        <w:ind w:left="360"/>
      </w:pPr>
      <w:r>
        <w:rPr>
          <w:color w:val="646464"/>
          <w:sz w:val="17"/>
        </w:rPr>
        <w:t xml:space="preserve">[07/08/2026] 🔴  </w:t>
      </w:r>
      <w:r>
        <w:rPr>
          <w:b/>
          <w:color w:val="C00000"/>
          <w:sz w:val="18"/>
        </w:rPr>
        <w:t>Sénégal : Thierno Alassane Sall accuse Pastef de duplicité sur l’ASER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rapporte que Thierno Alassane Sall, homme politique sénégalais, accuse le parti Pastef de duplicité concernant l'Agence Sénégalaise d'Électrification Rurale (ASER). Il dénonce une contradiction entre les discours et les actions du parti au pouvoir sur ce dossier. Cette accusation s'inscrit dans un contexte politique tendu au Sénégal, sans</w:t>
      </w:r>
    </w:p>
    <w:p>
      <w:pPr>
        <w:spacing w:before="0" w:after="40"/>
        <w:ind w:left="600"/>
      </w:pPr>
      <w:r>
        <w:rPr>
          <w:color w:val="00643C"/>
          <w:sz w:val="16"/>
        </w:rPr>
        <w:t>Points clés : Accusation de duplicité contre Pastef sur la gestion de l'ASER.  •  Contexte politique sénégalais, sans impact économique direct.</w:t>
      </w:r>
    </w:p>
    <w:p>
      <w:pPr>
        <w:spacing w:before="0" w:after="60"/>
        <w:ind w:left="600"/>
      </w:pPr>
      <w:r>
        <w:rPr>
          <w:color w:val="0064B4"/>
          <w:sz w:val="15"/>
        </w:rPr>
        <w:t>Source : https://news.google.com/rss/articles/CBMioAFBVV95cUxPVzdNWTNpSkM3aVp4RFlpaGJnNlo</w:t>
      </w:r>
    </w:p>
    <w:p>
      <w:pPr>
        <w:spacing w:before="40" w:after="40"/>
        <w:ind w:left="360"/>
      </w:pPr>
      <w:r>
        <w:rPr>
          <w:color w:val="646464"/>
          <w:sz w:val="17"/>
        </w:rPr>
        <w:t xml:space="preserve">[06/08/2026] 🟢  </w:t>
      </w:r>
      <w:r>
        <w:rPr>
          <w:b/>
          <w:color w:val="008000"/>
          <w:sz w:val="18"/>
        </w:rPr>
        <w:t>Côte d'Ivoire : le gouvernement engage près de 2 900 milliards FCFA pour transformer l'avenir de plus de 5,2 millions de</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annoncé un investissement massif de près de 2 900 milliards FCFA destiné à transformer l'avenir de plus de 5,2 millions de jeunes. Cette initiative vise à renforcer l'employabilité, l'entrepreneuriat et l'insertion professionnelle des jeunes, un enjeu clé pour la stabilité sociale et la croissance économique du pays. Ce p</w:t>
      </w:r>
    </w:p>
    <w:p>
      <w:pPr>
        <w:spacing w:before="0" w:after="40"/>
        <w:ind w:left="600"/>
      </w:pPr>
      <w:r>
        <w:rPr>
          <w:color w:val="00643C"/>
          <w:sz w:val="16"/>
        </w:rPr>
        <w:t>Points clés : Investissement de 2 900 milliards FCFA pour les jeunes ivoiriens.  •  Cible de 5,2 millions de bénéficiaires, avec un accent sur l'emploi et l'entrepreneuriat.</w:t>
      </w:r>
    </w:p>
    <w:p>
      <w:pPr>
        <w:spacing w:before="0" w:after="60"/>
        <w:ind w:left="600"/>
      </w:pPr>
      <w:r>
        <w:rPr>
          <w:color w:val="0064B4"/>
          <w:sz w:val="15"/>
        </w:rPr>
        <w:t>Source : https://news.google.com/rss/articles/CBMipAJBVV95cUxNeC1sSEJMTXJCUlpSWHhmNFV2NnM</w:t>
      </w:r>
    </w:p>
    <w:p>
      <w:pPr>
        <w:spacing w:before="40" w:after="40"/>
        <w:ind w:left="360"/>
      </w:pPr>
      <w:r>
        <w:rPr>
          <w:color w:val="646464"/>
          <w:sz w:val="17"/>
        </w:rPr>
        <w:t xml:space="preserve">[06/08/2026] ⚪  </w:t>
      </w:r>
      <w:r>
        <w:rPr>
          <w:b/>
          <w:color w:val="505050"/>
          <w:sz w:val="18"/>
        </w:rPr>
        <w:t>Sénégal : Le ministre de la Justice somme les responsables de déclarer leur patrimoine avant le 10 août - koaci.com</w:t>
      </w:r>
      <w:r>
        <w:rPr>
          <w:color w:val="787878"/>
          <w:sz w:val="15"/>
        </w:rPr>
        <w:t xml:space="preserve">  [politique]</w:t>
      </w:r>
      <w:r>
        <w:rPr>
          <w:color w:val="B47800"/>
          <w:sz w:val="16"/>
        </w:rPr>
        <w:t xml:space="preserve">  ★ 50/10</w:t>
      </w:r>
    </w:p>
    <w:p>
      <w:pPr>
        <w:spacing w:before="0" w:after="20"/>
        <w:ind w:left="600"/>
      </w:pPr>
      <w:r>
        <w:rPr>
          <w:color w:val="323232"/>
          <w:sz w:val="17"/>
        </w:rPr>
        <w:t>Le ministre de la Justice du Sénégal a ordonné aux responsables publics de déclarer leur patrimoine avant le 10 août, une mesure visant à renforcer la transparence et la lutte contre la corruption. Cette initiative s'inscrit dans un contexte de gouvernance renforcée dans la zone UEMOA. Elle pourrait avoir des répercussions sur la confiance des inve</w:t>
      </w:r>
    </w:p>
    <w:p>
      <w:pPr>
        <w:spacing w:before="0" w:after="40"/>
        <w:ind w:left="600"/>
      </w:pPr>
      <w:r>
        <w:rPr>
          <w:color w:val="00643C"/>
          <w:sz w:val="16"/>
        </w:rPr>
        <w:t>Points clés : Obligation de déclaration de patrimoine pour les responsables sénégalais avant le 10 août  •  Renforcement de la transparence et de la lutte contre la corruption</w:t>
      </w:r>
    </w:p>
    <w:p>
      <w:pPr>
        <w:spacing w:before="0" w:after="60"/>
        <w:ind w:left="600"/>
      </w:pPr>
      <w:r>
        <w:rPr>
          <w:color w:val="0064B4"/>
          <w:sz w:val="15"/>
        </w:rPr>
        <w:t>Source : https://news.google.com/rss/articles/CBMiggJBVV95cUxNNlMtNjl1SDNXWjhkYW05QXlFZDd</w:t>
      </w:r>
    </w:p>
    <w:p>
      <w:pPr>
        <w:spacing w:before="40" w:after="40"/>
        <w:ind w:left="360"/>
      </w:pPr>
      <w:r>
        <w:rPr>
          <w:color w:val="646464"/>
          <w:sz w:val="17"/>
        </w:rPr>
        <w:t xml:space="preserve">[06/08/2026] ⚪  </w:t>
      </w:r>
      <w:r>
        <w:rPr>
          <w:b/>
          <w:color w:val="505050"/>
          <w:sz w:val="18"/>
        </w:rPr>
        <w:t>VIDÉO. Dip Doundou Guiss, n°1 du rap au Sénégal, en concert à Paris - information.tv5monde.com</w:t>
      </w:r>
      <w:r>
        <w:rPr>
          <w:color w:val="787878"/>
          <w:sz w:val="15"/>
        </w:rPr>
        <w:t xml:space="preserve">  [politique]</w:t>
      </w:r>
      <w:r>
        <w:rPr>
          <w:color w:val="B47800"/>
          <w:sz w:val="16"/>
        </w:rPr>
        <w:t xml:space="preserve">  ★ 50/10</w:t>
      </w:r>
    </w:p>
    <w:p>
      <w:pPr>
        <w:spacing w:before="0" w:after="20"/>
        <w:ind w:left="600"/>
      </w:pPr>
      <w:r>
        <w:rPr>
          <w:color w:val="323232"/>
          <w:sz w:val="17"/>
        </w:rPr>
        <w:t>L'article annonce un concert à Paris du rappeur sénégalais Dip Doundou Guiss, considéré comme le n°1 du rap au Sénégal. Il s'agit d'une information culturelle et médiatique, sans lien direct avec l'économie ou la politique de la zone UEMOA. Le contenu est très court et se limite à un titre et une mention de la source TV5Monde.</w:t>
      </w:r>
    </w:p>
    <w:p>
      <w:pPr>
        <w:spacing w:before="0" w:after="40"/>
        <w:ind w:left="600"/>
      </w:pPr>
      <w:r>
        <w:rPr>
          <w:color w:val="00643C"/>
          <w:sz w:val="16"/>
        </w:rPr>
        <w:t>Points clés : Concert de Dip Doundou Guiss à Paris  •  Artiste présenté comme n°1 du rap sénégalais  •  Information relayée par TV5Monde</w:t>
      </w:r>
    </w:p>
    <w:p>
      <w:pPr>
        <w:spacing w:before="0" w:after="60"/>
        <w:ind w:left="600"/>
      </w:pPr>
      <w:r>
        <w:rPr>
          <w:color w:val="0064B4"/>
          <w:sz w:val="15"/>
        </w:rPr>
        <w:t>Source : https://news.google.com/rss/articles/CBMiswFBVV95cUxQVzlUakFuWGhkaldOQkFpVnVNUkY</w:t>
      </w:r>
    </w:p>
    <w:p>
      <w:pPr>
        <w:spacing w:before="120" w:after="40"/>
      </w:pPr>
      <w:r>
        <w:rPr>
          <w:b/>
          <w:color w:val="00467F"/>
          <w:sz w:val="20"/>
        </w:rPr>
        <w:t>🔑 économique  (7 alerte(s))</w:t>
      </w:r>
    </w:p>
    <w:p>
      <w:pPr>
        <w:spacing w:before="40" w:after="40"/>
        <w:ind w:left="360"/>
      </w:pPr>
      <w:r>
        <w:rPr>
          <w:color w:val="646464"/>
          <w:sz w:val="17"/>
        </w:rPr>
        <w:t xml:space="preserve">[07/08/2026] 🟢  </w:t>
      </w:r>
      <w:r>
        <w:rPr>
          <w:b/>
          <w:color w:val="008000"/>
          <w:sz w:val="18"/>
        </w:rPr>
        <w:t>Le Premier ministre guinéen salue le modèle ivoirien de développement - Africtelegraph</w:t>
      </w:r>
      <w:r>
        <w:rPr>
          <w:color w:val="787878"/>
          <w:sz w:val="15"/>
        </w:rPr>
        <w:t xml:space="preserve">  [économique]</w:t>
      </w:r>
      <w:r>
        <w:rPr>
          <w:color w:val="B47800"/>
          <w:sz w:val="16"/>
        </w:rPr>
        <w:t xml:space="preserve">  ★ 50/10</w:t>
      </w:r>
    </w:p>
    <w:p>
      <w:pPr>
        <w:spacing w:before="0" w:after="20"/>
        <w:ind w:left="600"/>
      </w:pPr>
      <w:r>
        <w:rPr>
          <w:color w:val="323232"/>
          <w:sz w:val="17"/>
        </w:rPr>
        <w:t>Le Premier ministre guinéen a exprimé son admiration pour le modèle de développement ivoirien, saluant ses performances économiques et sa stratégie de croissance. Il a souligné l'importance de s'inspirer de cette réussite pour renforcer la coopération régionale et stimuler le développement de la Guinée. Cette reconnaissance met en lumière la positi</w:t>
      </w:r>
    </w:p>
    <w:p>
      <w:pPr>
        <w:spacing w:before="0" w:after="40"/>
        <w:ind w:left="600"/>
      </w:pPr>
      <w:r>
        <w:rPr>
          <w:color w:val="00643C"/>
          <w:sz w:val="16"/>
        </w:rPr>
        <w:t>Points clés : Le Premier ministre guinéen salue le modèle ivoirien de développement.  •  La Côte d'Ivoire est présentée comme un exemple de réussite économique en Afrique de l'Ouest.  •  Cette déclaration pourrait renforcer les liens économiques et politiques entre la Guinée et la Côte d'Ivoire.</w:t>
      </w:r>
    </w:p>
    <w:p>
      <w:pPr>
        <w:spacing w:before="0" w:after="60"/>
        <w:ind w:left="600"/>
      </w:pPr>
      <w:r>
        <w:rPr>
          <w:color w:val="0064B4"/>
          <w:sz w:val="15"/>
        </w:rPr>
        <w:t>Source : https://news.google.com/rss/articles/CBMipAFBVV95cUxOSVdHSGdIMTd4ZlFFWUMwVHBIX0E</w:t>
      </w:r>
    </w:p>
    <w:p>
      <w:pPr>
        <w:spacing w:before="40" w:after="40"/>
        <w:ind w:left="360"/>
      </w:pPr>
      <w:r>
        <w:rPr>
          <w:color w:val="646464"/>
          <w:sz w:val="17"/>
        </w:rPr>
        <w:t xml:space="preserve">[06/08/2026] 🟢  </w:t>
      </w:r>
      <w:r>
        <w:rPr>
          <w:b/>
          <w:color w:val="008000"/>
          <w:sz w:val="18"/>
        </w:rPr>
        <w:t xml:space="preserve">Décryptage - Kalilou SYLLA, Commissaire aux Affaires économiques et à l'Agriculture de la CEDEAO - Côte d'Ivoire : « La </w:t>
      </w:r>
      <w:r>
        <w:rPr>
          <w:color w:val="787878"/>
          <w:sz w:val="15"/>
        </w:rPr>
        <w:t xml:space="preserve">  [économique]</w:t>
      </w:r>
      <w:r>
        <w:rPr>
          <w:color w:val="B47800"/>
          <w:sz w:val="16"/>
        </w:rPr>
        <w:t xml:space="preserve">  ★ 50/10</w:t>
      </w:r>
    </w:p>
    <w:p>
      <w:pPr>
        <w:spacing w:before="0" w:after="20"/>
        <w:ind w:left="600"/>
      </w:pPr>
      <w:r>
        <w:rPr>
          <w:color w:val="323232"/>
          <w:sz w:val="17"/>
        </w:rPr>
        <w:t>Le Commissaire aux Affaires économiques et à l'Agriculture de la CEDEAO, Kalilou Sylla, souligne que la souveraineté alimentaire en Afrique de l'Ouest ne peut être réalisée sans un écosystème fiable qui fédère tous les acteurs de la filière agricole. Il insiste sur la nécessité de renforcer les chaînes de valeur, d'améliorer l'accès aux financement</w:t>
      </w:r>
    </w:p>
    <w:p>
      <w:pPr>
        <w:spacing w:before="0" w:after="40"/>
        <w:ind w:left="600"/>
      </w:pPr>
      <w:r>
        <w:rPr>
          <w:color w:val="00643C"/>
          <w:sz w:val="16"/>
        </w:rPr>
        <w:t>Points clés : La souveraineté alimentaire nécessite un écosystème fiable et inclusif.  •  La CEDEAO mise sur la coordination régionale et le financement agricole.</w:t>
      </w:r>
    </w:p>
    <w:p>
      <w:pPr>
        <w:spacing w:before="0" w:after="60"/>
        <w:ind w:left="600"/>
      </w:pPr>
      <w:r>
        <w:rPr>
          <w:color w:val="0064B4"/>
          <w:sz w:val="15"/>
        </w:rPr>
        <w:t>Source : https://news.google.com/rss/articles/CBMirAJBVV95cUxOWDBPWVJjS0U3WnN1akl2NGVjd3V</w:t>
      </w:r>
    </w:p>
    <w:p>
      <w:pPr>
        <w:spacing w:before="40" w:after="40"/>
        <w:ind w:left="360"/>
      </w:pPr>
      <w:r>
        <w:rPr>
          <w:color w:val="646464"/>
          <w:sz w:val="17"/>
        </w:rPr>
        <w:t xml:space="preserve">[05/08/2026] ⚪  </w:t>
      </w:r>
      <w:r>
        <w:rPr>
          <w:b/>
          <w:color w:val="505050"/>
          <w:sz w:val="18"/>
        </w:rPr>
        <w:t>La Guinée renonce à intégrer la monnaie unique Eco - lebrief.ma</w:t>
      </w:r>
      <w:r>
        <w:rPr>
          <w:color w:val="787878"/>
          <w:sz w:val="15"/>
        </w:rPr>
        <w:t xml:space="preserve">  [économique]</w:t>
      </w:r>
      <w:r>
        <w:rPr>
          <w:color w:val="B47800"/>
          <w:sz w:val="16"/>
        </w:rPr>
        <w:t xml:space="preserve">  ★ 50/10</w:t>
      </w:r>
    </w:p>
    <w:p>
      <w:pPr>
        <w:spacing w:before="0" w:after="20"/>
        <w:ind w:left="600"/>
      </w:pPr>
      <w:r>
        <w:rPr>
          <w:color w:val="323232"/>
          <w:sz w:val="17"/>
        </w:rPr>
        <w:t>La Guinée a annoncé qu'elle renonce à intégrer la monnaie unique Eco, projet de monnaie commune de la CEDEAO. Cette décision marque un retrait significatif de ce pays dans le processus d'intégration monétaire régionale. Elle pourrait refléter des préoccupations sur la convergence économique et la souveraineté monétaire. Cette nouvelle intervient da</w:t>
      </w:r>
    </w:p>
    <w:p>
      <w:pPr>
        <w:spacing w:before="0" w:after="40"/>
        <w:ind w:left="600"/>
      </w:pPr>
      <w:r>
        <w:rPr>
          <w:color w:val="00643C"/>
          <w:sz w:val="16"/>
        </w:rPr>
        <w:t>Points clés : La Guinée renonce officiellement à adopter la monnaie unique Eco.  •  Cette décision affecte le projet d'intégration monétaire de la CEDEAO.  •  Les raisons évoquées incluent probablement des critères de convergence non remplis et des enjeux de souveraineté.</w:t>
      </w:r>
    </w:p>
    <w:p>
      <w:pPr>
        <w:spacing w:before="0" w:after="60"/>
        <w:ind w:left="600"/>
      </w:pPr>
      <w:r>
        <w:rPr>
          <w:color w:val="0064B4"/>
          <w:sz w:val="15"/>
        </w:rPr>
        <w:t>Source : https://news.google.com/rss/articles/CBMipAFBVV95cUxPR1hWNHFhakVrT1l0M21tVEtpcFU</w:t>
      </w:r>
    </w:p>
    <w:p>
      <w:pPr>
        <w:spacing w:before="40" w:after="40"/>
        <w:ind w:left="360"/>
      </w:pPr>
      <w:r>
        <w:rPr>
          <w:color w:val="646464"/>
          <w:sz w:val="17"/>
        </w:rPr>
        <w:t xml:space="preserve">[05/08/2026] 🔴  </w:t>
      </w:r>
      <w:r>
        <w:rPr>
          <w:b/>
          <w:color w:val="C00000"/>
          <w:sz w:val="18"/>
        </w:rPr>
        <w:t>CEDEAO : La Guinée renonce au projet de monnaie unique - Sahel Intelligence</w:t>
      </w:r>
      <w:r>
        <w:rPr>
          <w:color w:val="787878"/>
          <w:sz w:val="15"/>
        </w:rPr>
        <w:t xml:space="preserve">  [économique]</w:t>
      </w:r>
      <w:r>
        <w:rPr>
          <w:color w:val="B47800"/>
          <w:sz w:val="16"/>
        </w:rPr>
        <w:t xml:space="preserve">  ★ 50/10</w:t>
      </w:r>
    </w:p>
    <w:p>
      <w:pPr>
        <w:spacing w:before="0" w:after="20"/>
        <w:ind w:left="600"/>
      </w:pPr>
      <w:r>
        <w:rPr>
          <w:color w:val="323232"/>
          <w:sz w:val="17"/>
        </w:rPr>
        <w:t>La Guinée a officiellement renoncé au projet de monnaie unique de la CEDEAO, une décision qui reflète les divergences persistantes entre les États membres sur l'intégration monétaire régionale. Ce retrait pourrait affaiblir la dynamique d'harmonisation économique au sein de la zone, mais il réduit également les incertitudes liées à une transition m</w:t>
      </w:r>
    </w:p>
    <w:p>
      <w:pPr>
        <w:spacing w:before="0" w:after="40"/>
        <w:ind w:left="600"/>
      </w:pPr>
      <w:r>
        <w:rPr>
          <w:color w:val="00643C"/>
          <w:sz w:val="16"/>
        </w:rPr>
        <w:t>Points clés : La Guinée se retire du projet de monnaie unique de la CEDEAO.  •  Ce retrait souligne les difficultés de convergence économique et politique dans la région.  •  La décision pourrait avoir des répercussions sur les échanges commerciaux et les investissements en Afrique de l'Ouest.</w:t>
      </w:r>
    </w:p>
    <w:p>
      <w:pPr>
        <w:spacing w:before="0" w:after="60"/>
        <w:ind w:left="600"/>
      </w:pPr>
      <w:r>
        <w:rPr>
          <w:color w:val="0064B4"/>
          <w:sz w:val="15"/>
        </w:rPr>
        <w:t>Source : https://news.google.com/rss/articles/CBMimgFBVV95cUxOVHNhSEdncmcwR1ZDeHRHZkR4dWQ</w:t>
      </w:r>
    </w:p>
    <w:p>
      <w:pPr>
        <w:spacing w:before="40" w:after="40"/>
        <w:ind w:left="360"/>
      </w:pPr>
      <w:r>
        <w:rPr>
          <w:color w:val="646464"/>
          <w:sz w:val="17"/>
        </w:rPr>
        <w:t xml:space="preserve">[05/08/2026] 🟢  </w:t>
      </w:r>
      <w:r>
        <w:rPr>
          <w:b/>
          <w:color w:val="008000"/>
          <w:sz w:val="18"/>
        </w:rPr>
        <w:t>Afrique de l’Ouest: la BIDC prévoit une croissance de 4,7% en 2026 puis 4,9% en 2027 - Africa News Agency</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prévoit une croissance économique de 4,7% pour l'Afrique de l'Ouest en 2026, puis de 4,9% en 2027. Ces prévisions indiquent une dynamique positive pour la région, soutenue par des investissements et des réformes structurelles. Cette perspective de croissance pourrait renforcer la co</w:t>
      </w:r>
    </w:p>
    <w:p>
      <w:pPr>
        <w:spacing w:before="0" w:after="40"/>
        <w:ind w:left="600"/>
      </w:pPr>
      <w:r>
        <w:rPr>
          <w:color w:val="00643C"/>
          <w:sz w:val="16"/>
        </w:rPr>
        <w:t>Points clés : Croissance de 4,7% prévue en 2026 pour l'Afrique de l'Ouest.  •  Croissance de 4,9% prévue en 2027, en légère accélération.  •  Prévisions émises par la BIDC, institution financière régionale.</w:t>
      </w:r>
    </w:p>
    <w:p>
      <w:pPr>
        <w:spacing w:before="0" w:after="60"/>
        <w:ind w:left="600"/>
      </w:pPr>
      <w:r>
        <w:rPr>
          <w:color w:val="0064B4"/>
          <w:sz w:val="15"/>
        </w:rPr>
        <w:t>Source : https://news.google.com/rss/articles/CBMirwFBVV95cUxQcXVmRndSMGFKZkpCdWxuWG9nZXZ</w:t>
      </w:r>
    </w:p>
    <w:p>
      <w:pPr>
        <w:spacing w:before="120" w:after="40"/>
      </w:pPr>
      <w:r>
        <w:rPr>
          <w:b/>
          <w:color w:val="00467F"/>
          <w:sz w:val="20"/>
        </w:rPr>
        <w:t>🔑 marche_financier  (1 alerte(s))</w:t>
      </w:r>
    </w:p>
    <w:p>
      <w:pPr>
        <w:spacing w:before="40" w:after="40"/>
        <w:ind w:left="360"/>
      </w:pPr>
      <w:r>
        <w:rPr>
          <w:color w:val="646464"/>
          <w:sz w:val="17"/>
        </w:rPr>
        <w:t xml:space="preserve">[06/08/2026] 🟢  </w:t>
      </w:r>
      <w:r>
        <w:rPr>
          <w:b/>
          <w:color w:val="008000"/>
          <w:sz w:val="18"/>
        </w:rPr>
        <w:t>Le Marché de la BRVM en Effervescence : 4 Actions Clés Affichent des Gains Notables - Dabafinance</w:t>
      </w:r>
      <w:r>
        <w:rPr>
          <w:color w:val="787878"/>
          <w:sz w:val="15"/>
        </w:rPr>
        <w:t xml:space="preserve">  [marche_financier]</w:t>
      </w:r>
      <w:r>
        <w:rPr>
          <w:color w:val="B47800"/>
          <w:sz w:val="16"/>
        </w:rPr>
        <w:t xml:space="preserve">  ★ 50/10</w:t>
      </w:r>
    </w:p>
    <w:p>
      <w:pPr>
        <w:spacing w:before="0" w:after="20"/>
        <w:ind w:left="600"/>
      </w:pPr>
      <w:r>
        <w:rPr>
          <w:color w:val="323232"/>
          <w:sz w:val="17"/>
        </w:rPr>
        <w:t>Le marché de la BRVM connaît une dynamique positive, avec quatre actions clés enregistrant des gains notables. Cette effervescence témoigne d'un intérêt accru des investisseurs pour la bourse régionale. Les performances de ces titres contribuent à la vitalité du marché financier de l'UEMOA. Cette tendance pourrait se poursuivre si les conditions éc</w:t>
      </w:r>
    </w:p>
    <w:p>
      <w:pPr>
        <w:spacing w:before="0" w:after="40"/>
        <w:ind w:left="600"/>
      </w:pPr>
      <w:r>
        <w:rPr>
          <w:color w:val="00643C"/>
          <w:sz w:val="16"/>
        </w:rPr>
        <w:t>Points clés : Quatre actions clés de la BRVM affichent des gains notables.  •  Le marché est en effervescence, indiquant une activité soutenue.</w:t>
      </w:r>
    </w:p>
    <w:p>
      <w:pPr>
        <w:spacing w:before="0" w:after="60"/>
        <w:ind w:left="600"/>
      </w:pPr>
      <w:r>
        <w:rPr>
          <w:color w:val="0064B4"/>
          <w:sz w:val="15"/>
        </w:rPr>
        <w:t>Source : https://news.google.com/rss/articles/CBMilAFBVV95cUxNODNwelhhdklCcU1sbGtpVnd5UlB</w:t>
      </w:r>
    </w:p>
    <w:p>
      <w:pPr>
        <w:spacing w:before="120" w:after="40"/>
      </w:pPr>
      <w:r>
        <w:rPr>
          <w:b/>
          <w:color w:val="00467F"/>
          <w:sz w:val="20"/>
        </w:rPr>
        <w:t>🔑 matieres_premieres  (1 alerte(s))</w:t>
      </w:r>
    </w:p>
    <w:p>
      <w:pPr>
        <w:spacing w:before="40" w:after="40"/>
        <w:ind w:left="360"/>
      </w:pPr>
      <w:r>
        <w:rPr>
          <w:color w:val="646464"/>
          <w:sz w:val="17"/>
        </w:rPr>
        <w:t xml:space="preserve">[05/08/2026] 🔴  </w:t>
      </w:r>
      <w:r>
        <w:rPr>
          <w:b/>
          <w:color w:val="C00000"/>
          <w:sz w:val="18"/>
        </w:rPr>
        <w:t>Les prix du pétrole et du maïs s'effondrent simultanément.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Les prix du pétrole et du maïs ont chuté simultanément sur les marchés internationaux, selon Vietnam.vn. Cette baisse conjointe reflète des pressions baissières sur les matières premières, probablement liées à des facteurs macroéconomiques ou à une offre abondante. Pour la BRVM, cette évolution pourrait avoir des implications contrastées selon les </w:t>
      </w:r>
    </w:p>
    <w:p>
      <w:pPr>
        <w:spacing w:before="0" w:after="40"/>
        <w:ind w:left="600"/>
      </w:pPr>
      <w:r>
        <w:rPr>
          <w:color w:val="00643C"/>
          <w:sz w:val="16"/>
        </w:rPr>
        <w:t>Points clés : Chute simultanée des prix du pétrole et du maïs.  •  Impact potentiel sur les coûts de production et les marges des entreprises.  •  Contexte international de baisse des matières premières.</w:t>
      </w:r>
    </w:p>
    <w:p>
      <w:pPr>
        <w:spacing w:before="0" w:after="60"/>
        <w:ind w:left="600"/>
      </w:pPr>
      <w:r>
        <w:rPr>
          <w:color w:val="0064B4"/>
          <w:sz w:val="15"/>
        </w:rPr>
        <w:t>Source : https://news.google.com/rss/articles/CBMiakFVX3lxTE1aRU9LNnE1Zy15anhGUmZkYkVndDR</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3,500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2,115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3,550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24,980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2,805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7,595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17,175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3,125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2,125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5,020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5,250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2,940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7,230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5,590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2,530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31,000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8,710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28,305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23,550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3,010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7,085</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1,445</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FTSC</w:t>
            </w:r>
          </w:p>
        </w:tc>
        <w:tc>
          <w:tcPr>
            <w:tcW w:type="dxa" w:w="1080"/>
            <w:shd w:fill="FEFEFE" w:val="clear"/>
          </w:tcPr>
          <w:p>
            <w:r>
              <w:rPr>
                <w:sz w:val="16"/>
              </w:rPr>
              <w:t>INDUSTRIELS</w:t>
            </w:r>
          </w:p>
        </w:tc>
        <w:tc>
          <w:tcPr>
            <w:tcW w:type="dxa" w:w="1080"/>
            <w:shd w:fill="FEFEFE" w:val="clear"/>
          </w:tcPr>
          <w:p>
            <w:r>
              <w:rPr>
                <w:sz w:val="16"/>
              </w:rPr>
              <w:t>2,000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SPHC</w:t>
            </w:r>
          </w:p>
        </w:tc>
        <w:tc>
          <w:tcPr>
            <w:tcW w:type="dxa" w:w="1080"/>
            <w:shd w:fill="FEFEFE" w:val="clear"/>
          </w:tcPr>
          <w:p>
            <w:r>
              <w:rPr>
                <w:sz w:val="16"/>
              </w:rPr>
              <w:t>CONSOMMATION DE BA</w:t>
            </w:r>
          </w:p>
        </w:tc>
        <w:tc>
          <w:tcPr>
            <w:tcW w:type="dxa" w:w="1080"/>
            <w:shd w:fill="FEFEFE" w:val="clear"/>
          </w:tcPr>
          <w:p>
            <w:r>
              <w:rPr>
                <w:sz w:val="16"/>
              </w:rPr>
              <w:t>7,600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54,595</w:t>
            </w:r>
          </w:p>
        </w:tc>
        <w:tc>
          <w:tcPr>
            <w:tcW w:type="dxa" w:w="1080"/>
            <w:shd w:fill="FEFEFE" w:val="clear"/>
          </w:tcPr>
          <w:p>
            <w:r>
              <w:rPr>
                <w:b/>
                <w:sz w:val="16"/>
              </w:rPr>
              <w:t>53/100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11,600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1,900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24,980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2,805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7,595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17,175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3,125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3,500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2,115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3,550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STBC</w:t>
            </w:r>
          </w:p>
        </w:tc>
        <w:tc>
          <w:tcPr>
            <w:tcW w:type="dxa" w:w="1728"/>
            <w:shd w:fill="E2EFDA" w:val="clear"/>
          </w:tcPr>
          <w:p>
            <w:r>
              <w:rPr>
                <w:sz w:val="17"/>
              </w:rPr>
              <w:t>STBC - SITAB COTE D'IVOIRE</w:t>
            </w:r>
          </w:p>
        </w:tc>
        <w:tc>
          <w:tcPr>
            <w:tcW w:type="dxa" w:w="1728"/>
            <w:shd w:fill="E2EFDA" w:val="clear"/>
          </w:tcPr>
          <w:p>
            <w:r>
              <w:rPr>
                <w:sz w:val="17"/>
              </w:rPr>
              <w:t>24,980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2,805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3,500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2,115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3,550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STBC</w:t>
            </w:r>
          </w:p>
        </w:tc>
        <w:tc>
          <w:tcPr>
            <w:tcW w:type="dxa" w:w="1728"/>
            <w:shd w:fill="FCE4D6" w:val="clear"/>
          </w:tcPr>
          <w:p>
            <w:r>
              <w:rPr>
                <w:sz w:val="17"/>
              </w:rPr>
              <w:t>STBC - SITAB COTE D'IVOIRE</w:t>
            </w:r>
          </w:p>
        </w:tc>
        <w:tc>
          <w:tcPr>
            <w:tcW w:type="dxa" w:w="1728"/>
            <w:shd w:fill="FCE4D6" w:val="clear"/>
          </w:tcPr>
          <w:p>
            <w:r>
              <w:rPr>
                <w:sz w:val="17"/>
              </w:rPr>
              <w:t>24,980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2,805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surachat (82.7 &gt; 70) — risque de correction</w:t>
      </w:r>
    </w:p>
    <w:p>
      <w:pPr>
        <w:pStyle w:val="ListBullet"/>
        <w:spacing w:before="20"/>
        <w:ind w:left="400"/>
      </w:pPr>
      <w:r>
        <w:rPr>
          <w:sz w:val="18"/>
        </w:rPr>
        <w:t>⚠️ Cours à 0.9% du plus haut 100j (16,750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1.3%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0.3% du plus haut 100j (7,255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(84.8 &gt; 70) — risque de correction</w:t>
      </w:r>
    </w:p>
    <w:p>
      <w:pPr>
        <w:pStyle w:val="ListBullet"/>
        <w:spacing w:before="20"/>
        <w:ind w:left="400"/>
      </w:pPr>
      <w:r>
        <w:rPr>
          <w:sz w:val="18"/>
        </w:rPr>
        <w:t>⚠️ Cours à 0.0% du plus haut 100j (11,600 FCFA)</w:t>
      </w:r>
    </w:p>
    <w:p>
      <w:pPr>
        <w:spacing w:before="120"/>
      </w:pPr>
      <w:r>
        <w:rPr>
          <w:b/>
          <w:color w:val="0050A0"/>
          <w:sz w:val="20"/>
        </w:rPr>
        <w:t>ONTBF — ONTBF - ONATEL BURKINA FASO</w:t>
      </w:r>
    </w:p>
    <w:p>
      <w:pPr>
        <w:pStyle w:val="ListBullet"/>
        <w:spacing w:before="20"/>
        <w:ind w:left="400"/>
      </w:pPr>
      <w:r>
        <w:rPr>
          <w:sz w:val="18"/>
        </w:rPr>
        <w:t>🔴 RSI surachat (73.0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(17,175 FCFA)</w:t>
      </w:r>
    </w:p>
    <w:p>
      <w:pPr>
        <w:spacing w:before="120"/>
      </w:pPr>
      <w:r>
        <w:rPr>
          <w:b/>
          <w:color w:val="0050A0"/>
          <w:sz w:val="20"/>
        </w:rPr>
        <w:t>SDCC — SDCC - Société de Distribution d'Eau de Côte d'Ivoire</w:t>
      </w:r>
    </w:p>
    <w:p>
      <w:pPr>
        <w:pStyle w:val="ListBullet"/>
        <w:spacing w:before="20"/>
        <w:ind w:left="400"/>
      </w:pPr>
      <w:r>
        <w:rPr>
          <w:sz w:val="18"/>
        </w:rPr>
        <w:t>⚠️ Cours à 2.4%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(78.5 &gt; 70) — risque de correction</w:t>
      </w:r>
    </w:p>
    <w:p>
      <w:pPr>
        <w:pStyle w:val="ListBullet"/>
        <w:spacing w:before="20"/>
        <w:ind w:left="400"/>
      </w:pPr>
      <w:r>
        <w:rPr>
          <w:sz w:val="18"/>
        </w:rPr>
        <w:t>⚠️ Cours à 0.1% du plus haut 100j (7,095 FCFA)</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(75.7 &gt; 70) — risque de correction</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fond(NEUTRE) — recommandation ajustée à CONSERVER ⚠️</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NSBC — NSBC - NSIA BANQUE COTE D'IVOIRE</w:t>
      </w:r>
    </w:p>
    <w:p>
      <w:pPr>
        <w:pStyle w:val="ListBullet"/>
        <w:spacing w:before="20"/>
        <w:ind w:left="400"/>
      </w:pPr>
      <w:r>
        <w:rPr>
          <w:sz w:val="18"/>
        </w:rPr>
        <w:t>⚠️ Cours à 2.0% du plus haut 100j (24,020 FCFA)</w:t>
      </w:r>
    </w:p>
    <w:p>
      <w:pPr>
        <w:spacing w:before="120"/>
      </w:pPr>
      <w:r>
        <w:rPr>
          <w:b/>
          <w:color w:val="0050A0"/>
          <w:sz w:val="20"/>
        </w:rPr>
        <w:t>ORGT — ORGT - ORAGROUP TOGO</w:t>
      </w:r>
    </w:p>
    <w:p>
      <w:pPr>
        <w:pStyle w:val="ListBullet"/>
        <w:spacing w:before="20"/>
        <w:ind w:left="400"/>
      </w:pPr>
      <w:r>
        <w:rPr>
          <w:sz w:val="18"/>
        </w:rPr>
        <w:t>🔴 RSI surachat (87.4 &gt; 70) — risque de correction</w:t>
      </w:r>
    </w:p>
    <w:p>
      <w:pPr>
        <w:spacing w:before="120"/>
      </w:pPr>
      <w:r>
        <w:rPr>
          <w:b/>
          <w:color w:val="0050A0"/>
          <w:sz w:val="20"/>
        </w:rPr>
        <w:t>SAFC — SAFCA CI</w:t>
      </w:r>
    </w:p>
    <w:p>
      <w:pPr>
        <w:pStyle w:val="ListBullet"/>
        <w:spacing w:before="20"/>
        <w:ind w:left="400"/>
      </w:pPr>
      <w:r>
        <w:rPr>
          <w:sz w:val="18"/>
        </w:rPr>
        <w:t>🔴 RSI surachat (72.4 &gt; 70) — risque de correction</w:t>
      </w:r>
    </w:p>
    <w:p>
      <w:pPr>
        <w:spacing w:before="120"/>
      </w:pPr>
      <w:r>
        <w:rPr>
          <w:b/>
          <w:color w:val="0050A0"/>
          <w:sz w:val="20"/>
        </w:rPr>
        <w:t>SEMC — SEMC - EVIOSYS PACKAGING SIEM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1.5% du plus haut 100j (2,325 FCFA)</w:t>
      </w:r>
    </w:p>
    <w:p>
      <w:pPr>
        <w:spacing w:before="120"/>
      </w:pPr>
      <w:r>
        <w:rPr>
          <w:b/>
          <w:color w:val="0050A0"/>
          <w:sz w:val="20"/>
        </w:rPr>
        <w:t>SIBC — SIBC - SOCIETE IVOIRIENNE DE BANQUE</w:t>
      </w:r>
    </w:p>
    <w:p>
      <w:pPr>
        <w:pStyle w:val="ListBullet"/>
        <w:spacing w:before="20"/>
        <w:ind w:left="400"/>
      </w:pPr>
      <w:r>
        <w:rPr>
          <w:sz w:val="18"/>
        </w:rPr>
        <w:t>⚠️ Cours à 0.0% du plus haut 100j (9,300 FCFA)</w:t>
      </w:r>
    </w:p>
    <w:p>
      <w:pPr>
        <w:spacing w:before="120"/>
      </w:pPr>
      <w:r>
        <w:rPr>
          <w:b/>
          <w:color w:val="0050A0"/>
          <w:sz w:val="20"/>
        </w:rPr>
        <w:t>SIVC — SIVC - ERIUM CI (Ex AIR LIQUIDECI)</w:t>
      </w:r>
    </w:p>
    <w:p>
      <w:pPr>
        <w:pStyle w:val="ListBullet"/>
        <w:spacing w:before="20"/>
        <w:ind w:left="400"/>
      </w:pPr>
      <w:r>
        <w:rPr>
          <w:sz w:val="18"/>
        </w:rPr>
        <w:t>🟢 RSI survente (26.9 &lt; 30) — opportunité potentielle</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fond(NEUTRE) — recommandation ajustée à CONSERVER ⚠️</w:t>
      </w:r>
    </w:p>
    <w:p>
      <w:pPr>
        <w:spacing w:before="120"/>
      </w:pPr>
      <w:r>
        <w:rPr>
          <w:b/>
          <w:color w:val="0050A0"/>
          <w:sz w:val="20"/>
        </w:rPr>
        <w:t>STAC — STAC - SETAO COTE D'IVOIRE</w:t>
      </w:r>
    </w:p>
    <w:p>
      <w:pPr>
        <w:pStyle w:val="ListBullet"/>
        <w:spacing w:before="20"/>
        <w:ind w:left="400"/>
      </w:pPr>
      <w:r>
        <w:rPr>
          <w:sz w:val="18"/>
        </w:rPr>
        <w:t>🟢 RSI survente (27.8 &lt; 30) — opportunité potentielle</w:t>
      </w:r>
    </w:p>
    <w:p>
      <w:pPr>
        <w:spacing w:before="120"/>
      </w:pPr>
      <w:r>
        <w:rPr>
          <w:b/>
          <w:color w:val="0050A0"/>
          <w:sz w:val="20"/>
        </w:rPr>
        <w:t>STBC — STBC - SITAB COTE D'IVOIRE</w:t>
      </w:r>
    </w:p>
    <w:p>
      <w:pPr>
        <w:pStyle w:val="ListBullet"/>
        <w:spacing w:before="20"/>
        <w:ind w:left="400"/>
      </w:pPr>
      <w:r>
        <w:rPr>
          <w:sz w:val="18"/>
        </w:rPr>
        <w:t>⚠️ Cours à 0.1% du plus haut 100j (25,000 FCFA)</w:t>
      </w:r>
    </w:p>
    <w:p>
      <w:pPr>
        <w:spacing w:before="120"/>
      </w:pPr>
      <w:r>
        <w:rPr>
          <w:b/>
          <w:color w:val="0050A0"/>
          <w:sz w:val="20"/>
        </w:rPr>
        <w:t>TTLS — TTLS - TOTAL ENERGIES MARKETING SENEGAL</w:t>
      </w:r>
    </w:p>
    <w:p>
      <w:pPr>
        <w:pStyle w:val="ListBullet"/>
        <w:spacing w:before="20"/>
        <w:ind w:left="400"/>
      </w:pPr>
      <w:r>
        <w:rPr>
          <w:sz w:val="18"/>
        </w:rPr>
        <w:t>🟢 RSI survente (25.6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23 société(s) (49%)</w:t>
            </w:r>
          </w:p>
        </w:tc>
        <w:tc>
          <w:tcPr>
            <w:tcW w:type="dxa" w:w="1644"/>
            <w:shd w:fill="FFEB9C" w:val="clear"/>
          </w:tcPr>
          <w:p>
            <w:r>
              <w:rPr>
                <w:b/>
                <w:color w:val="825A00"/>
                <w:sz w:val="19"/>
              </w:rPr>
              <w:t>24 société(s) (51%)</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20.0/100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38.6/100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(38.6/100 — Moyen) : </w:t>
      </w:r>
      <w:r>
        <w:rPr>
          <w:sz w:val="17"/>
        </w:rPr>
        <w:t>Volatilité=Élevée | Bêta=Contre-cyclique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38.6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-10.30%  |  Médiane : -6.86%</w:t>
            </w:r>
          </w:p>
        </w:tc>
      </w:tr>
      <w:tr>
        <w:tc>
          <w:tcPr>
            <w:tcW w:type="dxa" w:w="2835"/>
            <w:shd w:fill="DEEAF1" w:val="clear"/>
          </w:tcPr>
          <w:p>
            <w:r>
              <w:rPr>
                <w:b/>
                <w:sz w:val="18"/>
              </w:rPr>
              <w:t>Répartition</w:t>
            </w:r>
          </w:p>
        </w:tc>
        <w:tc>
          <w:tcPr>
            <w:tcW w:type="dxa" w:w="7370"/>
          </w:tcPr>
          <w:p>
            <w:r>
              <w:rPr>
                <w:b/>
                <w:sz w:val="18"/>
              </w:rPr>
              <w:t>📈 7 sociétés en hausse (&gt;+1%)   📉 37 en baisse (&lt;-1%)   ➡️ 3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-10.30%.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3,550 FCFA</w:t>
            </w:r>
          </w:p>
        </w:tc>
        <w:tc>
          <w:tcPr>
            <w:tcW w:type="dxa" w:w="1417"/>
            <w:shd w:fill="FFFFFF" w:val="clear"/>
          </w:tcPr>
          <w:p>
            <w:r>
              <w:rPr>
                <w:sz w:val="16"/>
              </w:rPr>
              <w:t>6,375 FCFA</w:t>
            </w:r>
          </w:p>
        </w:tc>
        <w:tc>
          <w:tcPr>
            <w:tcW w:type="dxa" w:w="1134"/>
            <w:shd w:fill="C6EFCE" w:val="clear"/>
          </w:tcPr>
          <w:p>
            <w:r>
              <w:rPr>
                <w:b/>
                <w:color w:val="007800"/>
                <w:sz w:val="16"/>
              </w:rPr>
              <w:t>+79.57%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23,550 FCFA</w:t>
            </w:r>
          </w:p>
        </w:tc>
        <w:tc>
          <w:tcPr>
            <w:tcW w:type="dxa" w:w="1417"/>
            <w:shd w:fill="FFFFFF" w:val="clear"/>
          </w:tcPr>
          <w:p>
            <w:r>
              <w:rPr>
                <w:sz w:val="16"/>
              </w:rPr>
              <w:t>27,739 FCFA</w:t>
            </w:r>
          </w:p>
        </w:tc>
        <w:tc>
          <w:tcPr>
            <w:tcW w:type="dxa" w:w="1134"/>
            <w:shd w:fill="C6EFCE" w:val="clear"/>
          </w:tcPr>
          <w:p>
            <w:r>
              <w:rPr>
                <w:b/>
                <w:color w:val="007800"/>
                <w:sz w:val="16"/>
              </w:rPr>
              <w:t>+17.79%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54,595 FCFA</w:t>
            </w:r>
          </w:p>
        </w:tc>
        <w:tc>
          <w:tcPr>
            <w:tcW w:type="dxa" w:w="1417"/>
            <w:shd w:fill="FFFFFF" w:val="clear"/>
          </w:tcPr>
          <w:p>
            <w:r>
              <w:rPr>
                <w:sz w:val="16"/>
              </w:rPr>
              <w:t>61,236 FCFA</w:t>
            </w:r>
          </w:p>
        </w:tc>
        <w:tc>
          <w:tcPr>
            <w:tcW w:type="dxa" w:w="1134"/>
            <w:shd w:fill="C6EFCE" w:val="clear"/>
          </w:tcPr>
          <w:p>
            <w:r>
              <w:rPr>
                <w:b/>
                <w:color w:val="007800"/>
                <w:sz w:val="16"/>
              </w:rPr>
              <w:t>+12.16%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24,980 FCFA</w:t>
            </w:r>
          </w:p>
        </w:tc>
        <w:tc>
          <w:tcPr>
            <w:tcW w:type="dxa" w:w="1417"/>
            <w:shd w:fill="FFFFFF" w:val="clear"/>
          </w:tcPr>
          <w:p>
            <w:r>
              <w:rPr>
                <w:sz w:val="16"/>
              </w:rPr>
              <w:t>27,275 FCFA</w:t>
            </w:r>
          </w:p>
        </w:tc>
        <w:tc>
          <w:tcPr>
            <w:tcW w:type="dxa" w:w="1134"/>
            <w:shd w:fill="C6EFCE" w:val="clear"/>
          </w:tcPr>
          <w:p>
            <w:r>
              <w:rPr>
                <w:b/>
                <w:color w:val="007800"/>
                <w:sz w:val="16"/>
              </w:rPr>
              <w:t>+9.19%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2,000 FCFA</w:t>
            </w:r>
          </w:p>
        </w:tc>
        <w:tc>
          <w:tcPr>
            <w:tcW w:type="dxa" w:w="1417"/>
            <w:shd w:fill="FFFFFF" w:val="clear"/>
          </w:tcPr>
          <w:p>
            <w:r>
              <w:rPr>
                <w:sz w:val="16"/>
              </w:rPr>
              <w:t>2,085 FCFA</w:t>
            </w:r>
          </w:p>
        </w:tc>
        <w:tc>
          <w:tcPr>
            <w:tcW w:type="dxa" w:w="1134"/>
            <w:shd w:fill="C6EFCE" w:val="clear"/>
          </w:tcPr>
          <w:p>
            <w:r>
              <w:rPr>
                <w:b/>
                <w:color w:val="007800"/>
                <w:sz w:val="16"/>
              </w:rPr>
              <w:t>+4.25%</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(+79.6%) — signal potentiellement excessif, à croiser avec l'analyse technique. Trajectoire : 📈 Hausse continue. Cours actuel : 3,550 FCFA → prédit J+10 : 6,375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(+17.8%) — potentiel de revalorisation notable. Trajectoire : 📈 Hausse continue. Cours actuel : 23,550 FCFA → prédit J+10 : 27,739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(+12.2%) — potentiel de revalorisation notable. Trajectoire : 📈 Hausse continue. Cours actuel : 54,595 FCFA → prédit J+10 : 61,236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(+9.2%) — signal raisonnable et crédible. Trajectoire : 📈 Hausse continue. Cours actuel : 24,980 FCFA → prédit J+10 : 27,275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2,000 FCFA → prédit J+10 : 2,085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5,250 FCFA</w:t>
            </w:r>
          </w:p>
        </w:tc>
        <w:tc>
          <w:tcPr>
            <w:tcW w:type="dxa" w:w="1417"/>
            <w:shd w:fill="FFFFFF" w:val="clear"/>
          </w:tcPr>
          <w:p>
            <w:r>
              <w:rPr>
                <w:sz w:val="16"/>
              </w:rPr>
              <w:t>2,408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3,550 FCFA</w:t>
            </w:r>
          </w:p>
        </w:tc>
        <w:tc>
          <w:tcPr>
            <w:tcW w:type="dxa" w:w="1417"/>
            <w:shd w:fill="FFFFFF" w:val="clear"/>
          </w:tcPr>
          <w:p>
            <w:r>
              <w:rPr>
                <w:sz w:val="16"/>
              </w:rPr>
              <w:t>1,628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-53.97%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2,675 FCFA</w:t>
            </w:r>
          </w:p>
        </w:tc>
        <w:tc>
          <w:tcPr>
            <w:tcW w:type="dxa" w:w="1417"/>
            <w:shd w:fill="FFFFFF" w:val="clear"/>
          </w:tcPr>
          <w:p>
            <w:r>
              <w:rPr>
                <w:sz w:val="16"/>
              </w:rPr>
              <w:t>1,597 FCFA</w:t>
            </w:r>
          </w:p>
        </w:tc>
        <w:tc>
          <w:tcPr>
            <w:tcW w:type="dxa" w:w="1134"/>
            <w:shd w:fill="FFC7CE" w:val="clear"/>
          </w:tcPr>
          <w:p>
            <w:r>
              <w:rPr>
                <w:b/>
                <w:color w:val="B40000"/>
                <w:sz w:val="16"/>
              </w:rPr>
              <w:t>-40.29%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28,305 FCFA</w:t>
            </w:r>
          </w:p>
        </w:tc>
        <w:tc>
          <w:tcPr>
            <w:tcW w:type="dxa" w:w="1417"/>
            <w:shd w:fill="FFFFFF" w:val="clear"/>
          </w:tcPr>
          <w:p>
            <w:r>
              <w:rPr>
                <w:sz w:val="16"/>
              </w:rPr>
              <w:t>17,336 FCFA</w:t>
            </w:r>
          </w:p>
        </w:tc>
        <w:tc>
          <w:tcPr>
            <w:tcW w:type="dxa" w:w="1134"/>
            <w:shd w:fill="FFC7CE" w:val="clear"/>
          </w:tcPr>
          <w:p>
            <w:r>
              <w:rPr>
                <w:b/>
                <w:color w:val="B40000"/>
                <w:sz w:val="16"/>
              </w:rPr>
              <w:t>-38.75%</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5,250 FCFA → prédit J+10 : 2,408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3,550 FCFA → prédit J+10 : 1,628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(-54.0%)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(-40.3%) — amplitude potentiellement surestimée par le modèle. Trajectoire : 📉 Baisse continue. Cours actuel : 2,675 FCFA → prédit J+10 : 1,597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(-38.8%) — amplitude potentiellement surestimée par le modèle. Trajectoire : 📉 Baisse continue. Cours actuel : 28,305 FCFA → prédit J+10 : 17,336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3,550</w:t>
            </w:r>
          </w:p>
        </w:tc>
        <w:tc>
          <w:tcPr>
            <w:tcW w:type="dxa" w:w="1417"/>
            <w:shd w:fill="FFFFFF" w:val="clear"/>
          </w:tcPr>
          <w:p>
            <w:r>
              <w:rPr>
                <w:sz w:val="16"/>
              </w:rPr>
              <w:t>6,375</w:t>
            </w:r>
          </w:p>
        </w:tc>
        <w:tc>
          <w:tcPr>
            <w:tcW w:type="dxa" w:w="1134"/>
            <w:shd w:fill="C6EFCE" w:val="clear"/>
          </w:tcPr>
          <w:p>
            <w:r>
              <w:rPr>
                <w:b/>
                <w:color w:val="007800"/>
                <w:sz w:val="16"/>
              </w:rPr>
              <w:t>+79.57%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23,550</w:t>
            </w:r>
          </w:p>
        </w:tc>
        <w:tc>
          <w:tcPr>
            <w:tcW w:type="dxa" w:w="1417"/>
            <w:shd w:fill="FFFFFF" w:val="clear"/>
          </w:tcPr>
          <w:p>
            <w:r>
              <w:rPr>
                <w:sz w:val="16"/>
              </w:rPr>
              <w:t>27,739</w:t>
            </w:r>
          </w:p>
        </w:tc>
        <w:tc>
          <w:tcPr>
            <w:tcW w:type="dxa" w:w="1134"/>
            <w:shd w:fill="C6EFCE" w:val="clear"/>
          </w:tcPr>
          <w:p>
            <w:r>
              <w:rPr>
                <w:b/>
                <w:color w:val="007800"/>
                <w:sz w:val="16"/>
              </w:rPr>
              <w:t>+17.79%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54,595</w:t>
            </w:r>
          </w:p>
        </w:tc>
        <w:tc>
          <w:tcPr>
            <w:tcW w:type="dxa" w:w="1417"/>
            <w:shd w:fill="FFFFFF" w:val="clear"/>
          </w:tcPr>
          <w:p>
            <w:r>
              <w:rPr>
                <w:sz w:val="16"/>
              </w:rPr>
              <w:t>61,236</w:t>
            </w:r>
          </w:p>
        </w:tc>
        <w:tc>
          <w:tcPr>
            <w:tcW w:type="dxa" w:w="1134"/>
            <w:shd w:fill="C6EFCE" w:val="clear"/>
          </w:tcPr>
          <w:p>
            <w:r>
              <w:rPr>
                <w:b/>
                <w:color w:val="007800"/>
                <w:sz w:val="16"/>
              </w:rPr>
              <w:t>+12.16%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24,980</w:t>
            </w:r>
          </w:p>
        </w:tc>
        <w:tc>
          <w:tcPr>
            <w:tcW w:type="dxa" w:w="1417"/>
            <w:shd w:fill="FFFFFF" w:val="clear"/>
          </w:tcPr>
          <w:p>
            <w:r>
              <w:rPr>
                <w:sz w:val="16"/>
              </w:rPr>
              <w:t>27,275</w:t>
            </w:r>
          </w:p>
        </w:tc>
        <w:tc>
          <w:tcPr>
            <w:tcW w:type="dxa" w:w="1134"/>
            <w:shd w:fill="C6EFCE" w:val="clear"/>
          </w:tcPr>
          <w:p>
            <w:r>
              <w:rPr>
                <w:b/>
                <w:color w:val="007800"/>
                <w:sz w:val="16"/>
              </w:rPr>
              <w:t>+9.19%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2,085</w:t>
            </w:r>
          </w:p>
        </w:tc>
        <w:tc>
          <w:tcPr>
            <w:tcW w:type="dxa" w:w="1134"/>
            <w:shd w:fill="C6EFCE" w:val="clear"/>
          </w:tcPr>
          <w:p>
            <w:r>
              <w:rPr>
                <w:b/>
                <w:color w:val="007800"/>
                <w:sz w:val="16"/>
              </w:rPr>
              <w:t>+4.25%</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8,980</w:t>
            </w:r>
          </w:p>
        </w:tc>
        <w:tc>
          <w:tcPr>
            <w:tcW w:type="dxa" w:w="1417"/>
            <w:shd w:fill="FFFFFF" w:val="clear"/>
          </w:tcPr>
          <w:p>
            <w:r>
              <w:rPr>
                <w:sz w:val="16"/>
              </w:rPr>
              <w:t>9,264</w:t>
            </w:r>
          </w:p>
        </w:tc>
        <w:tc>
          <w:tcPr>
            <w:tcW w:type="dxa" w:w="1134"/>
            <w:shd w:fill="C6EFCE" w:val="clear"/>
          </w:tcPr>
          <w:p>
            <w:r>
              <w:rPr>
                <w:b/>
                <w:color w:val="007800"/>
                <w:sz w:val="16"/>
              </w:rPr>
              <w:t>+3.17%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8,229</w:t>
            </w:r>
          </w:p>
        </w:tc>
        <w:tc>
          <w:tcPr>
            <w:tcW w:type="dxa" w:w="1134"/>
            <w:shd w:fill="C6EFCE" w:val="clear"/>
          </w:tcPr>
          <w:p>
            <w:r>
              <w:rPr>
                <w:b/>
                <w:color w:val="007800"/>
                <w:sz w:val="16"/>
              </w:rPr>
              <w:t>+1.59%</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1,904</w:t>
            </w:r>
          </w:p>
        </w:tc>
        <w:tc>
          <w:tcPr>
            <w:tcW w:type="dxa" w:w="1134"/>
            <w:shd w:fill="FFEB9C" w:val="clear"/>
          </w:tcPr>
          <w:p>
            <w:r>
              <w:rPr>
                <w:b/>
                <w:color w:val="646400"/>
                <w:sz w:val="16"/>
              </w:rPr>
              <w:t>+0.23%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2,805</w:t>
            </w:r>
          </w:p>
        </w:tc>
        <w:tc>
          <w:tcPr>
            <w:tcW w:type="dxa" w:w="1417"/>
            <w:shd w:fill="FFFFFF" w:val="clear"/>
          </w:tcPr>
          <w:p>
            <w:r>
              <w:rPr>
                <w:sz w:val="16"/>
              </w:rPr>
              <w:t>2,790</w:t>
            </w:r>
          </w:p>
        </w:tc>
        <w:tc>
          <w:tcPr>
            <w:tcW w:type="dxa" w:w="1134"/>
            <w:shd w:fill="FFEB9C" w:val="clear"/>
          </w:tcPr>
          <w:p>
            <w:r>
              <w:rPr>
                <w:b/>
                <w:color w:val="646400"/>
                <w:sz w:val="16"/>
              </w:rPr>
              <w:t>-0.52%</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36,725</w:t>
            </w:r>
          </w:p>
        </w:tc>
        <w:tc>
          <w:tcPr>
            <w:tcW w:type="dxa" w:w="1134"/>
            <w:shd w:fill="FFEB9C" w:val="clear"/>
          </w:tcPr>
          <w:p>
            <w:r>
              <w:rPr>
                <w:b/>
                <w:color w:val="646400"/>
                <w:sz w:val="16"/>
              </w:rPr>
              <w:t>-0.74%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16,000</w:t>
            </w:r>
          </w:p>
        </w:tc>
        <w:tc>
          <w:tcPr>
            <w:tcW w:type="dxa" w:w="1134"/>
            <w:shd w:fill="FFC7CE" w:val="clear"/>
          </w:tcPr>
          <w:p>
            <w:r>
              <w:rPr>
                <w:b/>
                <w:color w:val="B40000"/>
                <w:sz w:val="16"/>
              </w:rPr>
              <w:t>-1.24%</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3,125</w:t>
            </w:r>
          </w:p>
        </w:tc>
        <w:tc>
          <w:tcPr>
            <w:tcW w:type="dxa" w:w="1417"/>
            <w:shd w:fill="FFFFFF" w:val="clear"/>
          </w:tcPr>
          <w:p>
            <w:r>
              <w:rPr>
                <w:sz w:val="16"/>
              </w:rPr>
              <w:t>3,079</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31,000</w:t>
            </w:r>
          </w:p>
        </w:tc>
        <w:tc>
          <w:tcPr>
            <w:tcW w:type="dxa" w:w="1417"/>
            <w:shd w:fill="FFFFFF" w:val="clear"/>
          </w:tcPr>
          <w:p>
            <w:r>
              <w:rPr>
                <w:sz w:val="16"/>
              </w:rPr>
              <w:t>30,523</w:t>
            </w:r>
          </w:p>
        </w:tc>
        <w:tc>
          <w:tcPr>
            <w:tcW w:type="dxa" w:w="1134"/>
            <w:shd w:fill="FFC7CE" w:val="clear"/>
          </w:tcPr>
          <w:p>
            <w:r>
              <w:rPr>
                <w:b/>
                <w:color w:val="B40000"/>
                <w:sz w:val="16"/>
              </w:rPr>
              <w:t>-1.54%</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2,940</w:t>
            </w:r>
          </w:p>
        </w:tc>
        <w:tc>
          <w:tcPr>
            <w:tcW w:type="dxa" w:w="1417"/>
            <w:shd w:fill="FFFFFF" w:val="clear"/>
          </w:tcPr>
          <w:p>
            <w:r>
              <w:rPr>
                <w:sz w:val="16"/>
              </w:rPr>
              <w:t>2,887</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7,442</w:t>
            </w:r>
          </w:p>
        </w:tc>
        <w:tc>
          <w:tcPr>
            <w:tcW w:type="dxa" w:w="1134"/>
            <w:shd w:fill="FFC7CE" w:val="clear"/>
          </w:tcPr>
          <w:p>
            <w:r>
              <w:rPr>
                <w:b/>
                <w:color w:val="B40000"/>
                <w:sz w:val="16"/>
              </w:rPr>
              <w:t>-2.07%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17,175</w:t>
            </w:r>
          </w:p>
        </w:tc>
        <w:tc>
          <w:tcPr>
            <w:tcW w:type="dxa" w:w="1417"/>
            <w:shd w:fill="FFFFFF" w:val="clear"/>
          </w:tcPr>
          <w:p>
            <w:r>
              <w:rPr>
                <w:sz w:val="16"/>
              </w:rPr>
              <w:t>16,743</w:t>
            </w:r>
          </w:p>
        </w:tc>
        <w:tc>
          <w:tcPr>
            <w:tcW w:type="dxa" w:w="1134"/>
            <w:shd w:fill="FFC7CE" w:val="clear"/>
          </w:tcPr>
          <w:p>
            <w:r>
              <w:rPr>
                <w:b/>
                <w:color w:val="B40000"/>
                <w:sz w:val="16"/>
              </w:rPr>
              <w:t>-2.51%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37,036</w:t>
            </w:r>
          </w:p>
        </w:tc>
        <w:tc>
          <w:tcPr>
            <w:tcW w:type="dxa" w:w="1134"/>
            <w:shd w:fill="FFC7CE" w:val="clear"/>
          </w:tcPr>
          <w:p>
            <w:r>
              <w:rPr>
                <w:b/>
                <w:color w:val="B40000"/>
                <w:sz w:val="16"/>
              </w:rPr>
              <w:t>-2.54%</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5,200</w:t>
            </w:r>
          </w:p>
        </w:tc>
        <w:tc>
          <w:tcPr>
            <w:tcW w:type="dxa" w:w="1417"/>
            <w:shd w:fill="FFFFFF" w:val="clear"/>
          </w:tcPr>
          <w:p>
            <w:r>
              <w:rPr>
                <w:sz w:val="16"/>
              </w:rPr>
              <w:t>5,051</w:t>
            </w:r>
          </w:p>
        </w:tc>
        <w:tc>
          <w:tcPr>
            <w:tcW w:type="dxa" w:w="1134"/>
            <w:shd w:fill="FFC7CE" w:val="clear"/>
          </w:tcPr>
          <w:p>
            <w:r>
              <w:rPr>
                <w:b/>
                <w:color w:val="B40000"/>
                <w:sz w:val="16"/>
              </w:rPr>
              <w:t>-2.87%</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16,595</w:t>
            </w:r>
          </w:p>
        </w:tc>
        <w:tc>
          <w:tcPr>
            <w:tcW w:type="dxa" w:w="1417"/>
            <w:shd w:fill="FFFFFF" w:val="clear"/>
          </w:tcPr>
          <w:p>
            <w:r>
              <w:rPr>
                <w:sz w:val="16"/>
              </w:rPr>
              <w:t>16,034</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16,550</w:t>
            </w:r>
          </w:p>
        </w:tc>
        <w:tc>
          <w:tcPr>
            <w:tcW w:type="dxa" w:w="1417"/>
            <w:shd w:fill="FFFFFF" w:val="clear"/>
          </w:tcPr>
          <w:p>
            <w:r>
              <w:rPr>
                <w:sz w:val="16"/>
              </w:rPr>
              <w:t>15,721</w:t>
            </w:r>
          </w:p>
        </w:tc>
        <w:tc>
          <w:tcPr>
            <w:tcW w:type="dxa" w:w="1134"/>
            <w:shd w:fill="FFC7CE" w:val="clear"/>
          </w:tcPr>
          <w:p>
            <w:r>
              <w:rPr>
                <w:b/>
                <w:color w:val="B40000"/>
                <w:sz w:val="16"/>
              </w:rPr>
              <w:t>-5.01%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4,480</w:t>
            </w:r>
          </w:p>
        </w:tc>
        <w:tc>
          <w:tcPr>
            <w:tcW w:type="dxa" w:w="1417"/>
            <w:shd w:fill="FFFFFF" w:val="clear"/>
          </w:tcPr>
          <w:p>
            <w:r>
              <w:rPr>
                <w:sz w:val="16"/>
              </w:rPr>
              <w:t>4,253</w:t>
            </w:r>
          </w:p>
        </w:tc>
        <w:tc>
          <w:tcPr>
            <w:tcW w:type="dxa" w:w="1134"/>
            <w:shd w:fill="FFC7CE" w:val="clear"/>
          </w:tcPr>
          <w:p>
            <w:r>
              <w:rPr>
                <w:b/>
                <w:color w:val="B40000"/>
                <w:sz w:val="16"/>
              </w:rPr>
              <w:t>-5.07%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1,900</w:t>
            </w:r>
          </w:p>
        </w:tc>
        <w:tc>
          <w:tcPr>
            <w:tcW w:type="dxa" w:w="1417"/>
            <w:shd w:fill="FFFFFF" w:val="clear"/>
          </w:tcPr>
          <w:p>
            <w:r>
              <w:rPr>
                <w:sz w:val="16"/>
              </w:rPr>
              <w:t>1,798</w:t>
            </w:r>
          </w:p>
        </w:tc>
        <w:tc>
          <w:tcPr>
            <w:tcW w:type="dxa" w:w="1134"/>
            <w:shd w:fill="FFC7CE" w:val="clear"/>
          </w:tcPr>
          <w:p>
            <w:r>
              <w:rPr>
                <w:b/>
                <w:color w:val="B40000"/>
                <w:sz w:val="16"/>
              </w:rPr>
              <w:t>-5.38%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2,530</w:t>
            </w:r>
          </w:p>
        </w:tc>
        <w:tc>
          <w:tcPr>
            <w:tcW w:type="dxa" w:w="1417"/>
            <w:shd w:fill="FFFFFF" w:val="clear"/>
          </w:tcPr>
          <w:p>
            <w:r>
              <w:rPr>
                <w:sz w:val="16"/>
              </w:rPr>
              <w:t>2,385</w:t>
            </w:r>
          </w:p>
        </w:tc>
        <w:tc>
          <w:tcPr>
            <w:tcW w:type="dxa" w:w="1134"/>
            <w:shd w:fill="FFC7CE" w:val="clear"/>
          </w:tcPr>
          <w:p>
            <w:r>
              <w:rPr>
                <w:b/>
                <w:color w:val="B40000"/>
                <w:sz w:val="16"/>
              </w:rPr>
              <w:t>-5.72%</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4,300</w:t>
            </w:r>
          </w:p>
        </w:tc>
        <w:tc>
          <w:tcPr>
            <w:tcW w:type="dxa" w:w="1417"/>
            <w:shd w:fill="FFFFFF" w:val="clear"/>
          </w:tcPr>
          <w:p>
            <w:r>
              <w:rPr>
                <w:sz w:val="16"/>
              </w:rPr>
              <w:t>4,005</w:t>
            </w:r>
          </w:p>
        </w:tc>
        <w:tc>
          <w:tcPr>
            <w:tcW w:type="dxa" w:w="1134"/>
            <w:shd w:fill="FFC7CE" w:val="clear"/>
          </w:tcPr>
          <w:p>
            <w:r>
              <w:rPr>
                <w:b/>
                <w:color w:val="B40000"/>
                <w:sz w:val="16"/>
              </w:rPr>
              <w:t>-6.86%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1,445</w:t>
            </w:r>
          </w:p>
        </w:tc>
        <w:tc>
          <w:tcPr>
            <w:tcW w:type="dxa" w:w="1417"/>
            <w:shd w:fill="FFFFFF" w:val="clear"/>
          </w:tcPr>
          <w:p>
            <w:r>
              <w:rPr>
                <w:sz w:val="16"/>
              </w:rPr>
              <w:t>1,310</w:t>
            </w:r>
          </w:p>
        </w:tc>
        <w:tc>
          <w:tcPr>
            <w:tcW w:type="dxa" w:w="1134"/>
            <w:shd w:fill="FFC7CE" w:val="clear"/>
          </w:tcPr>
          <w:p>
            <w:r>
              <w:rPr>
                <w:b/>
                <w:color w:val="B40000"/>
                <w:sz w:val="16"/>
              </w:rPr>
              <w:t>-9.36%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3,500</w:t>
            </w:r>
          </w:p>
        </w:tc>
        <w:tc>
          <w:tcPr>
            <w:tcW w:type="dxa" w:w="1417"/>
            <w:shd w:fill="FFFFFF" w:val="clear"/>
          </w:tcPr>
          <w:p>
            <w:r>
              <w:rPr>
                <w:sz w:val="16"/>
              </w:rPr>
              <w:t>3,157</w:t>
            </w:r>
          </w:p>
        </w:tc>
        <w:tc>
          <w:tcPr>
            <w:tcW w:type="dxa" w:w="1134"/>
            <w:shd w:fill="FFC7CE" w:val="clear"/>
          </w:tcPr>
          <w:p>
            <w:r>
              <w:rPr>
                <w:b/>
                <w:color w:val="B40000"/>
                <w:sz w:val="16"/>
              </w:rPr>
              <w:t>-9.80%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29,100</w:t>
            </w:r>
          </w:p>
        </w:tc>
        <w:tc>
          <w:tcPr>
            <w:tcW w:type="dxa" w:w="1417"/>
            <w:shd w:fill="FFFFFF" w:val="clear"/>
          </w:tcPr>
          <w:p>
            <w:r>
              <w:rPr>
                <w:sz w:val="16"/>
              </w:rPr>
              <w:t>26,196</w:t>
            </w:r>
          </w:p>
        </w:tc>
        <w:tc>
          <w:tcPr>
            <w:tcW w:type="dxa" w:w="1134"/>
            <w:shd w:fill="FFC7CE" w:val="clear"/>
          </w:tcPr>
          <w:p>
            <w:r>
              <w:rPr>
                <w:b/>
                <w:color w:val="B40000"/>
                <w:sz w:val="16"/>
              </w:rPr>
              <w:t>-9.98%</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7,230</w:t>
            </w:r>
          </w:p>
        </w:tc>
        <w:tc>
          <w:tcPr>
            <w:tcW w:type="dxa" w:w="1417"/>
            <w:shd w:fill="FFFFFF" w:val="clear"/>
          </w:tcPr>
          <w:p>
            <w:r>
              <w:rPr>
                <w:sz w:val="16"/>
              </w:rPr>
              <w:t>6,499</w:t>
            </w:r>
          </w:p>
        </w:tc>
        <w:tc>
          <w:tcPr>
            <w:tcW w:type="dxa" w:w="1134"/>
            <w:shd w:fill="FFC7CE" w:val="clear"/>
          </w:tcPr>
          <w:p>
            <w:r>
              <w:rPr>
                <w:b/>
                <w:color w:val="B40000"/>
                <w:sz w:val="16"/>
              </w:rPr>
              <w:t>-10.11%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5,590</w:t>
            </w:r>
          </w:p>
        </w:tc>
        <w:tc>
          <w:tcPr>
            <w:tcW w:type="dxa" w:w="1417"/>
            <w:shd w:fill="FFFFFF" w:val="clear"/>
          </w:tcPr>
          <w:p>
            <w:r>
              <w:rPr>
                <w:sz w:val="16"/>
              </w:rPr>
              <w:t>5,012</w:t>
            </w:r>
          </w:p>
        </w:tc>
        <w:tc>
          <w:tcPr>
            <w:tcW w:type="dxa" w:w="1134"/>
            <w:shd w:fill="FFC7CE" w:val="clear"/>
          </w:tcPr>
          <w:p>
            <w:r>
              <w:rPr>
                <w:b/>
                <w:color w:val="B40000"/>
                <w:sz w:val="16"/>
              </w:rPr>
              <w:t>-10.34%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10,664</w:t>
            </w:r>
          </w:p>
        </w:tc>
        <w:tc>
          <w:tcPr>
            <w:tcW w:type="dxa" w:w="1134"/>
            <w:shd w:fill="FFC7CE" w:val="clear"/>
          </w:tcPr>
          <w:p>
            <w:r>
              <w:rPr>
                <w:b/>
                <w:color w:val="B40000"/>
                <w:sz w:val="16"/>
              </w:rPr>
              <w:t>-10.39%</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3,010</w:t>
            </w:r>
          </w:p>
        </w:tc>
        <w:tc>
          <w:tcPr>
            <w:tcW w:type="dxa" w:w="1417"/>
            <w:shd w:fill="FFFFFF" w:val="clear"/>
          </w:tcPr>
          <w:p>
            <w:r>
              <w:rPr>
                <w:sz w:val="16"/>
              </w:rPr>
              <w:t>2,672</w:t>
            </w:r>
          </w:p>
        </w:tc>
        <w:tc>
          <w:tcPr>
            <w:tcW w:type="dxa" w:w="1134"/>
            <w:shd w:fill="FFC7CE" w:val="clear"/>
          </w:tcPr>
          <w:p>
            <w:r>
              <w:rPr>
                <w:b/>
                <w:color w:val="B40000"/>
                <w:sz w:val="16"/>
              </w:rPr>
              <w:t>-11.23%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8,710</w:t>
            </w:r>
          </w:p>
        </w:tc>
        <w:tc>
          <w:tcPr>
            <w:tcW w:type="dxa" w:w="1417"/>
            <w:shd w:fill="FFFFFF" w:val="clear"/>
          </w:tcPr>
          <w:p>
            <w:r>
              <w:rPr>
                <w:sz w:val="16"/>
              </w:rPr>
              <w:t>7,705</w:t>
            </w:r>
          </w:p>
        </w:tc>
        <w:tc>
          <w:tcPr>
            <w:tcW w:type="dxa" w:w="1134"/>
            <w:shd w:fill="FFC7CE" w:val="clear"/>
          </w:tcPr>
          <w:p>
            <w:r>
              <w:rPr>
                <w:b/>
                <w:color w:val="B40000"/>
                <w:sz w:val="16"/>
              </w:rPr>
              <w:t>-11.54%</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7,085</w:t>
            </w:r>
          </w:p>
        </w:tc>
        <w:tc>
          <w:tcPr>
            <w:tcW w:type="dxa" w:w="1417"/>
            <w:shd w:fill="FFFFFF" w:val="clear"/>
          </w:tcPr>
          <w:p>
            <w:r>
              <w:rPr>
                <w:sz w:val="16"/>
              </w:rPr>
              <w:t>6,215</w:t>
            </w:r>
          </w:p>
        </w:tc>
        <w:tc>
          <w:tcPr>
            <w:tcW w:type="dxa" w:w="1134"/>
            <w:shd w:fill="FFC7CE" w:val="clear"/>
          </w:tcPr>
          <w:p>
            <w:r>
              <w:rPr>
                <w:b/>
                <w:color w:val="B40000"/>
                <w:sz w:val="16"/>
              </w:rPr>
              <w:t>-12.29%</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7,710</w:t>
            </w:r>
          </w:p>
        </w:tc>
        <w:tc>
          <w:tcPr>
            <w:tcW w:type="dxa" w:w="1417"/>
            <w:shd w:fill="FFFFFF" w:val="clear"/>
          </w:tcPr>
          <w:p>
            <w:r>
              <w:rPr>
                <w:sz w:val="16"/>
              </w:rPr>
              <w:t>6,710</w:t>
            </w:r>
          </w:p>
        </w:tc>
        <w:tc>
          <w:tcPr>
            <w:tcW w:type="dxa" w:w="1134"/>
            <w:shd w:fill="FFC7CE" w:val="clear"/>
          </w:tcPr>
          <w:p>
            <w:r>
              <w:rPr>
                <w:b/>
                <w:color w:val="B40000"/>
                <w:sz w:val="16"/>
              </w:rPr>
              <w:t>-12.97%</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1,700</w:t>
            </w:r>
          </w:p>
        </w:tc>
        <w:tc>
          <w:tcPr>
            <w:tcW w:type="dxa" w:w="1417"/>
            <w:shd w:fill="FFFFFF" w:val="clear"/>
          </w:tcPr>
          <w:p>
            <w:r>
              <w:rPr>
                <w:sz w:val="16"/>
              </w:rPr>
              <w:t>1,450</w:t>
            </w:r>
          </w:p>
        </w:tc>
        <w:tc>
          <w:tcPr>
            <w:tcW w:type="dxa" w:w="1134"/>
            <w:shd w:fill="FFC7CE" w:val="clear"/>
          </w:tcPr>
          <w:p>
            <w:r>
              <w:rPr>
                <w:b/>
                <w:color w:val="B40000"/>
                <w:sz w:val="16"/>
              </w:rPr>
              <w:t>-14.68%</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2,125</w:t>
            </w:r>
          </w:p>
        </w:tc>
        <w:tc>
          <w:tcPr>
            <w:tcW w:type="dxa" w:w="1417"/>
            <w:shd w:fill="FFFFFF" w:val="clear"/>
          </w:tcPr>
          <w:p>
            <w:r>
              <w:rPr>
                <w:sz w:val="16"/>
              </w:rPr>
              <w:t>1,666</w:t>
            </w:r>
          </w:p>
        </w:tc>
        <w:tc>
          <w:tcPr>
            <w:tcW w:type="dxa" w:w="1134"/>
            <w:shd w:fill="FFC7CE" w:val="clear"/>
          </w:tcPr>
          <w:p>
            <w:r>
              <w:rPr>
                <w:b/>
                <w:color w:val="B40000"/>
                <w:sz w:val="16"/>
              </w:rPr>
              <w:t>-21.62%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7,226</w:t>
            </w:r>
          </w:p>
        </w:tc>
        <w:tc>
          <w:tcPr>
            <w:tcW w:type="dxa" w:w="1134"/>
            <w:shd w:fill="FFC7CE" w:val="clear"/>
          </w:tcPr>
          <w:p>
            <w:r>
              <w:rPr>
                <w:b/>
                <w:color w:val="B40000"/>
                <w:sz w:val="16"/>
              </w:rPr>
              <w:t>-22.30%</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8,583</w:t>
            </w:r>
          </w:p>
        </w:tc>
        <w:tc>
          <w:tcPr>
            <w:tcW w:type="dxa" w:w="1134"/>
            <w:shd w:fill="FFC7CE" w:val="clear"/>
          </w:tcPr>
          <w:p>
            <w:r>
              <w:rPr>
                <w:b/>
                <w:color w:val="B40000"/>
                <w:sz w:val="16"/>
              </w:rPr>
              <w:t>-26.01%</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2,290</w:t>
            </w:r>
          </w:p>
        </w:tc>
        <w:tc>
          <w:tcPr>
            <w:tcW w:type="dxa" w:w="1417"/>
            <w:shd w:fill="FFFFFF" w:val="clear"/>
          </w:tcPr>
          <w:p>
            <w:r>
              <w:rPr>
                <w:sz w:val="16"/>
              </w:rPr>
              <w:t>1,656</w:t>
            </w:r>
          </w:p>
        </w:tc>
        <w:tc>
          <w:tcPr>
            <w:tcW w:type="dxa" w:w="1134"/>
            <w:shd w:fill="FFC7CE" w:val="clear"/>
          </w:tcPr>
          <w:p>
            <w:r>
              <w:rPr>
                <w:b/>
                <w:color w:val="B40000"/>
                <w:sz w:val="16"/>
              </w:rPr>
              <w:t>-27.69%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7,595</w:t>
            </w:r>
          </w:p>
        </w:tc>
        <w:tc>
          <w:tcPr>
            <w:tcW w:type="dxa" w:w="1417"/>
            <w:shd w:fill="FFFFFF" w:val="clear"/>
          </w:tcPr>
          <w:p>
            <w:r>
              <w:rPr>
                <w:sz w:val="16"/>
              </w:rPr>
              <w:t>5,410</w:t>
            </w:r>
          </w:p>
        </w:tc>
        <w:tc>
          <w:tcPr>
            <w:tcW w:type="dxa" w:w="1134"/>
            <w:shd w:fill="FFC7CE" w:val="clear"/>
          </w:tcPr>
          <w:p>
            <w:r>
              <w:rPr>
                <w:b/>
                <w:color w:val="B40000"/>
                <w:sz w:val="16"/>
              </w:rPr>
              <w:t>-28.77%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2,115</w:t>
            </w:r>
          </w:p>
        </w:tc>
        <w:tc>
          <w:tcPr>
            <w:tcW w:type="dxa" w:w="1417"/>
            <w:shd w:fill="FFFFFF" w:val="clear"/>
          </w:tcPr>
          <w:p>
            <w:r>
              <w:rPr>
                <w:sz w:val="16"/>
              </w:rPr>
              <w:t>1,350</w:t>
            </w:r>
          </w:p>
        </w:tc>
        <w:tc>
          <w:tcPr>
            <w:tcW w:type="dxa" w:w="1134"/>
            <w:shd w:fill="FFC7CE" w:val="clear"/>
          </w:tcPr>
          <w:p>
            <w:r>
              <w:rPr>
                <w:b/>
                <w:color w:val="B40000"/>
                <w:sz w:val="16"/>
              </w:rPr>
              <w:t>-36.18%</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5,020</w:t>
            </w:r>
          </w:p>
        </w:tc>
        <w:tc>
          <w:tcPr>
            <w:tcW w:type="dxa" w:w="1417"/>
            <w:shd w:fill="FFFFFF" w:val="clear"/>
          </w:tcPr>
          <w:p>
            <w:r>
              <w:rPr>
                <w:sz w:val="16"/>
              </w:rPr>
              <w:t>3,166</w:t>
            </w:r>
          </w:p>
        </w:tc>
        <w:tc>
          <w:tcPr>
            <w:tcW w:type="dxa" w:w="1134"/>
            <w:shd w:fill="FFC7CE" w:val="clear"/>
          </w:tcPr>
          <w:p>
            <w:r>
              <w:rPr>
                <w:b/>
                <w:color w:val="B40000"/>
                <w:sz w:val="16"/>
              </w:rPr>
              <w:t>-36.94%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28,305</w:t>
            </w:r>
          </w:p>
        </w:tc>
        <w:tc>
          <w:tcPr>
            <w:tcW w:type="dxa" w:w="1417"/>
            <w:shd w:fill="FFFFFF" w:val="clear"/>
          </w:tcPr>
          <w:p>
            <w:r>
              <w:rPr>
                <w:sz w:val="16"/>
              </w:rPr>
              <w:t>17,336</w:t>
            </w:r>
          </w:p>
        </w:tc>
        <w:tc>
          <w:tcPr>
            <w:tcW w:type="dxa" w:w="1134"/>
            <w:shd w:fill="FFC7CE" w:val="clear"/>
          </w:tcPr>
          <w:p>
            <w:r>
              <w:rPr>
                <w:b/>
                <w:color w:val="B40000"/>
                <w:sz w:val="16"/>
              </w:rPr>
              <w:t>-38.75%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2,675</w:t>
            </w:r>
          </w:p>
        </w:tc>
        <w:tc>
          <w:tcPr>
            <w:tcW w:type="dxa" w:w="1417"/>
            <w:shd w:fill="FFFFFF" w:val="clear"/>
          </w:tcPr>
          <w:p>
            <w:r>
              <w:rPr>
                <w:sz w:val="16"/>
              </w:rPr>
              <w:t>1,597</w:t>
            </w:r>
          </w:p>
        </w:tc>
        <w:tc>
          <w:tcPr>
            <w:tcW w:type="dxa" w:w="1134"/>
            <w:shd w:fill="FFC7CE" w:val="clear"/>
          </w:tcPr>
          <w:p>
            <w:r>
              <w:rPr>
                <w:b/>
                <w:color w:val="B40000"/>
                <w:sz w:val="16"/>
              </w:rPr>
              <w:t>-40.29%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-53.97%</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3,550</w:t>
            </w:r>
          </w:p>
        </w:tc>
        <w:tc>
          <w:tcPr>
            <w:tcW w:type="dxa" w:w="1417"/>
            <w:shd w:fill="FFFFFF" w:val="clear"/>
          </w:tcPr>
          <w:p>
            <w:r>
              <w:rPr>
                <w:sz w:val="16"/>
              </w:rPr>
              <w:t>1,628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5,250</w:t>
            </w:r>
          </w:p>
        </w:tc>
        <w:tc>
          <w:tcPr>
            <w:tcW w:type="dxa" w:w="1417"/>
            <w:shd w:fill="FFFFFF" w:val="clear"/>
          </w:tcPr>
          <w:p>
            <w:r>
              <w:rPr>
                <w:sz w:val="16"/>
              </w:rPr>
              <w:t>2,408</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3,334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B40000"/>
                <w:sz w:val="17"/>
              </w:rPr>
              <w:t>-11.47%</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7.45% (Moyenne) — μ=3,226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β=-0.6629 (Contre-cyclique) — Cov=-0.000024, Var(idx)=0.000036, ρ=-0.116,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3,334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2,778</w:t>
            </w:r>
          </w:p>
        </w:tc>
        <w:tc>
          <w:tcPr>
            <w:tcW w:type="dxa" w:w="1440"/>
            <w:shd w:fill="FFDCE0" w:val="clear"/>
          </w:tcPr>
          <w:p>
            <w:r>
              <w:rPr>
                <w:b/>
                <w:sz w:val="17"/>
              </w:rPr>
              <w:t>2,910</w:t>
            </w:r>
          </w:p>
        </w:tc>
        <w:tc>
          <w:tcPr>
            <w:tcW w:type="dxa" w:w="1440"/>
            <w:shd w:fill="FFDCE0" w:val="clear"/>
          </w:tcPr>
          <w:p>
            <w:r>
              <w:rPr>
                <w:sz w:val="17"/>
              </w:rPr>
              <w:t>3,042</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2,710</w:t>
            </w:r>
          </w:p>
        </w:tc>
        <w:tc>
          <w:tcPr>
            <w:tcW w:type="dxa" w:w="1440"/>
            <w:shd w:fill="FFDCE0" w:val="clear"/>
          </w:tcPr>
          <w:p>
            <w:r>
              <w:rPr>
                <w:b/>
                <w:sz w:val="17"/>
              </w:rPr>
              <w:t>2,895</w:t>
            </w:r>
          </w:p>
        </w:tc>
        <w:tc>
          <w:tcPr>
            <w:tcW w:type="dxa" w:w="1440"/>
            <w:shd w:fill="FFDCE0" w:val="clear"/>
          </w:tcPr>
          <w:p>
            <w:r>
              <w:rPr>
                <w:sz w:val="17"/>
              </w:rPr>
              <w:t>3,080</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2,636</w:t>
            </w:r>
          </w:p>
        </w:tc>
        <w:tc>
          <w:tcPr>
            <w:tcW w:type="dxa" w:w="1440"/>
            <w:shd w:fill="FFDCE0" w:val="clear"/>
          </w:tcPr>
          <w:p>
            <w:r>
              <w:rPr>
                <w:b/>
                <w:sz w:val="17"/>
              </w:rPr>
              <w:t>2,860</w:t>
            </w:r>
          </w:p>
        </w:tc>
        <w:tc>
          <w:tcPr>
            <w:tcW w:type="dxa" w:w="1440"/>
            <w:shd w:fill="FFDCE0" w:val="clear"/>
          </w:tcPr>
          <w:p>
            <w:r>
              <w:rPr>
                <w:sz w:val="17"/>
              </w:rPr>
              <w:t>3,085</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2,572</w:t>
            </w:r>
          </w:p>
        </w:tc>
        <w:tc>
          <w:tcPr>
            <w:tcW w:type="dxa" w:w="1440"/>
            <w:shd w:fill="FFDCE0" w:val="clear"/>
          </w:tcPr>
          <w:p>
            <w:r>
              <w:rPr>
                <w:b/>
                <w:sz w:val="17"/>
              </w:rPr>
              <w:t>2,828</w:t>
            </w:r>
          </w:p>
        </w:tc>
        <w:tc>
          <w:tcPr>
            <w:tcW w:type="dxa" w:w="1440"/>
            <w:shd w:fill="FFDCE0" w:val="clear"/>
          </w:tcPr>
          <w:p>
            <w:r>
              <w:rPr>
                <w:sz w:val="17"/>
              </w:rPr>
              <w:t>3,084</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2,515</w:t>
            </w:r>
          </w:p>
        </w:tc>
        <w:tc>
          <w:tcPr>
            <w:tcW w:type="dxa" w:w="1440"/>
            <w:shd w:fill="FFDCE0" w:val="clear"/>
          </w:tcPr>
          <w:p>
            <w:r>
              <w:rPr>
                <w:b/>
                <w:sz w:val="17"/>
              </w:rPr>
              <w:t>2,798</w:t>
            </w:r>
          </w:p>
        </w:tc>
        <w:tc>
          <w:tcPr>
            <w:tcW w:type="dxa" w:w="1440"/>
            <w:shd w:fill="FFDCE0" w:val="clear"/>
          </w:tcPr>
          <w:p>
            <w:r>
              <w:rPr>
                <w:sz w:val="17"/>
              </w:rPr>
              <w:t>3,082</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2,463</w:t>
            </w:r>
          </w:p>
        </w:tc>
        <w:tc>
          <w:tcPr>
            <w:tcW w:type="dxa" w:w="1440"/>
            <w:shd w:fill="FFDCE0" w:val="clear"/>
          </w:tcPr>
          <w:p>
            <w:r>
              <w:rPr>
                <w:b/>
                <w:sz w:val="17"/>
              </w:rPr>
              <w:t>2,771</w:t>
            </w:r>
          </w:p>
        </w:tc>
        <w:tc>
          <w:tcPr>
            <w:tcW w:type="dxa" w:w="1440"/>
            <w:shd w:fill="FFDCE0" w:val="clear"/>
          </w:tcPr>
          <w:p>
            <w:r>
              <w:rPr>
                <w:sz w:val="17"/>
              </w:rPr>
              <w:t>3,078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2,416</w:t>
            </w:r>
          </w:p>
        </w:tc>
        <w:tc>
          <w:tcPr>
            <w:tcW w:type="dxa" w:w="1440"/>
            <w:shd w:fill="FFDCE0" w:val="clear"/>
          </w:tcPr>
          <w:p>
            <w:r>
              <w:rPr>
                <w:b/>
                <w:sz w:val="17"/>
              </w:rPr>
              <w:t>2,745</w:t>
            </w:r>
          </w:p>
        </w:tc>
        <w:tc>
          <w:tcPr>
            <w:tcW w:type="dxa" w:w="1440"/>
            <w:shd w:fill="FFDCE0" w:val="clear"/>
          </w:tcPr>
          <w:p>
            <w:r>
              <w:rPr>
                <w:sz w:val="17"/>
              </w:rPr>
              <w:t>3,074</w:t>
            </w:r>
          </w:p>
        </w:tc>
        <w:tc>
          <w:tcPr>
            <w:tcW w:type="dxa" w:w="1440"/>
            <w:shd w:fill="FFDCE0" w:val="clear"/>
          </w:tcPr>
          <w:p>
            <w:r>
              <w:rPr>
                <w:b/>
                <w:color w:val="C00000"/>
                <w:sz w:val="17"/>
              </w:rPr>
              <w:t>-8.8%</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2,371</w:t>
            </w:r>
          </w:p>
        </w:tc>
        <w:tc>
          <w:tcPr>
            <w:tcW w:type="dxa" w:w="1440"/>
            <w:shd w:fill="FFDCE0" w:val="clear"/>
          </w:tcPr>
          <w:p>
            <w:r>
              <w:rPr>
                <w:b/>
                <w:sz w:val="17"/>
              </w:rPr>
              <w:t>2,720</w:t>
            </w:r>
          </w:p>
        </w:tc>
        <w:tc>
          <w:tcPr>
            <w:tcW w:type="dxa" w:w="1440"/>
            <w:shd w:fill="FFDCE0" w:val="clear"/>
          </w:tcPr>
          <w:p>
            <w:r>
              <w:rPr>
                <w:sz w:val="17"/>
              </w:rPr>
              <w:t>3,068</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2,329</w:t>
            </w:r>
          </w:p>
        </w:tc>
        <w:tc>
          <w:tcPr>
            <w:tcW w:type="dxa" w:w="1440"/>
            <w:shd w:fill="FFDCE0" w:val="clear"/>
          </w:tcPr>
          <w:p>
            <w:r>
              <w:rPr>
                <w:b/>
                <w:sz w:val="17"/>
              </w:rPr>
              <w:t>2,695</w:t>
            </w:r>
          </w:p>
        </w:tc>
        <w:tc>
          <w:tcPr>
            <w:tcW w:type="dxa" w:w="1440"/>
            <w:shd w:fill="FFDCE0" w:val="clear"/>
          </w:tcPr>
          <w:p>
            <w:r>
              <w:rPr>
                <w:sz w:val="17"/>
              </w:rPr>
              <w:t>3,062</w:t>
            </w:r>
          </w:p>
        </w:tc>
        <w:tc>
          <w:tcPr>
            <w:tcW w:type="dxa" w:w="1440"/>
            <w:shd w:fill="FFDCE0" w:val="clear"/>
          </w:tcPr>
          <w:p>
            <w:r>
              <w:rPr>
                <w:b/>
                <w:color w:val="C00000"/>
                <w:sz w:val="17"/>
              </w:rPr>
              <w:t>-10.5%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2,289</w:t>
            </w:r>
          </w:p>
        </w:tc>
        <w:tc>
          <w:tcPr>
            <w:tcW w:type="dxa" w:w="1440"/>
            <w:shd w:fill="FFDCE0" w:val="clear"/>
          </w:tcPr>
          <w:p>
            <w:r>
              <w:rPr>
                <w:b/>
                <w:sz w:val="17"/>
              </w:rPr>
              <w:t>2,672</w:t>
            </w:r>
          </w:p>
        </w:tc>
        <w:tc>
          <w:tcPr>
            <w:tcW w:type="dxa" w:w="1440"/>
            <w:shd w:fill="FFDCE0" w:val="clear"/>
          </w:tcPr>
          <w:p>
            <w:r>
              <w:rPr>
                <w:sz w:val="17"/>
              </w:rPr>
              <w:t>3,055</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32,85 milliards FCFA, un niveau significatif pour une valeur moyenne de la cote BRVM. Avec un BPA de 124 FCFA, le titre se négocie à un PER de 24,3x, ce qui est nettement supérieur à la moyenne historique de la place (~8-12x). Les investisseurs paient donc une prime substantielle pour les bénéfices de la société, intégrant probablement des attentes de croissance future. Le P/B de 6,37x confirme cette valorisation exigeante, le marché valorisant l'actif net comptable plus de six fois au-dessus de sa valeur. Enfin, un EV/EBITDA de 12,2x, dans la fourchette haute (10-15x), indique que la valeur totale de l'entreprise (fonds propres + dette nette) est élevée par rapport à sa capacité opérationnelle de génération de cash. L'ensemble de ces ratios suggère une valorisation riche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significative de -11,47%, se négociant actuellement à 3 010 FCFA. Cette tendance baissière est toutefois contrastée par une forte hausse de +7,50% lors de la dernière séance, suggérant un possible retour des acheteurs. Le titre a évolué dans une fourchette de 2 800 à 3 780 FCFA, démontrant une amplitude de trading importante. La moyenne (3 226 FCFA) et la médiane (3 215 FCFA) sont très proches, indiquant une distribution symétrique des prix, ce que confirme le skewness de 0,194. L'écart-type de 241 FCFA (CV=7,5%) révèle une dispersion modérée autour de la moyenne, tandis que le kurtosis de -0,824 (mésokurtique) suggère une distribution proche de la normale, sans risque de variations extrêmes. La volatilité annualisée de 54,3% est très élevée (&gt;30%), classant ABJC comme un titre à haut risque, avec des fluctuations de prix importantes sur l'année.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(3 010 FCFA) est inférieur à la MM20 (3 047,5 FCFA) et nettement sous la MM50 (3 163,7 FCFA). Cette configuration, où le prix est sous ses moyennes mobiles, confirme une tendance baissière à court et moyen terme. La décision de "Vente" est justifiée par cette dynamique négative, bien que le rebond récent de +7,5% pourrait indiquer un début de retournement.</w:t>
      </w:r>
    </w:p>
    <w:p>
      <w:pPr>
        <w:spacing w:after="120" w:line="276" w:lineRule="auto"/>
      </w:pPr>
      <w:r>
        <w:t>**Bandes de Bollinger** : Le prix se situe à 3 010 FCFA, entre la borne inférieure (2 847,6 FCFA) et la borne supérieure (3 247,4 FCFA), proche de la partie médiane-basse. La décision "Neutre" est cohérente, le titre n'étant ni en situation de surachat ni de survente extrême. La largeur des bandes reflète la volatilité élevée du titre.</w:t>
      </w:r>
    </w:p>
    <w:p>
      <w:pPr>
        <w:spacing w:after="120" w:line="276" w:lineRule="auto"/>
      </w:pPr>
      <w:r>
        <w:t>**MACD** : Le MACD (-57,9) est négatif et inférieur à sa ligne de signal (-46,6), indiquant un momentum baissier persistant. La décision de "Vente" est justifiée par cette divergence négative, qui suggère que la pression vendeuse reste dominante malgré le rebond récent.</w:t>
      </w:r>
    </w:p>
    <w:p>
      <w:pPr>
        <w:spacing w:after="120" w:line="276" w:lineRule="auto"/>
      </w:pPr>
      <w:r>
        <w:t>**RSI** : À 51,1, le RSI se situe en zone neutre, entre 30 et 70. Cela indique un équilibre entre les forces acheteuses et vendeuses, sans signal de surachat ou de survente. La décision "Neutre" est appropriée, le marché semblant indécis après la forte baisse récente.</w:t>
      </w:r>
    </w:p>
    <w:p>
      <w:pPr>
        <w:spacing w:after="120" w:line="276" w:lineRule="auto"/>
      </w:pPr>
      <w:r>
        <w:t>**Stochastique** : Le %K (55,3) est nettement supérieur au %D (25,7), formant un croisement haussier. Cette configuration suggère un potentiel de rebond à court terme, bien que la décision reste "Neutre" car les valeurs ne sont pas encore en zone de surachat.</w:t>
      </w:r>
    </w:p>
    <w:p>
      <w:pPr>
        <w:spacing w:after="120" w:line="276" w:lineRule="auto"/>
      </w:pPr>
      <w:r>
        <w:t>**Conclusion technique** : Les indicateurs sont partagés entre une tendance baissière de fond (MM, MACD) et des signaux de rebond à court terme (Stochastique, RSI neutre). Le rebond de la dernière séance pourrait initier un mouvement correctif haussier, mais la tendance primaire reste baissière. La prudence est de mise tant que le cours ne repasse pas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2025, ABJC (Servair Abidjan) affiche un chiffre d'affaires de 13,298 milliards FCFA, en croissance de 6,7% par rapport à 2024 (12,467 Mds FCFA, +10,8% vs 2023). Le résultat net 2025 s'établit à 1,351 milliard FCFA, en baisse de 12,1% par rapport à 2024 (1,515 Md FCFA), principalement en raison d'une hausse de 46,7% de la charge d'impôt. La rentabilité reste excellente avec un ROE de 26,2% et un ROA de 14,6%, bien au-dessus des seuils de référence (&gt;15% et &gt;10%). La structure financière est très saine : capitaux propres de 5,159 milliards FCFA (autonomie financière de 55,9%), trésorerie nette de 4,035 milliards FCFA et un endettement financier quasi nul (65,9 M FCFA). Le BFR est favorable à 257,45 M FCFA, avec un délai clients de 70 jours compensé par un délai fournisseurs de 92 jours. Les rapports trimestriels 2025 montrent un T1 difficile (RN -6,8% à 346 M FCFA) dû à un litige avec la BCEAO, suivi d'un T3 en forte amélioration (RN +17,1% à 1,325 Md FCFA). Cependant, le rapport T1 2026 (daté de 2026) révèle une forte dégradation : CA en hausse de seulement 1,9% à 3,237 Mds FCFA, mais résultat net en chute de 35,6% à 222,6 M FCFA, impacté par les ajustements de redevances aéroportuaires. Sur la base de ce T1 2026, on estime que le résultat net annuel 2026 pourrait reculer significativement, potentiellement autour de 900 millions FCFA, si la tendance se maintient. La société conserve une position de leader sur son marché et une trésorerie solide, mais fait face à des vents contraires réglementaires et opérationnels.</w:t>
      </w:r>
    </w:p>
    <w:p>
      <w:pPr>
        <w:spacing w:after="120" w:line="276" w:lineRule="auto"/>
      </w:pPr>
      <w:r>
        <w:t>---</w:t>
      </w:r>
    </w:p>
    <w:p>
      <w:pPr>
        <w:spacing w:after="120" w:line="276" w:lineRule="auto"/>
      </w:pPr>
      <w:r>
        <w:t>### PARTIE 4 : CONCLUSION D'INVESTISSEMENT</w:t>
      </w:r>
    </w:p>
    <w:p>
      <w:pPr>
        <w:spacing w:after="120" w:line="276" w:lineRule="auto"/>
      </w:pPr>
      <w:r>
        <w:t>La valorisation d'ABJC (PER 24,3x, P/B 6,37x) est clairement surévaluée par rapport aux standards de la BRVM, ne laissant aucune marge de sécurité. Le comportement du cours sur 100 jours (-11,47%) est baissier, avec une volatilité très élevée (54,3%) qui rend le titre risqué. Les signaux techniques sont mitigés : tendance de fond baissière (MM, MACD) mais indicateurs de court terme en voie d'amélioration (Stochastique). Les fondamentaux de 2025 sont solides (ROE 26,2%, trésorerie abondante), mais la dégradation marquée du T1 2026 (RN -35,6%) et les prédictions IA (baisse continue vers 2 798 FCFA à J+10) confirment une dynamique négative. La convergence des signaux (valorisation excessive, tendance baissière, dégradation des résultats) plaide pour une **VENTE**. Le niveau de confiance est **Moyen** (la solidité bilancielle pourrait limiter la baisse), le risque global est **Élevé** (volatilité, contexte réglementaire). L'horizon d'investissement optimal est le **court terme (&lt;3 mois)** pour les investisseurs cherchant à réduire leur exposition, avec un point de surveillance majeur : la résolution du litige réglementaire et l'évolution des redevances aéroportuaires.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8,474 titres</w:t>
            </w:r>
          </w:p>
        </w:tc>
        <w:tc>
          <w:tcPr>
            <w:tcW w:type="dxa" w:w="2268"/>
            <w:shd w:fill="FFF2CC" w:val="clear"/>
          </w:tcPr>
          <w:p>
            <w:r>
              <w:rPr>
                <w:b/>
                <w:color w:val="503200"/>
                <w:sz w:val="16"/>
              </w:rPr>
              <w:t xml:space="preserve">Cours actuel : </w:t>
            </w:r>
            <w:r>
              <w:rPr>
                <w:color w:val="000000"/>
                <w:sz w:val="17"/>
              </w:rPr>
              <w:t>7,595 FCFA</w:t>
            </w:r>
          </w:p>
          <w:p>
            <w:r>
              <w:rPr>
                <w:b/>
                <w:color w:val="503200"/>
                <w:sz w:val="16"/>
              </w:rPr>
              <w:t xml:space="preserve">Var. 100 jours : </w:t>
            </w:r>
            <w:r>
              <w:rPr>
                <w:b/>
                <w:color w:val="007800"/>
                <w:sz w:val="17"/>
              </w:rPr>
              <w:t>+46.06%</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13.66% (Moyenne) — μ=5,731 FCFA, σ=783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β=0.4860 (Défensif) — Cov=0.000018, Var(idx)=0.000036, ρ=0.160,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6,736</w:t>
            </w:r>
          </w:p>
        </w:tc>
        <w:tc>
          <w:tcPr>
            <w:tcW w:type="dxa" w:w="1440"/>
            <w:shd w:fill="FFDCE0" w:val="clear"/>
          </w:tcPr>
          <w:p>
            <w:r>
              <w:rPr>
                <w:b/>
                <w:sz w:val="17"/>
              </w:rPr>
              <w:t>7,025</w:t>
            </w:r>
          </w:p>
        </w:tc>
        <w:tc>
          <w:tcPr>
            <w:tcW w:type="dxa" w:w="1440"/>
            <w:shd w:fill="FFDCE0" w:val="clear"/>
          </w:tcPr>
          <w:p>
            <w:r>
              <w:rPr>
                <w:sz w:val="17"/>
              </w:rPr>
              <w:t>7,314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6,120</w:t>
            </w:r>
          </w:p>
        </w:tc>
        <w:tc>
          <w:tcPr>
            <w:tcW w:type="dxa" w:w="1440"/>
            <w:shd w:fill="FFDCE0" w:val="clear"/>
          </w:tcPr>
          <w:p>
            <w:r>
              <w:rPr>
                <w:b/>
                <w:sz w:val="17"/>
              </w:rPr>
              <w:t>6,498</w:t>
            </w:r>
          </w:p>
        </w:tc>
        <w:tc>
          <w:tcPr>
            <w:tcW w:type="dxa" w:w="1440"/>
            <w:shd w:fill="FFDCE0" w:val="clear"/>
          </w:tcPr>
          <w:p>
            <w:r>
              <w:rPr>
                <w:sz w:val="17"/>
              </w:rPr>
              <w:t>6,877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5,701</w:t>
            </w:r>
          </w:p>
        </w:tc>
        <w:tc>
          <w:tcPr>
            <w:tcW w:type="dxa" w:w="1440"/>
            <w:shd w:fill="FFDCE0" w:val="clear"/>
          </w:tcPr>
          <w:p>
            <w:r>
              <w:rPr>
                <w:b/>
                <w:sz w:val="17"/>
              </w:rPr>
              <w:t>6,138</w:t>
            </w:r>
          </w:p>
        </w:tc>
        <w:tc>
          <w:tcPr>
            <w:tcW w:type="dxa" w:w="1440"/>
            <w:shd w:fill="FFDCE0" w:val="clear"/>
          </w:tcPr>
          <w:p>
            <w:r>
              <w:rPr>
                <w:sz w:val="17"/>
              </w:rPr>
              <w:t>6,575</w:t>
            </w:r>
          </w:p>
        </w:tc>
        <w:tc>
          <w:tcPr>
            <w:tcW w:type="dxa" w:w="1440"/>
            <w:shd w:fill="FFDCE0" w:val="clear"/>
          </w:tcPr>
          <w:p>
            <w:r>
              <w:rPr>
                <w:b/>
                <w:color w:val="C00000"/>
                <w:sz w:val="17"/>
              </w:rPr>
              <w:t>-19.2%</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5,497</w:t>
            </w:r>
          </w:p>
        </w:tc>
        <w:tc>
          <w:tcPr>
            <w:tcW w:type="dxa" w:w="1440"/>
            <w:shd w:fill="FFDCE0" w:val="clear"/>
          </w:tcPr>
          <w:p>
            <w:r>
              <w:rPr>
                <w:b/>
                <w:sz w:val="17"/>
              </w:rPr>
              <w:t>5,990</w:t>
            </w:r>
          </w:p>
        </w:tc>
        <w:tc>
          <w:tcPr>
            <w:tcW w:type="dxa" w:w="1440"/>
            <w:shd w:fill="FFDCE0" w:val="clear"/>
          </w:tcPr>
          <w:p>
            <w:r>
              <w:rPr>
                <w:sz w:val="17"/>
              </w:rPr>
              <w:t>6,483</w:t>
            </w:r>
          </w:p>
        </w:tc>
        <w:tc>
          <w:tcPr>
            <w:tcW w:type="dxa" w:w="1440"/>
            <w:shd w:fill="FFDCE0" w:val="clear"/>
          </w:tcPr>
          <w:p>
            <w:r>
              <w:rPr>
                <w:b/>
                <w:color w:val="C00000"/>
                <w:sz w:val="17"/>
              </w:rPr>
              <w:t>-21.1%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5,319</w:t>
            </w:r>
          </w:p>
        </w:tc>
        <w:tc>
          <w:tcPr>
            <w:tcW w:type="dxa" w:w="1440"/>
            <w:shd w:fill="FFDCE0" w:val="clear"/>
          </w:tcPr>
          <w:p>
            <w:r>
              <w:rPr>
                <w:b/>
                <w:sz w:val="17"/>
              </w:rPr>
              <w:t>5,858</w:t>
            </w:r>
          </w:p>
        </w:tc>
        <w:tc>
          <w:tcPr>
            <w:tcW w:type="dxa" w:w="1440"/>
            <w:shd w:fill="FFDCE0" w:val="clear"/>
          </w:tcPr>
          <w:p>
            <w:r>
              <w:rPr>
                <w:sz w:val="17"/>
              </w:rPr>
              <w:t>6,396</w:t>
            </w:r>
          </w:p>
        </w:tc>
        <w:tc>
          <w:tcPr>
            <w:tcW w:type="dxa" w:w="1440"/>
            <w:shd w:fill="FFDCE0" w:val="clear"/>
          </w:tcPr>
          <w:p>
            <w:r>
              <w:rPr>
                <w:b/>
                <w:color w:val="C00000"/>
                <w:sz w:val="17"/>
              </w:rPr>
              <w:t>-22.9%</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5,163</w:t>
            </w:r>
          </w:p>
        </w:tc>
        <w:tc>
          <w:tcPr>
            <w:tcW w:type="dxa" w:w="1440"/>
            <w:shd w:fill="FFDCE0" w:val="clear"/>
          </w:tcPr>
          <w:p>
            <w:r>
              <w:rPr>
                <w:b/>
                <w:sz w:val="17"/>
              </w:rPr>
              <w:t>5,741</w:t>
            </w:r>
          </w:p>
        </w:tc>
        <w:tc>
          <w:tcPr>
            <w:tcW w:type="dxa" w:w="1440"/>
            <w:shd w:fill="FFDCE0" w:val="clear"/>
          </w:tcPr>
          <w:p>
            <w:r>
              <w:rPr>
                <w:sz w:val="17"/>
              </w:rPr>
              <w:t>6,320</w:t>
            </w:r>
          </w:p>
        </w:tc>
        <w:tc>
          <w:tcPr>
            <w:tcW w:type="dxa" w:w="1440"/>
            <w:shd w:fill="FFDCE0" w:val="clear"/>
          </w:tcPr>
          <w:p>
            <w:r>
              <w:rPr>
                <w:b/>
                <w:color w:val="C00000"/>
                <w:sz w:val="17"/>
              </w:rPr>
              <w:t>-24.4%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5,026</w:t>
            </w:r>
          </w:p>
        </w:tc>
        <w:tc>
          <w:tcPr>
            <w:tcW w:type="dxa" w:w="1440"/>
            <w:shd w:fill="FFDCE0" w:val="clear"/>
          </w:tcPr>
          <w:p>
            <w:r>
              <w:rPr>
                <w:b/>
                <w:sz w:val="17"/>
              </w:rPr>
              <w:t>5,640</w:t>
            </w:r>
          </w:p>
        </w:tc>
        <w:tc>
          <w:tcPr>
            <w:tcW w:type="dxa" w:w="1440"/>
            <w:shd w:fill="FFDCE0" w:val="clear"/>
          </w:tcPr>
          <w:p>
            <w:r>
              <w:rPr>
                <w:sz w:val="17"/>
              </w:rPr>
              <w:t>6,254</w:t>
            </w:r>
          </w:p>
        </w:tc>
        <w:tc>
          <w:tcPr>
            <w:tcW w:type="dxa" w:w="1440"/>
            <w:shd w:fill="FFDCE0" w:val="clear"/>
          </w:tcPr>
          <w:p>
            <w:r>
              <w:rPr>
                <w:b/>
                <w:color w:val="C00000"/>
                <w:sz w:val="17"/>
              </w:rPr>
              <w:t>-25.7%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4,906</w:t>
            </w:r>
          </w:p>
        </w:tc>
        <w:tc>
          <w:tcPr>
            <w:tcW w:type="dxa" w:w="1440"/>
            <w:shd w:fill="FFDCE0" w:val="clear"/>
          </w:tcPr>
          <w:p>
            <w:r>
              <w:rPr>
                <w:b/>
                <w:sz w:val="17"/>
              </w:rPr>
              <w:t>5,552</w:t>
            </w:r>
          </w:p>
        </w:tc>
        <w:tc>
          <w:tcPr>
            <w:tcW w:type="dxa" w:w="1440"/>
            <w:shd w:fill="FFDCE0" w:val="clear"/>
          </w:tcPr>
          <w:p>
            <w:r>
              <w:rPr>
                <w:sz w:val="17"/>
              </w:rPr>
              <w:t>6,198</w:t>
            </w:r>
          </w:p>
        </w:tc>
        <w:tc>
          <w:tcPr>
            <w:tcW w:type="dxa" w:w="1440"/>
            <w:shd w:fill="FFDCE0" w:val="clear"/>
          </w:tcPr>
          <w:p>
            <w:r>
              <w:rPr>
                <w:b/>
                <w:color w:val="C00000"/>
                <w:sz w:val="17"/>
              </w:rPr>
              <w:t>-26.9%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4,800</w:t>
            </w:r>
          </w:p>
        </w:tc>
        <w:tc>
          <w:tcPr>
            <w:tcW w:type="dxa" w:w="1440"/>
            <w:shd w:fill="FFDCE0" w:val="clear"/>
          </w:tcPr>
          <w:p>
            <w:r>
              <w:rPr>
                <w:b/>
                <w:sz w:val="17"/>
              </w:rPr>
              <w:t>5,476</w:t>
            </w:r>
          </w:p>
        </w:tc>
        <w:tc>
          <w:tcPr>
            <w:tcW w:type="dxa" w:w="1440"/>
            <w:shd w:fill="FFDCE0" w:val="clear"/>
          </w:tcPr>
          <w:p>
            <w:r>
              <w:rPr>
                <w:sz w:val="17"/>
              </w:rPr>
              <w:t>6,152</w:t>
            </w:r>
          </w:p>
        </w:tc>
        <w:tc>
          <w:tcPr>
            <w:tcW w:type="dxa" w:w="1440"/>
            <w:shd w:fill="FFDCE0" w:val="clear"/>
          </w:tcPr>
          <w:p>
            <w:r>
              <w:rPr>
                <w:b/>
                <w:color w:val="C00000"/>
                <w:sz w:val="17"/>
              </w:rPr>
              <w:t>-27.9%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4,706</w:t>
            </w:r>
          </w:p>
        </w:tc>
        <w:tc>
          <w:tcPr>
            <w:tcW w:type="dxa" w:w="1440"/>
            <w:shd w:fill="FFDCE0" w:val="clear"/>
          </w:tcPr>
          <w:p>
            <w:r>
              <w:rPr>
                <w:b/>
                <w:sz w:val="17"/>
              </w:rPr>
              <w:t>5,410</w:t>
            </w:r>
          </w:p>
        </w:tc>
        <w:tc>
          <w:tcPr>
            <w:tcW w:type="dxa" w:w="1440"/>
            <w:shd w:fill="FFDCE0" w:val="clear"/>
          </w:tcPr>
          <w:p>
            <w:r>
              <w:rPr>
                <w:sz w:val="17"/>
              </w:rPr>
              <w:t>6,114</w:t>
            </w:r>
          </w:p>
        </w:tc>
        <w:tc>
          <w:tcPr>
            <w:tcW w:type="dxa" w:w="1440"/>
            <w:shd w:fill="FFDCE0" w:val="clear"/>
          </w:tcPr>
          <w:p>
            <w:r>
              <w:rPr>
                <w:b/>
                <w:color w:val="C00000"/>
                <w:sz w:val="17"/>
              </w:rPr>
              <w:t>-28.8%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r>
    </w:p>
    <w:p>
      <w:pPr>
        <w:spacing w:after="120" w:line="276" w:lineRule="auto"/>
      </w:pPr>
      <w: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438,69 milliards FCFA, un niveau qui la positionne parmi les valeurs moyennes à grandes capitalisations de la BRVM, reflétant une liquidité et une visibilité institutionnelle notables. Avec un BPA de 627 FCFA, chaque action génère un bénéfice substantiel, justifiant un PER de 12,1x. Ce ratio, bien que légèrement supérieur à la moyenne historique de la BRVM (8-12x), reste dans la fourchette haute, indiquant que les investisseurs accordent une prime de croissance raisonnable à la banque. Le P/B de 3,25x confirme cette perception, le marché valorisant l'actif net comptable à plus du triple, signe d'une forte création de valeur attendue. Enfin, l'EV/EBITDA de 22,8x est particulièrement exigeant, signalant que la valeur totale de l'entreprise (capitaux propres + dette) est élevée par rapport à sa capacité opérationnelle, ce qui pourrait refléter des anticipations de croissance future très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spectaculaire de +46,06%, avec une dernière séance en hausse de +1,27% à 7 595 FCFA. Le titre a évolué dans une fourchette très large, entre un plus bas de 5 000 FCFA et un plus haut de 7 850 FCFA, démontrant une forte dynamique haussière. Les statistiques descriptives révèlent une distribution asymétrique : la moyenne (5 731 FCFA) est nettement supérieure à la médiane (5 308 FCFA) et au mode (5 200 FCFA), confirmant le skewness positif de 1,369, ce qui indique que le cours a passé la majorité du temps sous sa moyenne avant de connaître de fortes poussées haussières récentes. L'écart-type de 787 FCFA (CV = 13,7%) montre une dispersion modérée, tandis que le kurtosis de 0,761 (mésokurtique) suggère une distribution proche de la normale, sans risque de pics extrêmes. La volatilité annualisée de 28,8% classe le titre dans la catégorie "modérée à élevée", reflétant un risque significatif mais maîtrisé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(7 072,5 FCFA) et la MM50 (6 286,2 FCFA) sont toutes deux inférieures au cours actuel de 7 595 FCFA, et la MM20 est au-dessus de la MM50. Cette configuration en "courbe ascendante" (ou "golden cross") est un signal technique haussier classique. Le prix évoluant au-dessus de ses moyennes mobiles clés confirme la solidité de la tendance haussière à court et moyen terme, justifiant la décision d'**Achat**.</w:t>
      </w:r>
    </w:p>
    <w:p>
      <w:pPr>
        <w:spacing w:after="120" w:line="276" w:lineRule="auto"/>
      </w:pPr>
      <w:r>
        <w:t>**Bandes de Bollinger :** Le cours se situe à 7 595 FCFA, entre la borne supérieure (8 240,9 FCFA) et la borne inférieure (5 904,1 FCFA), mais plus proche de la borne haute. Cette position indique une pression acheteuse soutenue, mais sans atteindre des niveaux d'extension extrême qui signaleraient une suraccélération. La largeur des bandes reflète une volatilité en hausse. La décision est **Neutre**, le prix n'ayant pas encore touché les bornes pour déclencher un signal de retournement.</w:t>
      </w:r>
    </w:p>
    <w:p>
      <w:pPr>
        <w:spacing w:after="120" w:line="276" w:lineRule="auto"/>
      </w:pPr>
      <w:r>
        <w:t>**MACD :** Le MACD (420,7) est supérieur à sa ligne de signal (412,7), avec les deux valeurs en territoire positif. Cette configuration indique un momentum haussier robuste et en accélération. La divergence positive entre le MACD et le Signal confirme la dynamique acheteuse, justifiant la décision d'**Achat**.</w:t>
      </w:r>
    </w:p>
    <w:p>
      <w:pPr>
        <w:spacing w:after="120" w:line="276" w:lineRule="auto"/>
      </w:pPr>
      <w:r>
        <w:t>**RSI :** Le RSI s'établit à 75,7, dépassant le seuil de surachat de 70. Cette valeur indique que le titre est survendu à la hausse et que le marché est potentiellement surchauffé à court terme. Un tel niveau précède souvent une consolidation ou un repli technique. La décision est donc **Vente** pour signaler un risque de correction imminente.</w:t>
      </w:r>
    </w:p>
    <w:p>
      <w:pPr>
        <w:spacing w:after="120" w:line="276" w:lineRule="auto"/>
      </w:pPr>
      <w:r>
        <w:t>**Stochastique :** Le %K (81,8) et le %D (83,0) sont tous deux en zone de surachat (&gt;80). Le %K est légèrement sous le %D, indiquant un début de croisement baissier potentiel. Ce signal suggère un épuisement possible de la dynamique haussière à très court terme, justifiant la décision de **Vente**.</w:t>
      </w:r>
    </w:p>
    <w:p>
      <w:pPr>
        <w:spacing w:after="120" w:line="276" w:lineRule="auto"/>
      </w:pPr>
      <w:r>
        <w:t>**Conclusion technique :** Les indicateurs de tendance (MM, MACD) sont résolument haussiers, confirmant la force de la tendance de fond. Cependant, les oscillateurs de momentum (RSI, Stochastique) sont en zone de surachat, signalant un risque élevé de correction technique à court terme. Le signal global est donc **mitigé**, avec une tendance de fond positive mais un potentiel de repli immédiat. Un investisseur pourrait attendre un léger reflux vers les 7 000-7 200 FCFA pour renforcer une position.</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BICB font état d'un Produit Net Bancaire (PNB) de 52,805 milliards FCFA, en croissance de 16,5% par rapport à 2024 (45,207 milliards FCFA selon les états financiers 2024). Le résultat net s'établit à 36,237 milliards FCFA, contre 30,341 milliards FCFA en 2024, soit une progression de 19,4%. Cette performance est portée par une excellente maîtrise des charges, avec un coefficient d'exploitation de 31,1%, très inférieur au seuil d'efficacité de 60%. La rentabilité est exceptionnelle avec un ROE de 26,8% et un ROA de 1,96%. Cependant, le coût du risque de 9,6% reste un point de vigilance, bien que les provisions de 5,075 milliards FCFA semblent maîtrisées. Les rapports trimestriels 2025 (S1 et T3) montrent une dynamique contrastée : le PNB progresse fortement (+28% au S1, +26% au T3), mais le résultat net recule (-27% au S1, -9% au T3) en raison d'une explosion du coût du risque (7,9 milliards FCFA au S1). Sur la base de ces rapports, on estime que l'exercice 2026 pourrait voir une normalisation du coût du risque, avec un PNB annuel potentiel de 55-58 milliards FCFA et un résultat net de 30-33 milliards FCFA, si la qualité du portefeuille de crédits (+30% en 2025) se stabilise. La banque affiche une solidité financière remarquable avec des capitaux propres de 135,118 milliards FCFA, une solvabilité générale de 107,9% et une liquidité générale de 5646%, malgré une trésorerie nette négative de -424 milliards FCFA, typique du secteur bancaire.</w:t>
      </w:r>
    </w:p>
    <w:p>
      <w:pPr>
        <w:spacing w:after="120" w:line="276" w:lineRule="auto"/>
      </w:pPr>
      <w:r>
        <w:t>---</w:t>
      </w:r>
    </w:p>
    <w:p>
      <w:pPr>
        <w:spacing w:after="120" w:line="276" w:lineRule="auto"/>
      </w:pPr>
      <w:r>
        <w:t>### PARTIE 4 : CONCLUSION D'INVESTISSEMENT</w:t>
      </w:r>
    </w:p>
    <w:p>
      <w:pPr>
        <w:spacing w:after="120" w:line="276" w:lineRule="auto"/>
      </w:pPr>
      <w:r>
        <w:t>La valorisation de BICB (PER 12,1x, P/B 3,25x, EV/EBITDA 22,8x) indique que le marché intègre déjà des perspectives de croissance solides, avec une prime significative par rapport à la valeur comptable. Le comportement du cours sur 100 jours (+46%) confirme cette confiance, mais la volatilité de 28,8% et le skewness positif suggèrent un risque de retournement. Les signaux techniques sont partagés : la tendance de fond (MM, MACD) reste haussière, mais les oscillateurs (RSI, Stochastique) en surachat signalent une correction probable à court terme. Les fondamentaux sont excellents (ROE 26,8%, coefficient d'exploitation 31,1%), mais le coût du risque élevé et la croissance agressive des crédits (+30%) nécessitent une surveillance attentive. Les prédictions IA (J+1 à J+10) anticipent une chute brutale du cours vers 5 858 FCFA, contredisant fortement la tendance actuelle et suggérant un scénario de correction majeure. La divergence entre les signaux techniques (surachat) et la prédiction IA (repli) renforce le risque d'un retournement à court terme. En synthèse, malgré des fondamentaux solides, la prudence est de mise. **Recommandation finale : VENTE** à court terme pour profiter de la surchauffe, avec un niveau de confiance **Moyen** et un risque global **Élevé**. L'horizon d'investissement optimal serait de **moyen terme (3-12 mois)** après une correction, pour réintégrer le titre à des niveaux plus attractifs (6 500-7 000 FCFA).</w:t>
      </w:r>
    </w:p>
    <w:p/>
    <w:p/>
    <w:p>
      <w:pPr>
        <w:pStyle w:val="Heading3"/>
      </w:pPr>
      <w:r>
        <w:rPr>
          <w:color w:val="005A32"/>
        </w:rPr>
        <w:t>📋 RAPPORTS &amp; COMMUNIQUÉS OFFICIELS</w:t>
      </w:r>
    </w:p>
    <w:p>
      <w:r>
        <w:rPr>
          <w:i/>
          <w:color w:val="646464"/>
          <w:sz w:val="18"/>
        </w:rPr>
        <w:t>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dynamique commerciale positive avec une forte croissance du PNB et de l'activit\u00e9. La hausse du co\u00fbt du risque refl\u00e8te une approche prudentielle qui devrait renforcer la solidit\u00e9 financi\u00e8re \u00e0 moyen terme."}</w:t>
      </w:r>
    </w:p>
    <w:p>
      <w:pPr>
        <w:spacing w:before="40"/>
        <w:ind w:left="400"/>
      </w:pPr>
      <w:r>
        <w:rPr>
          <w:sz w:val="18"/>
        </w:rPr>
        <w:t>La BIIC affiche des résultats mitigés au deuxième trimestre 2025 avec un résultat net de 7,9 milliards FCFA, en baisse de 27% par rapport à juin 2024. Malgré cette baisse du résultat net, la banque maintient une dynamique positive avec un PNB en hausse de 28% à 25,7 milliards FCFA. L'activité commerciale reste soutenue avec une croissance des crédits de 23% et des dépôts de 20%. La dégradation du résultat net s'explique principalement par une hausse significative du coût du risque (+429%) liée à une politique de provisionnement conservatrice. Le total du bilan progresse de 13% à 1 723,4 milliards FCFA, témoignant de la croissance de l'activité bancaire.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{'cout_net_risque': '7,9 milliards FCFA', 'depots_clientele': '1 108,4 milliards FCFA', 'credits_nets_clientele': '1 049,2 milliards FCFA', 'resultat_brut_exploitation': '16,3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1 723,4 milliards FCFA</w:t>
            </w:r>
          </w:p>
        </w:tc>
      </w:tr>
      <w:tr>
        <w:tc>
          <w:tcPr>
            <w:tcW w:type="dxa" w:w="2160"/>
          </w:tcPr>
          <w:p>
            <w:r/>
            <w:r>
              <w:rPr>
                <w:b/>
                <w:sz w:val="16"/>
              </w:rPr>
              <w:t>resultat_net</w:t>
              <w:br/>
            </w:r>
            <w:r>
              <w:rPr>
                <w:sz w:val="18"/>
              </w:rPr>
              <w:t>7,9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25,7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7,9 milliards FCFA en baisse de 27% par rapport à juin 2024</w:t>
      </w:r>
    </w:p>
    <w:p>
      <w:pPr>
        <w:pStyle w:val="ListBullet"/>
        <w:spacing w:before="20" w:after="20"/>
        <w:ind w:left="700"/>
      </w:pPr>
      <w:r>
        <w:rPr>
          <w:sz w:val="18"/>
        </w:rPr>
        <w:t>Produit Net Bancaire (PNB) en forte progression de 28% à 25,7 milliards FCFA</w:t>
      </w:r>
    </w:p>
    <w:p>
      <w:pPr>
        <w:pStyle w:val="ListBullet"/>
        <w:spacing w:before="20" w:after="20"/>
        <w:ind w:left="700"/>
      </w:pPr>
      <w:r>
        <w:rPr>
          <w:sz w:val="18"/>
        </w:rPr>
        <w:t>Croissance notable des crédits nets à la clientèle de 23% atteignant 1 049,2 milliards FCFA</w:t>
      </w:r>
    </w:p>
    <w:p>
      <w:pPr>
        <w:pStyle w:val="ListBullet"/>
        <w:spacing w:before="20" w:after="20"/>
        <w:ind w:left="700"/>
      </w:pPr>
      <w:r>
        <w:rPr>
          <w:sz w:val="18"/>
        </w:rPr>
        <w:t>Progression des dépôts de la clientèle de 20% à 1 108,4 milliards FCFA</w:t>
      </w:r>
    </w:p>
    <w:p>
      <w:pPr>
        <w:pStyle w:val="ListBullet"/>
        <w:spacing w:before="20" w:after="20"/>
        <w:ind w:left="700"/>
      </w:pPr>
      <w:r>
        <w:rPr>
          <w:sz w:val="18"/>
        </w:rPr>
        <w:t>Explosion du coût net du risque de 429% à 7,9 milliards FCFA due à une politique de provisionnement conservatrice</w:t>
      </w:r>
    </w:p>
    <w:p>
      <w:pPr>
        <w:pStyle w:val="ListBullet"/>
        <w:spacing w:before="20" w:after="20"/>
        <w:ind w:left="700"/>
      </w:pPr>
      <w:r>
        <w:rPr>
          <w:sz w:val="18"/>
        </w:rPr>
        <w:t>Total bilan en croissance de 13% à 1 723,4 milliards FCFA</w:t>
      </w:r>
    </w:p>
    <w:p>
      <w:pPr>
        <w:spacing w:before="40"/>
        <w:ind w:left="400"/>
      </w:pPr>
      <w:r>
        <w:rPr>
          <w:b/>
          <w:color w:val="C05000"/>
          <w:sz w:val="18"/>
        </w:rPr>
        <w:t xml:space="preserve">⚠️ Risques : </w:t>
      </w:r>
      <w:r>
        <w:rPr>
          <w:sz w:val="18"/>
        </w:rPr>
        <w:t>["Politique de provisionnement tr\u00e8s conservatrice impactant fortement la rentabilit\u00e9", "Hausse significative des frais g\u00e9n\u00e9raux de 27% pesant sur l'efficacit\u00e9 op\u00e9rationnelle", "D\u00e9t\u00e9rioration de la qualit\u00e9 du portefeuille cr\u00e9dit n\u00e9cessitant des p</w:t>
      </w:r>
    </w:p>
    <w:p>
      <w:pPr>
        <w:spacing w:before="40"/>
        <w:ind w:left="400"/>
      </w:pPr>
      <w:r>
        <w:rPr>
          <w:b/>
          <w:color w:val="0064A0"/>
          <w:sz w:val="18"/>
        </w:rPr>
        <w:t xml:space="preserve">🔮 Perspectives : </w:t>
      </w:r>
      <w:r>
        <w:rPr>
          <w:sz w:val="18"/>
        </w:rPr>
        <w:t>La BIIC prévoit de poursuivre le déploiement de ses activités au troisième trimestre 2025 en consolidant sa stratégie commerciale. L'accent sera mis sur une gestion rigoureuse des risques et des frais de fonctionnement pour garantir l'atteinte des objectifs stratégiques. La banque devrait bénéficier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"acheter", "justification": "La banque affiche une croissance soutenue de sa rentabilit\u00e9 et de ses activit\u00e9s principales avec un renforcement significatif des capitaux propres. La progression \u00e9quilibr\u00e9e des cr\u00e9dits et d\u00e9p\u00f4ts t\u00e9moigne d'une gestion prudente et d'un d\u00e9veloppement commercial ma\u00eetris\u00e9."}</w:t>
      </w:r>
    </w:p>
    <w:p>
      <w:pPr>
        <w:spacing w:before="40"/>
        <w:ind w:left="400"/>
      </w:pPr>
      <w:r>
        <w:rPr>
          <w:sz w:val="18"/>
        </w:rPr>
        <w:t>BIIC (Banque Internationale pour l'Industrie et le Commerce) présente des résultats financiers solides pour l'exercice 2024. Le total du bilan progresse de 13,4% passant de 1 340,7 millions FCFA à 1 520,4 millions FCFA. Le résultat net affiche une croissance remarquable de 11,2% atteignant 30,3 millions FCFA contre 27,3 millions FCFA en 2023. L'activité bancaire se renforce avec une hausse du produit net bancaire de 15,3% à 45,2 millions FCFA. La banque maintient une structure financière équilibrée avec des capitaux propres renforcés à 125,9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'926,1 millions FCFA', 'credits_clientele': '856,1 millions FCFA', 'produit_net_bancaire': '45,2 millions FCFA', 'ratio_credits_depots': '92,4%'}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1 520,4 millions FCFA</w:t>
            </w:r>
          </w:p>
        </w:tc>
      </w:tr>
      <w:tr>
        <w:tc>
          <w:tcPr>
            <w:tcW w:type="dxa" w:w="2160"/>
          </w:tcPr>
          <w:p>
            <w:r/>
            <w:r>
              <w:rPr>
                <w:b/>
                <w:sz w:val="16"/>
              </w:rPr>
              <w:t>resultat_net</w:t>
              <w:br/>
            </w:r>
            <w:r>
              <w:rPr>
                <w:sz w:val="18"/>
              </w:rPr>
              <w:t>30,3 millions FCFA</w:t>
            </w:r>
          </w:p>
        </w:tc>
        <w:tc>
          <w:tcPr>
            <w:tcW w:type="dxa" w:w="2160"/>
          </w:tcPr>
          <w:p>
            <w:r/>
            <w:r>
              <w:rPr>
                <w:b/>
                <w:sz w:val="16"/>
              </w:rPr>
              <w:t>capitaux_propres</w:t>
              <w:br/>
            </w:r>
            <w:r>
              <w:rPr>
                <w:sz w:val="18"/>
              </w:rPr>
              <w:t>125,9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13,4% atteignant 1 520,4 millions FCFA</w:t>
      </w:r>
    </w:p>
    <w:p>
      <w:pPr>
        <w:pStyle w:val="ListBullet"/>
        <w:spacing w:before="20" w:after="20"/>
        <w:ind w:left="700"/>
      </w:pPr>
      <w:r>
        <w:rPr>
          <w:sz w:val="18"/>
        </w:rPr>
        <w:t>Progression du résultat net de 11,2% à 30,3 millions FCFA</w:t>
      </w:r>
    </w:p>
    <w:p>
      <w:pPr>
        <w:pStyle w:val="ListBullet"/>
        <w:spacing w:before="20" w:after="20"/>
        <w:ind w:left="700"/>
      </w:pPr>
      <w:r>
        <w:rPr>
          <w:sz w:val="18"/>
        </w:rPr>
        <w:t>Hausse significative du produit net bancaire de 15,3% à 45,2 millions FCFA</w:t>
      </w:r>
    </w:p>
    <w:p>
      <w:pPr>
        <w:pStyle w:val="ListBullet"/>
        <w:spacing w:before="20" w:after="20"/>
        <w:ind w:left="700"/>
      </w:pPr>
      <w:r>
        <w:rPr>
          <w:sz w:val="18"/>
        </w:rPr>
        <w:t>Renforcement des capitaux propres de 31,8% à 125,9 millions FCFA</w:t>
      </w:r>
    </w:p>
    <w:p>
      <w:pPr>
        <w:pStyle w:val="ListBullet"/>
        <w:spacing w:before="20" w:after="20"/>
        <w:ind w:left="700"/>
      </w:pPr>
      <w:r>
        <w:rPr>
          <w:sz w:val="18"/>
        </w:rPr>
        <w:t>Croissance des crédits à la clientèle de 24,4% atteignant 856,1 millions FCFA</w:t>
      </w:r>
    </w:p>
    <w:p>
      <w:pPr>
        <w:pStyle w:val="ListBullet"/>
        <w:spacing w:before="20" w:after="20"/>
        <w:ind w:left="700"/>
      </w:pPr>
      <w:r>
        <w:rPr>
          <w:sz w:val="18"/>
        </w:rPr>
        <w:t>Amélioration des dépôts clientèle de 5,8% à 926,1 millions FCFA</w:t>
      </w:r>
    </w:p>
    <w:p>
      <w:pPr>
        <w:spacing w:before="40"/>
        <w:ind w:left="400"/>
      </w:pPr>
      <w:r>
        <w:rPr>
          <w:b/>
          <w:color w:val="C05000"/>
          <w:sz w:val="18"/>
        </w:rPr>
        <w:t xml:space="preserve">⚠️ Risques : </w:t>
      </w:r>
      <w:r>
        <w:rPr>
          <w:sz w:val="18"/>
        </w:rPr>
        <w:t>["Concentration potentielle du portefeuille de cr\u00e9dits sur certains secteurs d'activit\u00e9", "Exposition aux risques de cr\u00e9dit dans un environnement \u00e9conomique incertain", "Pression concurrentielle croissante sur les marges d'interm\u00e9diation bancaire"]</w:t>
      </w:r>
    </w:p>
    <w:p>
      <w:pPr>
        <w:spacing w:before="40"/>
        <w:ind w:left="400"/>
      </w:pPr>
      <w:r>
        <w:rPr>
          <w:b/>
          <w:color w:val="0064A0"/>
          <w:sz w:val="18"/>
        </w:rPr>
        <w:t xml:space="preserve">🔮 Perspectives : </w:t>
      </w:r>
      <w:r>
        <w:rPr>
          <w:sz w:val="18"/>
        </w:rPr>
        <w:t>BIIC semble bien positionnée pour poursuivre sa croissance en 2025 grâce à ses fondamentaux solides et sa capacité démontrée à développer son activité de crédit. Le renforcement des capitaux propres offre une base solide pour soutenir l'expansion future tout en maintenant une gestion prudente des 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banque affiche une croissance solide et une am\u00e9lioration de la qualit\u00e9 des actifs, mais les ratios de rentabilit\u00e9 restent modestes. Le renforcement continu du bilan et l'expansion r\u00e9gionale justifient une position de conservation."}</w:t>
      </w:r>
    </w:p>
    <w:p>
      <w:pPr>
        <w:spacing w:before="40"/>
        <w:ind w:left="400"/>
      </w:pPr>
      <w:r>
        <w:rPr>
          <w:sz w:val="18"/>
        </w:rPr>
        <w:t>La BIIC (ECOWAS Bank for Investment and Development) affiche une performance solide en 2024 avec une croissance soutenue de ses actifs totaux qui atteignent 1,479.57 millions UA contre 1,396.37 millions UA en 2023. Le résultat net progresse à 6.43 millions UA (+12.8% vs 2023), porté par une hausse significative des revenus d'intérêts nets qui passent de 21.25 à 32.76 millions UA. Le portefeuille de prêts continue sa croissance avec 1,208.52 millions UA (+13.3%), témoignant de l'expansion des activités de financement. La banque maintient une structure financière robuste avec des capitaux propres de 470.28 millions UA et un ratio d'adéquation des fonds propres de 37.41%. L'amélioration de la q</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'0.45%', 'ROE': '1.46%', 'ratio_NPL': '4.11%', 'marge_interets': '2.61%', 'ratio_cout_revenu': '67.00%', 'ratio_adequation_capital': '37.41%'}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17.15%</w:t>
            </w:r>
          </w:p>
        </w:tc>
        <w:tc>
          <w:tcPr>
            <w:tcW w:type="dxa" w:w="2160"/>
          </w:tcPr>
          <w:p>
            <w:pPr>
              <w:ind w:left="100"/>
            </w:pPr>
            <w:r/>
            <w:r>
              <w:rPr>
                <w:b/>
                <w:sz w:val="16"/>
              </w:rPr>
              <w:t>total_actif</w:t>
              <w:br/>
            </w:r>
            <w:r>
              <w:rPr>
                <w:sz w:val="18"/>
              </w:rPr>
              <w:t>1,479.57 millions UA</w:t>
            </w:r>
          </w:p>
        </w:tc>
      </w:tr>
      <w:tr>
        <w:tc>
          <w:tcPr>
            <w:tcW w:type="dxa" w:w="2160"/>
          </w:tcPr>
          <w:p>
            <w:r/>
            <w:r>
              <w:rPr>
                <w:b/>
                <w:sz w:val="16"/>
              </w:rPr>
              <w:t>resultat_net</w:t>
              <w:br/>
            </w:r>
            <w:r>
              <w:rPr>
                <w:sz w:val="18"/>
              </w:rPr>
              <w:t>6.43 millions UA</w:t>
            </w:r>
          </w:p>
        </w:tc>
        <w:tc>
          <w:tcPr>
            <w:tcW w:type="dxa" w:w="2160"/>
          </w:tcPr>
          <w:p>
            <w:r/>
            <w:r>
              <w:rPr>
                <w:b/>
                <w:sz w:val="16"/>
              </w:rPr>
              <w:t>capitaux_propres</w:t>
              <w:br/>
            </w:r>
            <w:r>
              <w:rPr>
                <w:sz w:val="18"/>
              </w:rPr>
              <w:t>470.28 millions UA</w:t>
            </w:r>
          </w:p>
        </w:tc>
        <w:tc>
          <w:tcPr>
            <w:tcW w:type="dxa" w:w="2160"/>
          </w:tcPr>
          <w:p>
            <w:r/>
            <w:r>
              <w:rPr>
                <w:b/>
                <w:sz w:val="16"/>
              </w:rPr>
              <w:t>chiffre_affaires</w:t>
              <w:br/>
            </w:r>
            <w:r>
              <w:rPr>
                <w:sz w:val="18"/>
              </w:rPr>
              <w:t>37.48 millions UA (revenus opérationnels)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actifs totaux de 6.0% à 1,479.57 millions UA</w:t>
      </w:r>
    </w:p>
    <w:p>
      <w:pPr>
        <w:pStyle w:val="ListBullet"/>
        <w:spacing w:before="20" w:after="20"/>
        <w:ind w:left="700"/>
      </w:pPr>
      <w:r>
        <w:rPr>
          <w:sz w:val="18"/>
        </w:rPr>
        <w:t>Progression du résultat net de 12.8% à 6.43 millions UA</w:t>
      </w:r>
    </w:p>
    <w:p>
      <w:pPr>
        <w:pStyle w:val="ListBullet"/>
        <w:spacing w:before="20" w:after="20"/>
        <w:ind w:left="700"/>
      </w:pPr>
      <w:r>
        <w:rPr>
          <w:sz w:val="18"/>
        </w:rPr>
        <w:t>Forte hausse des revenus d'intérêts nets (+54.2% à 32.76 millions UA)</w:t>
      </w:r>
    </w:p>
    <w:p>
      <w:pPr>
        <w:pStyle w:val="ListBullet"/>
        <w:spacing w:before="20" w:after="20"/>
        <w:ind w:left="700"/>
      </w:pPr>
      <w:r>
        <w:rPr>
          <w:sz w:val="18"/>
        </w:rPr>
        <w:t>Expansion du portefeuille de prêts de 13.3% à 1,208.52 millions UA</w:t>
      </w:r>
    </w:p>
    <w:p>
      <w:pPr>
        <w:pStyle w:val="ListBullet"/>
        <w:spacing w:before="20" w:after="20"/>
        <w:ind w:left="700"/>
      </w:pPr>
      <w:r>
        <w:rPr>
          <w:sz w:val="18"/>
        </w:rPr>
        <w:t>Amélioration de la qualité des actifs avec un ratio NPL en baisse à 4.11%</w:t>
      </w:r>
    </w:p>
    <w:p>
      <w:pPr>
        <w:pStyle w:val="ListBullet"/>
        <w:spacing w:before="20" w:after="20"/>
        <w:ind w:left="700"/>
      </w:pPr>
      <w:r>
        <w:rPr>
          <w:sz w:val="18"/>
        </w:rPr>
        <w:t>Renforcement des capitaux propres à 470.28 millions UA (+14.9%)</w:t>
      </w:r>
    </w:p>
    <w:p>
      <w:pPr>
        <w:spacing w:before="40"/>
        <w:ind w:left="400"/>
      </w:pPr>
      <w:r>
        <w:rPr>
          <w:b/>
          <w:color w:val="C05000"/>
          <w:sz w:val="18"/>
        </w:rPr>
        <w:t xml:space="preserve">⚠️ Risques : </w:t>
      </w:r>
      <w:r>
        <w:rPr>
          <w:sz w:val="18"/>
        </w:rPr>
        <w:t>["Concentration g\u00e9ographique sur la r\u00e9gion CEDEAO avec exposition aux risques politiques et \u00e9conomiques r\u00e9gionaux", "Ratios de rentabilit\u00e9 relativement faibles (ROA 0.45%, ROE 1.46%) limitant la cr\u00e9ation de valeur", "Co\u00fbt du risque \u00e9lev\u00e9 avec 5.94 million</w:t>
      </w:r>
    </w:p>
    <w:p>
      <w:pPr>
        <w:spacing w:before="40"/>
        <w:ind w:left="400"/>
      </w:pPr>
      <w:r>
        <w:rPr>
          <w:b/>
          <w:color w:val="0064A0"/>
          <w:sz w:val="18"/>
        </w:rPr>
        <w:t xml:space="preserve">🔮 Perspectives : </w:t>
      </w:r>
      <w:r>
        <w:rPr>
          <w:sz w:val="18"/>
        </w:rPr>
        <w:t>La banque devrait poursuivre sa croissance en 2025 portée par l'expansion des financements de projets de développement dans la région CEDEAO. L'amélioration continue de la gestion des risques et l'augmentation des capitaux propres devraient soutenir une croissance durable du portefeuille de prêts.</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785 titres</w:t>
            </w:r>
          </w:p>
        </w:tc>
        <w:tc>
          <w:tcPr>
            <w:tcW w:type="dxa" w:w="2268"/>
            <w:shd w:fill="FFF2CC" w:val="clear"/>
          </w:tcPr>
          <w:p>
            <w:r>
              <w:rPr>
                <w:b/>
                <w:color w:val="503200"/>
                <w:sz w:val="16"/>
              </w:rPr>
              <w:t xml:space="preserve">Cours actuel : </w:t>
            </w:r>
            <w:r>
              <w:rPr>
                <w:color w:val="000000"/>
                <w:sz w:val="17"/>
              </w:rPr>
              <w:t>29,100 FCFA</w:t>
            </w:r>
          </w:p>
          <w:p>
            <w:r>
              <w:rPr>
                <w:b/>
                <w:color w:val="503200"/>
                <w:sz w:val="16"/>
              </w:rPr>
              <w:t xml:space="preserve">Var. 100 jours : </w:t>
            </w:r>
            <w:r>
              <w:rPr>
                <w:b/>
                <w:color w:val="007800"/>
                <w:sz w:val="17"/>
              </w:rPr>
              <w:t>+13.21%</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7.27% (Moyenne) — μ=26,840 FCFA, σ=1,952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β=0.7122 (Défensif) — Cov=0.000026, Var(idx)=0.000036, ρ=0.220,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785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27,512</w:t>
            </w:r>
          </w:p>
        </w:tc>
        <w:tc>
          <w:tcPr>
            <w:tcW w:type="dxa" w:w="1440"/>
            <w:shd w:fill="FFDCE0" w:val="clear"/>
          </w:tcPr>
          <w:p>
            <w:r>
              <w:rPr>
                <w:b/>
                <w:sz w:val="17"/>
              </w:rPr>
              <w:t>28,348</w:t>
            </w:r>
          </w:p>
        </w:tc>
        <w:tc>
          <w:tcPr>
            <w:tcW w:type="dxa" w:w="1440"/>
            <w:shd w:fill="FFDCE0" w:val="clear"/>
          </w:tcPr>
          <w:p>
            <w:r>
              <w:rPr>
                <w:sz w:val="17"/>
              </w:rPr>
              <w:t>29,183</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26,928</w:t>
            </w:r>
          </w:p>
        </w:tc>
        <w:tc>
          <w:tcPr>
            <w:tcW w:type="dxa" w:w="1440"/>
            <w:shd w:fill="FFDCE0" w:val="clear"/>
          </w:tcPr>
          <w:p>
            <w:r>
              <w:rPr>
                <w:b/>
                <w:sz w:val="17"/>
              </w:rPr>
              <w:t>28,099</w:t>
            </w:r>
          </w:p>
        </w:tc>
        <w:tc>
          <w:tcPr>
            <w:tcW w:type="dxa" w:w="1440"/>
            <w:shd w:fill="FFDCE0" w:val="clear"/>
          </w:tcPr>
          <w:p>
            <w:r>
              <w:rPr>
                <w:sz w:val="17"/>
              </w:rPr>
              <w:t>29,270</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26,387</w:t>
            </w:r>
          </w:p>
        </w:tc>
        <w:tc>
          <w:tcPr>
            <w:tcW w:type="dxa" w:w="1440"/>
            <w:shd w:fill="FFDCE0" w:val="clear"/>
          </w:tcPr>
          <w:p>
            <w:r>
              <w:rPr>
                <w:b/>
                <w:sz w:val="17"/>
              </w:rPr>
              <w:t>27,806</w:t>
            </w:r>
          </w:p>
        </w:tc>
        <w:tc>
          <w:tcPr>
            <w:tcW w:type="dxa" w:w="1440"/>
            <w:shd w:fill="FFDCE0" w:val="clear"/>
          </w:tcPr>
          <w:p>
            <w:r>
              <w:rPr>
                <w:sz w:val="17"/>
              </w:rPr>
              <w:t>29,226</w:t>
            </w:r>
          </w:p>
        </w:tc>
        <w:tc>
          <w:tcPr>
            <w:tcW w:type="dxa" w:w="1440"/>
            <w:shd w:fill="FFDCE0" w:val="clear"/>
          </w:tcPr>
          <w:p>
            <w:r>
              <w:rPr>
                <w:b/>
                <w:color w:val="C00000"/>
                <w:sz w:val="17"/>
              </w:rPr>
              <w:t>-4.4%</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25,913</w:t>
            </w:r>
          </w:p>
        </w:tc>
        <w:tc>
          <w:tcPr>
            <w:tcW w:type="dxa" w:w="1440"/>
            <w:shd w:fill="FFDCE0" w:val="clear"/>
          </w:tcPr>
          <w:p>
            <w:r>
              <w:rPr>
                <w:b/>
                <w:sz w:val="17"/>
              </w:rPr>
              <w:t>27,536</w:t>
            </w:r>
          </w:p>
        </w:tc>
        <w:tc>
          <w:tcPr>
            <w:tcW w:type="dxa" w:w="1440"/>
            <w:shd w:fill="FFDCE0" w:val="clear"/>
          </w:tcPr>
          <w:p>
            <w:r>
              <w:rPr>
                <w:sz w:val="17"/>
              </w:rPr>
              <w:t>29,160</w:t>
            </w:r>
          </w:p>
        </w:tc>
        <w:tc>
          <w:tcPr>
            <w:tcW w:type="dxa" w:w="1440"/>
            <w:shd w:fill="FFDCE0" w:val="clear"/>
          </w:tcPr>
          <w:p>
            <w:r>
              <w:rPr>
                <w:b/>
                <w:color w:val="C00000"/>
                <w:sz w:val="17"/>
              </w:rPr>
              <w:t>-5.4%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25,490</w:t>
            </w:r>
          </w:p>
        </w:tc>
        <w:tc>
          <w:tcPr>
            <w:tcW w:type="dxa" w:w="1440"/>
            <w:shd w:fill="FFDCE0" w:val="clear"/>
          </w:tcPr>
          <w:p>
            <w:r>
              <w:rPr>
                <w:b/>
                <w:sz w:val="17"/>
              </w:rPr>
              <w:t>27,288</w:t>
            </w:r>
          </w:p>
        </w:tc>
        <w:tc>
          <w:tcPr>
            <w:tcW w:type="dxa" w:w="1440"/>
            <w:shd w:fill="FFDCE0" w:val="clear"/>
          </w:tcPr>
          <w:p>
            <w:r>
              <w:rPr>
                <w:sz w:val="17"/>
              </w:rPr>
              <w:t>29,087</w:t>
            </w:r>
          </w:p>
        </w:tc>
        <w:tc>
          <w:tcPr>
            <w:tcW w:type="dxa" w:w="1440"/>
            <w:shd w:fill="FFDCE0" w:val="clear"/>
          </w:tcPr>
          <w:p>
            <w:r>
              <w:rPr>
                <w:b/>
                <w:color w:val="C00000"/>
                <w:sz w:val="17"/>
              </w:rPr>
              <w:t>-6.2%</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25,100</w:t>
            </w:r>
          </w:p>
        </w:tc>
        <w:tc>
          <w:tcPr>
            <w:tcW w:type="dxa" w:w="1440"/>
            <w:shd w:fill="FFDCE0" w:val="clear"/>
          </w:tcPr>
          <w:p>
            <w:r>
              <w:rPr>
                <w:b/>
                <w:sz w:val="17"/>
              </w:rPr>
              <w:t>27,053</w:t>
            </w:r>
          </w:p>
        </w:tc>
        <w:tc>
          <w:tcPr>
            <w:tcW w:type="dxa" w:w="1440"/>
            <w:shd w:fill="FFDCE0" w:val="clear"/>
          </w:tcPr>
          <w:p>
            <w:r>
              <w:rPr>
                <w:sz w:val="17"/>
              </w:rPr>
              <w:t>29,006</w:t>
            </w:r>
          </w:p>
        </w:tc>
        <w:tc>
          <w:tcPr>
            <w:tcW w:type="dxa" w:w="1440"/>
            <w:shd w:fill="FFDCE0" w:val="clear"/>
          </w:tcPr>
          <w:p>
            <w:r>
              <w:rPr>
                <w:b/>
                <w:color w:val="C00000"/>
                <w:sz w:val="17"/>
              </w:rPr>
              <w:t>-7.0%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24,735</w:t>
            </w:r>
          </w:p>
        </w:tc>
        <w:tc>
          <w:tcPr>
            <w:tcW w:type="dxa" w:w="1440"/>
            <w:shd w:fill="FFDCE0" w:val="clear"/>
          </w:tcPr>
          <w:p>
            <w:r>
              <w:rPr>
                <w:b/>
                <w:sz w:val="17"/>
              </w:rPr>
              <w:t>26,827</w:t>
            </w:r>
          </w:p>
        </w:tc>
        <w:tc>
          <w:tcPr>
            <w:tcW w:type="dxa" w:w="1440"/>
            <w:shd w:fill="FFDCE0" w:val="clear"/>
          </w:tcPr>
          <w:p>
            <w:r>
              <w:rPr>
                <w:sz w:val="17"/>
              </w:rPr>
              <w:t>28,919</w:t>
            </w:r>
          </w:p>
        </w:tc>
        <w:tc>
          <w:tcPr>
            <w:tcW w:type="dxa" w:w="1440"/>
            <w:shd w:fill="FFDCE0" w:val="clear"/>
          </w:tcPr>
          <w:p>
            <w:r>
              <w:rPr>
                <w:b/>
                <w:color w:val="C00000"/>
                <w:sz w:val="17"/>
              </w:rPr>
              <w:t>-7.8%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24,391</w:t>
            </w:r>
          </w:p>
        </w:tc>
        <w:tc>
          <w:tcPr>
            <w:tcW w:type="dxa" w:w="1440"/>
            <w:shd w:fill="FFDCE0" w:val="clear"/>
          </w:tcPr>
          <w:p>
            <w:r>
              <w:rPr>
                <w:b/>
                <w:sz w:val="17"/>
              </w:rPr>
              <w:t>26,609</w:t>
            </w:r>
          </w:p>
        </w:tc>
        <w:tc>
          <w:tcPr>
            <w:tcW w:type="dxa" w:w="1440"/>
            <w:shd w:fill="FFDCE0" w:val="clear"/>
          </w:tcPr>
          <w:p>
            <w:r>
              <w:rPr>
                <w:sz w:val="17"/>
              </w:rPr>
              <w:t>28,828</w:t>
            </w:r>
          </w:p>
        </w:tc>
        <w:tc>
          <w:tcPr>
            <w:tcW w:type="dxa" w:w="1440"/>
            <w:shd w:fill="FFDCE0" w:val="clear"/>
          </w:tcPr>
          <w:p>
            <w:r>
              <w:rPr>
                <w:b/>
                <w:color w:val="C00000"/>
                <w:sz w:val="17"/>
              </w:rPr>
              <w:t>-8.6%</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24,065</w:t>
            </w:r>
          </w:p>
        </w:tc>
        <w:tc>
          <w:tcPr>
            <w:tcW w:type="dxa" w:w="1440"/>
            <w:shd w:fill="FFDCE0" w:val="clear"/>
          </w:tcPr>
          <w:p>
            <w:r>
              <w:rPr>
                <w:b/>
                <w:sz w:val="17"/>
              </w:rPr>
              <w:t>26,399</w:t>
            </w:r>
          </w:p>
        </w:tc>
        <w:tc>
          <w:tcPr>
            <w:tcW w:type="dxa" w:w="1440"/>
            <w:shd w:fill="FFDCE0" w:val="clear"/>
          </w:tcPr>
          <w:p>
            <w:r>
              <w:rPr>
                <w:sz w:val="17"/>
              </w:rPr>
              <w:t>28,733</w:t>
            </w:r>
          </w:p>
        </w:tc>
        <w:tc>
          <w:tcPr>
            <w:tcW w:type="dxa" w:w="1440"/>
            <w:shd w:fill="FFDCE0" w:val="clear"/>
          </w:tcPr>
          <w:p>
            <w:r>
              <w:rPr>
                <w:b/>
                <w:color w:val="C00000"/>
                <w:sz w:val="17"/>
              </w:rPr>
              <w:t>-9.3%</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23,755</w:t>
            </w:r>
          </w:p>
        </w:tc>
        <w:tc>
          <w:tcPr>
            <w:tcW w:type="dxa" w:w="1440"/>
            <w:shd w:fill="FFDCE0" w:val="clear"/>
          </w:tcPr>
          <w:p>
            <w:r>
              <w:rPr>
                <w:b/>
                <w:sz w:val="17"/>
              </w:rPr>
              <w:t>26,196</w:t>
            </w:r>
          </w:p>
        </w:tc>
        <w:tc>
          <w:tcPr>
            <w:tcW w:type="dxa" w:w="1440"/>
            <w:shd w:fill="FFDCE0" w:val="clear"/>
          </w:tcPr>
          <w:p>
            <w:r>
              <w:rPr>
                <w:sz w:val="17"/>
              </w:rPr>
              <w:t>28,638</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485 milliards FCFA, positionnant la banque parmi les valeurs à grande capitalisation de la BRVM, avec un poids significatif dans l'indice. Le BPA de 2 191 FCFA indique que chaque action génère un bénéfice substantiel, justifiant un PER de 13,3x, légèrement supérieur à la moyenne historique de la place (~8-12x), ce qui traduit une prime de croissance que les investisseurs acceptent de payer. Le P/B de 4,02x est nettement plus exigeant, signalant que le marché valorise fortement les actifs nets de la banque, au-delà de leur valeur comptable, en anticipant une rentabilité future soutenue. Enfin, l'EV/EBITDA de 9,3x reste dans une zone raisonnable (5-10x), indiquant que la valeur totale de l'entreprise reste cohérente avec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affiche une progression totale de +13,21%, avec une dernière séance en légère hausse de +0,34% à 29 100 FCFA. Le cours a évolué dans un range de trading de 22 500 FCFA (plus bas) à 29 490 FCFA (plus haut), démontrant une dynamique haussière soutenue. La moyenne (26 840 FCFA) est inférieure à la médiane (27 605 FCFA), indiquant une asymétrie positive de la distribution des prix, avec une concentration des échanges vers les niveaux supérieurs. L'écart-type de 1 962 FCFA (CV=7,3%) révèle une dispersion modérée autour de la moyenne. Le kurtosis de -1,172 (platykurtique) suggère une distribution aplatie, avec moins de valeurs extrêmes que la normale, tandis que le skewness de -0,472 indique une légère asymétrie négative. La volatilité annualisée de 30,8% classe le titre dans la catégorie élevée (&gt;30%), reflétant un risque de marché significatif mais aussi un potentiel de rendement accru.</w:t>
      </w:r>
    </w:p>
    <w:p>
      <w:pPr>
        <w:spacing w:after="120" w:line="276" w:lineRule="auto" w:before="240"/>
      </w:pPr>
      <w:r>
        <w:rPr>
          <w:b/>
          <w:color w:val="003366"/>
          <w:sz w:val="24"/>
        </w:rPr>
        <w:t>**PARTIE 2 : ANALYSE TECHNIQUE DÉTAILLÉE**</w:t>
      </w:r>
    </w:p>
    <w:p>
      <w:pPr>
        <w:spacing w:after="120" w:line="276" w:lineRule="auto"/>
      </w:pPr>
      <w:r>
        <w:t>**Moyennes Mobiles** : Le cours actuel (29 100 FCFA) se positionne au-dessus des MM20 (28 490 FCFA) et MM50 (28 543,6 FCFA), confirmant une tendance haussière de fond. Cependant, la décision technique globale est "Vente", ce qui suggère que la proximité des deux moyennes et leur convergence pourraient signaler un essoufflement du momentum à court terme, malgré la tendance positive sous-jacente.</w:t>
      </w:r>
    </w:p>
    <w:p>
      <w:pPr>
        <w:spacing w:after="120" w:line="276" w:lineRule="auto"/>
      </w:pPr>
      <w:r>
        <w:t>**Bandes de Bollinger** : Le prix se situe entre la borne supérieure (29 498 FCFA) et la borne inférieure (27 481 FCFA), proche de la borne haute, indiquant une pression acheteuse persistante. La décision "Neutre" reflète une volatilité modérée, sans signal d'extension excessive ou de retournement imminent, le cours évoluant dans un canal non extrême.</w:t>
      </w:r>
    </w:p>
    <w:p>
      <w:pPr>
        <w:spacing w:after="120" w:line="276" w:lineRule="auto"/>
      </w:pPr>
      <w:r>
        <w:t>**MACD** : La valeur du MACD (211,29) est nettement supérieure au signal (140,606), avec un écart positif croissant, confirmant un momentum haussier solide. La décision "Achat" est justifiée par cette divergence positive, qui indique que la dynamique de prix reste favorable à la poursuite de la hausse à moyen terme.</w:t>
      </w:r>
    </w:p>
    <w:p>
      <w:pPr>
        <w:spacing w:after="120" w:line="276" w:lineRule="auto"/>
      </w:pPr>
      <w:r>
        <w:t>**RSI** : À 66,779, le RSI se situe en zone neutre (30-70), sans atteindre le seuil de surachat (&gt;70). La décision "Neutre" est appropriée, le titre conservant un potentiel de hausse sans montrer de signe d'épuisement, bien que la proximité de la zone de surachat mérite une surveillance.</w:t>
      </w:r>
    </w:p>
    <w:p>
      <w:pPr>
        <w:spacing w:after="120" w:line="276" w:lineRule="auto"/>
      </w:pPr>
      <w:r>
        <w:t>**Stochastique** : Le %K (100,0) et le %D (99,338) sont à des niveaux extrêmement élevés, en zone de surachat prononcé. La décision "Vente" est justifiée par cette configuration, qui signale un risque élevé de correction technique à court terme, le marché ayant potentiellement anticipé une partie des gains futurs.</w:t>
      </w:r>
    </w:p>
    <w:p>
      <w:pPr>
        <w:spacing w:after="120" w:line="276" w:lineRule="auto"/>
      </w:pPr>
      <w:r>
        <w:t>**Conclusion technique** : Les indicateurs sont mitigés, avec un MACD haussier et des moyennes mobiles soutenant la tendance, mais un stochastique suracheté et un RSI proche de la zone critique suggèrent un essoufflement possible. La prudence est de mise à court terme, avec un risque de consolidation avant une reprise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BICC affiche des fondamentaux solides avec un Produit Net Bancaire de 79,563 milliards FCFA, en croissance de 16,9%, et un résultat net de 36,520 milliards FCFA, démontrant une rentabilité exceptionnelle avec un ROE de 30,29% et un ROA de 3,24%, bien au-dessus des moyennes sectorielles. Le coefficient d'exploitation de 50,83% confirme une gestion efficace des charges, tandis que le coût du risque de -12,15% indique une qualité de portefeuille maîtrisée. Les dépôts clientèle (952,872 milliards FCFA) excèdent largement les crédits (524,439 milliards FCFA), assurant une transformation saine. Les rapports trimestriels 2025 montrent une progression continue : au T1, le PNB atteint 18,130 milliards (+9,3%) et le résultat net 8,011 milliards (+23%), au S1, le PNB s'élève à 37,146 milliards (+16,6%) avec un résultat net de 16,253 milliards (+42,5%), et au T3, le PNB cumulé est de 58,119 milliards (+16,4%) avec un résultat net de 27,402 milliards (+50,8%). Sur la base du T1 2026 (PNB de 21,214 milliards, +17,0%, et résultat net de 10,387 milliards, +29,7%), on estime que l'exercice 2026 pourrait dépasser les performances 2025, avec un PNB annuel potentiel de 85-90 milliards et un résultat net de 40-45 milliards, confirmant la solidité et la croissance durable de la banque.</w:t>
      </w:r>
    </w:p>
    <w:p>
      <w:pPr>
        <w:spacing w:after="120" w:line="276" w:lineRule="auto" w:before="240"/>
      </w:pPr>
      <w:r>
        <w:rPr>
          <w:b/>
          <w:color w:val="003366"/>
          <w:sz w:val="24"/>
        </w:rPr>
        <w:t>**PARTIE 4 : CONCLUSION D'INVESTISSEMENT**</w:t>
      </w:r>
    </w:p>
    <w:p>
      <w:pPr>
        <w:spacing w:after="120" w:line="276" w:lineRule="auto"/>
      </w:pPr>
      <w:r>
        <w:t>La valorisation de BICC (PER 13,3x, P/B 4,02x) indique une prime de marché justifiée par une rentabilité exceptionnelle (ROE &gt;30%), mais le comportement du cours montre une volatilité élevée (30,8%) avec une tendance haussière récente (+13,21% sur 100 jours). Les signaux techniques sont contrastés, avec un MACD positif mais un stochastique suracheté, suggérant un risque de correction à court terme. Les fondamentaux sont excellents, avec une croissance soutenue du PNB et du résultat net, confirmée par les rapports trimestriels 2025 et 2026. Les prédictions IA (28 348 à 27 288 FCFA sur 10 jours) indiquent une baisse modérée, contredisant la tendance haussière récente et suggérant une consolidation. En synthèse, la convergence entre les fondamentaux solides et la valorisation raisonnable est contrebalancée par les signaux techniques de surachat et les prédictions baissières à court terme. Recommandation : **CONSERVER**, avec un niveau de confiance **Moyen**, un risque global **Moyen**, et un horizon d'investissement optimal à **moyen terme (3-12 mois)**, en attendant une correction technique pour renforcer les positions.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2,167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+18.75%</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11.43% (Moyenne) — μ=1,715 FCFA, σ=196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β=-0.0774 (Contre-cyclique) — Cov=-0.000003, Var(idx)=0.000036, ρ=-0.015,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1,825</w:t>
            </w:r>
          </w:p>
        </w:tc>
        <w:tc>
          <w:tcPr>
            <w:tcW w:type="dxa" w:w="1440"/>
            <w:shd w:fill="FAFAFA" w:val="clear"/>
          </w:tcPr>
          <w:p>
            <w:r>
              <w:rPr>
                <w:b/>
                <w:sz w:val="17"/>
              </w:rPr>
              <w:t>1,904</w:t>
            </w:r>
          </w:p>
        </w:tc>
        <w:tc>
          <w:tcPr>
            <w:tcW w:type="dxa" w:w="1440"/>
            <w:shd w:fill="FAFAFA" w:val="clear"/>
          </w:tcPr>
          <w:p>
            <w:r>
              <w:rPr>
                <w:sz w:val="17"/>
              </w:rPr>
              <w:t>1,984</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1,791</w:t>
            </w:r>
          </w:p>
        </w:tc>
        <w:tc>
          <w:tcPr>
            <w:tcW w:type="dxa" w:w="1440"/>
            <w:shd w:fill="FAFAFA" w:val="clear"/>
          </w:tcPr>
          <w:p>
            <w:r>
              <w:rPr>
                <w:b/>
                <w:sz w:val="17"/>
              </w:rPr>
              <w:t>1,903</w:t>
            </w:r>
          </w:p>
        </w:tc>
        <w:tc>
          <w:tcPr>
            <w:tcW w:type="dxa" w:w="1440"/>
            <w:shd w:fill="FAFAFA" w:val="clear"/>
          </w:tcPr>
          <w:p>
            <w:r>
              <w:rPr>
                <w:sz w:val="17"/>
              </w:rPr>
              <w:t>2,015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1,766</w:t>
            </w:r>
          </w:p>
        </w:tc>
        <w:tc>
          <w:tcPr>
            <w:tcW w:type="dxa" w:w="1440"/>
            <w:shd w:fill="FAFAFA" w:val="clear"/>
          </w:tcPr>
          <w:p>
            <w:r>
              <w:rPr>
                <w:b/>
                <w:sz w:val="17"/>
              </w:rPr>
              <w:t>1,903</w:t>
            </w:r>
          </w:p>
        </w:tc>
        <w:tc>
          <w:tcPr>
            <w:tcW w:type="dxa" w:w="1440"/>
            <w:shd w:fill="FAFAFA" w:val="clear"/>
          </w:tcPr>
          <w:p>
            <w:r>
              <w:rPr>
                <w:sz w:val="17"/>
              </w:rPr>
              <w:t>2,041</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1,746</w:t>
            </w:r>
          </w:p>
        </w:tc>
        <w:tc>
          <w:tcPr>
            <w:tcW w:type="dxa" w:w="1440"/>
            <w:shd w:fill="FAFAFA" w:val="clear"/>
          </w:tcPr>
          <w:p>
            <w:r>
              <w:rPr>
                <w:b/>
                <w:sz w:val="17"/>
              </w:rPr>
              <w:t>1,904</w:t>
            </w:r>
          </w:p>
        </w:tc>
        <w:tc>
          <w:tcPr>
            <w:tcW w:type="dxa" w:w="1440"/>
            <w:shd w:fill="FAFAFA" w:val="clear"/>
          </w:tcPr>
          <w:p>
            <w:r>
              <w:rPr>
                <w:sz w:val="17"/>
              </w:rPr>
              <w:t>2,062</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1,727</w:t>
            </w:r>
          </w:p>
        </w:tc>
        <w:tc>
          <w:tcPr>
            <w:tcW w:type="dxa" w:w="1440"/>
            <w:shd w:fill="FAFAFA" w:val="clear"/>
          </w:tcPr>
          <w:p>
            <w:r>
              <w:rPr>
                <w:b/>
                <w:sz w:val="17"/>
              </w:rPr>
              <w:t>1,904</w:t>
            </w:r>
          </w:p>
        </w:tc>
        <w:tc>
          <w:tcPr>
            <w:tcW w:type="dxa" w:w="1440"/>
            <w:shd w:fill="FAFAFA" w:val="clear"/>
          </w:tcPr>
          <w:p>
            <w:r>
              <w:rPr>
                <w:sz w:val="17"/>
              </w:rPr>
              <w:t>2,081</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1,710</w:t>
            </w:r>
          </w:p>
        </w:tc>
        <w:tc>
          <w:tcPr>
            <w:tcW w:type="dxa" w:w="1440"/>
            <w:shd w:fill="FAFAFA" w:val="clear"/>
          </w:tcPr>
          <w:p>
            <w:r>
              <w:rPr>
                <w:b/>
                <w:sz w:val="17"/>
              </w:rPr>
              <w:t>1,904</w:t>
            </w:r>
          </w:p>
        </w:tc>
        <w:tc>
          <w:tcPr>
            <w:tcW w:type="dxa" w:w="1440"/>
            <w:shd w:fill="FAFAFA" w:val="clear"/>
          </w:tcPr>
          <w:p>
            <w:r>
              <w:rPr>
                <w:sz w:val="17"/>
              </w:rPr>
              <w:t>2,098</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1,695</w:t>
            </w:r>
          </w:p>
        </w:tc>
        <w:tc>
          <w:tcPr>
            <w:tcW w:type="dxa" w:w="1440"/>
            <w:shd w:fill="FAFAFA" w:val="clear"/>
          </w:tcPr>
          <w:p>
            <w:r>
              <w:rPr>
                <w:b/>
                <w:sz w:val="17"/>
              </w:rPr>
              <w:t>1,904</w:t>
            </w:r>
          </w:p>
        </w:tc>
        <w:tc>
          <w:tcPr>
            <w:tcW w:type="dxa" w:w="1440"/>
            <w:shd w:fill="FAFAFA" w:val="clear"/>
          </w:tcPr>
          <w:p>
            <w:r>
              <w:rPr>
                <w:sz w:val="17"/>
              </w:rPr>
              <w:t>2,114</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1,680</w:t>
            </w:r>
          </w:p>
        </w:tc>
        <w:tc>
          <w:tcPr>
            <w:tcW w:type="dxa" w:w="1440"/>
            <w:shd w:fill="FAFAFA" w:val="clear"/>
          </w:tcPr>
          <w:p>
            <w:r>
              <w:rPr>
                <w:b/>
                <w:sz w:val="17"/>
              </w:rPr>
              <w:t>1,904</w:t>
            </w:r>
          </w:p>
        </w:tc>
        <w:tc>
          <w:tcPr>
            <w:tcW w:type="dxa" w:w="1440"/>
            <w:shd w:fill="FAFAFA" w:val="clear"/>
          </w:tcPr>
          <w:p>
            <w:r>
              <w:rPr>
                <w:sz w:val="17"/>
              </w:rPr>
              <w:t>2,128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1,667</w:t>
            </w:r>
          </w:p>
        </w:tc>
        <w:tc>
          <w:tcPr>
            <w:tcW w:type="dxa" w:w="1440"/>
            <w:shd w:fill="FAFAFA" w:val="clear"/>
          </w:tcPr>
          <w:p>
            <w:r>
              <w:rPr>
                <w:b/>
                <w:sz w:val="17"/>
              </w:rPr>
              <w:t>1,904</w:t>
            </w:r>
          </w:p>
        </w:tc>
        <w:tc>
          <w:tcPr>
            <w:tcW w:type="dxa" w:w="1440"/>
            <w:shd w:fill="FAFAFA" w:val="clear"/>
          </w:tcPr>
          <w:p>
            <w:r>
              <w:rPr>
                <w:sz w:val="17"/>
              </w:rPr>
              <w:t>2,142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1,654</w:t>
            </w:r>
          </w:p>
        </w:tc>
        <w:tc>
          <w:tcPr>
            <w:tcW w:type="dxa" w:w="1440"/>
            <w:shd w:fill="FAFAFA" w:val="clear"/>
          </w:tcPr>
          <w:p>
            <w:r>
              <w:rPr>
                <w:b/>
                <w:sz w:val="17"/>
              </w:rPr>
              <w:t>1,904</w:t>
            </w:r>
          </w:p>
        </w:tc>
        <w:tc>
          <w:tcPr>
            <w:tcW w:type="dxa" w:w="1440"/>
            <w:shd w:fill="FAFAFA" w:val="clear"/>
          </w:tcPr>
          <w:p>
            <w:r>
              <w:rPr>
                <w:sz w:val="17"/>
              </w:rPr>
              <w:t>2,155</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12,59 milliards FCFA, un niveau modeste qui la positionne comme une valeur de seconde ligne sur la BRVM. Le BPA de 3 FCFA par action est extrêmement faible, ce qui explique le PER de 563,9x, un niveau considérablement supérieur à la moyenne du marché (8-12x), indiquant que les investisseurs paient un prix très élevé pour des bénéfices quasi inexistants. En revanche, le P/B de 0,71x signale que le marché valorise le titre sous sa valeur comptable, ce qui pourrait représenter une opportunité pour les investisseurs axés sur l'actif net. L'EV/EBITDA de 23,9x, bien que supérieur au seuil exigeant de 15x, doit être relativisé compte tenu de la faiblesse des marges opérationnelles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progression de +18,75%, avec un cours actuel de 1 900 FCFA, mais la dernière séance enregistre un léger repli de -0,78%. Le titre a évolué dans une fourchette de 1 300 à 2 100 FCFA, démontrant une amplitude de trading significative de 800 FCFA. La moyenne de 1 715 FCFA est inférieure à la médiane de 1 630 FCFA, indiquant une distribution légèrement asymétrique avec des valeurs extrêmes élevées. L'écart-type de 197 FCFA (CV=11,5%) révèle une dispersion modérée autour de la moyenne, tandis que le kurtosis de -1,161 (platykurtique) suggère une distribution aplatie avec peu de pics extrêmes, et le skewness de 0,134 confirme une symétrie quasi parfaite. La volatilité annualisée de 48,0% positionne BNBC comme un titre à forte volatilité, bien au-dessus du seuil de 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Les MM20 (1 896,25 FCFA) et MM50 (1 882,5 FCFA) sont toutes deux inférieures au cours actuel de 1 900 FCFA, avec une MM20 au-dessus de la MM50, configuration typique d'une tendance haussière à court terme. La décision d'achat est justifiée par cette structure positive des moyennes mobiles, bien que l'écart entre elles reste limité.</w:t>
      </w:r>
    </w:p>
    <w:p>
      <w:pPr>
        <w:spacing w:after="120" w:line="276" w:lineRule="auto"/>
      </w:pPr>
      <w:r>
        <w:t>**Bandes de Bollinger**: Le cours à 1 900 FCFA se positionne dans la partie médiane des bandes, entre la borne supérieure (2 042,68 FCFA) et inférieure (1 749,82 FCFA), indiquant une volatilité normale sans pression excessive. La décision neutre reflète l'absence de signal directionnel fort, le prix n'étant ni en zone de surachat ni de survente.</w:t>
      </w:r>
    </w:p>
    <w:p>
      <w:pPr>
        <w:spacing w:after="120" w:line="276" w:lineRule="auto"/>
      </w:pPr>
      <w:r>
        <w:t>**MACD**: La valeur du MACD (9,33) est inférieure à son signal (14,58), créant une divergence baissière qui suggère un affaiblissement du momentum haussier. La décision de vente est cohérente avec cette configuration, bien que la faiblesse de l'écart (-5,25) limite la portée du signal.</w:t>
      </w:r>
    </w:p>
    <w:p>
      <w:pPr>
        <w:spacing w:after="120" w:line="276" w:lineRule="auto"/>
      </w:pPr>
      <w:r>
        <w:t>**RSI**: Le RSI à 53,62 se situe dans la zone neutre (30-70), indiquant un équilibre entre pressions acheteuses et vendeuses. La décision neutre est appropriée, le titre n'étant ni suracheté ni survendu, laissant place à une évolution dans les deux sens.</w:t>
      </w:r>
    </w:p>
    <w:p>
      <w:pPr>
        <w:spacing w:after="120" w:line="276" w:lineRule="auto"/>
      </w:pPr>
      <w:r>
        <w:t>**Stochastique**: Le %K (21,74) est inférieur au %D (34,78), suggérant une dynamique baissière à court terme, mais les deux valeurs restent en zone de survente relative. La décision neutre s'explique par l'absence de croisement directionnel clair, bien que la configuration actuelle puisse précéder un rebond technique.</w:t>
      </w:r>
    </w:p>
    <w:p>
      <w:pPr>
        <w:spacing w:after="120" w:line="276" w:lineRule="auto"/>
      </w:pPr>
      <w:r>
        <w:t>**Conclusion technique**: La convergence des indicateurs est mitigée : les moyennes mobiles soutiennent une tendance haussière, tandis que le MACD et le stochastique signalent un essoufflement du momentum. Le RSI et les bandes de Bollinger restent neutres, créant un équilibre fragile. Cette configuration suggère une consolidation à court terme avec un biais haussier, mais nécessite une confirmation par le franchissement des 2 000 FCFA.</w:t>
      </w:r>
    </w:p>
    <w:p>
      <w:pPr>
        <w:spacing w:after="120" w:line="276" w:lineRule="auto" w:before="240"/>
      </w:pPr>
      <w:r>
        <w:rPr>
          <w:b/>
          <w:color w:val="003366"/>
          <w:sz w:val="24"/>
        </w:rPr>
        <w:t>**PARTIE 3 : ANALYSE FONDAMENTALE (SECTION CRITIQUE)**</w:t>
      </w:r>
    </w:p>
    <w:p>
      <w:pPr>
        <w:spacing w:after="120" w:line="276" w:lineRule="auto"/>
      </w:pPr>
      <w:r>
        <w:t>En 2025, BNBC a généré un chiffre d'affaires de 42,45 milliards FCFA, en baisse de 6,31% par rapport à 2024 (45,31 milliards FCFA), avec un résultat net de seulement 22,32 millions FCFA, soit une marge nette de 0,05%. Le ROE s'établit à 0,13% et le ROA à 0,05%, des niveaux extrêmement faibles qui reflètent une rentabilité anémique. Le BFR de 29,37 milliards FCFA est positif et élevé, avec un délai clients de 104 jours et une durée de stockage de 339 jours, signalant un risque de trésorerie important. La trésorerie nette est fortement négative à -16,69 milliards FCFA, et la capacité de remboursement de 19,17 ans est préoccupante. Le rapport du T1 2026 (daté du 31 décembre 2026) montre une amélioration spectaculaire avec un résultat net positif de 65,57 millions FCFA contre une perte de 16,15 millions au T1 2025, soit une amélioration de 506%. Sur la base de ce trimestre, on estime que l'exercice 2026 pourrait générer un résultat net annuel de l'ordre de 260 millions FCFA, mais cette projection reste fragile compte tenu de la dépendance aux affaires exceptionnelles et de la montée en puissance de la division Équipement. La recommandation fondamentale est de conserver avec une surveillance accrue, car la solidité des capitaux propres (17,77 milliards FCFA) contraste avec la faiblesse de la rentabilité et les risques de liquidité.</w:t>
      </w:r>
    </w:p>
    <w:p>
      <w:pPr>
        <w:spacing w:after="120" w:line="276" w:lineRule="auto" w:before="240"/>
      </w:pPr>
      <w:r>
        <w:rPr>
          <w:b/>
          <w:color w:val="003366"/>
          <w:sz w:val="24"/>
        </w:rPr>
        <w:t>**PARTIE 4 : CONCLUSION D'INVESTISSEMENT**</w:t>
      </w:r>
    </w:p>
    <w:p>
      <w:pPr>
        <w:spacing w:after="120" w:line="276" w:lineRule="auto"/>
      </w:pPr>
      <w:r>
        <w:t>La valorisation de BNBC présente un paradoxe : le PER de 563,9x indique une surévaluation flagrante par rapport aux bénéfices, tandis que le P/B de 0,71x suggère une décote par rapport à l'actif net comptable. Le comportement du cours montre une tendance haussière de +18,75% sur 100 jours, mais avec une volatilité élevée de 48% et une distribution platykurtique qui limite les mouvements extrêmes. Les signaux techniques sont partagés entre des moyennes mobiles haussières et un MACD baissier, créant une incertitude directionnelle. Les fondamentaux restent fragiles avec une rentabilité quasi nulle, mais le T1 2026 montre un retournement positif. Les prédictions IA (1 903-1 904 FCFA sur J+1 à J+10) suggèrent une stabilité du cours à court terme, confirmant la phase de consolidation. La synthèse globale indique que BNBC est une valeur spéculative avec un potentiel de redressement, mais des risques de liquidité persistants. La recommandation finale est **CONSERVER** avec un niveau de confiance **Moyen**, un risque global **Élevé**, et un horizon d'investissement **moyen terme (3-12 mois)** pour observer la confirmation du redressement opérationnel et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353.29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5,539 titres</w:t>
            </w:r>
          </w:p>
        </w:tc>
        <w:tc>
          <w:tcPr>
            <w:tcW w:type="dxa" w:w="2268"/>
            <w:shd w:fill="FFF2CC" w:val="clear"/>
          </w:tcPr>
          <w:p>
            <w:r>
              <w:rPr>
                <w:b/>
                <w:color w:val="503200"/>
                <w:sz w:val="16"/>
              </w:rPr>
              <w:t xml:space="preserve">Cours actuel : </w:t>
            </w:r>
            <w:r>
              <w:rPr>
                <w:color w:val="000000"/>
                <w:sz w:val="17"/>
              </w:rPr>
              <w:t>8,710 FCFA</w:t>
            </w:r>
          </w:p>
          <w:p>
            <w:r>
              <w:rPr>
                <w:b/>
                <w:color w:val="503200"/>
                <w:sz w:val="16"/>
              </w:rPr>
              <w:t xml:space="preserve">Var. 100 jours : </w:t>
            </w:r>
            <w:r>
              <w:rPr>
                <w:b/>
                <w:color w:val="007800"/>
                <w:sz w:val="17"/>
              </w:rPr>
              <w:t>+8.88%</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7.03% (Moyenne) — μ=8,543 FCFA, σ=600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β=-0.1217 (Contre-cyclique) — Cov=-0.000004, Var(idx)=0.000036, ρ=-0.050,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8,362</w:t>
            </w:r>
          </w:p>
        </w:tc>
        <w:tc>
          <w:tcPr>
            <w:tcW w:type="dxa" w:w="1440"/>
            <w:shd w:fill="FFDCE0" w:val="clear"/>
          </w:tcPr>
          <w:p>
            <w:r>
              <w:rPr>
                <w:b/>
                <w:sz w:val="17"/>
              </w:rPr>
              <w:t>8,486</w:t>
            </w:r>
          </w:p>
        </w:tc>
        <w:tc>
          <w:tcPr>
            <w:tcW w:type="dxa" w:w="1440"/>
            <w:shd w:fill="FFDCE0" w:val="clear"/>
          </w:tcPr>
          <w:p>
            <w:r>
              <w:rPr>
                <w:sz w:val="17"/>
              </w:rPr>
              <w:t>8,610</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8,193</w:t>
            </w:r>
          </w:p>
        </w:tc>
        <w:tc>
          <w:tcPr>
            <w:tcW w:type="dxa" w:w="1440"/>
            <w:shd w:fill="FFDCE0" w:val="clear"/>
          </w:tcPr>
          <w:p>
            <w:r>
              <w:rPr>
                <w:b/>
                <w:sz w:val="17"/>
              </w:rPr>
              <w:t>8,366</w:t>
            </w:r>
          </w:p>
        </w:tc>
        <w:tc>
          <w:tcPr>
            <w:tcW w:type="dxa" w:w="1440"/>
            <w:shd w:fill="FFDCE0" w:val="clear"/>
          </w:tcPr>
          <w:p>
            <w:r>
              <w:rPr>
                <w:sz w:val="17"/>
              </w:rPr>
              <w:t>8,538</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8,045</w:t>
            </w:r>
          </w:p>
        </w:tc>
        <w:tc>
          <w:tcPr>
            <w:tcW w:type="dxa" w:w="1440"/>
            <w:shd w:fill="FFDCE0" w:val="clear"/>
          </w:tcPr>
          <w:p>
            <w:r>
              <w:rPr>
                <w:b/>
                <w:sz w:val="17"/>
              </w:rPr>
              <w:t>8,253</w:t>
            </w:r>
          </w:p>
        </w:tc>
        <w:tc>
          <w:tcPr>
            <w:tcW w:type="dxa" w:w="1440"/>
            <w:shd w:fill="FFDCE0" w:val="clear"/>
          </w:tcPr>
          <w:p>
            <w:r>
              <w:rPr>
                <w:sz w:val="17"/>
              </w:rPr>
              <w:t>8,462</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7,919</w:t>
            </w:r>
          </w:p>
        </w:tc>
        <w:tc>
          <w:tcPr>
            <w:tcW w:type="dxa" w:w="1440"/>
            <w:shd w:fill="FFDCE0" w:val="clear"/>
          </w:tcPr>
          <w:p>
            <w:r>
              <w:rPr>
                <w:b/>
                <w:sz w:val="17"/>
              </w:rPr>
              <w:t>8,158</w:t>
            </w:r>
          </w:p>
        </w:tc>
        <w:tc>
          <w:tcPr>
            <w:tcW w:type="dxa" w:w="1440"/>
            <w:shd w:fill="FFDCE0" w:val="clear"/>
          </w:tcPr>
          <w:p>
            <w:r>
              <w:rPr>
                <w:sz w:val="17"/>
              </w:rPr>
              <w:t>8,396</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7,807</w:t>
            </w:r>
          </w:p>
        </w:tc>
        <w:tc>
          <w:tcPr>
            <w:tcW w:type="dxa" w:w="1440"/>
            <w:shd w:fill="FFDCE0" w:val="clear"/>
          </w:tcPr>
          <w:p>
            <w:r>
              <w:rPr>
                <w:b/>
                <w:sz w:val="17"/>
              </w:rPr>
              <w:t>8,071</w:t>
            </w:r>
          </w:p>
        </w:tc>
        <w:tc>
          <w:tcPr>
            <w:tcW w:type="dxa" w:w="1440"/>
            <w:shd w:fill="FFDCE0" w:val="clear"/>
          </w:tcPr>
          <w:p>
            <w:r>
              <w:rPr>
                <w:sz w:val="17"/>
              </w:rPr>
              <w:t>8,334</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7,704</w:t>
            </w:r>
          </w:p>
        </w:tc>
        <w:tc>
          <w:tcPr>
            <w:tcW w:type="dxa" w:w="1440"/>
            <w:shd w:fill="FFDCE0" w:val="clear"/>
          </w:tcPr>
          <w:p>
            <w:r>
              <w:rPr>
                <w:b/>
                <w:sz w:val="17"/>
              </w:rPr>
              <w:t>7,990</w:t>
            </w:r>
          </w:p>
        </w:tc>
        <w:tc>
          <w:tcPr>
            <w:tcW w:type="dxa" w:w="1440"/>
            <w:shd w:fill="FFDCE0" w:val="clear"/>
          </w:tcPr>
          <w:p>
            <w:r>
              <w:rPr>
                <w:sz w:val="17"/>
              </w:rPr>
              <w:t>8,275</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7,607</w:t>
            </w:r>
          </w:p>
        </w:tc>
        <w:tc>
          <w:tcPr>
            <w:tcW w:type="dxa" w:w="1440"/>
            <w:shd w:fill="FFDCE0" w:val="clear"/>
          </w:tcPr>
          <w:p>
            <w:r>
              <w:rPr>
                <w:b/>
                <w:sz w:val="17"/>
              </w:rPr>
              <w:t>7,913</w:t>
            </w:r>
          </w:p>
        </w:tc>
        <w:tc>
          <w:tcPr>
            <w:tcW w:type="dxa" w:w="1440"/>
            <w:shd w:fill="FFDCE0" w:val="clear"/>
          </w:tcPr>
          <w:p>
            <w:r>
              <w:rPr>
                <w:sz w:val="17"/>
              </w:rPr>
              <w:t>8,219</w:t>
            </w:r>
          </w:p>
        </w:tc>
        <w:tc>
          <w:tcPr>
            <w:tcW w:type="dxa" w:w="1440"/>
            <w:shd w:fill="FFDCE0" w:val="clear"/>
          </w:tcPr>
          <w:p>
            <w:r>
              <w:rPr>
                <w:b/>
                <w:color w:val="C00000"/>
                <w:sz w:val="17"/>
              </w:rPr>
              <w:t>-9.2%</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7,516</w:t>
            </w:r>
          </w:p>
        </w:tc>
        <w:tc>
          <w:tcPr>
            <w:tcW w:type="dxa" w:w="1440"/>
            <w:shd w:fill="FFDCE0" w:val="clear"/>
          </w:tcPr>
          <w:p>
            <w:r>
              <w:rPr>
                <w:b/>
                <w:sz w:val="17"/>
              </w:rPr>
              <w:t>7,840</w:t>
            </w:r>
          </w:p>
        </w:tc>
        <w:tc>
          <w:tcPr>
            <w:tcW w:type="dxa" w:w="1440"/>
            <w:shd w:fill="FFDCE0" w:val="clear"/>
          </w:tcPr>
          <w:p>
            <w:r>
              <w:rPr>
                <w:sz w:val="17"/>
              </w:rPr>
              <w:t>8,164</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7,430</w:t>
            </w:r>
          </w:p>
        </w:tc>
        <w:tc>
          <w:tcPr>
            <w:tcW w:type="dxa" w:w="1440"/>
            <w:shd w:fill="FFDCE0" w:val="clear"/>
          </w:tcPr>
          <w:p>
            <w:r>
              <w:rPr>
                <w:b/>
                <w:sz w:val="17"/>
              </w:rPr>
              <w:t>7,771</w:t>
            </w:r>
          </w:p>
        </w:tc>
        <w:tc>
          <w:tcPr>
            <w:tcW w:type="dxa" w:w="1440"/>
            <w:shd w:fill="FFDCE0" w:val="clear"/>
          </w:tcPr>
          <w:p>
            <w:r>
              <w:rPr>
                <w:sz w:val="17"/>
              </w:rPr>
              <w:t>8,111</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7,349</w:t>
            </w:r>
          </w:p>
        </w:tc>
        <w:tc>
          <w:tcPr>
            <w:tcW w:type="dxa" w:w="1440"/>
            <w:shd w:fill="FFDCE0" w:val="clear"/>
          </w:tcPr>
          <w:p>
            <w:r>
              <w:rPr>
                <w:b/>
                <w:sz w:val="17"/>
              </w:rPr>
              <w:t>7,705</w:t>
            </w:r>
          </w:p>
        </w:tc>
        <w:tc>
          <w:tcPr>
            <w:tcW w:type="dxa" w:w="1440"/>
            <w:shd w:fill="FFDCE0" w:val="clear"/>
          </w:tcPr>
          <w:p>
            <w:r>
              <w:rPr>
                <w:sz w:val="17"/>
              </w:rPr>
              <w:t>8,060</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353,29 milliards FCFA, ce qui positionne la banque parmi les valeurs moyennes à grandes capitalisations de la BRVM. Avec un BPA de 496 FCFA, chaque action génère un bénéfice substantiel, justifiant un PER de 17,6x. Ce niveau est nettement supérieur à la moyenne historique de la BRVM (8-12x), indiquant que le marché accorde une prime de croissance à la valeur, mais que les investisseurs paient relativement cher pour accéder à ses bénéfices. Le P/B de 3,01x confirme cette lecture : le marché valorise la banque à plus de trois fois sa valeur comptable, ce qui est typique des sociétés bénéficiant d'une forte confiance et de perspectives de rendement élevées. Enfin, l'EV/EBITDA de 18,5x, bien que supérieur au seuil exigeant de 15x, reflète la solidité opérationnelle de la banque, les investisseurs étant prêts à payer une prime pour sa capacité à générer de l'EBITDA.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variation totale de +8,88%, avec une légère progression de +0,11% lors de la dernière séance, témoignant d'une dynamique globalement haussière. Le cours a évolué dans un range de 2 125 FCFA, oscillant entre un plus bas de 7 295 FCFA et un plus haut de 9 420 FCFA, ce qui démontre une amplitude de trading significative. La moyenne du cours sur la période est de 8 543 FCFA, tandis que la médiane s'établit à 8 715 FCFA ; cet écart, combiné à une asymétrie négative (skewness de -0,627), indique que le titre a passé plus de journées au-dessus de sa moyenne, avec des épisodes de baisse plus marqués mais moins fréquents. L'écart-type de 603 FCFA (coefficient de variation de 7,1%) révèle une dispersion modérée des prix autour de la moyenne. Le kurtosis de -0,741, proche d'une distribution normale, suggère l'absence de mouvements extrêmes ou de pics de volatilité inhabituels. Enfin, la volatilité annualisée de 23,1% classe le titre dans la catégorie modérée (15-30%), offrant un équilibre entre risque et potentiel de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(8 689,75 FCFA) et la MM50 (8 807,2 FCFA) se situent toutes deux au-dessus du cours actuel de 8 710 FCFA, avec une MM50 supérieure à la MM20. Cette configuration baissière indique que la tendance de fond reste négative à court et moyen terme, le cours évoluant sous ses moyennes mobiles clés. La décision de "Vente" est donc justifiée, car le titre n'a pas encore réussi à inverser sa dynamique baissière malgré le rebond récent.</w:t>
      </w:r>
    </w:p>
    <w:p>
      <w:pPr>
        <w:spacing w:after="120" w:line="276" w:lineRule="auto"/>
      </w:pPr>
      <w:r>
        <w:t>**Bandes de Bollinger** : Le cours se positionne à 8 710 FCFA, entre la borne inférieure (8 523,033 FCFA) et la borne supérieure (8 856,467 FCFA), avec une largeur de bande de 333 FCFA. Cette position médiane indique une volatilité modérée et une absence de pression directionnelle forte. La décision "Neutre" est cohérente, le titre n'étant ni en situation de surachat ni de survente, évoluant dans une zone de consolidation.</w:t>
      </w:r>
    </w:p>
    <w:p>
      <w:pPr>
        <w:spacing w:after="120" w:line="276" w:lineRule="auto"/>
      </w:pPr>
      <w:r>
        <w:t>**MACD** : La valeur MACD (-47,737) est supérieure à sa ligne de signal (-62,836), formant un croisement haussier récent. Bien que les deux lignes soient en territoire négatif, cette divergence positive suggère un momentum haussier en cours de formation, indiquant une possible reprise de la tendance. La décision "Achat" reflète ce signal précoce de retournement à la hausse.</w:t>
      </w:r>
    </w:p>
    <w:p>
      <w:pPr>
        <w:spacing w:after="120" w:line="276" w:lineRule="auto"/>
      </w:pPr>
      <w:r>
        <w:t>**RSI** : Avec une valeur de 50,758, le RSI se situe exactement dans la zone neutre (30-70), indiquant un équilibre entre les pressions acheteuses et vendeuses. Cette valeur ne montre ni surachat ni survente, laissant place à une évolution directionnelle future. La décision "Neutre" est donc appropriée, le marché n'ayant pas encore pris de direction claire.</w:t>
      </w:r>
    </w:p>
    <w:p>
      <w:pPr>
        <w:spacing w:after="120" w:line="276" w:lineRule="auto"/>
      </w:pPr>
      <w:r>
        <w:t>**Stochastique** : Le %K (95,0) et le %D (87,308) sont tous deux en zone de surachat (&gt;80), avec un %K nettement supérieur au %D. Cette configuration indique que le titre est temporairement survendu, avec un risque élevé de correction à court terme. La décision "Vente" est justifiée, car les conditions de surachat suggèrent un essoufflement probable du mouvement haussier actuel.</w:t>
      </w:r>
    </w:p>
    <w:p>
      <w:pPr>
        <w:spacing w:after="120" w:line="276" w:lineRule="auto"/>
      </w:pPr>
      <w:r>
        <w:t>**Conclusion technique** : Les indicateurs techniques sont mitigés, avec un MACD haussier contrastant avec des moyennes mobiles baissières et un stochastique en surachat. Cette divergence reflète une phase de transition, où le titre tente de rebondir mais reste sous pression. La prudence est de mise, le marché semblant chercher une direction claire.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 révèlent une banque solide et rentable. Le Produit Net Bancaire (PNB) s'établit à 51,274 milliards FCFA, générant un résultat net de 20,107 milliards FCFA, soit une marge nette de 39,2%. La rentabilité des fonds propres (ROE) atteint 17,1%, un niveau excellent (&gt;15%), tandis que le ROA de 2,08% témoigne d'une bonne utilisation des actifs. Le coefficient d'exploitation de 49,5% est remarquable, indiquant une banque très efficace dans la maîtrise de ses charges. Le coût du risque de 22,5% reste élevé, mais la banque maintient un ratio de solvabilité générale de 113,9%. Les dépôts clients (711,642 milliards FCFA) couvrent largement les créances sur la clientèle (391,724 milliards FCFA), démontrant une transformation saine. Les rapports trimestriels 2025 confirment cette dynamique : le T1 2025 affiche un PNB de 11,081 milliards FCFA (+1,7%), le S1 2025 atteint 24,556 milliards FCFA (+5,91%), et le T3 2025 progresse à 37,065 milliards FCFA (+9%). Le rapport T1 2026, publié en 2026, montre une accélération avec un PNB de 12,329 milliards FCFA (+11%) et un résultat net de 4,502 milliards FCFA (+1%). Sur la base de ces tendances, on estime que l'exercice 2026 pourrait voir un PNB annuel dépasser 55 milliards FCFA, avec un résultat net autour de 21-22 milliards FCFA, confirmant la solidité et la croissance durable de la banque.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avec un PER de 17,6x et un P/B de 3,01x, indique une prime de croissance significative, mais justifiée par la solidité fondamentale de la banque. Le comportement du cours sur 100 jours, avec une hausse de 8,88% et une volatilité modérée de 23,1%, reflète une tendance positive mais prudente, avec une asymétrie négative suggérant des épisodes de baisse potentiels. Les signaux techniques sont mitigés, avec un MACD haussier contrastant avec des moyennes mobiles baissières et un stochastique en surachat, indiquant une phase de consolidation. Les fondamentaux sont excellents, avec un ROE de 17,1%, un coefficient d'exploitation de 49,5% et une croissance soutenue du PNB (+10,2% en 2025, +11% au T1 2026). Les prédictions IA pour les 10 prochains jours (8 486 à 8 071 FCFA) suggèrent une correction à court terme, contredisant légèrement le momentum haussier du MACD. En synthèse, la convergence entre la solidité fondamentale et la valorisation premium, malgré des signaux techniques mixtes, conduit à une recommandation **CONSERVER**, avec un niveau de confiance **Moyen** et un risque global **Moyen**. L'horizon d'investissement optimal serait à moyen terme (3-12 mois), permettant d'absorber la correction technique attendue et de bénéficier de la croissance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318.12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6,217 titres</w:t>
            </w:r>
          </w:p>
        </w:tc>
        <w:tc>
          <w:tcPr>
            <w:tcW w:type="dxa" w:w="2268"/>
            <w:shd w:fill="FFF2CC" w:val="clear"/>
          </w:tcPr>
          <w:p>
            <w:r>
              <w:rPr>
                <w:b/>
                <w:color w:val="503200"/>
                <w:sz w:val="16"/>
              </w:rPr>
              <w:t xml:space="preserve">Cours actuel : </w:t>
            </w:r>
            <w:r>
              <w:rPr>
                <w:color w:val="000000"/>
                <w:sz w:val="17"/>
              </w:rPr>
              <w:t>7,230 FCFA</w:t>
            </w:r>
          </w:p>
          <w:p>
            <w:r>
              <w:rPr>
                <w:b/>
                <w:color w:val="503200"/>
                <w:sz w:val="16"/>
              </w:rPr>
              <w:t xml:space="preserve">Var. 100 jours : </w:t>
            </w:r>
            <w:r>
              <w:rPr>
                <w:b/>
                <w:color w:val="007800"/>
                <w:sz w:val="17"/>
              </w:rPr>
              <w:t>+39.04%</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5,005 FCFA</w:t>
            </w:r>
          </w:p>
          <w:p>
            <w:r>
              <w:rPr>
                <w:b/>
                <w:color w:val="503200"/>
                <w:sz w:val="16"/>
              </w:rPr>
              <w:t xml:space="preserve">Volatilité ann. : </w:t>
            </w:r>
            <w:r>
              <w:rPr>
                <w:color w:val="000000"/>
                <w:sz w:val="17"/>
              </w:rPr>
              <w:t>29.2%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10.67% (Moyenne) — μ=5,827 FCFA, σ=622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β=0.1641 (Défensif) — Cov=0.000006, Var(idx)=0.000036, ρ=0.055,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6,811</w:t>
            </w:r>
          </w:p>
        </w:tc>
        <w:tc>
          <w:tcPr>
            <w:tcW w:type="dxa" w:w="1440"/>
            <w:shd w:fill="FFDCE0" w:val="clear"/>
          </w:tcPr>
          <w:p>
            <w:r>
              <w:rPr>
                <w:b/>
                <w:sz w:val="17"/>
              </w:rPr>
              <w:t>7,079</w:t>
            </w:r>
          </w:p>
        </w:tc>
        <w:tc>
          <w:tcPr>
            <w:tcW w:type="dxa" w:w="1440"/>
            <w:shd w:fill="FFDCE0" w:val="clear"/>
          </w:tcPr>
          <w:p>
            <w:r>
              <w:rPr>
                <w:sz w:val="17"/>
              </w:rPr>
              <w:t>7,347</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6,604</w:t>
            </w:r>
          </w:p>
        </w:tc>
        <w:tc>
          <w:tcPr>
            <w:tcW w:type="dxa" w:w="1440"/>
            <w:shd w:fill="FFDCE0" w:val="clear"/>
          </w:tcPr>
          <w:p>
            <w:r>
              <w:rPr>
                <w:b/>
                <w:sz w:val="17"/>
              </w:rPr>
              <w:t>6,978</w:t>
            </w:r>
          </w:p>
        </w:tc>
        <w:tc>
          <w:tcPr>
            <w:tcW w:type="dxa" w:w="1440"/>
            <w:shd w:fill="FFDCE0" w:val="clear"/>
          </w:tcPr>
          <w:p>
            <w:r>
              <w:rPr>
                <w:sz w:val="17"/>
              </w:rPr>
              <w:t>7,351</w:t>
            </w:r>
          </w:p>
        </w:tc>
        <w:tc>
          <w:tcPr>
            <w:tcW w:type="dxa" w:w="1440"/>
            <w:shd w:fill="FFDCE0" w:val="clear"/>
          </w:tcPr>
          <w:p>
            <w:r>
              <w:rPr>
                <w:b/>
                <w:color w:val="C00000"/>
                <w:sz w:val="17"/>
              </w:rPr>
              <w:t>-3.5%</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6,439</w:t>
            </w:r>
          </w:p>
        </w:tc>
        <w:tc>
          <w:tcPr>
            <w:tcW w:type="dxa" w:w="1440"/>
            <w:shd w:fill="FFDCE0" w:val="clear"/>
          </w:tcPr>
          <w:p>
            <w:r>
              <w:rPr>
                <w:b/>
                <w:sz w:val="17"/>
              </w:rPr>
              <w:t>6,891</w:t>
            </w:r>
          </w:p>
        </w:tc>
        <w:tc>
          <w:tcPr>
            <w:tcW w:type="dxa" w:w="1440"/>
            <w:shd w:fill="FFDCE0" w:val="clear"/>
          </w:tcPr>
          <w:p>
            <w:r>
              <w:rPr>
                <w:sz w:val="17"/>
              </w:rPr>
              <w:t>7,343</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6,304</w:t>
            </w:r>
          </w:p>
        </w:tc>
        <w:tc>
          <w:tcPr>
            <w:tcW w:type="dxa" w:w="1440"/>
            <w:shd w:fill="FFDCE0" w:val="clear"/>
          </w:tcPr>
          <w:p>
            <w:r>
              <w:rPr>
                <w:b/>
                <w:sz w:val="17"/>
              </w:rPr>
              <w:t>6,820</w:t>
            </w:r>
          </w:p>
        </w:tc>
        <w:tc>
          <w:tcPr>
            <w:tcW w:type="dxa" w:w="1440"/>
            <w:shd w:fill="FFDCE0" w:val="clear"/>
          </w:tcPr>
          <w:p>
            <w:r>
              <w:rPr>
                <w:sz w:val="17"/>
              </w:rPr>
              <w:t>7,337</w:t>
            </w:r>
          </w:p>
        </w:tc>
        <w:tc>
          <w:tcPr>
            <w:tcW w:type="dxa" w:w="1440"/>
            <w:shd w:fill="FFDCE0" w:val="clear"/>
          </w:tcPr>
          <w:p>
            <w:r>
              <w:rPr>
                <w:b/>
                <w:color w:val="C00000"/>
                <w:sz w:val="17"/>
              </w:rPr>
              <w:t>-5.7%</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6,187</w:t>
            </w:r>
          </w:p>
        </w:tc>
        <w:tc>
          <w:tcPr>
            <w:tcW w:type="dxa" w:w="1440"/>
            <w:shd w:fill="FFDCE0" w:val="clear"/>
          </w:tcPr>
          <w:p>
            <w:r>
              <w:rPr>
                <w:b/>
                <w:sz w:val="17"/>
              </w:rPr>
              <w:t>6,759</w:t>
            </w:r>
          </w:p>
        </w:tc>
        <w:tc>
          <w:tcPr>
            <w:tcW w:type="dxa" w:w="1440"/>
            <w:shd w:fill="FFDCE0" w:val="clear"/>
          </w:tcPr>
          <w:p>
            <w:r>
              <w:rPr>
                <w:sz w:val="17"/>
              </w:rPr>
              <w:t>7,331</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6,080</w:t>
            </w:r>
          </w:p>
        </w:tc>
        <w:tc>
          <w:tcPr>
            <w:tcW w:type="dxa" w:w="1440"/>
            <w:shd w:fill="FFDCE0" w:val="clear"/>
          </w:tcPr>
          <w:p>
            <w:r>
              <w:rPr>
                <w:b/>
                <w:sz w:val="17"/>
              </w:rPr>
              <w:t>6,702</w:t>
            </w:r>
          </w:p>
        </w:tc>
        <w:tc>
          <w:tcPr>
            <w:tcW w:type="dxa" w:w="1440"/>
            <w:shd w:fill="FFDCE0" w:val="clear"/>
          </w:tcPr>
          <w:p>
            <w:r>
              <w:rPr>
                <w:sz w:val="17"/>
              </w:rPr>
              <w:t>7,324</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5,982</w:t>
            </w:r>
          </w:p>
        </w:tc>
        <w:tc>
          <w:tcPr>
            <w:tcW w:type="dxa" w:w="1440"/>
            <w:shd w:fill="FFDCE0" w:val="clear"/>
          </w:tcPr>
          <w:p>
            <w:r>
              <w:rPr>
                <w:b/>
                <w:sz w:val="17"/>
              </w:rPr>
              <w:t>6,648</w:t>
            </w:r>
          </w:p>
        </w:tc>
        <w:tc>
          <w:tcPr>
            <w:tcW w:type="dxa" w:w="1440"/>
            <w:shd w:fill="FFDCE0" w:val="clear"/>
          </w:tcPr>
          <w:p>
            <w:r>
              <w:rPr>
                <w:sz w:val="17"/>
              </w:rPr>
              <w:t>7,314</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5,890</w:t>
            </w:r>
          </w:p>
        </w:tc>
        <w:tc>
          <w:tcPr>
            <w:tcW w:type="dxa" w:w="1440"/>
            <w:shd w:fill="FFDCE0" w:val="clear"/>
          </w:tcPr>
          <w:p>
            <w:r>
              <w:rPr>
                <w:b/>
                <w:sz w:val="17"/>
              </w:rPr>
              <w:t>6,597</w:t>
            </w:r>
          </w:p>
        </w:tc>
        <w:tc>
          <w:tcPr>
            <w:tcW w:type="dxa" w:w="1440"/>
            <w:shd w:fill="FFDCE0" w:val="clear"/>
          </w:tcPr>
          <w:p>
            <w:r>
              <w:rPr>
                <w:sz w:val="17"/>
              </w:rPr>
              <w:t>7,303</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5,804</w:t>
            </w:r>
          </w:p>
        </w:tc>
        <w:tc>
          <w:tcPr>
            <w:tcW w:type="dxa" w:w="1440"/>
            <w:shd w:fill="FFDCE0" w:val="clear"/>
          </w:tcPr>
          <w:p>
            <w:r>
              <w:rPr>
                <w:b/>
                <w:sz w:val="17"/>
              </w:rPr>
              <w:t>6,547</w:t>
            </w:r>
          </w:p>
        </w:tc>
        <w:tc>
          <w:tcPr>
            <w:tcW w:type="dxa" w:w="1440"/>
            <w:shd w:fill="FFDCE0" w:val="clear"/>
          </w:tcPr>
          <w:p>
            <w:r>
              <w:rPr>
                <w:sz w:val="17"/>
              </w:rPr>
              <w:t>7,291</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5,721</w:t>
            </w:r>
          </w:p>
        </w:tc>
        <w:tc>
          <w:tcPr>
            <w:tcW w:type="dxa" w:w="1440"/>
            <w:shd w:fill="FFDCE0" w:val="clear"/>
          </w:tcPr>
          <w:p>
            <w:r>
              <w:rPr>
                <w:b/>
                <w:sz w:val="17"/>
              </w:rPr>
              <w:t>6,499</w:t>
            </w:r>
          </w:p>
        </w:tc>
        <w:tc>
          <w:tcPr>
            <w:tcW w:type="dxa" w:w="1440"/>
            <w:shd w:fill="FFDCE0" w:val="clear"/>
          </w:tcPr>
          <w:p>
            <w:r>
              <w:rPr>
                <w:sz w:val="17"/>
              </w:rPr>
              <w:t>7,277</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un rapport d'analyse professionnel structuré pour l'action BOABF,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318,12 milliards FCFA, BOABF se positionne comme une valeur de premier plan sur la BRVM. Le BPA de 438 FCFA indique que chaque action a généré ce montant de bénéfice sur l'exercice 2025. Le PER de 16,5x est nettement supérieur à la moyenne historique de la BRVM (8-12x), ce qui signifie que les investisseurs paient une prime substantielle pour chaque franc de bénéfice. Cette prime est confirmée par le P/B de 2,51x, qui valorise l'action à plus de 2,5 fois sa valeur comptable, suggérant une forte anticipation de croissance future. Enfin, un EV/EBITDA de 7,0x reste dans une zone raisonnable, indiquant que la valorisation de l'entreprise par rapport à sa capacité opérationnelle n'est pas excessive, malgré les primes sur les ratios précédents.</w:t>
      </w:r>
    </w:p>
    <w:p>
      <w:pPr>
        <w:spacing w:after="120" w:line="276" w:lineRule="auto"/>
      </w:pPr>
      <w:r>
        <w:t>### PARTIE 1 : ANALYSE DU COURS — STATISTIQUES ET ÉVOLUTION (100 derniers jours)</w:t>
      </w:r>
    </w:p>
    <w:p>
      <w:pPr>
        <w:spacing w:after="120" w:line="276" w:lineRule="auto"/>
      </w:pPr>
      <w:r>
        <w:t>Sur les 100 derniers jours, le titre BOABF a enregistré une performance remarquable de +39,04%, avec une dernière séance en légère hausse de +0,42% à 7 230 FCFA. Le cours a évolué dans une fourchette large de 5 005 FCFA (plus bas) à 7 255 FCFA (plus haut), démontrant une dynamique haussière soutenue. La moyenne du cours sur la période (5 827 FCFA) est nettement inférieure à la médiane (5 590 FCFA) et au cours actuel, ce qui, combiné à un skewness positif de 1,417, confirme une distribution asymétrique avec une majorité de journées sous la moyenne mais des épisodes de forte hausse. L'écart-type de 625 FCFA (CV=10,7%) indique une dispersion modérée, tandis que le kurtosis de 0,511 suggère une distribution proche de la normale, sans risque de variations extrêmes particulier. La volatilité annualisée de 29,2% classe le titre dans une catégorie à risque élevé, reflétant des mouvements de prix amples et rapides.</w:t>
      </w:r>
    </w:p>
    <w:p>
      <w:pPr>
        <w:spacing w:after="120" w:line="276" w:lineRule="auto"/>
      </w:pPr>
      <w:r>
        <w:t>### PARTIE 2 : ANALYSE TECHNIQUE DÉTAILLÉE</w:t>
      </w:r>
    </w:p>
    <w:p>
      <w:pPr>
        <w:spacing w:after="120" w:line="276" w:lineRule="auto"/>
      </w:pPr>
      <w:r>
        <w:t>**Moyennes Mobiles**: Le cours actuel (7 230 FCFA) est nettement au-dessus de la MM20 (6 980,25 FCFA) et de la MM50 (6 185,5 FCFA). Cette configuration haussière, où les moyennes sont orientées à la hausse, confirme la tendance positive de fond et justifie la décision d'**Achat**.</w:t>
      </w:r>
    </w:p>
    <w:p>
      <w:pPr>
        <w:spacing w:after="120" w:line="276" w:lineRule="auto"/>
      </w:pPr>
      <w:r>
        <w:t>**Bandes de Bollinger**: Le prix se situe à l'intérieur des bandes, mais plus près de la borne supérieure (7 723,5 FCFA) que de la borne inférieure (6 237 FCFA). Cela indique une pression acheteuse persistante, mais sans condition de surachat extrême. La décision est **Neutre**, car le titre n'est ni survendu ni en cassure de borne.</w:t>
      </w:r>
    </w:p>
    <w:p>
      <w:pPr>
        <w:spacing w:after="120" w:line="276" w:lineRule="auto"/>
      </w:pPr>
      <w:r>
        <w:t>**MACD**: La valeur du MACD (304,38) est inférieure à son signal (331,6), indiquant un ralentissement du momentum haussier à court terme. Bien que les deux lignes restent en territoire positif, ce croisement baissier suggère une possible consolidation ou correction. La décision est **Vente**.</w:t>
      </w:r>
    </w:p>
    <w:p>
      <w:pPr>
        <w:spacing w:after="120" w:line="276" w:lineRule="auto"/>
      </w:pPr>
      <w:r>
        <w:t>**RSI**: À 51,23, le RSI se situe en zone neutre, entre 30 et 70. Cela signifie que le titre n'est ni suracheté ni survendu, laissant une marge de manœuvre dans les deux sens. La décision est **Neutre**.</w:t>
      </w:r>
    </w:p>
    <w:p>
      <w:pPr>
        <w:spacing w:after="120" w:line="276" w:lineRule="auto"/>
      </w:pPr>
      <w:r>
        <w:t>**Stochastique**: Avec %K à 100 et %D à 94,84, l'indicateur est en zone de surachat extrême. Cette configuration signale que le titre a fortement progressé récemment et qu'un repli technique est probable à très court terme. La décision est **Vente**.</w:t>
      </w:r>
    </w:p>
    <w:p>
      <w:pPr>
        <w:spacing w:after="120" w:line="276" w:lineRule="auto"/>
      </w:pPr>
      <w:r>
        <w:t>**Conclusion technique**: Les indicateurs de tendance (MM) sont positifs, mais les oscillateurs de momentum (MACD, Stochastique) signalent un essoufflement et des conditions de surachat. Le RSI et les Bandes de Bollinger sont neutres. Le scénario le plus probable est une consolidation ou un léger repli à court terme avant une éventuelle reprise de la tendance haussière de fond.</w:t>
      </w:r>
    </w:p>
    <w:p>
      <w:pPr>
        <w:spacing w:after="120" w:line="276" w:lineRule="auto"/>
      </w:pPr>
      <w:r>
        <w:t>### PARTIE 3 : ANALYSE FONDAMENTALE (SECTION CRITIQUE)</w:t>
      </w:r>
    </w:p>
    <w:p>
      <w:pPr>
        <w:spacing w:after="120" w:line="276" w:lineRule="auto"/>
      </w:pPr>
      <w:r>
        <w:t>En 2025, les données financières structurées de BOABF révèlent une banque à la santé financière contrastée. Le Produit Net Bancaire (PNB) s'établit à 57,82 milliards FCFA, en légère croissance de 0,57%, et le résultat net atteint 19,25 milliards FCFA. La rentabilité des fonds propres (ROE) est excellente à 15,2%, et le coefficient d'exploitation de 47,2% démontre une excellente maîtrise des charges. Cependant, le coût du risque est élevé (33,9% des charges financières), indiquant une dégradation de la qualité du portefeuille de crédits. Les rapports trimestriels de 2025 confirment cette tendance : le rapport du 1er trimestre (T1 2025) montrait un PNB de 14,22 Mds FCFA (+2,3%) mais un résultat net en baisse de 16,6%. Le rapport du 1er semestre (S1 2025) a révélé un effondrement du résultat net de 46,5% à 8,22 Mds FCFA, dû à une explosion du coût du risque (+1336%). Le rapport du 3ème trimestre (T3 2025) a confirmé la stagnation du PNB (+0,85%) et une baisse du résultat net de 27,7% à 13,45 Mds FCFA. Enfin, le rapport du 1er trimestre 2026 (publié en 2026) montre une contraction du PNB de 10,75% et du résultat net de 12,99% à 4,52 Mds FCFA. On estime donc que l'exercice 2026 sera difficile, avec une rentabilité sous pression. Malgré des fondamentaux opérationnels solides, la banque traverse une phase de dégradation de la qualité de ses actifs, ce qui pèse lourdement sur sa rentabilité nette.</w:t>
      </w:r>
    </w:p>
    <w:p>
      <w:pPr>
        <w:spacing w:after="120" w:line="276" w:lineRule="auto"/>
      </w:pPr>
      <w:r>
        <w:t>### PARTIE 4 : CONCLUSION D'INVESTISSEMENT</w:t>
      </w:r>
    </w:p>
    <w:p>
      <w:pPr>
        <w:spacing w:after="120" w:line="276" w:lineRule="auto"/>
      </w:pPr>
      <w:r>
        <w:t>La valorisation boursière de BOABF (PER 16,5x, P/B 2,51x) est exigeante et intègre déjà des attentes de croissance, ce qui contraste avec la dégradation des fondamentaux observée en 2025 et début 2026. Le comportement du cours sur 100 jours est très haussier (+39%), mais la volatilité élevée (29,2%) et les statistiques (skewness positif) suggèrent un risque de retournement. Les signaux techniques sont partagés : la tendance de fond (MM) est positive, mais les oscillateurs (MACD, Stochastique) sont en surachat et appellent à la prudence à court terme. Les fondamentaux, bien que solides sur le plan opérationnel (ROE, coefficient d'exploitation), sont affaiblis par un coût du risque élevé qui érode la rentabilité. Les prédictions IA pour les 10 prochains jours (baisse de 7 079 à 6 759 FCFA) confirment le scénario d'une correction technique. En synthèse, la convergence des signaux techniques (surachat) et des prédictions IA (baisse) face à des fondamentaux en détérioration et une valorisation élevée conduit à une recommandation **CONSERVER**. Le niveau de confiance est **Moyen** et le risque global est **Élevé**. L'horizon d'investissement optimal serait de **moyen terme (3-12 mois)**, en attendant de voir si la banque parvient à stabiliser son coût du risque et à redresser sa croissance.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13,990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11,600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8.33% (Moyenne) — μ=9,152 FCFA, σ=763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β=0.6647 (Défensif) — Cov=0.000024, Var(idx)=0.000036, ρ=0.236,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10,761</w:t>
            </w:r>
          </w:p>
        </w:tc>
        <w:tc>
          <w:tcPr>
            <w:tcW w:type="dxa" w:w="1440"/>
            <w:shd w:fill="FFDCE0" w:val="clear"/>
          </w:tcPr>
          <w:p>
            <w:r>
              <w:rPr>
                <w:b/>
                <w:sz w:val="17"/>
              </w:rPr>
              <w:t>11,090</w:t>
            </w:r>
          </w:p>
        </w:tc>
        <w:tc>
          <w:tcPr>
            <w:tcW w:type="dxa" w:w="1440"/>
            <w:shd w:fill="FFDCE0" w:val="clear"/>
          </w:tcPr>
          <w:p>
            <w:r>
              <w:rPr>
                <w:sz w:val="17"/>
              </w:rPr>
              <w:t>11,419</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10,263</w:t>
            </w:r>
          </w:p>
        </w:tc>
        <w:tc>
          <w:tcPr>
            <w:tcW w:type="dxa" w:w="1440"/>
            <w:shd w:fill="FFDCE0" w:val="clear"/>
          </w:tcPr>
          <w:p>
            <w:r>
              <w:rPr>
                <w:b/>
                <w:sz w:val="17"/>
              </w:rPr>
              <w:t>10,712</w:t>
            </w:r>
          </w:p>
        </w:tc>
        <w:tc>
          <w:tcPr>
            <w:tcW w:type="dxa" w:w="1440"/>
            <w:shd w:fill="FFDCE0" w:val="clear"/>
          </w:tcPr>
          <w:p>
            <w:r>
              <w:rPr>
                <w:sz w:val="17"/>
              </w:rPr>
              <w:t>11,162</w:t>
            </w:r>
          </w:p>
        </w:tc>
        <w:tc>
          <w:tcPr>
            <w:tcW w:type="dxa" w:w="1440"/>
            <w:shd w:fill="FFDCE0" w:val="clear"/>
          </w:tcPr>
          <w:p>
            <w:r>
              <w:rPr>
                <w:b/>
                <w:color w:val="C00000"/>
                <w:sz w:val="17"/>
              </w:rPr>
              <w:t>-7.7%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9,795</w:t>
            </w:r>
          </w:p>
        </w:tc>
        <w:tc>
          <w:tcPr>
            <w:tcW w:type="dxa" w:w="1440"/>
            <w:shd w:fill="FFDCE0" w:val="clear"/>
          </w:tcPr>
          <w:p>
            <w:r>
              <w:rPr>
                <w:b/>
                <w:sz w:val="17"/>
              </w:rPr>
              <w:t>10,326</w:t>
            </w:r>
          </w:p>
        </w:tc>
        <w:tc>
          <w:tcPr>
            <w:tcW w:type="dxa" w:w="1440"/>
            <w:shd w:fill="FFDCE0" w:val="clear"/>
          </w:tcPr>
          <w:p>
            <w:r>
              <w:rPr>
                <w:sz w:val="17"/>
              </w:rPr>
              <w:t>10,857</w:t>
            </w:r>
          </w:p>
        </w:tc>
        <w:tc>
          <w:tcPr>
            <w:tcW w:type="dxa" w:w="1440"/>
            <w:shd w:fill="FFDCE0" w:val="clear"/>
          </w:tcPr>
          <w:p>
            <w:r>
              <w:rPr>
                <w:b/>
                <w:color w:val="C00000"/>
                <w:sz w:val="17"/>
              </w:rPr>
              <w:t>-11.0%</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9,386</w:t>
            </w:r>
          </w:p>
        </w:tc>
        <w:tc>
          <w:tcPr>
            <w:tcW w:type="dxa" w:w="1440"/>
            <w:shd w:fill="FFDCE0" w:val="clear"/>
          </w:tcPr>
          <w:p>
            <w:r>
              <w:rPr>
                <w:b/>
                <w:sz w:val="17"/>
              </w:rPr>
              <w:t>9,978</w:t>
            </w:r>
          </w:p>
        </w:tc>
        <w:tc>
          <w:tcPr>
            <w:tcW w:type="dxa" w:w="1440"/>
            <w:shd w:fill="FFDCE0" w:val="clear"/>
          </w:tcPr>
          <w:p>
            <w:r>
              <w:rPr>
                <w:sz w:val="17"/>
              </w:rPr>
              <w:t>10,570</w:t>
            </w:r>
          </w:p>
        </w:tc>
        <w:tc>
          <w:tcPr>
            <w:tcW w:type="dxa" w:w="1440"/>
            <w:shd w:fill="FFDCE0" w:val="clear"/>
          </w:tcPr>
          <w:p>
            <w:r>
              <w:rPr>
                <w:b/>
                <w:color w:val="C00000"/>
                <w:sz w:val="17"/>
              </w:rPr>
              <w:t>-14.0%</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9,028</w:t>
            </w:r>
          </w:p>
        </w:tc>
        <w:tc>
          <w:tcPr>
            <w:tcW w:type="dxa" w:w="1440"/>
            <w:shd w:fill="FFDCE0" w:val="clear"/>
          </w:tcPr>
          <w:p>
            <w:r>
              <w:rPr>
                <w:b/>
                <w:sz w:val="17"/>
              </w:rPr>
              <w:t>9,670</w:t>
            </w:r>
          </w:p>
        </w:tc>
        <w:tc>
          <w:tcPr>
            <w:tcW w:type="dxa" w:w="1440"/>
            <w:shd w:fill="FFDCE0" w:val="clear"/>
          </w:tcPr>
          <w:p>
            <w:r>
              <w:rPr>
                <w:sz w:val="17"/>
              </w:rPr>
              <w:t>10,311</w:t>
            </w:r>
          </w:p>
        </w:tc>
        <w:tc>
          <w:tcPr>
            <w:tcW w:type="dxa" w:w="1440"/>
            <w:shd w:fill="FFDCE0" w:val="clear"/>
          </w:tcPr>
          <w:p>
            <w:r>
              <w:rPr>
                <w:b/>
                <w:color w:val="C00000"/>
                <w:sz w:val="17"/>
              </w:rPr>
              <w:t>-16.6%</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8,715</w:t>
            </w:r>
          </w:p>
        </w:tc>
        <w:tc>
          <w:tcPr>
            <w:tcW w:type="dxa" w:w="1440"/>
            <w:shd w:fill="FFDCE0" w:val="clear"/>
          </w:tcPr>
          <w:p>
            <w:r>
              <w:rPr>
                <w:b/>
                <w:sz w:val="17"/>
              </w:rPr>
              <w:t>9,398</w:t>
            </w:r>
          </w:p>
        </w:tc>
        <w:tc>
          <w:tcPr>
            <w:tcW w:type="dxa" w:w="1440"/>
            <w:shd w:fill="FFDCE0" w:val="clear"/>
          </w:tcPr>
          <w:p>
            <w:r>
              <w:rPr>
                <w:sz w:val="17"/>
              </w:rPr>
              <w:t>10,081</w:t>
            </w:r>
          </w:p>
        </w:tc>
        <w:tc>
          <w:tcPr>
            <w:tcW w:type="dxa" w:w="1440"/>
            <w:shd w:fill="FFDCE0" w:val="clear"/>
          </w:tcPr>
          <w:p>
            <w:r>
              <w:rPr>
                <w:b/>
                <w:color w:val="C00000"/>
                <w:sz w:val="17"/>
              </w:rPr>
              <w:t>-19.0%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8,439</w:t>
            </w:r>
          </w:p>
        </w:tc>
        <w:tc>
          <w:tcPr>
            <w:tcW w:type="dxa" w:w="1440"/>
            <w:shd w:fill="FFDCE0" w:val="clear"/>
          </w:tcPr>
          <w:p>
            <w:r>
              <w:rPr>
                <w:b/>
                <w:sz w:val="17"/>
              </w:rPr>
              <w:t>9,158</w:t>
            </w:r>
          </w:p>
        </w:tc>
        <w:tc>
          <w:tcPr>
            <w:tcW w:type="dxa" w:w="1440"/>
            <w:shd w:fill="FFDCE0" w:val="clear"/>
          </w:tcPr>
          <w:p>
            <w:r>
              <w:rPr>
                <w:sz w:val="17"/>
              </w:rPr>
              <w:t>9,877</w:t>
            </w:r>
          </w:p>
        </w:tc>
        <w:tc>
          <w:tcPr>
            <w:tcW w:type="dxa" w:w="1440"/>
            <w:shd w:fill="FFDCE0" w:val="clear"/>
          </w:tcPr>
          <w:p>
            <w:r>
              <w:rPr>
                <w:b/>
                <w:color w:val="C00000"/>
                <w:sz w:val="17"/>
              </w:rPr>
              <w:t>-21.1%</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8,194</w:t>
            </w:r>
          </w:p>
        </w:tc>
        <w:tc>
          <w:tcPr>
            <w:tcW w:type="dxa" w:w="1440"/>
            <w:shd w:fill="FFDCE0" w:val="clear"/>
          </w:tcPr>
          <w:p>
            <w:r>
              <w:rPr>
                <w:b/>
                <w:sz w:val="17"/>
              </w:rPr>
              <w:t>8,944</w:t>
            </w:r>
          </w:p>
        </w:tc>
        <w:tc>
          <w:tcPr>
            <w:tcW w:type="dxa" w:w="1440"/>
            <w:shd w:fill="FFDCE0" w:val="clear"/>
          </w:tcPr>
          <w:p>
            <w:r>
              <w:rPr>
                <w:sz w:val="17"/>
              </w:rPr>
              <w:t>9,695</w:t>
            </w:r>
          </w:p>
        </w:tc>
        <w:tc>
          <w:tcPr>
            <w:tcW w:type="dxa" w:w="1440"/>
            <w:shd w:fill="FFDCE0" w:val="clear"/>
          </w:tcPr>
          <w:p>
            <w:r>
              <w:rPr>
                <w:b/>
                <w:color w:val="C00000"/>
                <w:sz w:val="17"/>
              </w:rPr>
              <w:t>-22.9%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7,975</w:t>
            </w:r>
          </w:p>
        </w:tc>
        <w:tc>
          <w:tcPr>
            <w:tcW w:type="dxa" w:w="1440"/>
            <w:shd w:fill="FFDCE0" w:val="clear"/>
          </w:tcPr>
          <w:p>
            <w:r>
              <w:rPr>
                <w:b/>
                <w:sz w:val="17"/>
              </w:rPr>
              <w:t>8,754</w:t>
            </w:r>
          </w:p>
        </w:tc>
        <w:tc>
          <w:tcPr>
            <w:tcW w:type="dxa" w:w="1440"/>
            <w:shd w:fill="FFDCE0" w:val="clear"/>
          </w:tcPr>
          <w:p>
            <w:r>
              <w:rPr>
                <w:sz w:val="17"/>
              </w:rPr>
              <w:t>9,533</w:t>
            </w:r>
          </w:p>
        </w:tc>
        <w:tc>
          <w:tcPr>
            <w:tcW w:type="dxa" w:w="1440"/>
            <w:shd w:fill="FFDCE0" w:val="clear"/>
          </w:tcPr>
          <w:p>
            <w:r>
              <w:rPr>
                <w:b/>
                <w:color w:val="C00000"/>
                <w:sz w:val="17"/>
              </w:rPr>
              <w:t>-24.5%</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7,777</w:t>
            </w:r>
          </w:p>
        </w:tc>
        <w:tc>
          <w:tcPr>
            <w:tcW w:type="dxa" w:w="1440"/>
            <w:shd w:fill="FFDCE0" w:val="clear"/>
          </w:tcPr>
          <w:p>
            <w:r>
              <w:rPr>
                <w:b/>
                <w:sz w:val="17"/>
              </w:rPr>
              <w:t>8,583</w:t>
            </w:r>
          </w:p>
        </w:tc>
        <w:tc>
          <w:tcPr>
            <w:tcW w:type="dxa" w:w="1440"/>
            <w:shd w:fill="FFDCE0" w:val="clear"/>
          </w:tcPr>
          <w:p>
            <w:r>
              <w:rPr>
                <w:sz w:val="17"/>
              </w:rPr>
              <w:t>9,388</w:t>
            </w:r>
          </w:p>
        </w:tc>
        <w:tc>
          <w:tcPr>
            <w:tcW w:type="dxa" w:w="1440"/>
            <w:shd w:fill="FFDCE0" w:val="clear"/>
          </w:tcPr>
          <w:p>
            <w:r>
              <w:rPr>
                <w:b/>
                <w:color w:val="C00000"/>
                <w:sz w:val="17"/>
              </w:rPr>
              <w:t>-26.0%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464 milliards FCFA positionne BOAC comme une valeur de premier plan sur la BRVM, reflétant la confiance des investisseurs dans le secteur bancaire ivoirien. Avec un BPA de 888 FCFA, chaque action génère un bénéfice substantiel, justifiant un PER de 13,1x, légèrement supérieur à la moyenne historique de la place (~8-12x), ce qui traduit une prime de croissance accordée par le marché. Le P/B de 3,64x confirme cette prime, le marché valorisant la banque bien au-delà de sa valeur comptable, signe d'une rentabilité attendue élevée. Cependant, l'EV/EBITDA de 26,6x apparaît particulièrement exigeant, indiquant que la valeur d'entreprise intègre des hypothèses de performance opérationnelle future très optimistes. Ces ratios suggèrent une valorisation qui a déjà intégré une partie des bonnes nouvelles,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BOAC a enregistré une progression spectaculaire de +33,33%, passant d'un plus bas de 8 100 FCFA à un plus haut de 11 600 FCFA, avec une dernière séance stable. Cette tendance haussière marquée est confirmée par la moyenne (9 152 FCFA) et la médiane (8 898 FCFA), dont l'écart positif indique une distribution asymétrique des rendements, avec des journées de forte hausse tirant le cours vers le haut. L'écart-type de 767 FCFA (CV=8,4%) révèle une dispersion modérée autour de la moyenne, mais le kurtosis élevé (2,588) signale un risque de mouvements extrêmes, tandis que le skewness positif (1,733) confirme une asymétrie favorable avec des épisodes de hausse plus prononcés que les baisses. La volatilité annualisée de 27,0% classe le titre dans une zone modérée à élevée, reflétant une activité soutenue mais non excessive. Cette configuration statistique témoigne d'un marché en phase d'accumulation, avec un biais haussier dominant.</w:t>
      </w:r>
    </w:p>
    <w:p>
      <w:pPr>
        <w:spacing w:after="120" w:line="276" w:lineRule="auto" w:before="240"/>
      </w:pPr>
      <w:r>
        <w:rPr>
          <w:b/>
          <w:color w:val="003366"/>
          <w:sz w:val="24"/>
        </w:rPr>
        <w:t>**PARTIE 2 : ANALYSE TECHNIQUE DÉTAILLÉE**</w:t>
      </w:r>
    </w:p>
    <w:p>
      <w:pPr>
        <w:spacing w:after="120" w:line="276" w:lineRule="auto"/>
      </w:pPr>
      <w:r>
        <w:t>**Moyennes Mobiles**: La MM20 à 10 419 FCFA et la MM50 à 9 626 FCFA sont toutes deux largement dépassées par le cours actuel de 11 600 FCFA, confirmant une dynamique haussière robuste. L'écart croissant entre les deux moyennes et leur orientation ascendante valident la tendance de fond, justifiant la décision d'achat.</w:t>
      </w:r>
    </w:p>
    <w:p>
      <w:pPr>
        <w:spacing w:after="120" w:line="276" w:lineRule="auto"/>
      </w:pPr>
      <w:r>
        <w:t>**Bandes de Bollinger**: Le cours évolue près de la borne supérieure (11 940 FCFA), indiquant une pression acheteuse soutenue. La largeur des bandes reflète une volatilité accrue, mais le prix reste dans l'enveloppe, ce qui explique la décision neutre, le marché n'étant pas encore en situation de surachat extrême.</w:t>
      </w:r>
    </w:p>
    <w:p>
      <w:pPr>
        <w:spacing w:after="120" w:line="276" w:lineRule="auto"/>
      </w:pPr>
      <w:r>
        <w:t>**MACD**: La valeur du MACD (572,49) nettement au-dessus de sa ligne de signal (453,76) confirme un momentum haussier puissant. La divergence positive et l'écart croissant entre les deux lignes indiquent une accélération de la tendance, justifiant la décision d'achat.</w:t>
      </w:r>
    </w:p>
    <w:p>
      <w:pPr>
        <w:spacing w:after="120" w:line="276" w:lineRule="auto"/>
      </w:pPr>
      <w:r>
        <w:t>**RSI**: À 84,8, le RSI est profondément en zone de surachat (&gt;70), signalant une extension excessive du mouvement haussier. Ce niveau historique suggère un épuisement potentiel des acheteurs à court terme, justifiant la décision de vente malgré la force de la tendance.</w:t>
      </w:r>
    </w:p>
    <w:p>
      <w:pPr>
        <w:spacing w:after="120" w:line="276" w:lineRule="auto"/>
      </w:pPr>
      <w:r>
        <w:t>**Stochastique**: Les valeurs %K et %D à 100,0 confirment un surachat extrême, avec les deux lignes verrouillées au plafond. Cette configuration indique que le marché est survendu à la hausse, rendant un repli technique probable, justifiant la décision de vente.</w:t>
      </w:r>
    </w:p>
    <w:p>
      <w:pPr>
        <w:spacing w:after="120" w:line="276" w:lineRule="auto"/>
      </w:pPr>
      <w:r>
        <w:t>**Conclusion technique**: La convergence des indicateurs de tendance (MM, MACD) vers l'achat contraste fortement avec les oscillateurs de momentum (RSI, Stochastique) en surachat extrême. Cette divergence signale une tendance haussière intacte mais vulnérable à une correction technique à court terme, le marché ayant probablement anticipé les bons résultats fondamentaux.</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révèlent une banque performante avec un PNB de 73,545 milliards FCFA et un résultat net de 35,540 milliards FCFA, démontrant une marge nette exceptionnelle de 48,32%. Le ROE de 27,91% et le ROA de 3,22% confirment une rentabilité supérieure aux normes du secteur, tandis que le coefficient d'exploitation de 36,70% témoigne d'une excellente maîtrise des coûts. Le coût du risque de 6,67% reste élevé, signalant une vigilance nécessaire sur la qualité du portefeuille de crédits (430,433 milliards FCFA) financé par des dépôts abondants (850,548 milliards FCFA). Les rapports trimestriels 2025 montrent une trajectoire contrastée : le T1 affichait une croissance de 4,93% du PNB et un résultat net en hausse de 14,59%, mais le S1 et le T3 ont révélé une stagnation de l'activité (PNB stable à 36,21 puis 53,49 milliards FCFA), avec un résultat net cumulé de 26,63 milliards FCFA. Le rapport annuel 2024 confirme cette volatilité avec une croissance de 19,6% du PNB et un ROE de 28,4%, mais un coût du risque en hausse de 40,8%. Les objectifs triennaux 2027 (croissance du PNB de +11,6%) suggèrent une reprise attendue, mais les performances récentes indiquent une phase de consolidation. La solidité financière est indéniable, mais la croissance semble avoir atteint un plateau temporaire.</w:t>
      </w:r>
    </w:p>
    <w:p>
      <w:pPr>
        <w:spacing w:after="120" w:line="276" w:lineRule="auto" w:before="240"/>
      </w:pPr>
      <w:r>
        <w:rPr>
          <w:b/>
          <w:color w:val="003366"/>
          <w:sz w:val="24"/>
        </w:rPr>
        <w:t>**PARTIE 4 : CONCLUSION D'INVESTISSEMENT**</w:t>
      </w:r>
    </w:p>
    <w:p>
      <w:pPr>
        <w:spacing w:after="120" w:line="276" w:lineRule="auto"/>
      </w:pPr>
      <w:r>
        <w:t>La valorisation actuelle (PER 13,1x, P/B 3,64x, EV/EBITDA 26,6x) intègre largement les excellentes performances passées, laissant peu de marge de sécurité. Le comportement du cours (+33,33% sur 100 jours) avec un skewness positif et un kurtosis élevé suggère une dynamique haussière mais risquée, tandis que les signaux techniques sont contradictoires : tendance d'achat (MM, MACD) contre surachat extrême (RSI 84,8, Stochastique 100). Les fondamentaux restent solides avec un ROE de 27,9% et un coefficient d'exploitation de 36,7%, mais la stagnation du PNB sur les trois premiers trimestres 2025 et la contraction des crédits (-11,97% au T3) tempèrent les perspectives. Les prédictions IA (baisse de 11 090 à 9 670 FCFA sur 10 jours) confirment le scénario de correction technique après une hausse excessive. La convergence entre les indicateurs de surachat technique et les prédictions IA suggère une consolidation probable. **Recommandation : CONSERVER** avec un niveau de confiance Moyen, un risque global Élevé, et un horizon d'investissement optimal à moyen terme (3-12 mois) pour profiter d'un éventuel repli vers les 9 500-10 000 FCFA avant de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153.45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6,394 titres</w:t>
            </w:r>
          </w:p>
        </w:tc>
        <w:tc>
          <w:tcPr>
            <w:tcW w:type="dxa" w:w="2268"/>
            <w:shd w:fill="FFF2CC" w:val="clear"/>
          </w:tcPr>
          <w:p>
            <w:r>
              <w:rPr>
                <w:b/>
                <w:color w:val="503200"/>
                <w:sz w:val="16"/>
              </w:rPr>
              <w:t xml:space="preserve">Cours actuel : </w:t>
            </w:r>
            <w:r>
              <w:rPr>
                <w:color w:val="000000"/>
                <w:sz w:val="17"/>
              </w:rPr>
              <w:t>5,590 FCFA</w:t>
            </w:r>
          </w:p>
          <w:p>
            <w:r>
              <w:rPr>
                <w:b/>
                <w:color w:val="503200"/>
                <w:sz w:val="16"/>
              </w:rPr>
              <w:t xml:space="preserve">Var. 100 jours : </w:t>
            </w:r>
            <w:r>
              <w:rPr>
                <w:b/>
                <w:color w:val="007800"/>
                <w:sz w:val="17"/>
              </w:rPr>
              <w:t>+18.81%</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7.95% (Moyenne) — μ=4,927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β=0.2847 (Défensif) — Cov=0.000010, Var(idx)=0.000036, ρ=0.087,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5,337</w:t>
            </w:r>
          </w:p>
        </w:tc>
        <w:tc>
          <w:tcPr>
            <w:tcW w:type="dxa" w:w="1440"/>
            <w:shd w:fill="FAFAFA" w:val="clear"/>
          </w:tcPr>
          <w:p>
            <w:r>
              <w:rPr>
                <w:b/>
                <w:sz w:val="17"/>
              </w:rPr>
              <w:t>5,535</w:t>
            </w:r>
          </w:p>
        </w:tc>
        <w:tc>
          <w:tcPr>
            <w:tcW w:type="dxa" w:w="1440"/>
            <w:shd w:fill="FAFAFA" w:val="clear"/>
          </w:tcPr>
          <w:p>
            <w:r>
              <w:rPr>
                <w:sz w:val="17"/>
              </w:rPr>
              <w:t>5,732</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5,183</w:t>
            </w:r>
          </w:p>
        </w:tc>
        <w:tc>
          <w:tcPr>
            <w:tcW w:type="dxa" w:w="1440"/>
            <w:shd w:fill="FFDCE0" w:val="clear"/>
          </w:tcPr>
          <w:p>
            <w:r>
              <w:rPr>
                <w:b/>
                <w:sz w:val="17"/>
              </w:rPr>
              <w:t>5,458</w:t>
            </w:r>
          </w:p>
        </w:tc>
        <w:tc>
          <w:tcPr>
            <w:tcW w:type="dxa" w:w="1440"/>
            <w:shd w:fill="FFDCE0" w:val="clear"/>
          </w:tcPr>
          <w:p>
            <w:r>
              <w:rPr>
                <w:sz w:val="17"/>
              </w:rPr>
              <w:t>5,734</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5,051</w:t>
            </w:r>
          </w:p>
        </w:tc>
        <w:tc>
          <w:tcPr>
            <w:tcW w:type="dxa" w:w="1440"/>
            <w:shd w:fill="FFDCE0" w:val="clear"/>
          </w:tcPr>
          <w:p>
            <w:r>
              <w:rPr>
                <w:b/>
                <w:sz w:val="17"/>
              </w:rPr>
              <w:t>5,384</w:t>
            </w:r>
          </w:p>
        </w:tc>
        <w:tc>
          <w:tcPr>
            <w:tcW w:type="dxa" w:w="1440"/>
            <w:shd w:fill="FFDCE0" w:val="clear"/>
          </w:tcPr>
          <w:p>
            <w:r>
              <w:rPr>
                <w:sz w:val="17"/>
              </w:rPr>
              <w:t>5,716</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4,937</w:t>
            </w:r>
          </w:p>
        </w:tc>
        <w:tc>
          <w:tcPr>
            <w:tcW w:type="dxa" w:w="1440"/>
            <w:shd w:fill="FFDCE0" w:val="clear"/>
          </w:tcPr>
          <w:p>
            <w:r>
              <w:rPr>
                <w:b/>
                <w:sz w:val="17"/>
              </w:rPr>
              <w:t>5,317</w:t>
            </w:r>
          </w:p>
        </w:tc>
        <w:tc>
          <w:tcPr>
            <w:tcW w:type="dxa" w:w="1440"/>
            <w:shd w:fill="FFDCE0" w:val="clear"/>
          </w:tcPr>
          <w:p>
            <w:r>
              <w:rPr>
                <w:sz w:val="17"/>
              </w:rPr>
              <w:t>5,696</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4,837</w:t>
            </w:r>
          </w:p>
        </w:tc>
        <w:tc>
          <w:tcPr>
            <w:tcW w:type="dxa" w:w="1440"/>
            <w:shd w:fill="FFDCE0" w:val="clear"/>
          </w:tcPr>
          <w:p>
            <w:r>
              <w:rPr>
                <w:b/>
                <w:sz w:val="17"/>
              </w:rPr>
              <w:t>5,257</w:t>
            </w:r>
          </w:p>
        </w:tc>
        <w:tc>
          <w:tcPr>
            <w:tcW w:type="dxa" w:w="1440"/>
            <w:shd w:fill="FFDCE0" w:val="clear"/>
          </w:tcPr>
          <w:p>
            <w:r>
              <w:rPr>
                <w:sz w:val="17"/>
              </w:rPr>
              <w:t>5,677</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4,747</w:t>
            </w:r>
          </w:p>
        </w:tc>
        <w:tc>
          <w:tcPr>
            <w:tcW w:type="dxa" w:w="1440"/>
            <w:shd w:fill="FFDCE0" w:val="clear"/>
          </w:tcPr>
          <w:p>
            <w:r>
              <w:rPr>
                <w:b/>
                <w:sz w:val="17"/>
              </w:rPr>
              <w:t>5,202</w:t>
            </w:r>
          </w:p>
        </w:tc>
        <w:tc>
          <w:tcPr>
            <w:tcW w:type="dxa" w:w="1440"/>
            <w:shd w:fill="FFDCE0" w:val="clear"/>
          </w:tcPr>
          <w:p>
            <w:r>
              <w:rPr>
                <w:sz w:val="17"/>
              </w:rPr>
              <w:t>5,657</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4,664</w:t>
            </w:r>
          </w:p>
        </w:tc>
        <w:tc>
          <w:tcPr>
            <w:tcW w:type="dxa" w:w="1440"/>
            <w:shd w:fill="FFDCE0" w:val="clear"/>
          </w:tcPr>
          <w:p>
            <w:r>
              <w:rPr>
                <w:b/>
                <w:sz w:val="17"/>
              </w:rPr>
              <w:t>5,151</w:t>
            </w:r>
          </w:p>
        </w:tc>
        <w:tc>
          <w:tcPr>
            <w:tcW w:type="dxa" w:w="1440"/>
            <w:shd w:fill="FFDCE0" w:val="clear"/>
          </w:tcPr>
          <w:p>
            <w:r>
              <w:rPr>
                <w:sz w:val="17"/>
              </w:rPr>
              <w:t>5,637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4,587</w:t>
            </w:r>
          </w:p>
        </w:tc>
        <w:tc>
          <w:tcPr>
            <w:tcW w:type="dxa" w:w="1440"/>
            <w:shd w:fill="FFDCE0" w:val="clear"/>
          </w:tcPr>
          <w:p>
            <w:r>
              <w:rPr>
                <w:b/>
                <w:sz w:val="17"/>
              </w:rPr>
              <w:t>5,102</w:t>
            </w:r>
          </w:p>
        </w:tc>
        <w:tc>
          <w:tcPr>
            <w:tcW w:type="dxa" w:w="1440"/>
            <w:shd w:fill="FFDCE0" w:val="clear"/>
          </w:tcPr>
          <w:p>
            <w:r>
              <w:rPr>
                <w:sz w:val="17"/>
              </w:rPr>
              <w:t>5,617</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4,514</w:t>
            </w:r>
          </w:p>
        </w:tc>
        <w:tc>
          <w:tcPr>
            <w:tcW w:type="dxa" w:w="1440"/>
            <w:shd w:fill="FFDCE0" w:val="clear"/>
          </w:tcPr>
          <w:p>
            <w:r>
              <w:rPr>
                <w:b/>
                <w:sz w:val="17"/>
              </w:rPr>
              <w:t>5,056</w:t>
            </w:r>
          </w:p>
        </w:tc>
        <w:tc>
          <w:tcPr>
            <w:tcW w:type="dxa" w:w="1440"/>
            <w:shd w:fill="FFDCE0" w:val="clear"/>
          </w:tcPr>
          <w:p>
            <w:r>
              <w:rPr>
                <w:sz w:val="17"/>
              </w:rPr>
              <w:t>5,597</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4,446</w:t>
            </w:r>
          </w:p>
        </w:tc>
        <w:tc>
          <w:tcPr>
            <w:tcW w:type="dxa" w:w="1440"/>
            <w:shd w:fill="FFDCE0" w:val="clear"/>
          </w:tcPr>
          <w:p>
            <w:r>
              <w:rPr>
                <w:b/>
                <w:sz w:val="17"/>
              </w:rPr>
              <w:t>5,012</w:t>
            </w:r>
          </w:p>
        </w:tc>
        <w:tc>
          <w:tcPr>
            <w:tcW w:type="dxa" w:w="1440"/>
            <w:shd w:fill="FFDCE0" w:val="clear"/>
          </w:tcPr>
          <w:p>
            <w:r>
              <w:rPr>
                <w:sz w:val="17"/>
              </w:rPr>
              <w:t>5,578</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153,45 milliards FCFA, ce qui la positionne comme une valeur de taille moyenne sur la BRVM, représentant un poids significatif dans le secteur bancaire de la place. Avec un BPA de 404 FCFA, chaque action génère un bénéfice confortable, justifiant un PER de 13,8x. Ce ratio, bien que supérieur à la moyenne historique de la BRVM (8-12x), reste modéré et traduit une valorisation raisonnable pour une banque affichant une croissance soutenue de ses résultats. Le P/B de 3,08x indique que le marché accorde une prime de croissance à la valeur comptable, ce qui est cohérent avec la forte rentabilité des capitaux propres (ROE &gt; 22%). Enfin, un EV/EBITDA de 6,8x, dans la fourchette basse des 5-10x, confirme que la valeur totale de l'entreprise reste attractive au regard de sa capacité opérationnelle à générer du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+18,81%, avec une légère hausse de +0,09% lors de la dernière séance, témoignant d'une dynamique haussière soutenue. Le cours a évolué dans un range de 1 345 FCFA, entre un plus bas de 4 425 FCFA et un plus haut de 5 770 FCFA, démontrant une amplitude de trading importante. La moyenne du cours sur la période (4 927 FCFA) est nettement supérieure à la médiane (4 718 FCFA), et le skewness positif de 0,975 confirme une distribution asymétrique avec des journées majoritairement sous la moyenne mais des mouvements de hausse plus prononcés. L'écart-type de 394 FCFA (CV = 8,0%) indique une dispersion modérée des prix, tandis que le kurtosis de -0,505 (mésokurtique) suggère une distribution proche de la normale, sans risque de pics extrêmes. La volatilité annualisée de 31,0% classe le titre dans la catégorie des valeurs à volatilité élevée, ce qui implique un risque de fluctuation important mais aussi un potentiel de gains substantiels.</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la MM20 (5 625,75 FCFA) est nettement au-dessus de la MM50 (5 137,2 FCFA), et le cours actuel (5 590 FCFA) se situe au-dessus de la MM50 mais légèrement sous la MM20, indiquant une consolidation après une forte progression. La décision "Achat" est justifiée par la tendance de fond positive, bien que le récent repli sous la MM20 suggère un essoufflement à court terme.</w:t>
      </w:r>
    </w:p>
    <w:p>
      <w:pPr>
        <w:spacing w:after="120" w:line="276" w:lineRule="auto"/>
      </w:pPr>
      <w:r>
        <w:t>Les **Bandes de Bollinger** montrent un cours (5 590 FCFA) positionné entre la borne supérieure (5 814,409 FCFA) et la borne inférieure (5 437,091 FCFA), proche de la moyenne. La décision "Neutre" reflète une volatilité modérée et un prix dans la zone médiane, sans signal de surachat ni de survente, laissant place à une évolution directionnelle à venir.</w:t>
      </w:r>
    </w:p>
    <w:p>
      <w:pPr>
        <w:spacing w:after="120" w:line="276" w:lineRule="auto"/>
      </w:pPr>
      <w:r>
        <w:t>Le **MACD** affiche une valeur de 126,366 inférieure à son signal (161,876), avec une décision "Vente". Cette configuration indique un ralentissement du momentum haussier, les deux lignes convergeant vers un croisement baissier potentiel, ce qui pourrait précéder une correction à court terme.</w:t>
      </w:r>
    </w:p>
    <w:p>
      <w:pPr>
        <w:spacing w:after="120" w:line="276" w:lineRule="auto"/>
      </w:pPr>
      <w:r>
        <w:t>Le **RSI** à 40,12 se situe dans la zone neutre (30-70), sans signal extrême. Cette valeur suggère que le titre n'est ni suracheté ni survendu, laissant une marge de manœuvre dans les deux sens, mais avec une légère pression vendeuse.</w:t>
      </w:r>
    </w:p>
    <w:p>
      <w:pPr>
        <w:spacing w:after="120" w:line="276" w:lineRule="auto"/>
      </w:pPr>
      <w:r>
        <w:t>Le **Stochastique** avec %K à 68,571 et %D à 61,246 montre une dynamique positive, le %K étant au-dessus du %D, indiquant un momentum haussier modéré. La décision "Neutre" reflète une situation équilibrée, proche de la zone de surachat sans y être encore.</w:t>
      </w:r>
    </w:p>
    <w:p>
      <w:pPr>
        <w:spacing w:after="120" w:line="276" w:lineRule="auto"/>
      </w:pPr>
      <w:r>
        <w:t>En conclusion technique, les indicateurs sont mitigés : les moyennes mobiles restent positives, mais le MACD signale un essoufflement, tandis que le RSI et le Stochastique sont neutres. Cette divergence suggère une phase de consolidation après la forte hausse, avec un risque de correction à court terme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BOAM révèlent une banque solide et rentable. Le Produit Net Bancaire (PNB) s'établit à 37,996 milliards FCFA, avec un résultat net de 11,081 milliards FCFA, soit une marge nette de 29,16%. La rentabilité des fonds propres (ROE) atteint 22,24%, un niveau excellent (&gt;15%), et le ROA de 1,87% confirme une utilisation efficace des actifs. Le coefficient d'exploitation de 63,14% reste légèrement au-dessus du seuil d'efficacité de 60%, indiquant une marge de progression dans la maîtrise des charges. Le coût du risque de 43,39% (provisions/charges financières) est élevé, signalant un risque de crédit significatif, mais la couverture des intérêts à 88,99% et la capacité de remboursement de 1,79 an rassurent sur la solidité financière. Les dépôts clientèle (502,890 Mds FCFA) représentent 1,98x les créances sur la clientèle (253,648 Mds FCFA), montrant une transformation saine. Les rapports trimestriels 2025 confirment cette trajectoire : le T1 2025 affiche un résultat net de 3,021 milliards FCFA (+91,18% sur un an), le S1 2025 atteint 6,21 milliards FCFA (+28,8%), et le T3 2025 cumule 9,16 milliards FCFA (+26,2%), avec un PNB en croissance de 5,8%. Sur la base de ces données, on estime que l'exercice 2025 devrait dépasser les 11 milliards FCFA de résultat net, confirmant la tendance haussière des bénéfices. La recommandation fondamentale est positive, la banque démontrant une résilience remarquable dans un environnement difficile, avec une amélioration continue de sa rentabilité.</w:t>
      </w:r>
    </w:p>
    <w:p>
      <w:pPr>
        <w:spacing w:after="120" w:line="276" w:lineRule="auto" w:before="240"/>
      </w:pPr>
      <w:r>
        <w:rPr>
          <w:b/>
          <w:color w:val="003366"/>
          <w:sz w:val="24"/>
        </w:rPr>
        <w:t>**PARTIE 4 : CONCLUSION D'INVESTISSEMENT**</w:t>
      </w:r>
    </w:p>
    <w:p>
      <w:pPr>
        <w:spacing w:after="120" w:line="276" w:lineRule="auto"/>
      </w:pPr>
      <w:r>
        <w:t>La synthèse globale fait ressortir une convergence positive entre les fondamentaux et la valorisation, mais une divergence avec les signaux techniques à court terme. La valorisation (PER 13,8x, P/B 3,08x, EV/EBITDA 6,8x) est raisonnable pour une banque affichant un ROE de 22,24% et une croissance soutenue de ses résultats. Le comportement du cours sur 100 jours (+18,81%) est favorable, avec une volatilité élevée (31%) mais une distribution normale des rendements. Les signaux techniques sont mitigés : les moyennes mobiles restent positives, mais le MACD et le RSI suggèrent une consolidation à court terme. Les fondamentaux sont solides, avec un résultat net estimé à plus de 11 milliards FCFA pour 2025, en hausse de 26,2% sur neuf mois. Les prédictions IA pour les 10 prochains jours (5 535 à 5 257 FCFA) indiquent une correction baissière, contredisant la tendance haussière de fond mais confirmant les signaux techniques de consolidation. Sur la base de cette analyse, la recommandation est **CONSERVER** avec un niveau de confiance **Moyen** et un risque global **Élevé** (volatilité et contexte sécuritaire au Mali). L'horizon d'investissement optimal est le **moyen terme (3-12 mois)**, en attendant une stabilisation du cours pour renforcer la position, ou une confirmation de la reprise haussière après la consolidation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10,628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+74.20%</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22.07% (Élevée) — μ=3,796 FCFA, σ=838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β=0.7054 (Défensif) — Cov=0.000026, Var(idx)=0.000036, ρ=0.152,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4,898</w:t>
            </w:r>
          </w:p>
        </w:tc>
        <w:tc>
          <w:tcPr>
            <w:tcW w:type="dxa" w:w="1440"/>
            <w:shd w:fill="FAFAFA" w:val="clear"/>
          </w:tcPr>
          <w:p>
            <w:r>
              <w:rPr>
                <w:b/>
                <w:sz w:val="17"/>
              </w:rPr>
              <w:t>5,125</w:t>
            </w:r>
          </w:p>
        </w:tc>
        <w:tc>
          <w:tcPr>
            <w:tcW w:type="dxa" w:w="1440"/>
            <w:shd w:fill="FAFAFA" w:val="clear"/>
          </w:tcPr>
          <w:p>
            <w:r>
              <w:rPr>
                <w:sz w:val="17"/>
              </w:rPr>
              <w:t>5,352</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4,804</w:t>
            </w:r>
          </w:p>
        </w:tc>
        <w:tc>
          <w:tcPr>
            <w:tcW w:type="dxa" w:w="1440"/>
            <w:shd w:fill="FAFAFA" w:val="clear"/>
          </w:tcPr>
          <w:p>
            <w:r>
              <w:rPr>
                <w:b/>
                <w:sz w:val="17"/>
              </w:rPr>
              <w:t>5,124</w:t>
            </w:r>
          </w:p>
        </w:tc>
        <w:tc>
          <w:tcPr>
            <w:tcW w:type="dxa" w:w="1440"/>
            <w:shd w:fill="FAFAFA" w:val="clear"/>
          </w:tcPr>
          <w:p>
            <w:r>
              <w:rPr>
                <w:sz w:val="17"/>
              </w:rPr>
              <w:t>5,445</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4,724</w:t>
            </w:r>
          </w:p>
        </w:tc>
        <w:tc>
          <w:tcPr>
            <w:tcW w:type="dxa" w:w="1440"/>
            <w:shd w:fill="FAFAFA" w:val="clear"/>
          </w:tcPr>
          <w:p>
            <w:r>
              <w:rPr>
                <w:b/>
                <w:sz w:val="17"/>
              </w:rPr>
              <w:t>5,116</w:t>
            </w:r>
          </w:p>
        </w:tc>
        <w:tc>
          <w:tcPr>
            <w:tcW w:type="dxa" w:w="1440"/>
            <w:shd w:fill="FAFAFA" w:val="clear"/>
          </w:tcPr>
          <w:p>
            <w:r>
              <w:rPr>
                <w:sz w:val="17"/>
              </w:rPr>
              <w:t>5,508</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4,654</w:t>
            </w:r>
          </w:p>
        </w:tc>
        <w:tc>
          <w:tcPr>
            <w:tcW w:type="dxa" w:w="1440"/>
            <w:shd w:fill="FAFAFA" w:val="clear"/>
          </w:tcPr>
          <w:p>
            <w:r>
              <w:rPr>
                <w:b/>
                <w:sz w:val="17"/>
              </w:rPr>
              <w:t>5,106</w:t>
            </w:r>
          </w:p>
        </w:tc>
        <w:tc>
          <w:tcPr>
            <w:tcW w:type="dxa" w:w="1440"/>
            <w:shd w:fill="FAFAFA" w:val="clear"/>
          </w:tcPr>
          <w:p>
            <w:r>
              <w:rPr>
                <w:sz w:val="17"/>
              </w:rPr>
              <w:t>5,558</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4,592</w:t>
            </w:r>
          </w:p>
        </w:tc>
        <w:tc>
          <w:tcPr>
            <w:tcW w:type="dxa" w:w="1440"/>
            <w:shd w:fill="FAFAFA" w:val="clear"/>
          </w:tcPr>
          <w:p>
            <w:r>
              <w:rPr>
                <w:b/>
                <w:sz w:val="17"/>
              </w:rPr>
              <w:t>5,096</w:t>
            </w:r>
          </w:p>
        </w:tc>
        <w:tc>
          <w:tcPr>
            <w:tcW w:type="dxa" w:w="1440"/>
            <w:shd w:fill="FAFAFA" w:val="clear"/>
          </w:tcPr>
          <w:p>
            <w:r>
              <w:rPr>
                <w:sz w:val="17"/>
              </w:rPr>
              <w:t>5,601</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4,536</w:t>
            </w:r>
          </w:p>
        </w:tc>
        <w:tc>
          <w:tcPr>
            <w:tcW w:type="dxa" w:w="1440"/>
            <w:shd w:fill="FFDCE0" w:val="clear"/>
          </w:tcPr>
          <w:p>
            <w:r>
              <w:rPr>
                <w:b/>
                <w:sz w:val="17"/>
              </w:rPr>
              <w:t>5,087</w:t>
            </w:r>
          </w:p>
        </w:tc>
        <w:tc>
          <w:tcPr>
            <w:tcW w:type="dxa" w:w="1440"/>
            <w:shd w:fill="FFDCE0" w:val="clear"/>
          </w:tcPr>
          <w:p>
            <w:r>
              <w:rPr>
                <w:sz w:val="17"/>
              </w:rPr>
              <w:t>5,638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4,483</w:t>
            </w:r>
          </w:p>
        </w:tc>
        <w:tc>
          <w:tcPr>
            <w:tcW w:type="dxa" w:w="1440"/>
            <w:shd w:fill="FFDCE0" w:val="clear"/>
          </w:tcPr>
          <w:p>
            <w:r>
              <w:rPr>
                <w:b/>
                <w:sz w:val="17"/>
              </w:rPr>
              <w:t>5,078</w:t>
            </w:r>
          </w:p>
        </w:tc>
        <w:tc>
          <w:tcPr>
            <w:tcW w:type="dxa" w:w="1440"/>
            <w:shd w:fill="FFDCE0" w:val="clear"/>
          </w:tcPr>
          <w:p>
            <w:r>
              <w:rPr>
                <w:sz w:val="17"/>
              </w:rPr>
              <w:t>5,672</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4,434</w:t>
            </w:r>
          </w:p>
        </w:tc>
        <w:tc>
          <w:tcPr>
            <w:tcW w:type="dxa" w:w="1440"/>
            <w:shd w:fill="FFDCE0" w:val="clear"/>
          </w:tcPr>
          <w:p>
            <w:r>
              <w:rPr>
                <w:b/>
                <w:sz w:val="17"/>
              </w:rPr>
              <w:t>5,068</w:t>
            </w:r>
          </w:p>
        </w:tc>
        <w:tc>
          <w:tcPr>
            <w:tcW w:type="dxa" w:w="1440"/>
            <w:shd w:fill="FFDCE0" w:val="clear"/>
          </w:tcPr>
          <w:p>
            <w:r>
              <w:rPr>
                <w:sz w:val="17"/>
              </w:rPr>
              <w:t>5,703</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4,388</w:t>
            </w:r>
          </w:p>
        </w:tc>
        <w:tc>
          <w:tcPr>
            <w:tcW w:type="dxa" w:w="1440"/>
            <w:shd w:fill="FFDCE0" w:val="clear"/>
          </w:tcPr>
          <w:p>
            <w:r>
              <w:rPr>
                <w:b/>
                <w:sz w:val="17"/>
              </w:rPr>
              <w:t>5,059</w:t>
            </w:r>
          </w:p>
        </w:tc>
        <w:tc>
          <w:tcPr>
            <w:tcW w:type="dxa" w:w="1440"/>
            <w:shd w:fill="FFDCE0" w:val="clear"/>
          </w:tcPr>
          <w:p>
            <w:r>
              <w:rPr>
                <w:sz w:val="17"/>
              </w:rPr>
              <w:t>5,731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4,344</w:t>
            </w:r>
          </w:p>
        </w:tc>
        <w:tc>
          <w:tcPr>
            <w:tcW w:type="dxa" w:w="1440"/>
            <w:shd w:fill="FFDCE0" w:val="clear"/>
          </w:tcPr>
          <w:p>
            <w:r>
              <w:rPr>
                <w:b/>
                <w:sz w:val="17"/>
              </w:rPr>
              <w:t>5,051</w:t>
            </w:r>
          </w:p>
        </w:tc>
        <w:tc>
          <w:tcPr>
            <w:tcW w:type="dxa" w:w="1440"/>
            <w:shd w:fill="FFDCE0" w:val="clear"/>
          </w:tcPr>
          <w:p>
            <w:r>
              <w:rPr>
                <w:sz w:val="17"/>
              </w:rPr>
              <w:t>5,757</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108,16 milliards FCFA, ce qui positionne la banque comme une valeur de taille moyenne sur la BRVM. Le BPA de 20 FCFA par action est extrêmement faible, traduisant une capacité bénéficiaire très réduite. Le PER de 264,4x est considérablement supérieur à la moyenne du marché BRVM (8-12x), indiquant que les investisseurs paient un prix très élevé pour chaque unité de bénéfice, ce qui reflète soit des anticipations de rebond très fortes, soit une surévaluation manifeste. Le P/B de 3,00x montre que le marché valorise l'action bien au-dessus de sa valeur comptable, intégrant une prime de croissance qui semble difficile à justifier au vu des fondamentaux actuels. Enfin, l'EV/EBITDA de 39,9x est extrêmement exigeant, signalant que la valeur totale de l'entreprise est très élevée par rapport à sa capacité opérationnelle réelle.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variation totale impressionnante de +74,20%, avec une progression de +2,46% lors de la dernière séance, portant le cours à 5 200 FCFA. Le titre a évolué dans une fourchette très large, entre un plus bas de 2 460 FCFA et un plus haut de 5 400 FCFA, démontrant une forte dynamique haussière sur la période. La moyenne du cours (3 796 FCFA) est légèrement supérieure à la médiane (3 700 FCFA), indiquant une distribution relativement symétrique, confirmée par un skewness de 0,484. L'écart-type de 842 FCFA, avec un coefficient de variation de 22,2%, révèle une dispersion modérée des prix autour de la moyenne. Le kurtosis de -0,685 (mésokurtique) suggère une distribution proche de la normale, sans risque excessif de mouvements extrêmes. La volatilité annualisée de 44,2% est élevée, classant BOAN comme un titre à fort risque, nécessitant une gestion attentive du risque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5 181,5 FCFA et la MM50 à 4 430,9 FCFA sont toutes deux inférieures au cours actuel de 5 200 FCFA, confirmant une tendance haussière à court et moyen terme. La décision "Achat" est justifiée par la configuration positive des moyennes mobiles, avec le cours évoluant au-dessus de ces niveaux de support dynamiques.</w:t>
      </w:r>
    </w:p>
    <w:p>
      <w:pPr>
        <w:spacing w:after="120" w:line="276" w:lineRule="auto"/>
      </w:pPr>
      <w:r>
        <w:t>**Bandes de Bollinger** : Le cours à 5 200 FCFA se situe entre la borne supérieure (5 598,4 FCFA) et la borne inférieure (4 764,6 FCFA), indiquant une position neutre dans le canal de volatilité. La décision "Neutre" reflète une absence de signal directionnel fort, le prix n'ayant pas encore atteint les extrêmes du canal.</w:t>
      </w:r>
    </w:p>
    <w:p>
      <w:pPr>
        <w:spacing w:after="120" w:line="276" w:lineRule="auto"/>
      </w:pPr>
      <w:r>
        <w:t>**MACD** : Le MACD à 217,5 est inférieur à son signal à 280,0, générant une divergence baissière qui suggère un affaiblissement du momentum haussier. La décision "Vente" est justifiée par cette configuration, indiquant une possible correction à court terme malgré la tendance de fond positive.</w:t>
      </w:r>
    </w:p>
    <w:p>
      <w:pPr>
        <w:spacing w:after="120" w:line="276" w:lineRule="auto"/>
      </w:pPr>
      <w:r>
        <w:t>**RSI** : Le RSI à 43,0 se situe dans la zone neutre (30-70), ne montrant ni surachat ni survente. La décision "Neutre" est cohérente avec cette valeur, laissant place à une évolution dans les deux sens sans signal directionnel clair.</w:t>
      </w:r>
    </w:p>
    <w:p>
      <w:pPr>
        <w:spacing w:after="120" w:line="276" w:lineRule="auto"/>
      </w:pPr>
      <w:r>
        <w:t>**Stochastique** : Le %K à 38,5 et le %D à 12,8 indiquent une dynamique baissière, bien que le %K soit au-dessus du %D, suggérant un possible retournement haussier en préparation. La décision "Neutre" reflète cette ambiguïté technique.</w:t>
      </w:r>
    </w:p>
    <w:p>
      <w:pPr>
        <w:spacing w:after="120" w:line="276" w:lineRule="auto"/>
      </w:pPr>
      <w:r>
        <w:t>**Conclusion technique** : La configuration technique est mitigée, avec des signaux contradictoires entre les moyennes mobiles (achat) et le MACD (vente). Le cours reste dans une tendance haussière de fond, mais les indicateurs de momentum suggèrent une consolidation à court terme. La prudence est recommandée avant un nouvel achat.</w:t>
      </w:r>
    </w:p>
    <w:p>
      <w:pPr>
        <w:spacing w:after="120" w:line="276" w:lineRule="auto" w:before="240"/>
      </w:pPr>
      <w:r>
        <w:rPr>
          <w:b/>
          <w:color w:val="003366"/>
          <w:sz w:val="24"/>
        </w:rPr>
        <w:t>**PARTIE 3 : ANALYSE FONDAMENTALE (SECTION CRITIQUE)**</w:t>
      </w:r>
    </w:p>
    <w:p>
      <w:pPr>
        <w:spacing w:after="120" w:line="276" w:lineRule="auto"/>
      </w:pPr>
      <w:r>
        <w:t>En 2025, le Produit Net Bancaire de BOAN s'établit à 21,125 milliards FCFA, en légère baisse de 1,2% par rapport à 2024 (21,380 milliards FCFA), tandis que le résultat net s'effondre de 91,8% à 409 millions FCFA, contre 5 002 millions FCFA en 2024. Le ROE chute à 1,13% et le ROA à 0,14%, reflétant une rentabilité quasi nulle. Le coefficient d'exploitation de 74,4% est élevé, indiquant une efficacité opérationnelle insuffisante (seuil de 60% pour une banque efficace). Le coût du risque de 67,3% est préoccupant, signalant une dégradation significative de la qualité du portefeuille de crédits, avec un taux de créances en souffrance de 24% contre 12% en moyenne UEMOA. Les dépôts clientèle (183,280 milliards FCFA) dépassent largement les créances sur la clientèle (128,447 milliards FCFA), montrant une transformation saine, mais la contraction des crédits de 20,9% reflète une politique très prudente. Sur la base du rapport T1 2026 (résultat net en hausse de 28,9% à 1 467,3 millions FCFA, PNB en progression de 7,9%), on estime que l'exercice 2026 devrait marquer un redressement significatif, avec un objectif budgétaire de résultat avant impôts de 7,280 milliards FCFA. La banque maintient des ratios prudentiels conformes (solvabilité à 14,06%, liquidité à 123,95%), mais la faiblesse des résultats et l'absence de dividende depuis 2023 justifient une prudence extrême.</w:t>
      </w:r>
    </w:p>
    <w:p>
      <w:pPr>
        <w:spacing w:after="120" w:line="276" w:lineRule="auto" w:before="240"/>
      </w:pPr>
      <w:r>
        <w:rPr>
          <w:b/>
          <w:color w:val="003366"/>
          <w:sz w:val="24"/>
        </w:rPr>
        <w:t>**PARTIE 4 : CONCLUSION D'INVESTISSEMENT**</w:t>
      </w:r>
    </w:p>
    <w:p>
      <w:pPr>
        <w:spacing w:after="120" w:line="276" w:lineRule="auto"/>
      </w:pPr>
      <w:r>
        <w:t>La valorisation de BOAN est extrêmement exigeante, avec un PER de 264,4x et un EV/EBITDA de 39,9x, indiquant une surévaluation manifeste par rapport aux bénéfices actuels. Le comportement du cours (+74,2% sur 100 jours) contraste fortement avec la dégradation des fondamentaux, créant un écart préoccupant entre le prix et la valeur intrinsèque. Les signaux techniques sont mitigés, avec une tendance haussière de fond mais des indicateurs de momentum en perte de vitesse. Les fondamentaux montrent une banque en difficulté, avec un résultat net en chute de 91,8% en 2025, mais des perspectives de redressement en 2026 (T1 2026 positif). Les prédictions IA (5 125 FCFA à J+1, puis 5 096 FCFA à J+10) suggèrent une légère correction à court terme, confirmant la prudence technique. La convergence entre la surévaluation boursière, les signaux techniques mitigés et les fondamentaux fragiles, malgré des perspectives de rebond, conduit à une recommandation **CONSERVER** avec un niveau de confiance **Moyen**. Le risque global est **Élevé**, justifiant un horizon d'investissement de **moyen terme (3-12 mois)** pour observer la concrétisation du plan de redressement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8,986 titres</w:t>
            </w:r>
          </w:p>
        </w:tc>
        <w:tc>
          <w:tcPr>
            <w:tcW w:type="dxa" w:w="2268"/>
            <w:shd w:fill="FFF2CC" w:val="clear"/>
          </w:tcPr>
          <w:p>
            <w:r>
              <w:rPr>
                <w:b/>
                <w:color w:val="503200"/>
                <w:sz w:val="16"/>
              </w:rPr>
              <w:t xml:space="preserve">Cours actuel : </w:t>
            </w:r>
            <w:r>
              <w:rPr>
                <w:color w:val="000000"/>
                <w:sz w:val="17"/>
              </w:rPr>
              <w:t>7,710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5.33% (Moyenne) — μ=7,252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β=0.5788 (Défensif) — Cov=0.000021, Var(idx)=0.000036, ρ=0.224,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7,341</w:t>
            </w:r>
          </w:p>
        </w:tc>
        <w:tc>
          <w:tcPr>
            <w:tcW w:type="dxa" w:w="1440"/>
            <w:shd w:fill="FFDCE0" w:val="clear"/>
          </w:tcPr>
          <w:p>
            <w:r>
              <w:rPr>
                <w:b/>
                <w:sz w:val="17"/>
              </w:rPr>
              <w:t>7,518</w:t>
            </w:r>
          </w:p>
        </w:tc>
        <w:tc>
          <w:tcPr>
            <w:tcW w:type="dxa" w:w="1440"/>
            <w:shd w:fill="FFDCE0" w:val="clear"/>
          </w:tcPr>
          <w:p>
            <w:r>
              <w:rPr>
                <w:sz w:val="17"/>
              </w:rPr>
              <w:t>7,694</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7,165</w:t>
            </w:r>
          </w:p>
        </w:tc>
        <w:tc>
          <w:tcPr>
            <w:tcW w:type="dxa" w:w="1440"/>
            <w:shd w:fill="FFDCE0" w:val="clear"/>
          </w:tcPr>
          <w:p>
            <w:r>
              <w:rPr>
                <w:b/>
                <w:sz w:val="17"/>
              </w:rPr>
              <w:t>7,411</w:t>
            </w:r>
          </w:p>
        </w:tc>
        <w:tc>
          <w:tcPr>
            <w:tcW w:type="dxa" w:w="1440"/>
            <w:shd w:fill="FFDCE0" w:val="clear"/>
          </w:tcPr>
          <w:p>
            <w:r>
              <w:rPr>
                <w:sz w:val="17"/>
              </w:rPr>
              <w:t>7,658</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7,005</w:t>
            </w:r>
          </w:p>
        </w:tc>
        <w:tc>
          <w:tcPr>
            <w:tcW w:type="dxa" w:w="1440"/>
            <w:shd w:fill="FFDCE0" w:val="clear"/>
          </w:tcPr>
          <w:p>
            <w:r>
              <w:rPr>
                <w:b/>
                <w:sz w:val="17"/>
              </w:rPr>
              <w:t>7,302</w:t>
            </w:r>
          </w:p>
        </w:tc>
        <w:tc>
          <w:tcPr>
            <w:tcW w:type="dxa" w:w="1440"/>
            <w:shd w:fill="FFDCE0" w:val="clear"/>
          </w:tcPr>
          <w:p>
            <w:r>
              <w:rPr>
                <w:sz w:val="17"/>
              </w:rPr>
              <w:t>7,600</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6,864</w:t>
            </w:r>
          </w:p>
        </w:tc>
        <w:tc>
          <w:tcPr>
            <w:tcW w:type="dxa" w:w="1440"/>
            <w:shd w:fill="FFDCE0" w:val="clear"/>
          </w:tcPr>
          <w:p>
            <w:r>
              <w:rPr>
                <w:b/>
                <w:sz w:val="17"/>
              </w:rPr>
              <w:t>7,203</w:t>
            </w:r>
          </w:p>
        </w:tc>
        <w:tc>
          <w:tcPr>
            <w:tcW w:type="dxa" w:w="1440"/>
            <w:shd w:fill="FFDCE0" w:val="clear"/>
          </w:tcPr>
          <w:p>
            <w:r>
              <w:rPr>
                <w:sz w:val="17"/>
              </w:rPr>
              <w:t>7,541</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6,735</w:t>
            </w:r>
          </w:p>
        </w:tc>
        <w:tc>
          <w:tcPr>
            <w:tcW w:type="dxa" w:w="1440"/>
            <w:shd w:fill="FFDCE0" w:val="clear"/>
          </w:tcPr>
          <w:p>
            <w:r>
              <w:rPr>
                <w:b/>
                <w:sz w:val="17"/>
              </w:rPr>
              <w:t>7,109</w:t>
            </w:r>
          </w:p>
        </w:tc>
        <w:tc>
          <w:tcPr>
            <w:tcW w:type="dxa" w:w="1440"/>
            <w:shd w:fill="FFDCE0" w:val="clear"/>
          </w:tcPr>
          <w:p>
            <w:r>
              <w:rPr>
                <w:sz w:val="17"/>
              </w:rPr>
              <w:t>7,483</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6,616</w:t>
            </w:r>
          </w:p>
        </w:tc>
        <w:tc>
          <w:tcPr>
            <w:tcW w:type="dxa" w:w="1440"/>
            <w:shd w:fill="FFDCE0" w:val="clear"/>
          </w:tcPr>
          <w:p>
            <w:r>
              <w:rPr>
                <w:b/>
                <w:sz w:val="17"/>
              </w:rPr>
              <w:t>7,021</w:t>
            </w:r>
          </w:p>
        </w:tc>
        <w:tc>
          <w:tcPr>
            <w:tcW w:type="dxa" w:w="1440"/>
            <w:shd w:fill="FFDCE0" w:val="clear"/>
          </w:tcPr>
          <w:p>
            <w:r>
              <w:rPr>
                <w:sz w:val="17"/>
              </w:rPr>
              <w:t>7,425</w:t>
            </w:r>
          </w:p>
        </w:tc>
        <w:tc>
          <w:tcPr>
            <w:tcW w:type="dxa" w:w="1440"/>
            <w:shd w:fill="FFDCE0" w:val="clear"/>
          </w:tcPr>
          <w:p>
            <w:r>
              <w:rPr>
                <w:b/>
                <w:color w:val="C00000"/>
                <w:sz w:val="17"/>
              </w:rPr>
              <w:t>-8.9%</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6,505</w:t>
            </w:r>
          </w:p>
        </w:tc>
        <w:tc>
          <w:tcPr>
            <w:tcW w:type="dxa" w:w="1440"/>
            <w:shd w:fill="FFDCE0" w:val="clear"/>
          </w:tcPr>
          <w:p>
            <w:r>
              <w:rPr>
                <w:b/>
                <w:sz w:val="17"/>
              </w:rPr>
              <w:t>6,937</w:t>
            </w:r>
          </w:p>
        </w:tc>
        <w:tc>
          <w:tcPr>
            <w:tcW w:type="dxa" w:w="1440"/>
            <w:shd w:fill="FFDCE0" w:val="clear"/>
          </w:tcPr>
          <w:p>
            <w:r>
              <w:rPr>
                <w:sz w:val="17"/>
              </w:rPr>
              <w:t>7,369</w:t>
            </w:r>
          </w:p>
        </w:tc>
        <w:tc>
          <w:tcPr>
            <w:tcW w:type="dxa" w:w="1440"/>
            <w:shd w:fill="FFDCE0" w:val="clear"/>
          </w:tcPr>
          <w:p>
            <w:r>
              <w:rPr>
                <w:b/>
                <w:color w:val="C00000"/>
                <w:sz w:val="17"/>
              </w:rPr>
              <w:t>-10.0%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6,401</w:t>
            </w:r>
          </w:p>
        </w:tc>
        <w:tc>
          <w:tcPr>
            <w:tcW w:type="dxa" w:w="1440"/>
            <w:shd w:fill="FFDCE0" w:val="clear"/>
          </w:tcPr>
          <w:p>
            <w:r>
              <w:rPr>
                <w:b/>
                <w:sz w:val="17"/>
              </w:rPr>
              <w:t>6,858</w:t>
            </w:r>
          </w:p>
        </w:tc>
        <w:tc>
          <w:tcPr>
            <w:tcW w:type="dxa" w:w="1440"/>
            <w:shd w:fill="FFDCE0" w:val="clear"/>
          </w:tcPr>
          <w:p>
            <w:r>
              <w:rPr>
                <w:sz w:val="17"/>
              </w:rPr>
              <w:t>7,314</w:t>
            </w:r>
          </w:p>
        </w:tc>
        <w:tc>
          <w:tcPr>
            <w:tcW w:type="dxa" w:w="1440"/>
            <w:shd w:fill="FFDCE0" w:val="clear"/>
          </w:tcPr>
          <w:p>
            <w:r>
              <w:rPr>
                <w:b/>
                <w:color w:val="C00000"/>
                <w:sz w:val="17"/>
              </w:rPr>
              <w:t>-11.1%</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6,303</w:t>
            </w:r>
          </w:p>
        </w:tc>
        <w:tc>
          <w:tcPr>
            <w:tcW w:type="dxa" w:w="1440"/>
            <w:shd w:fill="FFDCE0" w:val="clear"/>
          </w:tcPr>
          <w:p>
            <w:r>
              <w:rPr>
                <w:b/>
                <w:sz w:val="17"/>
              </w:rPr>
              <w:t>6,782</w:t>
            </w:r>
          </w:p>
        </w:tc>
        <w:tc>
          <w:tcPr>
            <w:tcW w:type="dxa" w:w="1440"/>
            <w:shd w:fill="FFDCE0" w:val="clear"/>
          </w:tcPr>
          <w:p>
            <w:r>
              <w:rPr>
                <w:sz w:val="17"/>
              </w:rPr>
              <w:t>7,260</w:t>
            </w:r>
          </w:p>
        </w:tc>
        <w:tc>
          <w:tcPr>
            <w:tcW w:type="dxa" w:w="1440"/>
            <w:shd w:fill="FFDCE0" w:val="clear"/>
          </w:tcPr>
          <w:p>
            <w:r>
              <w:rPr>
                <w:b/>
                <w:color w:val="C00000"/>
                <w:sz w:val="17"/>
              </w:rPr>
              <w:t>-12.0%</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6,211</w:t>
            </w:r>
          </w:p>
        </w:tc>
        <w:tc>
          <w:tcPr>
            <w:tcW w:type="dxa" w:w="1440"/>
            <w:shd w:fill="FFDCE0" w:val="clear"/>
          </w:tcPr>
          <w:p>
            <w:r>
              <w:rPr>
                <w:b/>
                <w:sz w:val="17"/>
              </w:rPr>
              <w:t>6,710</w:t>
            </w:r>
          </w:p>
        </w:tc>
        <w:tc>
          <w:tcPr>
            <w:tcW w:type="dxa" w:w="1440"/>
            <w:shd w:fill="FFDCE0" w:val="clear"/>
          </w:tcPr>
          <w:p>
            <w:r>
              <w:rPr>
                <w:sz w:val="17"/>
              </w:rPr>
              <w:t>7,209</w:t>
            </w:r>
          </w:p>
        </w:tc>
        <w:tc>
          <w:tcPr>
            <w:tcW w:type="dxa" w:w="1440"/>
            <w:shd w:fill="FFDCE0" w:val="clear"/>
          </w:tcPr>
          <w:p>
            <w:r>
              <w:rPr>
                <w:b/>
                <w:color w:val="C00000"/>
                <w:sz w:val="17"/>
              </w:rPr>
              <w:t>-13.0%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277,56 milliards FCFA, ce qui positionne la banque parmi les valeurs moyennes à grandes capitalisations de la BRVM, lui conférant une liquidité et une visibilité notables. Avec un BPA de 608 FCFA, chaque action génère un bénéfice substantiel, justifiant un PER de 12,7x. Ce ratio, légèrement supérieur à la moyenne historique de la BRVM (8-12x), indique que les investisseurs acceptent de payer une prime modérée pour la qualité de la banque, sans pour autant que la valorisation soit excessive. Le P/B de 2,88x confirme cette lecture : le marché valorise la banque près de trois fois sa valeur comptable, une prime de croissance accordée aux établissements performants et bien gérés. Enfin, un EV/EBITDA de 8,1x, situé dans la fourchette raisonnable de 5-10x, suggère que la valeur totale de l'entreprise (dette incluse) reste cohérente avec sa capacité opérationnelle à générer des bénéfices, renforçant l'attrait de la valorisation actuelle.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totale de +10,14%, avec une dernière séance en hausse de +1,45% à 7 710 FCFA, témoignant d'une dynamique positive récente. Le titre a évolué dans une fourchette de 6 400 FCFA (plus bas) à 8 050 FCFA (plus haut), soit une amplitude de trading significative de 25,8%. La moyenne du cours sur la période est de 7 252 FCFA, très proche de la médiane de 7 302 FCFA, ce qui, combiné à un skewness de -0,068, indique une distribution quasi symétrique des prix. L'écart-type de 389 FCFA (CV=5,4%) révèle une dispersion modérée autour de la moyenne, tandis que le kurtosis de -0,769 (mésokurtique) suggère l'absence de mouvements extrêmes ou de pics de volatilité soudains. La volatilité annualisée de 24,6% classe le titre dans la catégorie modérée (15-30%), offrant un équilibre entre potentiel de rendement et maîtrise du risque.</w:t>
      </w:r>
    </w:p>
    <w:p>
      <w:pPr>
        <w:spacing w:after="120" w:line="276" w:lineRule="auto" w:before="240"/>
      </w:pPr>
      <w:r>
        <w:rPr>
          <w:b/>
          <w:color w:val="003366"/>
          <w:sz w:val="24"/>
        </w:rPr>
        <w:t>**PARTIE 2 : ANALYSE TECHNIQUE DÉTAILLÉE**</w:t>
      </w:r>
    </w:p>
    <w:p>
      <w:pPr>
        <w:spacing w:after="120" w:line="276" w:lineRule="auto"/>
      </w:pPr>
      <w:r>
        <w:t>**Moyennes Mobiles** : Le cours actuel de 7 710 FCFA se positionne au-dessus de la MM20 (7 614,25 FCFA) et de la MM50 (7 467,2 FCFA), confirmant une tendance haussière de court et moyen terme. La configuration des moyennes mobiles, avec le cours évoluant au-dessus des deux, génère un signal d'achat, indiquant que la dynamique positive est soutenue par les volumes et la participation des investisseurs.</w:t>
      </w:r>
    </w:p>
    <w:p>
      <w:pPr>
        <w:spacing w:after="120" w:line="276" w:lineRule="auto"/>
      </w:pPr>
      <w:r>
        <w:t>**Bandes de Bollinger** : Le prix se situe à 7 710 FCFA, entre la borne inférieure (7 181,289 FCFA) et la borne supérieure (8 047,211 FCFA), proche du milieu de l'enveloppe. Cette position neutre suggère une volatilité normale sans extension excessive, laissant présager une poursuite de la tendance sans risque immédiat de retournement brutal.</w:t>
      </w:r>
    </w:p>
    <w:p>
      <w:pPr>
        <w:spacing w:after="120" w:line="276" w:lineRule="auto"/>
      </w:pPr>
      <w:r>
        <w:t>**MACD** : La valeur du MACD (86,389) est inférieure à son signal (94,87), indiquant un momentum baissier à court terme malgré la tendance haussière des moyennes mobiles. Ce croisement baissier, bien que modéré, signale une possible consolidation ou correction technique à venir, justifiant la décision de vente pour les traders à court terme.</w:t>
      </w:r>
    </w:p>
    <w:p>
      <w:pPr>
        <w:spacing w:after="120" w:line="276" w:lineRule="auto"/>
      </w:pPr>
      <w:r>
        <w:t>**RSI** : Avec une valeur de 50,362, le RSI se situe exactement dans la zone neutre (30-70), ne montrant ni surachat ni survente. Cette position équilibrée indique que le titre n'est ni surévalué ni sous-évalué techniquement, laissant place à une évolution directionnelle sans contrainte.</w:t>
      </w:r>
    </w:p>
    <w:p>
      <w:pPr>
        <w:spacing w:after="120" w:line="276" w:lineRule="auto"/>
      </w:pPr>
      <w:r>
        <w:t>**Stochastique** : Le %K (46,875) est supérieur au %D (41,31), suggérant un début de croisement haussier, bien que les deux valeurs restent en zone neutre. Cette configuration, sans signal fort, indique une stabilisation du momentum après une période de consolidation.</w:t>
      </w:r>
    </w:p>
    <w:p>
      <w:pPr>
        <w:spacing w:after="120" w:line="276" w:lineRule="auto"/>
      </w:pPr>
      <w:r>
        <w:t>**Conclusion technique** : La convergence des signaux est mitigée : les moyennes mobiles plaident pour un achat, tandis que le MACD suggère une prudence à court terme. Le RSI et le stochastique, en zone neutre, n'apportent pas de direction claire. Globalement, la tendance de fond reste haussière, mais une consolidation à court terme est possible avant la poursuite du mouvement.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BOAS confirment la solidité de la banque : le Produit Net Bancaire (PNB) s'établit à 51,926 milliards FCFA, avec un résultat net de 21,905 milliards FCFA, générant un ROE exceptionnel de 22,69% et un ROA de 2,62%. Le coefficient d'exploitation de 44,02% témoigne d'une excellente maîtrise des charges, bien en deçà du seuil de 60% considéré comme efficace. Le coût du risque, à 23,31% des charges financières, reste élevé mais en amélioration, reflétant une gestion prudente du portefeuille de crédits. Les dépôts clientèle (686,927 milliards FCFA) dépassent largement les créances (386,424 milliards FCFA), indiquant une transformation saine. Les rapports trimestriels 2025 confirment cette dynamique : au T1, le PNB progresse de 2,36% et le résultat net de 9,25% ; au S1, la croissance s'accélère avec un PNB à +6,77% et un résultat net à +12,70% ; au T3, le PNB cumulé atteint 37,44 milliards FCFA (+6,71%) et le résultat net 16,37 milliards FCFA (+10,01%). Sur la base de ces tendances, on estime que l'exercice 2025 devrait clôturer avec un PNB autour de 52-53 milliards FCFA et un résultat net proche de 22 milliards FCFA, confirmant la trajectoire ascendante. Les rapports 2026 (T1) montrent une poursuite de la croissance avec un PNB de 12,58 milliards FCFA (+6,82%) et un résultat net de 5,741 milliards FCFA (+9,78%), soutenus par une hausse des dépôts de 16,68%. La banque affiche une santé financière robuste, une croissance soutenue et une gestion rigoureuse des risques.</w:t>
      </w:r>
    </w:p>
    <w:p>
      <w:pPr>
        <w:spacing w:after="120" w:line="276" w:lineRule="auto" w:before="240"/>
      </w:pPr>
      <w:r>
        <w:rPr>
          <w:b/>
          <w:color w:val="003366"/>
          <w:sz w:val="24"/>
        </w:rPr>
        <w:t>**PARTIE 4 : CONCLUSION D'INVESTISSEMENT**</w:t>
      </w:r>
    </w:p>
    <w:p>
      <w:pPr>
        <w:spacing w:after="120" w:line="276" w:lineRule="auto"/>
      </w:pPr>
      <w:r>
        <w:t>La valorisation de BOAS (PER 12,7x, P/B 2,88x, EV/EBITDA 8,1x) est raisonnable et reflète une prime de croissance justifiée par la qualité des fondamentaux. Le comportement du cours sur 100 jours (+10,14%) avec une volatilité modérée (24,6%) et une distribution symétrique (skewness -0,068, kurtosis -0,769) indique une progression saine sans excès spéculatif. Les signaux techniques sont partagés : les moyennes mobiles plaident pour un achat, mais le MACD suggère une consolidation à court terme, tandis que le RSI et le stochastique restent neutres. Les fondamentaux sont excellents : ROE de 22,69%, coefficient d'exploitation de 44,02%, et croissance soutenue du PNB et du résultat net sur les trois premiers trimestres 2025 et le T1 2026. Les prédictions IA (J+1 à J+10) montrent une trajectoire baissière de 7 518 à 7 109 FCFA, contredisant la tendance haussière de fond et suggérant une correction technique à très court terme. Cette divergence entre la force fondamentale et le signal technique à court terme appelle à la prudence. **Recommandation finale : ACHAT** avec un niveau de confiance **Élevé** et un risque global **Moyen**. L'horizon d'investissement optimal est le **moyen terme (3-12 mois)**, permettant d'absorber la volatilité à court terme et de bénéficier de la solidité des fondamentaux et de la croissance continue de la banque.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2,460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B40000"/>
                <w:sz w:val="17"/>
              </w:rPr>
              <w:t>-7.79%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8.59% (Moyenne) — μ=3,743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β=-0.0419 (Contre-cyclique) — Cov=-0.000002, Var(idx)=0.000036, ρ=-0.007,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2,460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3,470</w:t>
            </w:r>
          </w:p>
        </w:tc>
        <w:tc>
          <w:tcPr>
            <w:tcW w:type="dxa" w:w="1440"/>
            <w:shd w:fill="C6EFCE" w:val="clear"/>
          </w:tcPr>
          <w:p>
            <w:r>
              <w:rPr>
                <w:b/>
                <w:sz w:val="17"/>
              </w:rPr>
              <w:t>3,707</w:t>
            </w:r>
          </w:p>
        </w:tc>
        <w:tc>
          <w:tcPr>
            <w:tcW w:type="dxa" w:w="1440"/>
            <w:shd w:fill="C6EFCE" w:val="clear"/>
          </w:tcPr>
          <w:p>
            <w:r>
              <w:rPr>
                <w:sz w:val="17"/>
              </w:rPr>
              <w:t>3,943</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3,522</w:t>
            </w:r>
          </w:p>
        </w:tc>
        <w:tc>
          <w:tcPr>
            <w:tcW w:type="dxa" w:w="1440"/>
            <w:shd w:fill="C6EFCE" w:val="clear"/>
          </w:tcPr>
          <w:p>
            <w:r>
              <w:rPr>
                <w:b/>
                <w:sz w:val="17"/>
              </w:rPr>
              <w:t>3,872</w:t>
            </w:r>
          </w:p>
        </w:tc>
        <w:tc>
          <w:tcPr>
            <w:tcW w:type="dxa" w:w="1440"/>
            <w:shd w:fill="C6EFCE" w:val="clear"/>
          </w:tcPr>
          <w:p>
            <w:r>
              <w:rPr>
                <w:sz w:val="17"/>
              </w:rPr>
              <w:t>4,222</w:t>
            </w:r>
          </w:p>
        </w:tc>
        <w:tc>
          <w:tcPr>
            <w:tcW w:type="dxa" w:w="1440"/>
            <w:shd w:fill="C6EFCE" w:val="clear"/>
          </w:tcPr>
          <w:p>
            <w:r>
              <w:rPr>
                <w:b/>
                <w:color w:val="008000"/>
                <w:sz w:val="17"/>
              </w:rPr>
              <w:t>+9.1%</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3,616</w:t>
            </w:r>
          </w:p>
        </w:tc>
        <w:tc>
          <w:tcPr>
            <w:tcW w:type="dxa" w:w="1440"/>
            <w:shd w:fill="C6EFCE" w:val="clear"/>
          </w:tcPr>
          <w:p>
            <w:r>
              <w:rPr>
                <w:b/>
                <w:sz w:val="17"/>
              </w:rPr>
              <w:t>4,066</w:t>
            </w:r>
          </w:p>
        </w:tc>
        <w:tc>
          <w:tcPr>
            <w:tcW w:type="dxa" w:w="1440"/>
            <w:shd w:fill="C6EFCE" w:val="clear"/>
          </w:tcPr>
          <w:p>
            <w:r>
              <w:rPr>
                <w:sz w:val="17"/>
              </w:rPr>
              <w:t>4,516</w:t>
            </w:r>
          </w:p>
        </w:tc>
        <w:tc>
          <w:tcPr>
            <w:tcW w:type="dxa" w:w="1440"/>
            <w:shd w:fill="C6EFCE" w:val="clear"/>
          </w:tcPr>
          <w:p>
            <w:r>
              <w:rPr>
                <w:b/>
                <w:color w:val="008000"/>
                <w:sz w:val="17"/>
              </w:rPr>
              <w:t>+14.5%</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3,737</w:t>
            </w:r>
          </w:p>
        </w:tc>
        <w:tc>
          <w:tcPr>
            <w:tcW w:type="dxa" w:w="1440"/>
            <w:shd w:fill="C6EFCE" w:val="clear"/>
          </w:tcPr>
          <w:p>
            <w:r>
              <w:rPr>
                <w:b/>
                <w:sz w:val="17"/>
              </w:rPr>
              <w:t>4,285</w:t>
            </w:r>
          </w:p>
        </w:tc>
        <w:tc>
          <w:tcPr>
            <w:tcW w:type="dxa" w:w="1440"/>
            <w:shd w:fill="C6EFCE" w:val="clear"/>
          </w:tcPr>
          <w:p>
            <w:r>
              <w:rPr>
                <w:sz w:val="17"/>
              </w:rPr>
              <w:t>4,832</w:t>
            </w:r>
          </w:p>
        </w:tc>
        <w:tc>
          <w:tcPr>
            <w:tcW w:type="dxa" w:w="1440"/>
            <w:shd w:fill="C6EFCE" w:val="clear"/>
          </w:tcPr>
          <w:p>
            <w:r>
              <w:rPr>
                <w:b/>
                <w:color w:val="008000"/>
                <w:sz w:val="17"/>
              </w:rPr>
              <w:t>+20.7%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3,883</w:t>
            </w:r>
          </w:p>
        </w:tc>
        <w:tc>
          <w:tcPr>
            <w:tcW w:type="dxa" w:w="1440"/>
            <w:shd w:fill="C6EFCE" w:val="clear"/>
          </w:tcPr>
          <w:p>
            <w:r>
              <w:rPr>
                <w:b/>
                <w:sz w:val="17"/>
              </w:rPr>
              <w:t>4,530</w:t>
            </w:r>
          </w:p>
        </w:tc>
        <w:tc>
          <w:tcPr>
            <w:tcW w:type="dxa" w:w="1440"/>
            <w:shd w:fill="C6EFCE" w:val="clear"/>
          </w:tcPr>
          <w:p>
            <w:r>
              <w:rPr>
                <w:sz w:val="17"/>
              </w:rPr>
              <w:t>5,177</w:t>
            </w:r>
          </w:p>
        </w:tc>
        <w:tc>
          <w:tcPr>
            <w:tcW w:type="dxa" w:w="1440"/>
            <w:shd w:fill="C6EFCE" w:val="clear"/>
          </w:tcPr>
          <w:p>
            <w:r>
              <w:rPr>
                <w:b/>
                <w:color w:val="008000"/>
                <w:sz w:val="17"/>
              </w:rPr>
              <w:t>+27.6%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4,056</w:t>
            </w:r>
          </w:p>
        </w:tc>
        <w:tc>
          <w:tcPr>
            <w:tcW w:type="dxa" w:w="1440"/>
            <w:shd w:fill="C6EFCE" w:val="clear"/>
          </w:tcPr>
          <w:p>
            <w:r>
              <w:rPr>
                <w:b/>
                <w:sz w:val="17"/>
              </w:rPr>
              <w:t>4,809</w:t>
            </w:r>
          </w:p>
        </w:tc>
        <w:tc>
          <w:tcPr>
            <w:tcW w:type="dxa" w:w="1440"/>
            <w:shd w:fill="C6EFCE" w:val="clear"/>
          </w:tcPr>
          <w:p>
            <w:r>
              <w:rPr>
                <w:sz w:val="17"/>
              </w:rPr>
              <w:t>5,561</w:t>
            </w:r>
          </w:p>
        </w:tc>
        <w:tc>
          <w:tcPr>
            <w:tcW w:type="dxa" w:w="1440"/>
            <w:shd w:fill="C6EFCE" w:val="clear"/>
          </w:tcPr>
          <w:p>
            <w:r>
              <w:rPr>
                <w:b/>
                <w:color w:val="008000"/>
                <w:sz w:val="17"/>
              </w:rPr>
              <w:t>+35.5%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4,265</w:t>
            </w:r>
          </w:p>
        </w:tc>
        <w:tc>
          <w:tcPr>
            <w:tcW w:type="dxa" w:w="1440"/>
            <w:shd w:fill="C6EFCE" w:val="clear"/>
          </w:tcPr>
          <w:p>
            <w:r>
              <w:rPr>
                <w:b/>
                <w:sz w:val="17"/>
              </w:rPr>
              <w:t>5,132</w:t>
            </w:r>
          </w:p>
        </w:tc>
        <w:tc>
          <w:tcPr>
            <w:tcW w:type="dxa" w:w="1440"/>
            <w:shd w:fill="C6EFCE" w:val="clear"/>
          </w:tcPr>
          <w:p>
            <w:r>
              <w:rPr>
                <w:sz w:val="17"/>
              </w:rPr>
              <w:t>6,000</w:t>
            </w:r>
          </w:p>
        </w:tc>
        <w:tc>
          <w:tcPr>
            <w:tcW w:type="dxa" w:w="1440"/>
            <w:shd w:fill="C6EFCE" w:val="clear"/>
          </w:tcPr>
          <w:p>
            <w:r>
              <w:rPr>
                <w:b/>
                <w:color w:val="008000"/>
                <w:sz w:val="17"/>
              </w:rPr>
              <w:t>+44.6%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4,520</w:t>
            </w:r>
          </w:p>
        </w:tc>
        <w:tc>
          <w:tcPr>
            <w:tcW w:type="dxa" w:w="1440"/>
            <w:shd w:fill="C6EFCE" w:val="clear"/>
          </w:tcPr>
          <w:p>
            <w:r>
              <w:rPr>
                <w:b/>
                <w:sz w:val="17"/>
              </w:rPr>
              <w:t>5,516</w:t>
            </w:r>
          </w:p>
        </w:tc>
        <w:tc>
          <w:tcPr>
            <w:tcW w:type="dxa" w:w="1440"/>
            <w:shd w:fill="C6EFCE" w:val="clear"/>
          </w:tcPr>
          <w:p>
            <w:r>
              <w:rPr>
                <w:sz w:val="17"/>
              </w:rPr>
              <w:t>6,513</w:t>
            </w:r>
          </w:p>
        </w:tc>
        <w:tc>
          <w:tcPr>
            <w:tcW w:type="dxa" w:w="1440"/>
            <w:shd w:fill="C6EFCE" w:val="clear"/>
          </w:tcPr>
          <w:p>
            <w:r>
              <w:rPr>
                <w:b/>
                <w:color w:val="008000"/>
                <w:sz w:val="17"/>
              </w:rPr>
              <w:t>+55.4%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4,794</w:t>
            </w:r>
          </w:p>
        </w:tc>
        <w:tc>
          <w:tcPr>
            <w:tcW w:type="dxa" w:w="1440"/>
            <w:shd w:fill="C6EFCE" w:val="clear"/>
          </w:tcPr>
          <w:p>
            <w:r>
              <w:rPr>
                <w:b/>
                <w:sz w:val="17"/>
              </w:rPr>
              <w:t>5,930</w:t>
            </w:r>
          </w:p>
        </w:tc>
        <w:tc>
          <w:tcPr>
            <w:tcW w:type="dxa" w:w="1440"/>
            <w:shd w:fill="C6EFCE" w:val="clear"/>
          </w:tcPr>
          <w:p>
            <w:r>
              <w:rPr>
                <w:sz w:val="17"/>
              </w:rPr>
              <w:t>7,066</w:t>
            </w:r>
          </w:p>
        </w:tc>
        <w:tc>
          <w:tcPr>
            <w:tcW w:type="dxa" w:w="1440"/>
            <w:shd w:fill="C6EFCE" w:val="clear"/>
          </w:tcPr>
          <w:p>
            <w:r>
              <w:rPr>
                <w:b/>
                <w:color w:val="008000"/>
                <w:sz w:val="17"/>
              </w:rPr>
              <w:t>+67.0%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5,087</w:t>
            </w:r>
          </w:p>
        </w:tc>
        <w:tc>
          <w:tcPr>
            <w:tcW w:type="dxa" w:w="1440"/>
            <w:shd w:fill="C6EFCE" w:val="clear"/>
          </w:tcPr>
          <w:p>
            <w:r>
              <w:rPr>
                <w:b/>
                <w:sz w:val="17"/>
              </w:rPr>
              <w:t>6,375</w:t>
            </w:r>
          </w:p>
        </w:tc>
        <w:tc>
          <w:tcPr>
            <w:tcW w:type="dxa" w:w="1440"/>
            <w:shd w:fill="C6EFCE" w:val="clear"/>
          </w:tcPr>
          <w:p>
            <w:r>
              <w:rPr>
                <w:sz w:val="17"/>
              </w:rPr>
              <w:t>7,662</w:t>
            </w:r>
          </w:p>
        </w:tc>
        <w:tc>
          <w:tcPr>
            <w:tcW w:type="dxa" w:w="1440"/>
            <w:shd w:fill="C6EFCE" w:val="clear"/>
          </w:tcPr>
          <w:p>
            <w:r>
              <w:rPr>
                <w:b/>
                <w:color w:val="008000"/>
                <w:sz w:val="17"/>
              </w:rPr>
              <w:t>+79.6%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21,02 milliards FCFA, un niveau modeste dans l'écosystème BRVM, reflétant un profil de valeur moyenne. Le BPA de 243 FCFA indique que chaque action génère un bénéfice de ce montant. Le PER de 14,6x est supérieur à la moyenne historique de la BRVM (8-12x), ce qui suggère que le marché applique une prime de valorisation, potentiellement justifiée par les perspectives de croissance du secteur des infrastructures. Le P/B de 2,25x confirme cette prime, le marché valorisant l'actif net à plus du double de sa valeur comptable. Enfin, l'EV/EBITDA de 7,4x se situe dans une fourchette raisonnable (5-10x), indiquant que la valeur totale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de 7,79%, mais a rebondi de 1,43% lors de la dernière séance, signe d'un possible retour des acheteurs. Le titre a évolué dans une fourchette large de 3 165 FCFA (plus bas) à 4 500 FCFA (plus haut), illustrant une volatilité intraday significative. La moyenne du cours (3 743 FCFA) est supérieure à la médiane (3 700 FCFA), indiquant une distribution légèrement asymétrique à gauche, avec quelques fortes hausses qui tirent la moyenne vers le haut. L'écart-type de 323 FCFA (CV=8,6%) montre une dispersion modérée autour de la moyenne. Le kurtosis de -0,402 (mésokurtique) et le skewness de 0,374 (distribution symétrique) suggèrent une distribution des rendements proche de la normale, sans risque de pics extrêmes. La volatilité annualisée de 58,3% est très élevée (&gt;30%), ce qui positionne CABC comme un titre spéculatif à fort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(3 550 FCFA) se situe sous la MM20 (3 700 FCFA) et nettement sous la MM50 (3 881,3 FCFA). Cette configuration baissière indique que la tendance de fond reste négative à court et moyen terme, justifiant la décision de "Vente". Le croisement des MM20 sous la MM50, s'il se produit, confirmerait un signal de retournement baissier.</w:t>
      </w:r>
    </w:p>
    <w:p>
      <w:pPr>
        <w:spacing w:after="120" w:line="276" w:lineRule="auto"/>
      </w:pPr>
      <w:r>
        <w:t>**Bandes de Bollinger** : Le prix (3 550 FCFA) se positionne dans la moitié inférieure du canal, entre la borne inférieure (3 379,6 FCFA) et la moyenne mobile. La largeur des bandes indique une volatilité élevée. La décision "Neutre" suggère que le titre n'est ni en situation de surachat ni de survente extrême, mais la pression vendeuse reste présente.</w:t>
      </w:r>
    </w:p>
    <w:p>
      <w:pPr>
        <w:spacing w:after="120" w:line="276" w:lineRule="auto"/>
      </w:pPr>
      <w:r>
        <w:t>**MACD** : La valeur du MACD (-115,3) est inférieure à son signal (-93,0), confirmant un momentum baissier. La divergence négative entre le MACD et le signal indique que la dynamique des prix reste défavorable, justifiant la décision de "Vente". Un croisement haussier du MACD au-dessus de son signal serait nécessaire pour signaler un retournement.</w:t>
      </w:r>
    </w:p>
    <w:p>
      <w:pPr>
        <w:spacing w:after="120" w:line="276" w:lineRule="auto"/>
      </w:pPr>
      <w:r>
        <w:t>**RSI** : Le RSI à 46,5 se situe en zone neutre (30-70), indiquant un équilibre relatif entre acheteurs et vendeurs. Il n'y a pas de pression excessive à la vente ni à l'achat. La décision "Neutre" est cohérente avec cette lecture, mais le RSI reste sous les 50, suggérant une faiblesse sous-jacente.</w:t>
      </w:r>
    </w:p>
    <w:p>
      <w:pPr>
        <w:spacing w:after="120" w:line="276" w:lineRule="auto"/>
      </w:pPr>
      <w:r>
        <w:t>**Stochastique** : Le %K (15,8) et le %D (7,0) sont tous deux en zone de survente (&lt;20), et le %K est au-dessus du %D, indiquant un croisement haussier. Ce signal d'"Achat" suggère qu'un rebond technique est possible à très court terme, après la récente baisse.</w:t>
      </w:r>
    </w:p>
    <w:p>
      <w:pPr>
        <w:spacing w:after="120" w:line="276" w:lineRule="auto"/>
      </w:pPr>
      <w:r>
        <w:t>**Conclusion technique** : Les indicateurs de tendance (MM, MACD) sont baissiers, tandis que les oscillateurs de momentum (RSI, Stochastique) montrent des signes de stabilisation et de potentiel rebond. Le titre est dans une phase de consolidation baissière, mais les conditions de survente pourraient favoriser un rebond technique à court terme. La prudence reste de mise tant que le cours n'a pas franchi la MM20 à 3 700 FCFA.</w:t>
      </w:r>
    </w:p>
    <w:p>
      <w:pPr>
        <w:spacing w:after="120" w:line="276" w:lineRule="auto"/>
      </w:pPr>
      <w:r>
        <w:t>---</w:t>
      </w:r>
    </w:p>
    <w:p>
      <w:pPr>
        <w:spacing w:after="120" w:line="276" w:lineRule="auto"/>
      </w:pPr>
      <w:r>
        <w:t>### PARTIE 3 : ANALYSE FONDAMENTALE (SECTION CRITIQUE)</w:t>
      </w:r>
    </w:p>
    <w:p>
      <w:pPr>
        <w:spacing w:after="120" w:line="276" w:lineRule="auto"/>
      </w:pPr>
      <w:r>
        <w:t>En 2025, la CABC a réalisé un chiffre d'affaires de 21,263 milliards FCFA, en hausse de 11,2% par rapport à 2024 (19,125 milliards FCFA), démontrant une dynamique commerciale soutenue. Le résultat net s'établit à 1,439 milliard FCFA, contre 1,375 milliard en 2024, soit une progression de 4,7%. La rentabilité des fonds propres (ROE) est excellente à 15,4%, et le ROA de 6,1% est correct. Cependant, la structure financière révèle des tensions : le BFR est élevé à 7,186 milliards FCFA, avec des délais de paiement clients de 144,7 jours et une durée de stockage de 152,1 jours, ce qui immobilise une part importante de la trésorerie. Le flux opérationnel est négatif (-819,7 millions FCFA), et le free cash-flow est également négatif (-982,7 millions FCFA), malgré une CAF positive de 1,593 milliard FCFA. Les rapports trimestriels 2025 (S1 et 9 mois) confirment cette tendance : le S1 2025 affiche un résultat net de 851,5 millions FCFA (+55,3%), et les 9 mois un résultat net de 1,329 milliard FCFA (+26%). Sur la base de ces données, on estime que l'exercice 2025 devrait confirmer une croissance à deux chiffres du CA et une amélioration de la rentabilité. Cependant, le rapport annuel certifié 2024 (publié en 2025) et le rapport T1 2026 (baisse de 26,5% du CA) montrent une forte volatilité des performances, liée aux cours des métaux et à la conjoncture. La solidité financière est confortée par une trésorerie nette de 5,139 milliards FCFA et une capacité de remboursement de 0,26 an, mais la gestion du BFR et la dépendance aux matières premières restent les principaux risques.</w:t>
      </w:r>
    </w:p>
    <w:p>
      <w:pPr>
        <w:spacing w:after="120" w:line="276" w:lineRule="auto"/>
      </w:pPr>
      <w:r>
        <w:t>---</w:t>
      </w:r>
    </w:p>
    <w:p>
      <w:pPr>
        <w:spacing w:after="120" w:line="276" w:lineRule="auto"/>
      </w:pPr>
      <w:r>
        <w:t>### PARTIE 4 : CONCLUSION D'INVESTISSEMENT</w:t>
      </w:r>
    </w:p>
    <w:p>
      <w:pPr>
        <w:spacing w:after="120" w:line="276" w:lineRule="auto"/>
      </w:pPr>
      <w:r>
        <w:t>La valorisation de CABC (PER 14,6x, P/B 2,25x) est légèrement supérieure aux moyennes du marché BRVM, indiquant que le titre n'est pas sous-évalué, mais le marché intègre des perspectives de croissance. Le comportement du cours sur 100 jours est baissier (-7,79%), avec une volatilité très élevée (58,3%), ce qui est préoccupant pour un investisseur prudent. Les signaux techniques sont mitigés : la tendance (MM, MACD) est vendeuse, mais les oscillateurs (RSI, Stochastique) suggèrent un rebond imminent. Les fondamentaux sont solides (CA en croissance, ROE &gt;15%), mais la gestion du BFR et les flux de trésorerie négatifs sont des points de vigilance. Les prédictions IA (3 707 à 4 530 FCFA sur 10 jours) anticipent une forte hausse, ce qui contredit la tendance technique baissière mais pourrait refléter un rebond technique après la survente. La convergence entre la valorisation raisonnable, les fondamentaux solides et les signaux de rebond technique suggère une recommandation **CONSERVER** avec un biais positif. Le niveau de confiance est **Moyen**, le risque global est **Élevé** (volatilité, matières premières), et l'horizon d'investissement optimal est le **moyen terme (3-12 mois)**, en attendant une confirmation de la reprise de la profitabilité et une amélioration de la gestion du BFR.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905.76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1,733 titres</w:t>
            </w:r>
          </w:p>
        </w:tc>
        <w:tc>
          <w:tcPr>
            <w:tcW w:type="dxa" w:w="2268"/>
            <w:shd w:fill="FFF2CC" w:val="clear"/>
          </w:tcPr>
          <w:p>
            <w:r>
              <w:rPr>
                <w:b/>
                <w:color w:val="503200"/>
                <w:sz w:val="16"/>
              </w:rPr>
              <w:t xml:space="preserve">Cours actuel : </w:t>
            </w:r>
            <w:r>
              <w:rPr>
                <w:color w:val="000000"/>
                <w:sz w:val="17"/>
              </w:rPr>
              <w:t>28,305 FCFA</w:t>
            </w:r>
          </w:p>
          <w:p>
            <w:r>
              <w:rPr>
                <w:b/>
                <w:color w:val="503200"/>
                <w:sz w:val="16"/>
              </w:rPr>
              <w:t xml:space="preserve">Var. 100 jours : </w:t>
            </w:r>
            <w:r>
              <w:rPr>
                <w:b/>
                <w:color w:val="007800"/>
                <w:sz w:val="17"/>
              </w:rPr>
              <w:t>+102.18%</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25.01% (Élevée) — μ=20,537 FCFA, σ=5,137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β=0.6216 (Défensif) — Cov=0.000023, Var(idx)=0.000036, ρ=0.141,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24,968</w:t>
            </w:r>
          </w:p>
        </w:tc>
        <w:tc>
          <w:tcPr>
            <w:tcW w:type="dxa" w:w="1440"/>
            <w:shd w:fill="FFDCE0" w:val="clear"/>
          </w:tcPr>
          <w:p>
            <w:r>
              <w:rPr>
                <w:b/>
                <w:sz w:val="17"/>
              </w:rPr>
              <w:t>26,182</w:t>
            </w:r>
          </w:p>
        </w:tc>
        <w:tc>
          <w:tcPr>
            <w:tcW w:type="dxa" w:w="1440"/>
            <w:shd w:fill="FFDCE0" w:val="clear"/>
          </w:tcPr>
          <w:p>
            <w:r>
              <w:rPr>
                <w:sz w:val="17"/>
              </w:rPr>
              <w:t>27,396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22,630</w:t>
            </w:r>
          </w:p>
        </w:tc>
        <w:tc>
          <w:tcPr>
            <w:tcW w:type="dxa" w:w="1440"/>
            <w:shd w:fill="FFDCE0" w:val="clear"/>
          </w:tcPr>
          <w:p>
            <w:r>
              <w:rPr>
                <w:b/>
                <w:sz w:val="17"/>
              </w:rPr>
              <w:t>24,218</w:t>
            </w:r>
          </w:p>
        </w:tc>
        <w:tc>
          <w:tcPr>
            <w:tcW w:type="dxa" w:w="1440"/>
            <w:shd w:fill="FFDCE0" w:val="clear"/>
          </w:tcPr>
          <w:p>
            <w:r>
              <w:rPr>
                <w:sz w:val="17"/>
              </w:rPr>
              <w:t>25,807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20,603</w:t>
            </w:r>
          </w:p>
        </w:tc>
        <w:tc>
          <w:tcPr>
            <w:tcW w:type="dxa" w:w="1440"/>
            <w:shd w:fill="FFDCE0" w:val="clear"/>
          </w:tcPr>
          <w:p>
            <w:r>
              <w:rPr>
                <w:b/>
                <w:sz w:val="17"/>
              </w:rPr>
              <w:t>22,402</w:t>
            </w:r>
          </w:p>
        </w:tc>
        <w:tc>
          <w:tcPr>
            <w:tcW w:type="dxa" w:w="1440"/>
            <w:shd w:fill="FFDCE0" w:val="clear"/>
          </w:tcPr>
          <w:p>
            <w:r>
              <w:rPr>
                <w:sz w:val="17"/>
              </w:rPr>
              <w:t>24,202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18,800</w:t>
            </w:r>
          </w:p>
        </w:tc>
        <w:tc>
          <w:tcPr>
            <w:tcW w:type="dxa" w:w="1440"/>
            <w:shd w:fill="FFDCE0" w:val="clear"/>
          </w:tcPr>
          <w:p>
            <w:r>
              <w:rPr>
                <w:b/>
                <w:sz w:val="17"/>
              </w:rPr>
              <w:t>20,722</w:t>
            </w:r>
          </w:p>
        </w:tc>
        <w:tc>
          <w:tcPr>
            <w:tcW w:type="dxa" w:w="1440"/>
            <w:shd w:fill="FFDCE0" w:val="clear"/>
          </w:tcPr>
          <w:p>
            <w:r>
              <w:rPr>
                <w:sz w:val="17"/>
              </w:rPr>
              <w:t>22,644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17,458</w:t>
            </w:r>
          </w:p>
        </w:tc>
        <w:tc>
          <w:tcPr>
            <w:tcW w:type="dxa" w:w="1440"/>
            <w:shd w:fill="FFDCE0" w:val="clear"/>
          </w:tcPr>
          <w:p>
            <w:r>
              <w:rPr>
                <w:b/>
                <w:sz w:val="17"/>
              </w:rPr>
              <w:t>19,478</w:t>
            </w:r>
          </w:p>
        </w:tc>
        <w:tc>
          <w:tcPr>
            <w:tcW w:type="dxa" w:w="1440"/>
            <w:shd w:fill="FFDCE0" w:val="clear"/>
          </w:tcPr>
          <w:p>
            <w:r>
              <w:rPr>
                <w:sz w:val="17"/>
              </w:rPr>
              <w:t>21,498</w:t>
            </w:r>
          </w:p>
        </w:tc>
        <w:tc>
          <w:tcPr>
            <w:tcW w:type="dxa" w:w="1440"/>
            <w:shd w:fill="FFDCE0" w:val="clear"/>
          </w:tcPr>
          <w:p>
            <w:r>
              <w:rPr>
                <w:b/>
                <w:color w:val="C00000"/>
                <w:sz w:val="17"/>
              </w:rPr>
              <w:t>-31.2%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16,792</w:t>
            </w:r>
          </w:p>
        </w:tc>
        <w:tc>
          <w:tcPr>
            <w:tcW w:type="dxa" w:w="1440"/>
            <w:shd w:fill="FFDCE0" w:val="clear"/>
          </w:tcPr>
          <w:p>
            <w:r>
              <w:rPr>
                <w:b/>
                <w:sz w:val="17"/>
              </w:rPr>
              <w:t>18,944</w:t>
            </w:r>
          </w:p>
        </w:tc>
        <w:tc>
          <w:tcPr>
            <w:tcW w:type="dxa" w:w="1440"/>
            <w:shd w:fill="FFDCE0" w:val="clear"/>
          </w:tcPr>
          <w:p>
            <w:r>
              <w:rPr>
                <w:sz w:val="17"/>
              </w:rPr>
              <w:t>21,096</w:t>
            </w:r>
          </w:p>
        </w:tc>
        <w:tc>
          <w:tcPr>
            <w:tcW w:type="dxa" w:w="1440"/>
            <w:shd w:fill="FFDCE0" w:val="clear"/>
          </w:tcPr>
          <w:p>
            <w:r>
              <w:rPr>
                <w:b/>
                <w:color w:val="C00000"/>
                <w:sz w:val="17"/>
              </w:rPr>
              <w:t>-33.1%</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16,209</w:t>
            </w:r>
          </w:p>
        </w:tc>
        <w:tc>
          <w:tcPr>
            <w:tcW w:type="dxa" w:w="1440"/>
            <w:shd w:fill="FFDCE0" w:val="clear"/>
          </w:tcPr>
          <w:p>
            <w:r>
              <w:rPr>
                <w:b/>
                <w:sz w:val="17"/>
              </w:rPr>
              <w:t>18,476</w:t>
            </w:r>
          </w:p>
        </w:tc>
        <w:tc>
          <w:tcPr>
            <w:tcW w:type="dxa" w:w="1440"/>
            <w:shd w:fill="FFDCE0" w:val="clear"/>
          </w:tcPr>
          <w:p>
            <w:r>
              <w:rPr>
                <w:sz w:val="17"/>
              </w:rPr>
              <w:t>20,744</w:t>
            </w:r>
          </w:p>
        </w:tc>
        <w:tc>
          <w:tcPr>
            <w:tcW w:type="dxa" w:w="1440"/>
            <w:shd w:fill="FFDCE0" w:val="clear"/>
          </w:tcPr>
          <w:p>
            <w:r>
              <w:rPr>
                <w:b/>
                <w:color w:val="C00000"/>
                <w:sz w:val="17"/>
              </w:rPr>
              <w:t>-34.7%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15,690</w:t>
            </w:r>
          </w:p>
        </w:tc>
        <w:tc>
          <w:tcPr>
            <w:tcW w:type="dxa" w:w="1440"/>
            <w:shd w:fill="FFDCE0" w:val="clear"/>
          </w:tcPr>
          <w:p>
            <w:r>
              <w:rPr>
                <w:b/>
                <w:sz w:val="17"/>
              </w:rPr>
              <w:t>18,058</w:t>
            </w:r>
          </w:p>
        </w:tc>
        <w:tc>
          <w:tcPr>
            <w:tcW w:type="dxa" w:w="1440"/>
            <w:shd w:fill="FFDCE0" w:val="clear"/>
          </w:tcPr>
          <w:p>
            <w:r>
              <w:rPr>
                <w:sz w:val="17"/>
              </w:rPr>
              <w:t>20,427</w:t>
            </w:r>
          </w:p>
        </w:tc>
        <w:tc>
          <w:tcPr>
            <w:tcW w:type="dxa" w:w="1440"/>
            <w:shd w:fill="FFDCE0" w:val="clear"/>
          </w:tcPr>
          <w:p>
            <w:r>
              <w:rPr>
                <w:b/>
                <w:color w:val="C00000"/>
                <w:sz w:val="17"/>
              </w:rPr>
              <w:t>-36.2%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15,220</w:t>
            </w:r>
          </w:p>
        </w:tc>
        <w:tc>
          <w:tcPr>
            <w:tcW w:type="dxa" w:w="1440"/>
            <w:shd w:fill="FFDCE0" w:val="clear"/>
          </w:tcPr>
          <w:p>
            <w:r>
              <w:rPr>
                <w:b/>
                <w:sz w:val="17"/>
              </w:rPr>
              <w:t>17,680</w:t>
            </w:r>
          </w:p>
        </w:tc>
        <w:tc>
          <w:tcPr>
            <w:tcW w:type="dxa" w:w="1440"/>
            <w:shd w:fill="FFDCE0" w:val="clear"/>
          </w:tcPr>
          <w:p>
            <w:r>
              <w:rPr>
                <w:sz w:val="17"/>
              </w:rPr>
              <w:t>20,140</w:t>
            </w:r>
          </w:p>
        </w:tc>
        <w:tc>
          <w:tcPr>
            <w:tcW w:type="dxa" w:w="1440"/>
            <w:shd w:fill="FFDCE0" w:val="clear"/>
          </w:tcPr>
          <w:p>
            <w:r>
              <w:rPr>
                <w:b/>
                <w:color w:val="C00000"/>
                <w:sz w:val="17"/>
              </w:rPr>
              <w:t>-37.5%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14,793</w:t>
            </w:r>
          </w:p>
        </w:tc>
        <w:tc>
          <w:tcPr>
            <w:tcW w:type="dxa" w:w="1440"/>
            <w:shd w:fill="FFDCE0" w:val="clear"/>
          </w:tcPr>
          <w:p>
            <w:r>
              <w:rPr>
                <w:b/>
                <w:sz w:val="17"/>
              </w:rPr>
              <w:t>17,336</w:t>
            </w:r>
          </w:p>
        </w:tc>
        <w:tc>
          <w:tcPr>
            <w:tcW w:type="dxa" w:w="1440"/>
            <w:shd w:fill="FFDCE0" w:val="clear"/>
          </w:tcPr>
          <w:p>
            <w:r>
              <w:rPr>
                <w:sz w:val="17"/>
              </w:rPr>
              <w:t>19,878</w:t>
            </w:r>
          </w:p>
        </w:tc>
        <w:tc>
          <w:tcPr>
            <w:tcW w:type="dxa" w:w="1440"/>
            <w:shd w:fill="FFDCE0" w:val="clear"/>
          </w:tcPr>
          <w:p>
            <w:r>
              <w:rPr>
                <w:b/>
                <w:color w:val="C00000"/>
                <w:sz w:val="17"/>
              </w:rPr>
              <w:t>-38.8%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08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905,76 milliards FCFA, ce qui en fait l'une des plus importantes capitalisations de la BRVM, reflétant la position dominante de la banque dans l'UEMOA. Avec un BPA de 2 047 FCFA, le PER de 13,8x se situe au-dessus de la moyenne historique de la BRVM (8-12x), indiquant que le marché valorise déjà une prime de croissance et de qualité sur le titre. L'EV/EBITDA de 10,2x, bien que dans la fourchette haute (10-15x), confirme cette perception d'une valorisation exigeante. Le ratio P/B n'est pas disponible dans les données fournies, ce qui ne permet pas de comparer la valorisation boursière à la valeur comptable des fonds propres. Cette valorisation suggère que les investisseurs intègrent des perspectives de croissance soutenue et une gestion efficace des risques.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connu une progression spectaculaire de +102,18%, passant d'un plus bas de 13 500 FCFA à un plus haut de 30 005 FCFA, avec une légère hausse de +0,02% lors de la dernière séance. Le cours actuel de 28 305 FCFA se situe dans la partie supérieure de cette fourchette, témoignant d'une tendance haussière très marquée. La moyenne (20 537 FCFA) étant inférieure à la médiane (21 332 FCFA), la distribution des prix est légèrement asymétrique à gauche, mais le skewness de 0,261 indique une symétrie relative. L'écart-type de 5 163 FCFA (CV=25,1%) révèle une dispersion modérée des cours autour de la moyenne. Le kurtosis négatif (-1,162) signale une distribution platykurtique, avec moins de valeurs extrêmes que la normale. La volatilité annualisée de 42,3% classe le titre comme très volatil,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(28 305 FCFA) se positionne au-dessus de la MM20 (28 156,5 FCFA) et nettement au-dessus de la MM50 (24 886 FCFA), confirmant une dynamique haussière à court et moyen terme. La configuration des MM, avec la MM20 au-dessus de la MM50, valide la tendance haussière en place, justifiant la décision d'achat.</w:t>
      </w:r>
    </w:p>
    <w:p>
      <w:pPr>
        <w:spacing w:after="120" w:line="276" w:lineRule="auto"/>
      </w:pPr>
      <w:r>
        <w:t>**Bandes de Bollinger** : Le prix se situe entre la borne supérieure (30 652,4 FCFA) et la borne inférieure (25 660,6 FCFA), proche de la zone médiane. La largeur des bandes reflète la volatilité élevée du titre. La position actuelle du cours suggère un équilibre relatif, d'où la décision neutre, mais un mouvement vers la borne supérieure pourrait signaler une poursuite de la hausse.</w:t>
      </w:r>
    </w:p>
    <w:p>
      <w:pPr>
        <w:spacing w:after="120" w:line="276" w:lineRule="auto"/>
      </w:pPr>
      <w:r>
        <w:t>**MACD** : La valeur du MACD (917,4) est inférieure à son signal (1 068,2), indiquant un momentum baissier à court terme malgré la tendance haussière de fond. Cette divergence suggère une possible consolidation ou correction temporaire, justifiant la décision de vente.</w:t>
      </w:r>
    </w:p>
    <w:p>
      <w:pPr>
        <w:spacing w:after="120" w:line="276" w:lineRule="auto"/>
      </w:pPr>
      <w:r>
        <w:t>**RSI** : À 48,2, le RSI se situe en zone neutre, indiquant que le titre n'est ni suracheté ni survendu. Cette valeur reflète un équilibre entre pression acheteuse et vendeuse, confirmant la décision neutre.</w:t>
      </w:r>
    </w:p>
    <w:p>
      <w:pPr>
        <w:spacing w:after="120" w:line="276" w:lineRule="auto"/>
      </w:pPr>
      <w:r>
        <w:t>**Stochastique** : Avec %K à 91,7 et %D à 79,3, le stochastique est en zone de surachat, signalant un possible retournement baissier à court terme. Le croisement potentiel de ces deux lignes renforce la décision de vente.</w:t>
      </w:r>
    </w:p>
    <w:p>
      <w:pPr>
        <w:spacing w:after="120" w:line="276" w:lineRule="auto"/>
      </w:pPr>
      <w:r>
        <w:t>**Conclusion technique** : Les indicateurs sont mitigés : les moyennes mobiles soutiennent la tendance haussière, tandis que le MACD et le stochastique suggèrent une correction imminente. Le RSI neutre et les bandes de Bollinger équilibrées indiquent une phase de consolidation possible. La prudence est recommandée à court terme malgré la tendance de fond positive.</w:t>
      </w:r>
    </w:p>
    <w:p>
      <w:pPr>
        <w:spacing w:after="120" w:line="276" w:lineRule="auto"/>
      </w:pPr>
      <w:r>
        <w:t>---</w:t>
      </w:r>
    </w:p>
    <w:p>
      <w:pPr>
        <w:spacing w:after="120" w:line="276" w:lineRule="auto"/>
      </w:pPr>
      <w:r>
        <w:t>### PARTIE 3 : ANALYSE FONDAMENTALE (SECTION CRITIQUE)</w:t>
      </w:r>
    </w:p>
    <w:p>
      <w:pPr>
        <w:spacing w:after="120" w:line="276" w:lineRule="auto"/>
      </w:pPr>
      <w:r>
        <w:t>En 2025, CBIBF a réalisé un Produit Net Bancaire de 138,986 milliards FCFA, en croissance de 6,1%, avec un résultat net de 65,495 milliards FCFA, en progression de 36,6% par rapport à 2024. Le coefficient d'exploitation de 36,4% témoigne d'une excellente maîtrise des charges, tandis que la marge nette de 47,1% reflète une forte rentabilité. Le ROA de 2,18% est satisfaisant pour le secteur bancaire. La collecte de dépôts a atteint 2 015,3 milliards FCFA (+14,9%), démontrant la confiance des clients, tandis que les crédits nets ont progressé de 5,4% à 1 327 milliards FCFA. Le coût du risque s'est amélioré de 59,3%, indiquant une meilleure qualité du portefeuille. Le rapport du T1 2026 (publié en 2026) confirme cette dynamique avec un PNB de 36,8 milliards FCFA (+28,5%) et un résultat net de 21,5 milliards FCFA (+22,2%), suggérant une croissance annuelle estimée de 25-30% pour 2026. Les rapports du S1 2025 et du T3 2025 montrent une progression continue, avec un PNB de 65,1 milliards au S1 (+8,75%) et 101,3 milliards au T3 (+9,65%). La banque maintient une notation AA/AI avec perspective stable, renforçant sa crédibilité.</w:t>
      </w:r>
    </w:p>
    <w:p>
      <w:pPr>
        <w:spacing w:after="120" w:line="276" w:lineRule="auto"/>
      </w:pPr>
      <w:r>
        <w:t>---</w:t>
      </w:r>
    </w:p>
    <w:p>
      <w:pPr>
        <w:spacing w:after="120" w:line="276" w:lineRule="auto"/>
      </w:pPr>
      <w:r>
        <w:t>### PARTIE 4 : CONCLUSION D'INVESTISSEMENT</w:t>
      </w:r>
    </w:p>
    <w:p>
      <w:pPr>
        <w:spacing w:after="120" w:line="276" w:lineRule="auto"/>
      </w:pPr>
      <w:r>
        <w:t>La valorisation actuelle de CBIBF (PER 13,8x) intègre une prime de croissance justifiée par les excellents fondamentaux, mais le titre apparaît relativement cher par rapport au marché BRVM. La tendance haussière spectaculaire (+102% sur 100 jours) avec une volatilité élevée (42,3%) suggère un risque de correction technique, confirmé par les signaux mitigés du MACD et du stochastique. Les fondamentaux restent néanmoins solides avec une croissance soutenue du PNB et du résultat net, une amélioration du coût du risque et une collecte de dépôts dynamique. Les prédictions IA indiquent une baisse progressive du cours sur les 10 prochains jours (de 26 182 à 19 478 FCFA), contredisant la tendance haussière récente et suggérant une correction significative. Cette divergence entre la force fondamentale et les signaux techniques de court terme justifie une approche prudente. **Recommandation : CONSERVER** avec un niveau de confiance Moyen. Le risque global est Élevé en raison de la volatilité et des incertitudes géopolitiques régionales. Horizon d'investissement optimal : moyen terme (3-12 mois) pour bénéficier de la croissance fondamentale tout en évitant la volatilité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3,744 titres</w:t>
            </w:r>
          </w:p>
        </w:tc>
        <w:tc>
          <w:tcPr>
            <w:tcW w:type="dxa" w:w="2268"/>
            <w:shd w:fill="FFF2CC" w:val="clear"/>
          </w:tcPr>
          <w:p>
            <w:r>
              <w:rPr>
                <w:b/>
                <w:color w:val="503200"/>
                <w:sz w:val="16"/>
              </w:rPr>
              <w:t xml:space="preserve">Cours actuel : </w:t>
            </w:r>
            <w:r>
              <w:rPr>
                <w:color w:val="000000"/>
                <w:sz w:val="17"/>
              </w:rPr>
              <w:t>1,700 FCFA</w:t>
            </w:r>
          </w:p>
          <w:p>
            <w:r>
              <w:rPr>
                <w:b/>
                <w:color w:val="503200"/>
                <w:sz w:val="16"/>
              </w:rPr>
              <w:t xml:space="preserve">Var. 100 jours : </w:t>
            </w:r>
            <w:r>
              <w:rPr>
                <w:b/>
                <w:color w:val="B40000"/>
                <w:sz w:val="17"/>
              </w:rPr>
              <w:t>-4.23%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6.48% (Moyenne) — μ=1,608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β=0.9630 (Neutre (suit le marché)) — Cov=0.000035, Var(idx)=0.000036, ρ=0.186,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1,568</w:t>
            </w:r>
          </w:p>
        </w:tc>
        <w:tc>
          <w:tcPr>
            <w:tcW w:type="dxa" w:w="1440"/>
            <w:shd w:fill="FFDCE0" w:val="clear"/>
          </w:tcPr>
          <w:p>
            <w:r>
              <w:rPr>
                <w:b/>
                <w:sz w:val="17"/>
              </w:rPr>
              <w:t>1,649</w:t>
            </w:r>
          </w:p>
        </w:tc>
        <w:tc>
          <w:tcPr>
            <w:tcW w:type="dxa" w:w="1440"/>
            <w:shd w:fill="FFDCE0" w:val="clear"/>
          </w:tcPr>
          <w:p>
            <w:r>
              <w:rPr>
                <w:sz w:val="17"/>
              </w:rPr>
              <w:t>1,730</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1,515</w:t>
            </w:r>
          </w:p>
        </w:tc>
        <w:tc>
          <w:tcPr>
            <w:tcW w:type="dxa" w:w="1440"/>
            <w:shd w:fill="FFDCE0" w:val="clear"/>
          </w:tcPr>
          <w:p>
            <w:r>
              <w:rPr>
                <w:b/>
                <w:sz w:val="17"/>
              </w:rPr>
              <w:t>1,628</w:t>
            </w:r>
          </w:p>
        </w:tc>
        <w:tc>
          <w:tcPr>
            <w:tcW w:type="dxa" w:w="1440"/>
            <w:shd w:fill="FFDCE0" w:val="clear"/>
          </w:tcPr>
          <w:p>
            <w:r>
              <w:rPr>
                <w:sz w:val="17"/>
              </w:rPr>
              <w:t>1,742</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1,468</w:t>
            </w:r>
          </w:p>
        </w:tc>
        <w:tc>
          <w:tcPr>
            <w:tcW w:type="dxa" w:w="1440"/>
            <w:shd w:fill="FFDCE0" w:val="clear"/>
          </w:tcPr>
          <w:p>
            <w:r>
              <w:rPr>
                <w:b/>
                <w:sz w:val="17"/>
              </w:rPr>
              <w:t>1,605</w:t>
            </w:r>
          </w:p>
        </w:tc>
        <w:tc>
          <w:tcPr>
            <w:tcW w:type="dxa" w:w="1440"/>
            <w:shd w:fill="FFDCE0" w:val="clear"/>
          </w:tcPr>
          <w:p>
            <w:r>
              <w:rPr>
                <w:sz w:val="17"/>
              </w:rPr>
              <w:t>1,741</w:t>
            </w:r>
          </w:p>
        </w:tc>
        <w:tc>
          <w:tcPr>
            <w:tcW w:type="dxa" w:w="1440"/>
            <w:shd w:fill="FFDCE0" w:val="clear"/>
          </w:tcPr>
          <w:p>
            <w:r>
              <w:rPr>
                <w:b/>
                <w:color w:val="C00000"/>
                <w:sz w:val="17"/>
              </w:rPr>
              <w:t>-5.6%</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1,426</w:t>
            </w:r>
          </w:p>
        </w:tc>
        <w:tc>
          <w:tcPr>
            <w:tcW w:type="dxa" w:w="1440"/>
            <w:shd w:fill="FFDCE0" w:val="clear"/>
          </w:tcPr>
          <w:p>
            <w:r>
              <w:rPr>
                <w:b/>
                <w:sz w:val="17"/>
              </w:rPr>
              <w:t>1,581</w:t>
            </w:r>
          </w:p>
        </w:tc>
        <w:tc>
          <w:tcPr>
            <w:tcW w:type="dxa" w:w="1440"/>
            <w:shd w:fill="FFDCE0" w:val="clear"/>
          </w:tcPr>
          <w:p>
            <w:r>
              <w:rPr>
                <w:sz w:val="17"/>
              </w:rPr>
              <w:t>1,737</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1,387</w:t>
            </w:r>
          </w:p>
        </w:tc>
        <w:tc>
          <w:tcPr>
            <w:tcW w:type="dxa" w:w="1440"/>
            <w:shd w:fill="FFDCE0" w:val="clear"/>
          </w:tcPr>
          <w:p>
            <w:r>
              <w:rPr>
                <w:b/>
                <w:sz w:val="17"/>
              </w:rPr>
              <w:t>1,558</w:t>
            </w:r>
          </w:p>
        </w:tc>
        <w:tc>
          <w:tcPr>
            <w:tcW w:type="dxa" w:w="1440"/>
            <w:shd w:fill="FFDCE0" w:val="clear"/>
          </w:tcPr>
          <w:p>
            <w:r>
              <w:rPr>
                <w:sz w:val="17"/>
              </w:rPr>
              <w:t>1,730</w:t>
            </w:r>
          </w:p>
        </w:tc>
        <w:tc>
          <w:tcPr>
            <w:tcW w:type="dxa" w:w="1440"/>
            <w:shd w:fill="FFDCE0" w:val="clear"/>
          </w:tcPr>
          <w:p>
            <w:r>
              <w:rPr>
                <w:b/>
                <w:color w:val="C00000"/>
                <w:sz w:val="17"/>
              </w:rPr>
              <w:t>-8.3%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1,351</w:t>
            </w:r>
          </w:p>
        </w:tc>
        <w:tc>
          <w:tcPr>
            <w:tcW w:type="dxa" w:w="1440"/>
            <w:shd w:fill="FFDCE0" w:val="clear"/>
          </w:tcPr>
          <w:p>
            <w:r>
              <w:rPr>
                <w:b/>
                <w:sz w:val="17"/>
              </w:rPr>
              <w:t>1,536</w:t>
            </w:r>
          </w:p>
        </w:tc>
        <w:tc>
          <w:tcPr>
            <w:tcW w:type="dxa" w:w="1440"/>
            <w:shd w:fill="FFDCE0" w:val="clear"/>
          </w:tcPr>
          <w:p>
            <w:r>
              <w:rPr>
                <w:sz w:val="17"/>
              </w:rPr>
              <w:t>1,721</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1,317</w:t>
            </w:r>
          </w:p>
        </w:tc>
        <w:tc>
          <w:tcPr>
            <w:tcW w:type="dxa" w:w="1440"/>
            <w:shd w:fill="FFDCE0" w:val="clear"/>
          </w:tcPr>
          <w:p>
            <w:r>
              <w:rPr>
                <w:b/>
                <w:sz w:val="17"/>
              </w:rPr>
              <w:t>1,514</w:t>
            </w:r>
          </w:p>
        </w:tc>
        <w:tc>
          <w:tcPr>
            <w:tcW w:type="dxa" w:w="1440"/>
            <w:shd w:fill="FFDCE0" w:val="clear"/>
          </w:tcPr>
          <w:p>
            <w:r>
              <w:rPr>
                <w:sz w:val="17"/>
              </w:rPr>
              <w:t>1,710</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1,285</w:t>
            </w:r>
          </w:p>
        </w:tc>
        <w:tc>
          <w:tcPr>
            <w:tcW w:type="dxa" w:w="1440"/>
            <w:shd w:fill="FFDCE0" w:val="clear"/>
          </w:tcPr>
          <w:p>
            <w:r>
              <w:rPr>
                <w:b/>
                <w:sz w:val="17"/>
              </w:rPr>
              <w:t>1,492</w:t>
            </w:r>
          </w:p>
        </w:tc>
        <w:tc>
          <w:tcPr>
            <w:tcW w:type="dxa" w:w="1440"/>
            <w:shd w:fill="FFDCE0" w:val="clear"/>
          </w:tcPr>
          <w:p>
            <w:r>
              <w:rPr>
                <w:sz w:val="17"/>
              </w:rPr>
              <w:t>1,699</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1,254</w:t>
            </w:r>
          </w:p>
        </w:tc>
        <w:tc>
          <w:tcPr>
            <w:tcW w:type="dxa" w:w="1440"/>
            <w:shd w:fill="FFDCE0" w:val="clear"/>
          </w:tcPr>
          <w:p>
            <w:r>
              <w:rPr>
                <w:b/>
                <w:sz w:val="17"/>
              </w:rPr>
              <w:t>1,471</w:t>
            </w:r>
          </w:p>
        </w:tc>
        <w:tc>
          <w:tcPr>
            <w:tcW w:type="dxa" w:w="1440"/>
            <w:shd w:fill="FFDCE0" w:val="clear"/>
          </w:tcPr>
          <w:p>
            <w:r>
              <w:rPr>
                <w:sz w:val="17"/>
              </w:rPr>
              <w:t>1,688</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1,225</w:t>
            </w:r>
          </w:p>
        </w:tc>
        <w:tc>
          <w:tcPr>
            <w:tcW w:type="dxa" w:w="1440"/>
            <w:shd w:fill="FFDCE0" w:val="clear"/>
          </w:tcPr>
          <w:p>
            <w:r>
              <w:rPr>
                <w:b/>
                <w:sz w:val="17"/>
              </w:rPr>
              <w:t>1,450</w:t>
            </w:r>
          </w:p>
        </w:tc>
        <w:tc>
          <w:tcPr>
            <w:tcW w:type="dxa" w:w="1440"/>
            <w:shd w:fill="FFDCE0" w:val="clear"/>
          </w:tcPr>
          <w:p>
            <w:r>
              <w:rPr>
                <w:sz w:val="17"/>
              </w:rPr>
              <w:t>1,676</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308,33 milliards FCFA, un niveau significatif qui positionne la société parmi les valeurs moyennes à grandes capitalisations de la BRVM. Le BPA de 26 FCFA par action révèle une capacité bénéficiaire modeste par rapport au cours actuel de 1 700 FCFA. Le PER de 65,7x est extrêmement élevé comparé à la moyenne historique de la BRVM (8-12x), indiquant que les investisseurs paient une prime considérable pour chaque franc de bénéfice — une situation qui exige une croissance future exceptionnelle pour se justifier. Le P/B de 15,85x confirme cette surévaluation relative, le marché valorisant l'actif net comptable à près de 16 fois sa valeur, tandis que l'EV/EBITDA de 33,4x témoigne d'une valorisation très exigeante par rapport à la capacité opérationnelle de l'entreprise. Ces ratios, bien au-dessus des normes sectorielles, signalent un titre potentiellement surévalué.</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CFAC affiche une variation totale de -4,23%, avec un rebond de +0,59% lors de la dernière séance, suggérant une légère stabilisation après une tendance baissière. Le cours a évolué dans une fourchette de 1 325 à 1 825 FCFA, soit une amplitude de 500 FCFA, reflétant une volatilité intraday notable. La moyenne (1 608 FCFA) et la médiane (1 605 FCFA) sont quasi identiques, indiquant une distribution symétrique des prix, confirmée par un skewness de -0,326 (asymétrie légèrement négative). L'écart-type de 105 FCFA avec un coefficient de variation de 6,5% démontre une dispersion modérée autour de la moyenne, tandis que le kurtosis de -0,163 (mésokurtique) suggère une distribution proche de la normale, sans risque de pics extrêmes. La volatilité annualisée de 49,2% classe le titre dans la catégorie des valeurs à volatilité élevée (&gt;30%), ce qui implique des fluctuations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1 700 FCFA se situe au-dessus des MM20 (1 644,25) et MM50 (1 647,2), mais la décision globale est une Vente, suggérant que la tendance de fond reste baissière malgré le rebond récent. La proximité des deux moyennes indique une absence de tendance directionnelle claire.</w:t>
      </w:r>
    </w:p>
    <w:p>
      <w:pPr>
        <w:spacing w:after="120" w:line="276" w:lineRule="auto"/>
      </w:pPr>
      <w:r>
        <w:t>**Bandes de Bollinger** : Le prix évolue dans la partie supérieure des bandes (borne supérieure à 1 748,99, borne inférieure à 1 539,51), signalant une pression acheteuse modérée. La décision Neutre reflète une volatilité normale, le cours se situant à environ 60% de la distance entre les deux bornes, sans signe de surachat ou de survente.</w:t>
      </w:r>
    </w:p>
    <w:p>
      <w:pPr>
        <w:spacing w:after="120" w:line="276" w:lineRule="auto"/>
      </w:pPr>
      <w:r>
        <w:t>**MACD** : La valeur positive de 14,256 au-dessus du signal (9,798) indique un momentum haussier en cours. Cette configuration, avec une divergence positive, suggère que la dynamique acheteuse pourrait se poursuivre à court terme, justifiant la décision d'Achat.</w:t>
      </w:r>
    </w:p>
    <w:p>
      <w:pPr>
        <w:spacing w:after="120" w:line="276" w:lineRule="auto"/>
      </w:pPr>
      <w:r>
        <w:t>**RSI** : À 60,638, le RSI se situe dans la zone neutre (30-70), sans signal de surachat ni de survente. Cette valeur indique une pression acheteuse modérée mais non excessive, laissant une marge de progression avant d'atteindre la zone de surachat à 70.</w:t>
      </w:r>
    </w:p>
    <w:p>
      <w:pPr>
        <w:spacing w:after="120" w:line="276" w:lineRule="auto"/>
      </w:pPr>
      <w:r>
        <w:t>**Stochastique** : Le %K à 100,0 et le %D à 93,889 sont en zone de surachat extrême, signalant une possible correction à venir. La décision de Vente reflète ce niveau extrême, le croisement potentiel des deux lignes pouvant déclencher un retournement baissier.</w:t>
      </w:r>
    </w:p>
    <w:p>
      <w:pPr>
        <w:spacing w:after="120" w:line="276" w:lineRule="auto"/>
      </w:pPr>
      <w:r>
        <w:t>**Conclusion technique** : Les signaux sont mitigés avec un MACD haussier et un RSI neutre, mais des moyennes mobiles baissières et un stochastique en surachat extrême. Cette divergence suggère une prudence à court terme, le titre pouvant consolider avant de poursuivre son mouvement.</w:t>
      </w:r>
    </w:p>
    <w:p>
      <w:pPr>
        <w:spacing w:after="120" w:line="276" w:lineRule="auto" w:before="240"/>
      </w:pPr>
      <w:r>
        <w:rPr>
          <w:b/>
          <w:color w:val="003366"/>
          <w:sz w:val="24"/>
        </w:rPr>
        <w:t>**PARTIE 3 : ANALYSE FONDAMENTALE (SECTION CRITIQUE)**</w:t>
      </w:r>
    </w:p>
    <w:p>
      <w:pPr>
        <w:spacing w:after="120" w:line="276" w:lineRule="auto"/>
      </w:pPr>
      <w:r>
        <w:t>En 2024, CFAC (CFAO Motors Côte d'Ivoire) a réalisé un chiffre d'affaires de 158,313 milliards FCFA, en baisse de -12,1% par rapport à 2023, avec un résultat net de 4,693 milliards FCFA (-26,7%). Le ROE s'établit à 24,13%, un niveau excellent (&gt;15%), tandis que le ROA atteint 5,52%. La marge nette est de 2,96% et la marge opérationnelle de 4,96%. Le BFR négatif de -3,482 milliards FCFA est favorable, indiquant une gestion efficace du cycle d'exploitation, avec un délai clients de 36,64 jours et un délai fournisseurs de 81,75 jours. L'endettement reste maîtrisé avec une capacité de remboursement de 0,72 an. Les rapports trimestriels 2025 montrent un redressement spectaculaire : le T1 2025 affiche un CA de 46,161 milliards (+14,5%) et un résultat net de 3,836 milliards (+279,7%), le S1 2025 atteint 91,182 milliards (+18,4%) avec un résultat net de 5,420 milliards (+152,7%), et le T3 2025 confirme avec 43,580 milliards (+18,3%) et un résultat net de 1,489 milliard (+38,1%). Sur la base de ces performances trimestrielles, on estime que l'exercice 2025 pourrait dépasser les 180 milliards de CA avec un résultat net supérieur à 8 milliards, soit une amélioration significative par rapport à 2024. La société maintient sa position de leader avec 43,4% de part de marché et développe des initiatives stratégiques (showroom Cocody, marques SHACMAN, LOVOL, e-mobilité BYD).</w:t>
      </w:r>
    </w:p>
    <w:p>
      <w:pPr>
        <w:spacing w:after="120" w:line="276" w:lineRule="auto" w:before="240"/>
      </w:pPr>
      <w:r>
        <w:rPr>
          <w:b/>
          <w:color w:val="003366"/>
          <w:sz w:val="24"/>
        </w:rPr>
        <w:t>**PARTIE 4 : CONCLUSION D'INVESTISSEMENT**</w:t>
      </w:r>
    </w:p>
    <w:p>
      <w:pPr>
        <w:spacing w:after="120" w:line="276" w:lineRule="auto"/>
      </w:pPr>
      <w:r>
        <w:t>La valorisation de CFAC apparaît très exigeante avec un PER de 65,7x et un P/B de 15,85x, nettement supérieurs aux normes BRVM, signalant une surévaluation potentielle. Le comportement du cours sur 100 jours montre une tendance baissière (-4,23%) avec une volatilité élevée (49,2%), mais une distribution symétrique des prix. Les signaux techniques sont mitigés : MACD haussier et RSI neutre contre moyennes mobiles baissières et stochastique en surachat extrême, indiquant une possible consolidation. Les fondamentaux sont solides avec un ROE de 24,13% et un redressement spectaculaire en 2025 (résultat net S1 +152,7%), soutenu par une position de leader et des perspectives de croissance. Les prédictions IA (1 649 à 1 558 FCFA sur 10 jours) suggèrent une correction baissière, contredisant les signaux techniques haussiers à court terme. En synthèse, la convergence entre la surévaluation boursière, la volatilité élevée et les prédictions IA baissières, contrebalancée par des fondamentaux en amélioration, conduit à une recommandation **CONSERVER** avec un niveau de confiance **Moyen**. Le risque global est **Élevé** en raison de la valorisation exigeante et de la volatilité. L'horizon d'investissement optimal serait le **moyen terme (3-12 mois)**, en attendant que la valorisation se normalise ou que la croissance 2025 se confirme dans les résultats annuels.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281.12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6,452 titres</w:t>
            </w:r>
          </w:p>
        </w:tc>
        <w:tc>
          <w:tcPr>
            <w:tcW w:type="dxa" w:w="2268"/>
            <w:shd w:fill="FFF2CC" w:val="clear"/>
          </w:tcPr>
          <w:p>
            <w:r>
              <w:rPr>
                <w:b/>
                <w:color w:val="503200"/>
                <w:sz w:val="16"/>
              </w:rPr>
              <w:t xml:space="preserve">Cours actuel : </w:t>
            </w:r>
            <w:r>
              <w:rPr>
                <w:color w:val="000000"/>
                <w:sz w:val="17"/>
              </w:rPr>
              <w:t>5,020 FCFA</w:t>
            </w:r>
          </w:p>
          <w:p>
            <w:r>
              <w:rPr>
                <w:b/>
                <w:color w:val="503200"/>
                <w:sz w:val="16"/>
              </w:rPr>
              <w:t xml:space="preserve">Var. 100 jours : </w:t>
            </w:r>
            <w:r>
              <w:rPr>
                <w:b/>
                <w:color w:val="007800"/>
                <w:sz w:val="17"/>
              </w:rPr>
              <w:t>+52.12%</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22.09% (Élevée) — μ=4,194 FCFA, σ=926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β=0.7627 (Défensif) — Cov=0.000028, Var(idx)=0.000036, ρ=0.157,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4,454</w:t>
            </w:r>
          </w:p>
        </w:tc>
        <w:tc>
          <w:tcPr>
            <w:tcW w:type="dxa" w:w="1440"/>
            <w:shd w:fill="FFDCE0" w:val="clear"/>
          </w:tcPr>
          <w:p>
            <w:r>
              <w:rPr>
                <w:b/>
                <w:sz w:val="17"/>
              </w:rPr>
              <w:t>4,644</w:t>
            </w:r>
          </w:p>
        </w:tc>
        <w:tc>
          <w:tcPr>
            <w:tcW w:type="dxa" w:w="1440"/>
            <w:shd w:fill="FFDCE0" w:val="clear"/>
          </w:tcPr>
          <w:p>
            <w:r>
              <w:rPr>
                <w:sz w:val="17"/>
              </w:rPr>
              <w:t>4,833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4,048</w:t>
            </w:r>
          </w:p>
        </w:tc>
        <w:tc>
          <w:tcPr>
            <w:tcW w:type="dxa" w:w="1440"/>
            <w:shd w:fill="FFDCE0" w:val="clear"/>
          </w:tcPr>
          <w:p>
            <w:r>
              <w:rPr>
                <w:b/>
                <w:sz w:val="17"/>
              </w:rPr>
              <w:t>4,295</w:t>
            </w:r>
          </w:p>
        </w:tc>
        <w:tc>
          <w:tcPr>
            <w:tcW w:type="dxa" w:w="1440"/>
            <w:shd w:fill="FFDCE0" w:val="clear"/>
          </w:tcPr>
          <w:p>
            <w:r>
              <w:rPr>
                <w:sz w:val="17"/>
              </w:rPr>
              <w:t>4,543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3,693</w:t>
            </w:r>
          </w:p>
        </w:tc>
        <w:tc>
          <w:tcPr>
            <w:tcW w:type="dxa" w:w="1440"/>
            <w:shd w:fill="FFDCE0" w:val="clear"/>
          </w:tcPr>
          <w:p>
            <w:r>
              <w:rPr>
                <w:b/>
                <w:sz w:val="17"/>
              </w:rPr>
              <w:t>3,973</w:t>
            </w:r>
          </w:p>
        </w:tc>
        <w:tc>
          <w:tcPr>
            <w:tcW w:type="dxa" w:w="1440"/>
            <w:shd w:fill="FFDCE0" w:val="clear"/>
          </w:tcPr>
          <w:p>
            <w:r>
              <w:rPr>
                <w:sz w:val="17"/>
              </w:rPr>
              <w:t>4,253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3,376</w:t>
            </w:r>
          </w:p>
        </w:tc>
        <w:tc>
          <w:tcPr>
            <w:tcW w:type="dxa" w:w="1440"/>
            <w:shd w:fill="FFDCE0" w:val="clear"/>
          </w:tcPr>
          <w:p>
            <w:r>
              <w:rPr>
                <w:b/>
                <w:sz w:val="17"/>
              </w:rPr>
              <w:t>3,675</w:t>
            </w:r>
          </w:p>
        </w:tc>
        <w:tc>
          <w:tcPr>
            <w:tcW w:type="dxa" w:w="1440"/>
            <w:shd w:fill="FFDCE0" w:val="clear"/>
          </w:tcPr>
          <w:p>
            <w:r>
              <w:rPr>
                <w:sz w:val="17"/>
              </w:rPr>
              <w:t>3,974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3,213</w:t>
            </w:r>
          </w:p>
        </w:tc>
        <w:tc>
          <w:tcPr>
            <w:tcW w:type="dxa" w:w="1440"/>
            <w:shd w:fill="FFDCE0" w:val="clear"/>
          </w:tcPr>
          <w:p>
            <w:r>
              <w:rPr>
                <w:b/>
                <w:sz w:val="17"/>
              </w:rPr>
              <w:t>3,535</w:t>
            </w:r>
          </w:p>
        </w:tc>
        <w:tc>
          <w:tcPr>
            <w:tcW w:type="dxa" w:w="1440"/>
            <w:shd w:fill="FFDCE0" w:val="clear"/>
          </w:tcPr>
          <w:p>
            <w:r>
              <w:rPr>
                <w:sz w:val="17"/>
              </w:rPr>
              <w:t>3,857</w:t>
            </w:r>
          </w:p>
        </w:tc>
        <w:tc>
          <w:tcPr>
            <w:tcW w:type="dxa" w:w="1440"/>
            <w:shd w:fill="FFDCE0" w:val="clear"/>
          </w:tcPr>
          <w:p>
            <w:r>
              <w:rPr>
                <w:b/>
                <w:color w:val="C00000"/>
                <w:sz w:val="17"/>
              </w:rPr>
              <w:t>-29.6%</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3,100</w:t>
            </w:r>
          </w:p>
        </w:tc>
        <w:tc>
          <w:tcPr>
            <w:tcW w:type="dxa" w:w="1440"/>
            <w:shd w:fill="FFDCE0" w:val="clear"/>
          </w:tcPr>
          <w:p>
            <w:r>
              <w:rPr>
                <w:b/>
                <w:sz w:val="17"/>
              </w:rPr>
              <w:t>3,444</w:t>
            </w:r>
          </w:p>
        </w:tc>
        <w:tc>
          <w:tcPr>
            <w:tcW w:type="dxa" w:w="1440"/>
            <w:shd w:fill="FFDCE0" w:val="clear"/>
          </w:tcPr>
          <w:p>
            <w:r>
              <w:rPr>
                <w:sz w:val="17"/>
              </w:rPr>
              <w:t>3,788</w:t>
            </w:r>
          </w:p>
        </w:tc>
        <w:tc>
          <w:tcPr>
            <w:tcW w:type="dxa" w:w="1440"/>
            <w:shd w:fill="FFDCE0" w:val="clear"/>
          </w:tcPr>
          <w:p>
            <w:r>
              <w:rPr>
                <w:b/>
                <w:color w:val="C00000"/>
                <w:sz w:val="17"/>
              </w:rPr>
              <w:t>-31.4%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3,001</w:t>
            </w:r>
          </w:p>
        </w:tc>
        <w:tc>
          <w:tcPr>
            <w:tcW w:type="dxa" w:w="1440"/>
            <w:shd w:fill="FFDCE0" w:val="clear"/>
          </w:tcPr>
          <w:p>
            <w:r>
              <w:rPr>
                <w:b/>
                <w:sz w:val="17"/>
              </w:rPr>
              <w:t>3,363</w:t>
            </w:r>
          </w:p>
        </w:tc>
        <w:tc>
          <w:tcPr>
            <w:tcW w:type="dxa" w:w="1440"/>
            <w:shd w:fill="FFDCE0" w:val="clear"/>
          </w:tcPr>
          <w:p>
            <w:r>
              <w:rPr>
                <w:sz w:val="17"/>
              </w:rPr>
              <w:t>3,726</w:t>
            </w:r>
          </w:p>
        </w:tc>
        <w:tc>
          <w:tcPr>
            <w:tcW w:type="dxa" w:w="1440"/>
            <w:shd w:fill="FFDCE0" w:val="clear"/>
          </w:tcPr>
          <w:p>
            <w:r>
              <w:rPr>
                <w:b/>
                <w:color w:val="C00000"/>
                <w:sz w:val="17"/>
              </w:rPr>
              <w:t>-33.0%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2,911</w:t>
            </w:r>
          </w:p>
        </w:tc>
        <w:tc>
          <w:tcPr>
            <w:tcW w:type="dxa" w:w="1440"/>
            <w:shd w:fill="FFDCE0" w:val="clear"/>
          </w:tcPr>
          <w:p>
            <w:r>
              <w:rPr>
                <w:b/>
                <w:sz w:val="17"/>
              </w:rPr>
              <w:t>3,291</w:t>
            </w:r>
          </w:p>
        </w:tc>
        <w:tc>
          <w:tcPr>
            <w:tcW w:type="dxa" w:w="1440"/>
            <w:shd w:fill="FFDCE0" w:val="clear"/>
          </w:tcPr>
          <w:p>
            <w:r>
              <w:rPr>
                <w:sz w:val="17"/>
              </w:rPr>
              <w:t>3,670</w:t>
            </w:r>
          </w:p>
        </w:tc>
        <w:tc>
          <w:tcPr>
            <w:tcW w:type="dxa" w:w="1440"/>
            <w:shd w:fill="FFDCE0" w:val="clear"/>
          </w:tcPr>
          <w:p>
            <w:r>
              <w:rPr>
                <w:b/>
                <w:color w:val="C00000"/>
                <w:sz w:val="17"/>
              </w:rPr>
              <w:t>-34.5%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2,831</w:t>
            </w:r>
          </w:p>
        </w:tc>
        <w:tc>
          <w:tcPr>
            <w:tcW w:type="dxa" w:w="1440"/>
            <w:shd w:fill="FFDCE0" w:val="clear"/>
          </w:tcPr>
          <w:p>
            <w:r>
              <w:rPr>
                <w:b/>
                <w:sz w:val="17"/>
              </w:rPr>
              <w:t>3,225</w:t>
            </w:r>
          </w:p>
        </w:tc>
        <w:tc>
          <w:tcPr>
            <w:tcW w:type="dxa" w:w="1440"/>
            <w:shd w:fill="FFDCE0" w:val="clear"/>
          </w:tcPr>
          <w:p>
            <w:r>
              <w:rPr>
                <w:sz w:val="17"/>
              </w:rPr>
              <w:t>3,619</w:t>
            </w:r>
          </w:p>
        </w:tc>
        <w:tc>
          <w:tcPr>
            <w:tcW w:type="dxa" w:w="1440"/>
            <w:shd w:fill="FFDCE0" w:val="clear"/>
          </w:tcPr>
          <w:p>
            <w:r>
              <w:rPr>
                <w:b/>
                <w:color w:val="C00000"/>
                <w:sz w:val="17"/>
              </w:rPr>
              <w:t>-35.8%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2,758</w:t>
            </w:r>
          </w:p>
        </w:tc>
        <w:tc>
          <w:tcPr>
            <w:tcW w:type="dxa" w:w="1440"/>
            <w:shd w:fill="FFDCE0" w:val="clear"/>
          </w:tcPr>
          <w:p>
            <w:r>
              <w:rPr>
                <w:b/>
                <w:sz w:val="17"/>
              </w:rPr>
              <w:t>3,166</w:t>
            </w:r>
          </w:p>
        </w:tc>
        <w:tc>
          <w:tcPr>
            <w:tcW w:type="dxa" w:w="1440"/>
            <w:shd w:fill="FFDCE0" w:val="clear"/>
          </w:tcPr>
          <w:p>
            <w:r>
              <w:rPr>
                <w:sz w:val="17"/>
              </w:rPr>
              <w:t>3,574</w:t>
            </w:r>
          </w:p>
        </w:tc>
        <w:tc>
          <w:tcPr>
            <w:tcW w:type="dxa" w:w="1440"/>
            <w:shd w:fill="FFDCE0" w:val="clear"/>
          </w:tcPr>
          <w:p>
            <w:r>
              <w:rPr>
                <w:b/>
                <w:color w:val="C00000"/>
                <w:sz w:val="17"/>
              </w:rPr>
              <w:t>-36.9%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281,12 milliards FCFA, positionnant le titre parmi les valeurs moyennes à grandes capitalisations de la BRVM, dans un secteur stratégique et régulé. Avec un BPA de 234 FCFA, chaque action génère un bénéfice confortable, mais le PER de 21,4x est nettement supérieur à la moyenne historique de la BRVM (8-12x), indiquant que les investisseurs paient une prime significative pour la croissance attendue et la stabilité du modèle de concession. Le P/B de 7,82x confirme cette valorisation exigeante, le marché valorisant fortement les actifs de l'entreprise par rapport à leur valeur comptable, ce qui reflète la confiance dans la rentabilité future mais laisse peu de marge de sécurité. Enfin, l'EV/EBITDA de 12,6x se situe dans la fourchette haute (10-15x), ce qui suggère que la valeur d'entreprise est élevée par rapport à la capacité opérationnelle de génération de cash-flow, renforçant l'idée d'une valorisation qui intègre déjà des hypothèses optimistes.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+52,12%, avec une dernière séance en légère hausse de +0,40% à 5 020 FCFA. Le titre a évolué dans une fourchette très large, oscillant entre un plus bas de 3 000 FCFA et un plus haut de 5 485 FCFA, illustrant une forte dynamique haussière malgré une volatilité importante. La moyenne du cours sur la période (4 194 FCFA) est légèrement supérieure à la médiane (4 102 FCFA), indiquant une distribution quasi symétrique, confirmée par un skewness proche de zéro (0,025). L'écart-type de 931 FCFA, soit un coefficient de variation de 22,2%, témoigne d'une dispersion modérée des prix autour de la moyenne. Le kurtosis négatif (-1,833) révèle une distribution platykurtique, c'est-à-dire une faible concentration des prix autour de la moyenne, avec moins de pics extrêmes que la normale. La volatilité annualisée de 46,3% classe le titre dans la catégorie des valeurs à très forte volatilité (&gt;30%), ce qui implique un risque élevé mais aussi un potentiel de rendement substantiel pour les investisseurs aguerris.</w:t>
      </w:r>
    </w:p>
    <w:p>
      <w:pPr>
        <w:spacing w:after="120" w:line="276" w:lineRule="auto" w:before="240"/>
      </w:pPr>
      <w:r>
        <w:rPr>
          <w:b/>
          <w:color w:val="003366"/>
          <w:sz w:val="24"/>
        </w:rPr>
        <w:t>**PARTIE 2 : ANALYSE TECHNIQUE DÉTAILLÉE**</w:t>
      </w:r>
    </w:p>
    <w:p>
      <w:pPr>
        <w:spacing w:after="120" w:line="276" w:lineRule="auto"/>
      </w:pPr>
      <w:r>
        <w:t>**Moyennes Mobiles**: La MM20 (5 150,5 FCFA) et la MM50 (5 087,2 FCFA) sont toutes deux supérieures au cours actuel de 5 020 FCFA, mais la MM20 reste au-dessus de la MM50, indiquant une tendance haussière de moyen terme. Le signal d'achat généré par ces moyennes mobiles suggère que le titre conserve un biais positif, bien que le cours ait récemment corrigé en dessous de ces niveaux, ce qui pourrait indiquer une consolidation avant une éventuelle reprise.</w:t>
      </w:r>
    </w:p>
    <w:p>
      <w:pPr>
        <w:spacing w:after="120" w:line="276" w:lineRule="auto"/>
      </w:pPr>
      <w:r>
        <w:t>**Bandes de Bollinger**: Le cours actuel (5 020 FCFA) se situe dans la partie inférieure des bandes de Bollinger, entre la borne inférieure (4 865,5 FCFA) et la borne supérieure (5 435,5 FCFA), avec une décision neutre. Cette position suggère une volatilité modérée et une absence de signal directionnel fort, le titre évoluant dans une zone de consolidation après la récente hausse. L'écart entre les bornes reflète une volatilité encore élevée, mais le cours semble trouver un support autour de la borne inférieure.</w:t>
      </w:r>
    </w:p>
    <w:p>
      <w:pPr>
        <w:spacing w:after="120" w:line="276" w:lineRule="auto"/>
      </w:pPr>
      <w:r>
        <w:t>**MACD**: Le MACD affiche une valeur négative de -8,729, tandis que le signal est positif à 36,177, générant une décision de vente. Cette divergence baissière indique un momentum négatif à court terme, le MACD étant passé sous le signal, ce qui suggère une pression vendeuse. Les investisseurs devraient surveiller un éventuel retournement du MACD vers le signal pour confirmer un changement de tendance.</w:t>
      </w:r>
    </w:p>
    <w:p>
      <w:pPr>
        <w:spacing w:after="120" w:line="276" w:lineRule="auto"/>
      </w:pPr>
      <w:r>
        <w:t>**RSI**: Le RSI s'établit à 42,616, dans la zone neutre (30-70), avec une décision neutre. Cette valeur indique que le titre n'est ni suracheté ni survendu, laissant place à une évolution dans les deux sens. Le RSI reflète un équilibre entre acheteurs et vendeurs, sans signal directionnel fort, mais la proximité de la zone de survente (&lt;30) pourrait offrir un potentiel de rebond si la pression baissière s'accentue.</w:t>
      </w:r>
    </w:p>
    <w:p>
      <w:pPr>
        <w:spacing w:after="120" w:line="276" w:lineRule="auto"/>
      </w:pPr>
      <w:r>
        <w:t>**Stochastique**: Le %K (6,329) et le %D (8,717) sont tous deux en territoire de survente profonde (&lt;20), avec une décision d'achat. Cette configuration indique que le titre est fortement survendu à court terme, ce qui pourrait précéder un rebond technique. Le croisement potentiel du %K au-dessus du %D renforcerait ce signal d'achat, suggérant une opportunité pour les investisseurs à court terme.</w:t>
      </w:r>
    </w:p>
    <w:p>
      <w:pPr>
        <w:spacing w:after="120" w:line="276" w:lineRule="auto"/>
      </w:pPr>
      <w:r>
        <w:t>**Conclusion technique**: La convergence des indicateurs est mitigée, avec des signaux contradictoires : les moyennes mobiles et le stochastique suggèrent un potentiel d'achat, tandis que le MACD indique une dynamique baissière et le RSI reste neutre. Le titre semble en phase de consolidation après une forte hausse, avec un risque de correction supplémentaire mais un potentiel de rebond technique à court terme. Les investisseurs devraient attendre une confirmation directionnelle, notamment un croisement du MACD ou une sortie des bandes de Bollinger, avant de prendre une position.</w:t>
      </w:r>
    </w:p>
    <w:p>
      <w:pPr>
        <w:spacing w:after="120" w:line="276" w:lineRule="auto" w:before="240"/>
      </w:pPr>
      <w:r>
        <w:rPr>
          <w:b/>
          <w:color w:val="003366"/>
          <w:sz w:val="24"/>
        </w:rPr>
        <w:t>**PARTIE 3 : ANALYSE FONDAMENTALE (SECTION CRITIQUE)**</w:t>
      </w:r>
    </w:p>
    <w:p>
      <w:pPr>
        <w:spacing w:after="120" w:line="276" w:lineRule="auto"/>
      </w:pPr>
      <w:r>
        <w:t>En 2025, la CIEC affiche des résultats financiers solides, avec un chiffre d'affaires de 302,320 milliards FCFA, en hausse de 14,8% par rapport à 2024 (263,294 milliards FCFA), et un résultat net de 13,127 milliards FCFA, en progression de 24,4% (contre 10,526 milliards en 2024). La rentabilité des fonds propres (ROE) est excellente à 36,5%, bien au-dessus du seuil de 15% considéré comme satisfaisant, tandis que le ROA reste faible à 0,65%, en raison d'un total de bilan très élevé (2 018,446 milliards FCFA) lié au modèle de concession. L'entreprise, opérant dans le secteur de l'électricité, présente un BFR négatif de -90,244 milliards FCFA, ce qui est favorable, car cela signifie que la société finance son exploitation grâce aux délais fournisseurs (970 jours) et aux avances clients. Cependant, le délai client de 164 jours est élevé, représentant un risque de trésorerie, bien que la trésorerie nette positive de 32,190 milliards FCFA offre une marge de manœuvre. Le rapport annuel 2025 (daté du 31 décembre 2025, analysé en mai 2026) confirme la croissance des ventes d'énergie (+8,3% en volume) et l'expansion de la base clientèle (+15,1%), avec un dividende proposé de 234 FCFA par action, représentant un taux de distribution de 99,8% du résultat net. Sur la base du rapport semestriel 2025 (S1 2025), qui montre un CA de 134,923 milliards FCFA (+18,85%) et un résultat net de 5,096 milliards FCFA (+13,4%), on peut estimer que l'exercice 2026 devrait poursuivre cette dynamique, avec une croissance potentielle du CA de 10-15% et une stabilité des marges, malgré une hausse des charges financières et fiscales. La solidité financière est toutefois contrastée, avec un ratio d'endettement très élevé (612,9%) et une dépendance financière de 98,2%, mais une solvabilité générale de 101,8% et une couverture des intérêts de 617,7%, indiquant une capacité à honorer ses dettes. Les perspectives restent favorables, portées par la croissance de la demande énergétique et les investissements dans le réseau, mais le risque de crédit client et la dépendance au cadre réglementaire constituent des points de vigilance.</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pour l'action CIEC. La valorisation (Partie 0) est exigeante, avec un PER de 21,4x et un P/B de 7,82x, nettement supérieurs aux moyennes de la BRVM, indiquant une surévaluation relative qui laisse peu de marge de sécurité. Le comportement du cours (Partie 1) montre une tendance haussière forte (+52,12% sur 100 jours) mais une volatilité très élevée (46,3%), avec une distribution platykurtique et symétrique, suggérant des mouvements de prix amples mais sans extrêmes marqués. Les signaux techniques (Partie 2) sont mitigés, avec des moyennes mobiles et le stochastique en zone d'achat, mais un MACD baissier et un RSI neutre, indiquant une consolidation après la hausse. Les fondamentaux (Partie 3) sont solides, avec une croissance du CA de 14,8% en 2025, un ROE de 36,5% et une politique de dividende généreuse (234 FCFA/action), mais un endettement élevé et un risque de crédit client. Les prédictions IA (J+1 à J+10) projettent une baisse significative du cours, passant de 4 644 FCFA à 3 535 FCFA, ce qui contredit la tendance haussière récente et suggère une correction imminente. En conclusion, la convergence entre la valorisation élevée, les signaux techniques mitigés et les prédictions IA baissières conduit à une recommandation de **VENTE** avec un niveau de confiance **Moyen**, un risque global **Élevé**, et un horizon d'investissement optimal à **court terme (&lt;3 mois)** pour les investisseurs cherchant à sécuriser leurs gains, tandis que les investisseurs à long terme pourraient attendre une correction pour renforcer leurs positions.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3,357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-1.22%</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2.11% (Faible) — μ=16,331 FCFA, σ=345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β=0.3443 (Défensif) — Cov=0.000012, Var(idx)=0.000036, ρ=0.122,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15,621</w:t>
            </w:r>
          </w:p>
        </w:tc>
        <w:tc>
          <w:tcPr>
            <w:tcW w:type="dxa" w:w="1440"/>
            <w:shd w:fill="FAFAFA" w:val="clear"/>
          </w:tcPr>
          <w:p>
            <w:r>
              <w:rPr>
                <w:b/>
                <w:sz w:val="17"/>
              </w:rPr>
              <w:t>16,105</w:t>
            </w:r>
          </w:p>
        </w:tc>
        <w:tc>
          <w:tcPr>
            <w:tcW w:type="dxa" w:w="1440"/>
            <w:shd w:fill="FAFAFA" w:val="clear"/>
          </w:tcPr>
          <w:p>
            <w:r>
              <w:rPr>
                <w:sz w:val="17"/>
              </w:rPr>
              <w:t>16,588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15,415</w:t>
            </w:r>
          </w:p>
        </w:tc>
        <w:tc>
          <w:tcPr>
            <w:tcW w:type="dxa" w:w="1440"/>
            <w:shd w:fill="FAFAFA" w:val="clear"/>
          </w:tcPr>
          <w:p>
            <w:r>
              <w:rPr>
                <w:b/>
                <w:sz w:val="17"/>
              </w:rPr>
              <w:t>16,099</w:t>
            </w:r>
          </w:p>
        </w:tc>
        <w:tc>
          <w:tcPr>
            <w:tcW w:type="dxa" w:w="1440"/>
            <w:shd w:fill="FAFAFA" w:val="clear"/>
          </w:tcPr>
          <w:p>
            <w:r>
              <w:rPr>
                <w:sz w:val="17"/>
              </w:rPr>
              <w:t>16,782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15,249</w:t>
            </w:r>
          </w:p>
        </w:tc>
        <w:tc>
          <w:tcPr>
            <w:tcW w:type="dxa" w:w="1440"/>
            <w:shd w:fill="FAFAFA" w:val="clear"/>
          </w:tcPr>
          <w:p>
            <w:r>
              <w:rPr>
                <w:b/>
                <w:sz w:val="17"/>
              </w:rPr>
              <w:t>16,086</w:t>
            </w:r>
          </w:p>
        </w:tc>
        <w:tc>
          <w:tcPr>
            <w:tcW w:type="dxa" w:w="1440"/>
            <w:shd w:fill="FAFAFA" w:val="clear"/>
          </w:tcPr>
          <w:p>
            <w:r>
              <w:rPr>
                <w:sz w:val="17"/>
              </w:rPr>
              <w:t>16,922</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15,107</w:t>
            </w:r>
          </w:p>
        </w:tc>
        <w:tc>
          <w:tcPr>
            <w:tcW w:type="dxa" w:w="1440"/>
            <w:shd w:fill="FAFAFA" w:val="clear"/>
          </w:tcPr>
          <w:p>
            <w:r>
              <w:rPr>
                <w:b/>
                <w:sz w:val="17"/>
              </w:rPr>
              <w:t>16,073</w:t>
            </w:r>
          </w:p>
        </w:tc>
        <w:tc>
          <w:tcPr>
            <w:tcW w:type="dxa" w:w="1440"/>
            <w:shd w:fill="FAFAFA" w:val="clear"/>
          </w:tcPr>
          <w:p>
            <w:r>
              <w:rPr>
                <w:sz w:val="17"/>
              </w:rPr>
              <w:t>17,038</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14,981</w:t>
            </w:r>
          </w:p>
        </w:tc>
        <w:tc>
          <w:tcPr>
            <w:tcW w:type="dxa" w:w="1440"/>
            <w:shd w:fill="FAFAFA" w:val="clear"/>
          </w:tcPr>
          <w:p>
            <w:r>
              <w:rPr>
                <w:b/>
                <w:sz w:val="17"/>
              </w:rPr>
              <w:t>16,060</w:t>
            </w:r>
          </w:p>
        </w:tc>
        <w:tc>
          <w:tcPr>
            <w:tcW w:type="dxa" w:w="1440"/>
            <w:shd w:fill="FAFAFA" w:val="clear"/>
          </w:tcPr>
          <w:p>
            <w:r>
              <w:rPr>
                <w:sz w:val="17"/>
              </w:rPr>
              <w:t>17,139</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14,867</w:t>
            </w:r>
          </w:p>
        </w:tc>
        <w:tc>
          <w:tcPr>
            <w:tcW w:type="dxa" w:w="1440"/>
            <w:shd w:fill="FAFAFA" w:val="clear"/>
          </w:tcPr>
          <w:p>
            <w:r>
              <w:rPr>
                <w:b/>
                <w:sz w:val="17"/>
              </w:rPr>
              <w:t>16,048</w:t>
            </w:r>
          </w:p>
        </w:tc>
        <w:tc>
          <w:tcPr>
            <w:tcW w:type="dxa" w:w="1440"/>
            <w:shd w:fill="FAFAFA" w:val="clear"/>
          </w:tcPr>
          <w:p>
            <w:r>
              <w:rPr>
                <w:sz w:val="17"/>
              </w:rPr>
              <w:t>17,228</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14,761</w:t>
            </w:r>
          </w:p>
        </w:tc>
        <w:tc>
          <w:tcPr>
            <w:tcW w:type="dxa" w:w="1440"/>
            <w:shd w:fill="FAFAFA" w:val="clear"/>
          </w:tcPr>
          <w:p>
            <w:r>
              <w:rPr>
                <w:b/>
                <w:sz w:val="17"/>
              </w:rPr>
              <w:t>16,036</w:t>
            </w:r>
          </w:p>
        </w:tc>
        <w:tc>
          <w:tcPr>
            <w:tcW w:type="dxa" w:w="1440"/>
            <w:shd w:fill="FAFAFA" w:val="clear"/>
          </w:tcPr>
          <w:p>
            <w:r>
              <w:rPr>
                <w:sz w:val="17"/>
              </w:rPr>
              <w:t>17,310</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14,662</w:t>
            </w:r>
          </w:p>
        </w:tc>
        <w:tc>
          <w:tcPr>
            <w:tcW w:type="dxa" w:w="1440"/>
            <w:shd w:fill="FAFAFA" w:val="clear"/>
          </w:tcPr>
          <w:p>
            <w:r>
              <w:rPr>
                <w:b/>
                <w:sz w:val="17"/>
              </w:rPr>
              <w:t>16,024</w:t>
            </w:r>
          </w:p>
        </w:tc>
        <w:tc>
          <w:tcPr>
            <w:tcW w:type="dxa" w:w="1440"/>
            <w:shd w:fill="FAFAFA" w:val="clear"/>
          </w:tcPr>
          <w:p>
            <w:r>
              <w:rPr>
                <w:sz w:val="17"/>
              </w:rPr>
              <w:t>17,385</w:t>
            </w:r>
          </w:p>
        </w:tc>
        <w:tc>
          <w:tcPr>
            <w:tcW w:type="dxa" w:w="1440"/>
            <w:shd w:fill="FAFAFA" w:val="clear"/>
          </w:tcPr>
          <w:p>
            <w:r>
              <w:rPr>
                <w:b/>
                <w:color w:val="C00000"/>
                <w:sz w:val="17"/>
              </w:rPr>
              <w:t>-1.1%</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14,569</w:t>
            </w:r>
          </w:p>
        </w:tc>
        <w:tc>
          <w:tcPr>
            <w:tcW w:type="dxa" w:w="1440"/>
            <w:shd w:fill="FAFAFA" w:val="clear"/>
          </w:tcPr>
          <w:p>
            <w:r>
              <w:rPr>
                <w:b/>
                <w:sz w:val="17"/>
              </w:rPr>
              <w:t>16,012</w:t>
            </w:r>
          </w:p>
        </w:tc>
        <w:tc>
          <w:tcPr>
            <w:tcW w:type="dxa" w:w="1440"/>
            <w:shd w:fill="FAFAFA" w:val="clear"/>
          </w:tcPr>
          <w:p>
            <w:r>
              <w:rPr>
                <w:sz w:val="17"/>
              </w:rPr>
              <w:t>17,454</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14,480</w:t>
            </w:r>
          </w:p>
        </w:tc>
        <w:tc>
          <w:tcPr>
            <w:tcW w:type="dxa" w:w="1440"/>
            <w:shd w:fill="FAFAFA" w:val="clear"/>
          </w:tcPr>
          <w:p>
            <w:r>
              <w:rPr>
                <w:b/>
                <w:sz w:val="17"/>
              </w:rPr>
              <w:t>16,000</w:t>
            </w:r>
          </w:p>
        </w:tc>
        <w:tc>
          <w:tcPr>
            <w:tcW w:type="dxa" w:w="1440"/>
            <w:shd w:fill="FAFAFA" w:val="clear"/>
          </w:tcPr>
          <w:p>
            <w:r>
              <w:rPr>
                <w:sz w:val="17"/>
              </w:rPr>
              <w:t>17,520</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08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891,82 milliards FCFA, ECOC se positionne comme l'une des valeurs les plus lourdes et les plus liquides de la BRVM, un poids lourd du secteur bancaire régional. Le BPA de 1 153 FCFA indique que chaque action a généré un bénéfice substantiel, justifiant un PER de 14,0x. Ce niveau est supérieur à la moyenne historique de la BRVM (8-12x), ce qui traduit une prime de valorisation accordée par le marché à la qualité des fondamentaux de la banque. Cependant, le P/B de 4,08x est particulièrement exigeant, signifiant que les investisseurs paient plus de quatre fois la valeur comptable des actifs, un niveau qui reflète des attentes de croissance élevées mais laisse peu de marge d'erreur. Enfin, un EV/EBITDA de 13,8x, bien que dans la fourchette haute (10-15x), confirme une valorisation globale élevée, intégrant déjà une solide performance opérationnelle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variation totale quasi stable de -1,22%, avec un rebond de +1,25% lors de la dernière séance, suggérant un léger regain d'intérêt. Le titre a évolué dans un range de trading de 1 750 FCFA, entre un plus bas de 15 520 FCFA et un plus haut de 17 270 FCFA, indiquant une consolidation après une période de volatilité. Les statistiques descriptives révèlent une distribution très resserrée : la moyenne (16 331 FCFA) et la médiane (16 300 FCFA) sont quasi identiques, avec un mode à 16 300 FCFA, ce qui démontre une forte concentration des cours autour de ce niveau. L'écart-type de 347 FCFA, soit un coefficient de variation de seulement 2,1%, confirme une dispersion extrêmement faible. Le kurtosis de 0,298 (mésokurtique) et le skewness de 0,142 (symétrique) indiquent une distribution normale sans risque de pics extrêmes. La volatilité annualisée de 26,8% classe le titre dans la catégorie modérée, ce qui est cohérent avec une valeur stable et défensive.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(16 200 FCFA) est inférieur à la MM20 (16 137 FCFA) et nettement sous la MM50 (16 434,5 FCFA). Cette configuration baissière, où le prix évolue sous ses moyennes clés, indique une tendance de fond négative à court et moyen terme, justifiant la décision de Vente.</w:t>
      </w:r>
    </w:p>
    <w:p>
      <w:pPr>
        <w:spacing w:after="120" w:line="276" w:lineRule="auto"/>
      </w:pPr>
      <w:r>
        <w:t>**Bandes de Bollinger** : Le prix se situe à l'intérieur des bandes, entre la borne supérieure (16 713 FCFA) et la borne inférieure (15 560 FCFA), proche de la moyenne. Cela reflète une volatilité modérée et une absence de mouvement directionnel fort, d'où la décision Neutre.</w:t>
      </w:r>
    </w:p>
    <w:p>
      <w:pPr>
        <w:spacing w:after="120" w:line="276" w:lineRule="auto"/>
      </w:pPr>
      <w:r>
        <w:t>**MACD** : Le MACD (-85,385) est négatif mais se trouve au-dessus de sa ligne de signal (-105,287). Cette divergence positive, bien que sous la ligne zéro, suggère un ralentissement de la dynamique baissière et une possible reprise du momentum haussier, justifiant la décision d'Achat.</w:t>
      </w:r>
    </w:p>
    <w:p>
      <w:pPr>
        <w:spacing w:after="120" w:line="276" w:lineRule="auto"/>
      </w:pPr>
      <w:r>
        <w:t>**RSI** : À 56,803, le RSI se situe dans la zone neutre (30-70), indiquant un équilibre entre les forces acheteuses et vendeuses. Il n'y a pas de condition de surachat ou de survente, ce qui laisse de la marge pour un mouvement dans les deux sens, d'où la décision Neutre.</w:t>
      </w:r>
    </w:p>
    <w:p>
      <w:pPr>
        <w:spacing w:after="120" w:line="276" w:lineRule="auto"/>
      </w:pPr>
      <w:r>
        <w:t>**Stochastique** : Le %K (91,509) est très élevé et nettement au-dessus du %D (78,931), signalant une condition de surachat extrême. Cette configuration suggère un risque élevé de correction à court terme, justifiant la décision de Vente.</w:t>
      </w:r>
    </w:p>
    <w:p>
      <w:pPr>
        <w:spacing w:after="120" w:line="276" w:lineRule="auto"/>
      </w:pPr>
      <w:r>
        <w:t>**Conclusion technique** : Les signaux sont mitigés. La tendance de fond (MM) et le stochastique suggèrent une prudence, tandis que le MACD montre un potentiel de retournement haussier. Le RSI et les bandes de Bollinger indiquent une phase de consolidation. Globalement, le titre est dans une zone d'équilibre précaire, avec un biais légèrement négatif à court terme mais un potentiel de rebond technique.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la solidité financière d'ECOC. Le Produit Net Bancaire (PNB) s'établit à 132,725 milliards FCFA, en croissance de +8,5%, générant un résultat net de 63,482 milliards FCFA. La rentabilité est exceptionnelle avec un ROE de 29,04% et un ROA de 3,09%, bien au-dessus des seuils d'excellence du secteur. L'efficacité opérationnelle est remarquable, avec un coefficient d'exploitation de 42,89%, et la qualité du portefeuille est maîtrisée, le coût du risque étant modéré à 1,36%. La structure financière montre une dépendance aux dépôts clients (1 626 milliards FCFA) pour financer les crédits (1 050 milliards FCFA), un modèle de transformation classique et sain. Les rapports trimestriels de 2025 confirment cette dynamique : le T3 2025 affiche un PNB de 96,4 milliards (+11,3%) et un résultat net de 44,4 milliards (+15,4%). Sur la base de ces performances, on estime que l'exercice 2026 pourrait voir un PNB annuel dépasser 140 milliards FCFA et un résultat net supérieur à 68 milliards FCFA, soutenus par une collecte de dépôts toujours dynamique (+33% au T3 2025). Le rapport du T1 2026, avec un PNB de 30,8 milliards (+3,7%) et un résultat net de 13 milliards (-1,6%), montre un léger ralentissement mais une rentabilité toujours solide (ROE de 23%). Enfin, la politique de dividende est généreuse, avec un dividende proposé de 888 FCFA par action pour 2025, portant le rendement à environ 5,5%.</w:t>
      </w:r>
    </w:p>
    <w:p>
      <w:pPr>
        <w:spacing w:after="120" w:line="276" w:lineRule="auto"/>
      </w:pPr>
      <w:r>
        <w:t>---</w:t>
      </w:r>
    </w:p>
    <w:p>
      <w:pPr>
        <w:spacing w:after="120" w:line="276" w:lineRule="auto"/>
      </w:pPr>
      <w:r>
        <w:t>### PARTIE 4 : CONCLUSION D'INVESTISSEMENT</w:t>
      </w:r>
    </w:p>
    <w:p>
      <w:pPr>
        <w:spacing w:after="120" w:line="276" w:lineRule="auto"/>
      </w:pPr>
      <w:r>
        <w:t>La valorisation d'ECOC (PER 14x, P/B 4,08x) est exigeante, intégrant déjà une prime de qualité, mais elle est justifiée par des fondamentaux exceptionnels (ROE &gt;29%, croissance soutenue du PNB). Le comportement du cours est stable et résilient, avec une volatilité modérée et une distribution symétrique, indiquant un titre défensif. Les signaux techniques sont mitigés, avec une tendance de fond baissière mais un momentum haussier naissant (MACD) et des conditions de surachat à court terme (Stochastique). Les fondamentaux restent le principal moteur, avec une banque très rentable, efficace et bien capitalisée. Les prédictions IA pour les 10 prochains jours (baisse progressive de 16 105 à 16 060 FCFA) suggèrent une légère correction, en ligne avec les signaux techniques de surachat. En synthèse, la convergence entre des fondamentaux solides et une valorisation élevée, couplée à des signaux techniques mitigés, conduit à une recommandation de **CONSERVER**. Le niveau de confiance est **Moyen**, car la valorisation laisse peu de marge de sécurité. Le risque global est **Moyen**, principalement lié à un potentiel de correction technique et à la dépendance à l'économie ivoirienne. L'horizon d'investissement optimal est le **moyen terme (3-12 mois)**, pour capturer la croissance des bénéfices et le rendement du dividende, en attendant une meilleure opportunité d'entrée.</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1,331,880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+103.12%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37.89% (Élevée) — μ=40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β=2.4974 (Très agressif) — Cov=0.000090, Var(idx)=0.000036, ρ=0.379,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1,331,880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σ_j=3.94%/j (Modérée) — Vol. annualisée≈62.6%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49</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43</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39</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35</w:t>
            </w:r>
          </w:p>
        </w:tc>
        <w:tc>
          <w:tcPr>
            <w:tcW w:type="dxa" w:w="1440"/>
            <w:shd w:fill="FFDCE0" w:val="clear"/>
          </w:tcPr>
          <w:p>
            <w:r>
              <w:rPr>
                <w:b/>
                <w:sz w:val="17"/>
              </w:rPr>
              <w:t>44</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32</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29</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24</w:t>
            </w:r>
          </w:p>
        </w:tc>
        <w:tc>
          <w:tcPr>
            <w:tcW w:type="dxa" w:w="1440"/>
            <w:shd w:fill="FFDCE0" w:val="clear"/>
          </w:tcPr>
          <w:p>
            <w:r>
              <w:rPr>
                <w:b/>
                <w:sz w:val="17"/>
              </w:rPr>
              <w:t>32</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1 175,47 milliards FCFA, ce qui en fait l'une des plus importantes valeurs de la BRVM, reflétant la taille et l'importance systémique du groupe panafricain. Avec un BPA de 19 FCFA, le titre se négocie à un PER de 3,4x, très inférieur à la moyenne du marché BRVM (8-12x), ce qui suggère une sous-évaluation significative des bénéfices par le marché. Le P/B de 0,74x indique que le marché valorise le titre sous sa valeur comptable, offrant une décote de 26% sur l'actif net, une situation typique des valeurs décotées offrant un potentiel de rattrapage. Enfin, l'EV/EBITDA de 4,9x, inférieur à 5x, confirme que la valeur totale de l'entreprise reste très raisonnable par rapport à sa capacité opérationnelle à générer des flux, renforçant l'attrait de la valorisation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performance spectaculaire de +103,12%, passant d'une fourchette de 26 FCFA (plus bas) à 78 FCFA (plus haut), avec un cours actuel de 65 FCFA, en hausse de 1,56% sur la dernière séance. La moyenne du cours sur la période est de 40 FCFA contre une médiane de 32 FCFA, l'écart important entre ces deux valeurs indiquant une distribution fortement asymétrique avec une concentration des cours dans la partie basse de la distribution. Le skewness positif de 1,229 confirme cette asymétrie, avec plus de journées sous la moyenne, tandis que le kurtosis de -0,159 (mésokurtique) indique une distribution proche de la normale sans risque de pics extrêmes. L'écart-type de 15 FCFA avec un coefficient de variation de 38,1% révèle une dispersion élevée des cours, et la volatilité annualisée de 62,6% classe le titre comme extrêmement volatil, bien au-delà du seuil des 30% considéré comme élevé, ce qui implique un risque substantiel pour les investisseurs malgré la forte performance récente.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65 FCFA se positionne sous la MM20 (68,7 FCFA) mais nettement au-dessus de la MM50 (49,98 FCFA). Cette configuration, où le cours reste supérieur à la moyenne à moyen terme mais corrige sous la moyenne à court terme, suggère une tendance haussière de fond avec un repli temporaire. La décision d'achat signalée par le croisement des moyennes mobiles reflète la dynamique positive à moyen terme, bien que la faiblesse relative face à la MM20 appelle à la prudence à très court terme.</w:t>
      </w:r>
    </w:p>
    <w:p>
      <w:pPr>
        <w:spacing w:after="120" w:line="276" w:lineRule="auto"/>
      </w:pPr>
      <w:r>
        <w:t>**Bandes de Bollinger** : Le cours évolue à 65 FCFA, entre la borne inférieure (59,968 FCFA) et la borne supérieure (77,432 FCFA), dans la partie médiane de l'enveloppe. Cette position neutre indique une volatilité modérée après la forte expansion des bandes consécutive à la hausse récente. La largeur des bandes, avec un écart de plus de 17 FCFA, témoigne de la volatilité élevée du titre, et la décision neutre suggère d'attendre une sortie des bandes pour confirmer la prochaine direction.</w:t>
      </w:r>
    </w:p>
    <w:p>
      <w:pPr>
        <w:spacing w:after="120" w:line="276" w:lineRule="auto"/>
      </w:pPr>
      <w:r>
        <w:t>**MACD** : Le MACD (4,119) est passé sous sa ligne de signal (6,015), formant un croisement baissier qui signale un ralentissement du momentum haussier. Cette divergence négative, survenue après une période de forte progression, indique que la dynamique positive s'essouffle et que le marché pourrait entamer une phase de correction ou de consolidation. La décision de vente reflète ce changement de momentum, bien que le MACD reste en territoire positif, ce qui nuance le signal baissier.</w:t>
      </w:r>
    </w:p>
    <w:p>
      <w:pPr>
        <w:spacing w:after="120" w:line="276" w:lineRule="auto"/>
      </w:pPr>
      <w:r>
        <w:t>**RSI** : Le RSI s'établit à 46,667, dans la zone neutre (30-70), indiquant un équilibre entre les forces acheteuses et vendeuses. Cette valeur, proche du niveau médian de 50, montre que le titre n'est ni suracheté ni survendu, laissant place à une évolution dans les deux sens. La décision neutre est cohérente avec cette lecture, le RSI ne fournissant pas de signal directionnel clair à ce stade.</w:t>
      </w:r>
    </w:p>
    <w:p>
      <w:pPr>
        <w:spacing w:after="120" w:line="276" w:lineRule="auto"/>
      </w:pPr>
      <w:r>
        <w:t>**Stochastique** : Le %K (16,667) et le %D (11,111) sont tous deux en zone de survente (&lt;20), avec le %K au-dessus du %D, formant un croisement haussier. Cette configuration signale un potentiel rebond technique après la récente correction, le marché étant temporairement survendu. La décision d'achat reflète cette opportunité de rebond, bien que la faiblesse des valeurs absolues suggère une prudence quant à l'ampleur du mouvement.</w:t>
      </w:r>
    </w:p>
    <w:p>
      <w:pPr>
        <w:spacing w:after="120" w:line="276" w:lineRule="auto"/>
      </w:pPr>
      <w:r>
        <w:t>**Conclusion technique** : Les indicateurs techniques présentent un tableau contrasté, avec des signaux de momentum baissier (MACD) et de survente (Stochastique) qui s'opposent. La tendance de fond reste haussière (MM50), mais la correction récente et le ralentissement du momentum suggèrent une phase de consolidation. La convergence des signaux de survente (Stochastique) et de la position sous la MM20 indique un potentiel de rebond technique à court terme, mais la prudence reste de mise tant que le MACD ne se retourne pas à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d'ETIT révèlent une banque de dimension continentale avec un total de bilan de 19 243,865 milliards FCFA et un Produit Net Bancaire de 1 424,261 milliards FCFA. Le résultat net s'établit à 345,523 milliards FCFA, générant un ROE exceptionnel de 21,62% et un ROA de 1,80%, témoignant d'une excellente rentabilité des fonds propres et d'une gestion efficace des actifs. Le coefficient d'exploitation de 27,35% est remarquablement bas, bien en dessous du seuil de 60% considéré comme efficace, démontrant une maîtrise exceptionnelle des charges. Cependant, le coût du risque de 18,97% reste élevé, signalant un risque de crédit significatif, et l'autonomie financière de 8,30% est faible, avec un ratio d'endettement de 154,06% qui reflète la structure typique d'une banque utilisant massivement les dépôts clientèle (14 120,139 milliards FCFA) pour financer ses crédits (6 570,385 milliards FCFA). Les rapports trimestriels confirment cette dynamique positive : le rapport du T1 2026 (publié en 2026) montre un PNB en hausse de 23% à 636,2 millions $EU et un résultat net en progression de 16%, tandis que le rapport semestriel 2025 (publié en 2025) indique un PNB de 671,3 milliards FCFA (+12%) et un résultat net de 167,6 milliards FCFA (+23%). Sur la base de ces tendances, on estime que l'exercice 2026 devrait confirmer la croissance à deux chiffres du PNB, avec un résultat net annuel potentiellement supérieur à 400 milliards FCFA, malgré la hausse du coût du risque (+73% au T1 2026) qui constitue le principal point de vigilance. La solidité financière du groupe, sa diversification géographique dans 35 pays africains et l'amélioration continue de son efficacité opérationnelle (coefficient d'exploitation à 49% au T1 2026) plaident en faveur d'une recommandation positive, tempérée par la nécessité de surveiller l'évolution du risque de crédit.</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mais globalement positive pour ETIT. La valorisation est extrêmement attractive avec un PER de 3,4x, un P/B de 0,74x et un EV/EBITDA de 4,9x, indiquant une sous-évaluation marquée par rapport aux fondamentaux. Le comportement du cours montre une tendance haussière spectaculaire (+103% sur 100 jours) mais avec une volatilité très élevée (62,6%) et une distribution asymétrique qui suggère une certaine fragilité du mouvement. Les signaux techniques sont mitigés, avec une tendance de fond haussière (MM50) mais un momentum baissier à court terme (MACD) et des conditions de survente (Stochastique) qui pourraient favoriser un rebond. Les fondamentaux sont solides, avec une croissance soutenue du PNB (+12% à +23% selon les périodes), une rentabilité exceptionnelle (ROE &gt;21%) et une efficacité opérationnelle remarquable, malgré un coût du risque en hausse. Les prédictions IA pour les 10 prochains jours (60 à 44 FCFA) suggèrent une correction significative, contredisant les signaux de survente et indiquant une possible poursuite du repli. Cette divergence entre la valorisation attractive et les signaux techniques baissiers justifie une recommandation de **CONSERVER** avec un niveau de confiance **Moyen** et un risque global **Élevé** en raison de la volatilité extrême. L'horizon d'investissement optimal serait le **moyen terme (3-12 mois)**, permettant d'absorber la volatilité à court terme tout en bénéficiant du potentiel de revalorisation lié aux fondamentaux solides et à la sous-évaluation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forte am\u00e9lioration de la rentabilit\u00e9 et reprise des dividendes. La qualit\u00e9 des actifs s'am\u00e9liore significativement avec des NPL au plus bas historique."}</w:t>
      </w:r>
    </w:p>
    <w:p>
      <w:pPr>
        <w:spacing w:before="40"/>
        <w:ind w:left="400"/>
      </w:pPr>
      <w:r>
        <w:rPr>
          <w:sz w:val="18"/>
        </w:rPr>
        <w:t>Ecobank Transnational Incorporated affiche des résultats exceptionnels en 2021 avec un résultat avant impôt en hausse de 174% à 478 millions $EU. Le produit net bancaire progresse de 5% à 1,8 milliard $EU tandis que le total du bilan atteint 27,6 milliards $EU (+6%). La banque présente une qualité de crédit remarquable avec des prêts non performants historiquement bas à 6,2%. Pour la première fois depuis 2016, le conseil d'administration recommande le versement de dividendes aux actionnaires. Cette performance s'inscrit dans un contexte de transformation stratégique réussie malgré les défis macroéconomiques.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'19%', 'NPL_ratio': '6,2%', 'ratio_efficacite': '58,9%', 'couverture_provisions': '&gt;100%'}</w:t>
            </w:r>
          </w:p>
        </w:tc>
        <w:tc>
          <w:tcPr>
            <w:tcW w:type="dxa" w:w="2160"/>
          </w:tcPr>
          <w:p>
            <w:pPr>
              <w:ind w:left="100"/>
            </w:pPr>
            <w:r/>
            <w:r>
              <w:rPr>
                <w:b/>
                <w:sz w:val="16"/>
              </w:rPr>
              <w:t>dividende</w:t>
              <w:br/>
            </w:r>
            <w:r>
              <w:rPr>
                <w:sz w:val="18"/>
              </w:rPr>
              <w:t>0,16 cents $EU</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27 561,8 millions $EU</w:t>
            </w:r>
          </w:p>
        </w:tc>
      </w:tr>
      <w:tr>
        <w:tc>
          <w:tcPr>
            <w:tcW w:type="dxa" w:w="2160"/>
          </w:tcPr>
          <w:p>
            <w:r/>
            <w:r>
              <w:rPr>
                <w:b/>
                <w:sz w:val="16"/>
              </w:rPr>
              <w:t>resultat_net</w:t>
              <w:br/>
            </w:r>
            <w:r>
              <w:rPr>
                <w:sz w:val="18"/>
              </w:rPr>
              <w:t>357,4 millions $EU</w:t>
            </w:r>
          </w:p>
        </w:tc>
        <w:tc>
          <w:tcPr>
            <w:tcW w:type="dxa" w:w="2160"/>
          </w:tcPr>
          <w:p>
            <w:r/>
            <w:r>
              <w:rPr>
                <w:b/>
                <w:sz w:val="16"/>
              </w:rPr>
              <w:t>capitaux_propres</w:t>
              <w:br/>
            </w:r>
            <w:r>
              <w:rPr>
                <w:sz w:val="18"/>
              </w:rPr>
              <w:t>2 164,3 millions $EU</w:t>
            </w:r>
          </w:p>
        </w:tc>
        <w:tc>
          <w:tcPr>
            <w:tcW w:type="dxa" w:w="2160"/>
          </w:tcPr>
          <w:p>
            <w:r/>
            <w:r>
              <w:rPr>
                <w:b/>
                <w:sz w:val="16"/>
              </w:rPr>
              <w:t>chiffre_affaires</w:t>
              <w:br/>
            </w:r>
            <w:r>
              <w:rPr>
                <w:sz w:val="18"/>
              </w:rPr>
              <w:t>1 756,7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avant impôt exceptionnel : +174% à 478 millions $EU</w:t>
      </w:r>
    </w:p>
    <w:p>
      <w:pPr>
        <w:pStyle w:val="ListBullet"/>
        <w:spacing w:before="20" w:after="20"/>
        <w:ind w:left="700"/>
      </w:pPr>
      <w:r>
        <w:rPr>
          <w:sz w:val="18"/>
        </w:rPr>
        <w:t>Produit net bancaire en croissance : +5% à 1,8 milliard $EU</w:t>
      </w:r>
    </w:p>
    <w:p>
      <w:pPr>
        <w:pStyle w:val="ListBullet"/>
        <w:spacing w:before="20" w:after="20"/>
        <w:ind w:left="700"/>
      </w:pPr>
      <w:r>
        <w:rPr>
          <w:sz w:val="18"/>
        </w:rPr>
        <w:t>Qualité de crédit excellente : NPL à 6,2%, niveau historiquement bas</w:t>
      </w:r>
    </w:p>
    <w:p>
      <w:pPr>
        <w:pStyle w:val="ListBullet"/>
        <w:spacing w:before="20" w:after="20"/>
        <w:ind w:left="700"/>
      </w:pPr>
      <w:r>
        <w:rPr>
          <w:sz w:val="18"/>
        </w:rPr>
        <w:t>Coefficient d'exploitation à 58,9%, plus bas niveau depuis 10 ans</w:t>
      </w:r>
    </w:p>
    <w:p>
      <w:pPr>
        <w:pStyle w:val="ListBullet"/>
        <w:spacing w:before="20" w:after="20"/>
        <w:ind w:left="700"/>
      </w:pPr>
      <w:r>
        <w:rPr>
          <w:sz w:val="18"/>
        </w:rPr>
        <w:t>ROTE record de 19%</w:t>
      </w:r>
    </w:p>
    <w:p>
      <w:pPr>
        <w:pStyle w:val="ListBullet"/>
        <w:spacing w:before="20" w:after="20"/>
        <w:ind w:left="700"/>
      </w:pPr>
      <w:r>
        <w:rPr>
          <w:sz w:val="18"/>
        </w:rPr>
        <w:t>Reprise du versement de dividendes après 5 ans d'interruption</w:t>
      </w:r>
    </w:p>
    <w:p>
      <w:pPr>
        <w:spacing w:before="40"/>
        <w:ind w:left="400"/>
      </w:pPr>
      <w:r>
        <w:rPr>
          <w:b/>
          <w:color w:val="C05000"/>
          <w:sz w:val="18"/>
        </w:rPr>
        <w:t xml:space="preserve">⚠️ Risques : </w:t>
      </w:r>
      <w:r>
        <w:rPr>
          <w:sz w:val="18"/>
        </w:rPr>
        <w:t>["Exposition aux risques g\u00e9opolitiques et inflation mondiale affectant les \u00e9conomies africaines", "Impact potentiel de la hausse des taux d'int\u00e9r\u00eat par les banques centrales mondiales", "Volatilit\u00e9 des devises locales face au dollar am\u00e9ricain dans un contexte d'incertit</w:t>
      </w:r>
    </w:p>
    <w:p>
      <w:pPr>
        <w:spacing w:before="40"/>
        <w:ind w:left="400"/>
      </w:pPr>
      <w:r>
        <w:rPr>
          <w:b/>
          <w:color w:val="0064A0"/>
          <w:sz w:val="18"/>
        </w:rPr>
        <w:t xml:space="preserve">🔮 Perspectives : </w:t>
      </w:r>
      <w:r>
        <w:rPr>
          <w:sz w:val="18"/>
        </w:rPr>
        <w:t>Les investissements stratégiques d'Ecobank et sa position de leader panafricain laissent présager une année 2022 prometteuse malgré les incertitudes géopolitiques. La banque bénéficiera de la reprise économique post-Covid tout en maintenant sa prudence face aux défis macroéconomiques mondiaux. La di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avec am\u00e9lioration des indicateurs de rentabilit\u00e9 et discipline des co\u00fbts. Cependant, l'environnement op\u00e9rationnel reste difficile avec l'inflation \u00e9lev\u00e9e et le renforcement du dollar am\u00e9ricain."}</w:t>
      </w:r>
    </w:p>
    <w:p>
      <w:pPr>
        <w:spacing w:before="40"/>
        <w:ind w:left="400"/>
      </w:pPr>
      <w:r>
        <w:rPr>
          <w:sz w:val="18"/>
        </w:rPr>
        <w:t>Ecobank a enregistré une solide performance au premier trimestre 2022 avec un résultat avant impôt en hausse de 25% à 125 millions USD et un résultat net en progression de 21% à 92 millions USD. Le produit net bancaire a progressé de 7% à 436 millions USD, soutenu par la croissance des revenus de trading, du cash management et des paiements. Le coefficient d'exploitation s'est amélioré à 58,0% contre 59,3% l'année précédente, témoignant d'une discipline dans la gestion des coûts. Le rendement des capitaux propres tangibles a atteint 18,9% contre 15,7% en glissement annuel. La banque maintient une position financière solide avec des niveaux de liquidités et de capital satisfaisants.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'18,9%', 'provisions_risque': '50,4 millions USD', 'resultat_par_action': '0,269 USD', 'coefficient_exploitation': '58,0%'}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21,1%</w:t>
            </w:r>
          </w:p>
        </w:tc>
        <w:tc>
          <w:tcPr>
            <w:tcW w:type="dxa" w:w="2160"/>
          </w:tcPr>
          <w:p>
            <w:pPr>
              <w:ind w:left="100"/>
            </w:pPr>
            <w:r/>
            <w:r>
              <w:rPr>
                <w:b/>
                <w:sz w:val="16"/>
              </w:rPr>
              <w:t>total_actif</w:t>
              <w:br/>
            </w:r>
            <w:r>
              <w:rPr>
                <w:sz w:val="18"/>
              </w:rPr>
              <w:t>27,1 milliards USD</w:t>
            </w:r>
          </w:p>
        </w:tc>
      </w:tr>
      <w:tr>
        <w:tc>
          <w:tcPr>
            <w:tcW w:type="dxa" w:w="2160"/>
          </w:tcPr>
          <w:p>
            <w:r/>
            <w:r>
              <w:rPr>
                <w:b/>
                <w:sz w:val="16"/>
              </w:rPr>
              <w:t>resultat_net</w:t>
              <w:br/>
            </w:r>
            <w:r>
              <w:rPr>
                <w:sz w:val="18"/>
              </w:rPr>
              <w:t>92,1 millions USD</w:t>
            </w:r>
          </w:p>
        </w:tc>
        <w:tc>
          <w:tcPr>
            <w:tcW w:type="dxa" w:w="2160"/>
          </w:tcPr>
          <w:p>
            <w:r/>
            <w:r>
              <w:rPr>
                <w:b/>
                <w:sz w:val="16"/>
              </w:rPr>
              <w:t>capitaux_propres</w:t>
              <w:br/>
            </w:r>
            <w:r>
              <w:rPr>
                <w:sz w:val="18"/>
              </w:rPr>
              <w:t>2,1 milliards USD</w:t>
            </w:r>
          </w:p>
        </w:tc>
        <w:tc>
          <w:tcPr>
            <w:tcW w:type="dxa" w:w="2160"/>
          </w:tcPr>
          <w:p>
            <w:r/>
            <w:r>
              <w:rPr>
                <w:b/>
                <w:sz w:val="16"/>
              </w:rPr>
              <w:t>chiffre_affaires</w:t>
              <w:br/>
            </w:r>
            <w:r>
              <w:rPr>
                <w:sz w:val="18"/>
              </w:rPr>
              <w:t>436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avant impôt de 25% à 125 millions USD</w:t>
      </w:r>
    </w:p>
    <w:p>
      <w:pPr>
        <w:pStyle w:val="ListBullet"/>
        <w:spacing w:before="20" w:after="20"/>
        <w:ind w:left="700"/>
      </w:pPr>
      <w:r>
        <w:rPr>
          <w:sz w:val="18"/>
        </w:rPr>
        <w:t>Progression du résultat net de 21% à 92,1 millions USD</w:t>
      </w:r>
    </w:p>
    <w:p>
      <w:pPr>
        <w:pStyle w:val="ListBullet"/>
        <w:spacing w:before="20" w:after="20"/>
        <w:ind w:left="700"/>
      </w:pPr>
      <w:r>
        <w:rPr>
          <w:sz w:val="18"/>
        </w:rPr>
        <w:t>Amélioration du coefficient d'exploitation à 58,0% vs 59,3% en 2021</w:t>
      </w:r>
    </w:p>
    <w:p>
      <w:pPr>
        <w:pStyle w:val="ListBullet"/>
        <w:spacing w:before="20" w:after="20"/>
        <w:ind w:left="700"/>
      </w:pPr>
      <w:r>
        <w:rPr>
          <w:sz w:val="18"/>
        </w:rPr>
        <w:t>Rendement des capitaux propres tangibles de 18,9% vs 15,7% l'année précédente</w:t>
      </w:r>
    </w:p>
    <w:p>
      <w:pPr>
        <w:pStyle w:val="ListBullet"/>
        <w:spacing w:before="20" w:after="20"/>
        <w:ind w:left="700"/>
      </w:pPr>
      <w:r>
        <w:rPr>
          <w:sz w:val="18"/>
        </w:rPr>
        <w:t>Croissance des bénéfices de 13%, 26% et 59% respectivement dans les pôles Grandes Entreprises, Particuliers et Banque Commerciale</w:t>
      </w:r>
    </w:p>
    <w:p>
      <w:pPr>
        <w:pStyle w:val="ListBullet"/>
        <w:spacing w:before="20" w:after="20"/>
        <w:ind w:left="700"/>
      </w:pPr>
      <w:r>
        <w:rPr>
          <w:sz w:val="18"/>
        </w:rPr>
        <w:t>Réduction du coût du risque de 11% grâce à l'amélioration de la qualité du portefeuille crédit</w:t>
      </w:r>
    </w:p>
    <w:p>
      <w:pPr>
        <w:spacing w:before="40"/>
        <w:ind w:left="400"/>
      </w:pPr>
      <w:r>
        <w:rPr>
          <w:b/>
          <w:color w:val="C05000"/>
          <w:sz w:val="18"/>
        </w:rPr>
        <w:t xml:space="preserve">⚠️ Risques : </w:t>
      </w:r>
      <w:r>
        <w:rPr>
          <w:sz w:val="18"/>
        </w:rPr>
        <w:t>["Impact n\u00e9gatif du renforcement du dollar am\u00e9ricain sur les devises d'exploitation locales", "Environnement d'inflation \u00e9lev\u00e9e et de taux d'int\u00e9r\u00eat croissants en Afrique", "Tensions g\u00e9opolitiques li\u00e9es au conflit russo-ukrainien affectant les march\u00e9s"]</w:t>
      </w:r>
    </w:p>
    <w:p>
      <w:pPr>
        <w:spacing w:before="40"/>
        <w:ind w:left="400"/>
      </w:pPr>
      <w:r>
        <w:rPr>
          <w:b/>
          <w:color w:val="0064A0"/>
          <w:sz w:val="18"/>
        </w:rPr>
        <w:t xml:space="preserve">🔮 Perspectives : </w:t>
      </w:r>
      <w:r>
        <w:rPr>
          <w:sz w:val="18"/>
        </w:rPr>
        <w:t>Ecobank vise un rendement des capitaux propres d'environ 20% à moyen terme et continue de réduire le ratio de créances douteuses vers un objectif de moins de 6%. La banque poursuivra ses investissements dans les offres numériques et les capacités de paiement tout en améliorant sa technologie de base</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3,772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-17.01%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7.02% (Moyenne) — μ=2,179 FCFA, σ=153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β=0.8196 (Neutre (suit le marché)) — Cov=0.000030, Var(idx)=0.000036, ρ=0.222,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1,961</w:t>
            </w:r>
          </w:p>
        </w:tc>
        <w:tc>
          <w:tcPr>
            <w:tcW w:type="dxa" w:w="1440"/>
            <w:shd w:fill="FAFAFA" w:val="clear"/>
          </w:tcPr>
          <w:p>
            <w:r>
              <w:rPr>
                <w:b/>
                <w:sz w:val="17"/>
              </w:rPr>
              <w:t>2,008</w:t>
            </w:r>
          </w:p>
        </w:tc>
        <w:tc>
          <w:tcPr>
            <w:tcW w:type="dxa" w:w="1440"/>
            <w:shd w:fill="FAFAFA" w:val="clear"/>
          </w:tcPr>
          <w:p>
            <w:r>
              <w:rPr>
                <w:sz w:val="17"/>
              </w:rPr>
              <w:t>2,056</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1,949</w:t>
            </w:r>
          </w:p>
        </w:tc>
        <w:tc>
          <w:tcPr>
            <w:tcW w:type="dxa" w:w="1440"/>
            <w:shd w:fill="FAFAFA" w:val="clear"/>
          </w:tcPr>
          <w:p>
            <w:r>
              <w:rPr>
                <w:b/>
                <w:sz w:val="17"/>
              </w:rPr>
              <w:t>2,016</w:t>
            </w:r>
          </w:p>
        </w:tc>
        <w:tc>
          <w:tcPr>
            <w:tcW w:type="dxa" w:w="1440"/>
            <w:shd w:fill="FAFAFA" w:val="clear"/>
          </w:tcPr>
          <w:p>
            <w:r>
              <w:rPr>
                <w:sz w:val="17"/>
              </w:rPr>
              <w:t>2,084</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1,941</w:t>
            </w:r>
          </w:p>
        </w:tc>
        <w:tc>
          <w:tcPr>
            <w:tcW w:type="dxa" w:w="1440"/>
            <w:shd w:fill="FAFAFA" w:val="clear"/>
          </w:tcPr>
          <w:p>
            <w:r>
              <w:rPr>
                <w:b/>
                <w:sz w:val="17"/>
              </w:rPr>
              <w:t>2,024</w:t>
            </w:r>
          </w:p>
        </w:tc>
        <w:tc>
          <w:tcPr>
            <w:tcW w:type="dxa" w:w="1440"/>
            <w:shd w:fill="FAFAFA" w:val="clear"/>
          </w:tcPr>
          <w:p>
            <w:r>
              <w:rPr>
                <w:sz w:val="17"/>
              </w:rPr>
              <w:t>2,107</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1,937</w:t>
            </w:r>
          </w:p>
        </w:tc>
        <w:tc>
          <w:tcPr>
            <w:tcW w:type="dxa" w:w="1440"/>
            <w:shd w:fill="FAFAFA" w:val="clear"/>
          </w:tcPr>
          <w:p>
            <w:r>
              <w:rPr>
                <w:b/>
                <w:sz w:val="17"/>
              </w:rPr>
              <w:t>2,033</w:t>
            </w:r>
          </w:p>
        </w:tc>
        <w:tc>
          <w:tcPr>
            <w:tcW w:type="dxa" w:w="1440"/>
            <w:shd w:fill="FAFAFA" w:val="clear"/>
          </w:tcPr>
          <w:p>
            <w:r>
              <w:rPr>
                <w:sz w:val="17"/>
              </w:rPr>
              <w:t>2,129</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2026-08-14</w:t>
            </w:r>
          </w:p>
        </w:tc>
        <w:tc>
          <w:tcPr>
            <w:tcW w:type="dxa" w:w="1440"/>
            <w:shd w:fill="C6EFCE" w:val="clear"/>
          </w:tcPr>
          <w:p>
            <w:r>
              <w:rPr>
                <w:sz w:val="17"/>
              </w:rPr>
              <w:t>1,933</w:t>
            </w:r>
          </w:p>
        </w:tc>
        <w:tc>
          <w:tcPr>
            <w:tcW w:type="dxa" w:w="1440"/>
            <w:shd w:fill="C6EFCE" w:val="clear"/>
          </w:tcPr>
          <w:p>
            <w:r>
              <w:rPr>
                <w:b/>
                <w:sz w:val="17"/>
              </w:rPr>
              <w:t>2,041</w:t>
            </w:r>
          </w:p>
        </w:tc>
        <w:tc>
          <w:tcPr>
            <w:tcW w:type="dxa" w:w="1440"/>
            <w:shd w:fill="C6EFCE" w:val="clear"/>
          </w:tcPr>
          <w:p>
            <w:r>
              <w:rPr>
                <w:sz w:val="17"/>
              </w:rPr>
              <w:t>2,149</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2026-08-17</w:t>
            </w:r>
          </w:p>
        </w:tc>
        <w:tc>
          <w:tcPr>
            <w:tcW w:type="dxa" w:w="1440"/>
            <w:shd w:fill="C6EFCE" w:val="clear"/>
          </w:tcPr>
          <w:p>
            <w:r>
              <w:rPr>
                <w:sz w:val="17"/>
              </w:rPr>
              <w:t>1,931</w:t>
            </w:r>
          </w:p>
        </w:tc>
        <w:tc>
          <w:tcPr>
            <w:tcW w:type="dxa" w:w="1440"/>
            <w:shd w:fill="C6EFCE" w:val="clear"/>
          </w:tcPr>
          <w:p>
            <w:r>
              <w:rPr>
                <w:b/>
                <w:sz w:val="17"/>
              </w:rPr>
              <w:t>2,050</w:t>
            </w:r>
          </w:p>
        </w:tc>
        <w:tc>
          <w:tcPr>
            <w:tcW w:type="dxa" w:w="1440"/>
            <w:shd w:fill="C6EFCE" w:val="clear"/>
          </w:tcPr>
          <w:p>
            <w:r>
              <w:rPr>
                <w:sz w:val="17"/>
              </w:rPr>
              <w:t>2,169</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1,930</w:t>
            </w:r>
          </w:p>
        </w:tc>
        <w:tc>
          <w:tcPr>
            <w:tcW w:type="dxa" w:w="1440"/>
            <w:shd w:fill="C6EFCE" w:val="clear"/>
          </w:tcPr>
          <w:p>
            <w:r>
              <w:rPr>
                <w:b/>
                <w:sz w:val="17"/>
              </w:rPr>
              <w:t>2,059</w:t>
            </w:r>
          </w:p>
        </w:tc>
        <w:tc>
          <w:tcPr>
            <w:tcW w:type="dxa" w:w="1440"/>
            <w:shd w:fill="C6EFCE" w:val="clear"/>
          </w:tcPr>
          <w:p>
            <w:r>
              <w:rPr>
                <w:sz w:val="17"/>
              </w:rPr>
              <w:t>2,187</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1,929</w:t>
            </w:r>
          </w:p>
        </w:tc>
        <w:tc>
          <w:tcPr>
            <w:tcW w:type="dxa" w:w="1440"/>
            <w:shd w:fill="C6EFCE" w:val="clear"/>
          </w:tcPr>
          <w:p>
            <w:r>
              <w:rPr>
                <w:b/>
                <w:sz w:val="17"/>
              </w:rPr>
              <w:t>2,067</w:t>
            </w:r>
          </w:p>
        </w:tc>
        <w:tc>
          <w:tcPr>
            <w:tcW w:type="dxa" w:w="1440"/>
            <w:shd w:fill="C6EFCE" w:val="clear"/>
          </w:tcPr>
          <w:p>
            <w:r>
              <w:rPr>
                <w:sz w:val="17"/>
              </w:rPr>
              <w:t>2,206</w:t>
            </w:r>
          </w:p>
        </w:tc>
        <w:tc>
          <w:tcPr>
            <w:tcW w:type="dxa" w:w="1440"/>
            <w:shd w:fill="C6EFCE" w:val="clear"/>
          </w:tcPr>
          <w:p>
            <w:r>
              <w:rPr>
                <w:b/>
                <w:color w:val="008000"/>
                <w:sz w:val="17"/>
              </w:rPr>
              <w:t>+3.4%</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1,929</w:t>
            </w:r>
          </w:p>
        </w:tc>
        <w:tc>
          <w:tcPr>
            <w:tcW w:type="dxa" w:w="1440"/>
            <w:shd w:fill="C6EFCE" w:val="clear"/>
          </w:tcPr>
          <w:p>
            <w:r>
              <w:rPr>
                <w:b/>
                <w:sz w:val="17"/>
              </w:rPr>
              <w:t>2,076</w:t>
            </w:r>
          </w:p>
        </w:tc>
        <w:tc>
          <w:tcPr>
            <w:tcW w:type="dxa" w:w="1440"/>
            <w:shd w:fill="C6EFCE" w:val="clear"/>
          </w:tcPr>
          <w:p>
            <w:r>
              <w:rPr>
                <w:sz w:val="17"/>
              </w:rPr>
              <w:t>2,224</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1,929</w:t>
            </w:r>
          </w:p>
        </w:tc>
        <w:tc>
          <w:tcPr>
            <w:tcW w:type="dxa" w:w="1440"/>
            <w:shd w:fill="C6EFCE" w:val="clear"/>
          </w:tcPr>
          <w:p>
            <w:r>
              <w:rPr>
                <w:b/>
                <w:sz w:val="17"/>
              </w:rPr>
              <w:t>2,085</w:t>
            </w:r>
          </w:p>
        </w:tc>
        <w:tc>
          <w:tcPr>
            <w:tcW w:type="dxa" w:w="1440"/>
            <w:shd w:fill="C6EFCE" w:val="clear"/>
          </w:tcPr>
          <w:p>
            <w:r>
              <w:rPr>
                <w:sz w:val="17"/>
              </w:rPr>
              <w:t>2,241</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10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28,21 milliards FCFA, un niveau modeste qui la classe parmi les valeurs moyennes de la cote. Avec un BPA de 33 FCFA, le titre se paie 60,5 fois ses bénéfices, un PER extrêmement élevé au regard de la moyenne historique de la BRVM (8-12x). Ce niveau de valorisation suggère que le marché intègre des attentes de croissance très fortes, difficilement justifiables au vu des fondamentaux actuels. Le P/B de 1,80x indique que le marché valorise la société à près du double de ses capitaux propres, ce qui reste dans une zone de valorisation raisonnable pour une entreprise industrielle. Enfin, l'EV/EBITDA de 36,7x est particulièrement exigeant, signalant que la valeur d'entreprise est très élevée par rapport à la capacité bénéficiaire opérationnelle brute, ce qui renforce le constat d'une valorisation tendue.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significative de 17,01%, passant de ses plus hauts à un cours actuel de 2 000 FCFA, bien que la dernière séance affiche un rebond de +0,50%. Le titre a évolué dans une fourchette de 520 FCFA, entre un plus bas de 1 910 FCFA et un plus haut de 2 430 FCFA, illustrant une volatilité marquée. La moyenne du cours sur la période (2 179 FCFA) est inférieure à la médiane (2 220 FCFA), ce qui, combiné à un skewness négatif (-0,238), indique une distribution légèrement asymétrique avec une queue de distribution vers les bas cours. L'écart-type de 154 FCFA (CV=7,1%) montre une dispersion modérée autour de la moyenne, mais le kurtosis négatif (-1,306) révèle une distribution platykurtique, c'est-à-dire avec des variations moins extrêmes que la normale. La volatilité annualisée de 35,1% classe le titre dans la catégorie des valeurs à forte volatilité (&gt;30%), ce qui implique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2 000 FCFA est positionné sous la MM50 (2 080 FCFA) mais au-dessus de la MM20 (1 973,75 FCFA). Cette configuration indique une tendance de fond baissière à moyen terme, bien que le récent croisement au-dessus de la MM20 suggère un potentiel rebond à court terme. La décision de vente est justifiée par la persistance du cours sous la MM50, confirmant la pression vendeuse dominante.</w:t>
      </w:r>
    </w:p>
    <w:p>
      <w:pPr>
        <w:spacing w:after="120" w:line="276" w:lineRule="auto"/>
      </w:pPr>
      <w:r>
        <w:t>**Bandes de Bollinger :** Le prix se situe à 2 000 FCFA, entre la borne inférieure (1 924,35 FCFA) et la borne supérieure (2 023,15 FCFA), proche de la zone médiane. Cette position neutre indique une volatilité modérée et une absence de signal directionnel fort. La décision neutre est cohérente avec une phase de consolidation après la baisse récente.</w:t>
      </w:r>
    </w:p>
    <w:p>
      <w:pPr>
        <w:spacing w:after="120" w:line="276" w:lineRule="auto"/>
      </w:pPr>
      <w:r>
        <w:t>**MACD :** Le MACD (-24,0) est négatif mais se trouve au-dessus de sa ligne de signal (-33,71), formant un croisement haussier. Cette configuration suggère un ralentissement de la dynamique baissière et un potentiel retournement à la hausse. La décision d'achat est justifiée par cette convergence positive, même si le momentum reste globalement négatif.</w:t>
      </w:r>
    </w:p>
    <w:p>
      <w:pPr>
        <w:spacing w:after="120" w:line="276" w:lineRule="auto"/>
      </w:pPr>
      <w:r>
        <w:t>**RSI :** À 51,35, le RSI se situe exactement dans la zone neutre (30-70), indiquant un équilibre entre pressions acheteuses et vendeuses. Cette valeur ne montre ni surachat ni survente, laissant place à une évolution directionnelle sans contrainte technique majeure.</w:t>
      </w:r>
    </w:p>
    <w:p>
      <w:pPr>
        <w:spacing w:after="120" w:line="276" w:lineRule="auto"/>
      </w:pPr>
      <w:r>
        <w:t>**Stochastique :** Le %K (100) et le %D (90,20) sont tous deux en zone de surachat extrême (&gt;80), signalant une possible correction à court terme. La décision de vente est justifiée par cette configuration de surachat, qui suggère que le rebond récent pourrait être temporaire.</w:t>
      </w:r>
    </w:p>
    <w:p>
      <w:pPr>
        <w:spacing w:after="120" w:line="276" w:lineRule="auto"/>
      </w:pPr>
      <w:r>
        <w:t>**Conclusion technique :** Les signaux techniques sont mitigés avec une prédominance baissière à moyen terme (MM50, Stochastique) mais des signaux de rebond à court terme (MACD, position au-dessus de MM20). La configuration suggère une phase de stabilisation avec un biais haussier à très court terme, mais la tendance de fond reste incertaine.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de FTSC révèlent une situation contrastée. Le chiffre d'affaires s'établit à 32,109 milliards FCFA, en croissance de 4,6% par rapport à 2024, mais la rentabilité reste très faible avec un résultat net de seulement 465,98 millions FCFA, soit une marge nette de 1,45%. Le ROE de 2,97% et le ROA de 1,19% sont très inférieurs aux seuils d'excellence (&gt;15%), témoignant d'une faible efficacité dans l'utilisation des capitaux propres et des actifs. La structure financière montre une autonomie financière correcte (40,1%) mais un endettement élevé (ratio d'endettement de 97,6%). Les délais clients (213,7 jours) et de stockage (214,7 jours) sont particulièrement longs, créant un BFR massif de 11,529 milliards FCFA et une trésorerie nette négative de -11,528 milliards FCFA, signalant un risque de liquidité important. Les rapports trimestriels 2025 confirment ces difficultés : le T1 2025 affiche un résultat d'exploitation de -78 millions FCFA, le S1 2025 un résultat net de 105 millions FCFA (en chute de 97% par rapport à 2024), et le T3 2025 un résultat courant avant impôt de -216 millions FCFA. Sur la base de ces tendances, on estime que l'exercice 2025 devrait se solder par une rentabilité très faible, voire négative hors éléments exceptionnels, avec une dépendance critique à la campagne cacaoyère 2025/2026. Le communiqué de juillet 2026 concernant l'arrêt de la filature suite à l'interdiction d'exportation de fibre de jute par le Bangladesh ajoute une incertitude opérationnelle supplémentaire, bien que la direction affirme avoir mis en place des solutions alternatives.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complexe pour FTSC. La valorisation boursière (PER de 60,5x, EV/EBITDA de 36,7x) est clairement surévaluée par rapport aux fondamentaux, tandis que le comportement du cours montre une tendance baissière marquée (-17% sur 100 jours) avec une volatilité élevée (35,1%). Les signaux techniques sont mitigés, avec un potentiel rebond à court terme (MACD positif, position au-dessus de MM20) mais une tendance de fond incertaine. Les fondamentaux sont préoccupants : rentabilité très faible, BFR massif, délais clients excessifs et dépendance à la campagne cacaoyère. Les prédictions IA (2008 à 2041 FCFA sur 10 jours) suggèrent une légère progression, contredisant partiellement la tendance baissière récente. Au vu de ces éléments divergents, la recommandation est **CONSERVER** avec un niveau de confiance **Faible** et un risque global **Élevé**. L'horizon d'investissement optimal serait le **moyen terme (3-12 mois)**, en attendant une clarification de la stratégie opérationnelle et une amélioration tangible de la rentabilité. Les investisseurs devraient surveiller attentivement l'évolution de la campagne cacaoyère et les résultats du prochain exercice avant d'envisager toute position significative.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conjoncturelles du T1 2022, la soci\u00e9t\u00e9 maintient sa croissance d'activit\u00e9 et b\u00e9n\u00e9ficie de perspectives commerciales favorables. La situation difficile semble temporaire li\u00e9e au contexte \u00e9conomique mondial."}</w:t>
      </w:r>
    </w:p>
    <w:p>
      <w:pPr>
        <w:spacing w:before="40"/>
        <w:ind w:left="400"/>
      </w:pPr>
      <w:r>
        <w:rPr>
          <w:sz w:val="18"/>
        </w:rPr>
        <w:t>FILTISAC CI présente des résultats financiers mitigés au premier trimestre 2022. Le chiffre d'affaires progresse de 10% à 10 935 millions FCFA, porté notamment par les activités du département Jute. Cependant, la société affiche une perte d'exploitation de 103 millions FCFA contre un bénéfice de 322 millions l'année précédente. Le résultat courant avant impôt se dégrade fortement à -382 millions FCFA contre +204 millions en 2021. Cette détérioration s'explique principalement par la hausse du coût des matières premières qui a impacté les marges malgré la croissance du chiffre d'affaires.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'+10%', 'capital_social': '8 814 837 500 FCFA', 'resultat_exploitation': '-103 millions FCFA', 'resultat_courant_avant_impot': '-382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10 935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 à 10 935 millions FCFA au T1 2022</w:t>
      </w:r>
    </w:p>
    <w:p>
      <w:pPr>
        <w:pStyle w:val="ListBullet"/>
        <w:spacing w:before="20" w:after="20"/>
        <w:ind w:left="700"/>
      </w:pPr>
      <w:r>
        <w:rPr>
          <w:sz w:val="18"/>
        </w:rPr>
        <w:t>Perte d'exploitation de 103 millions FCFA contre un bénéfice de 322 millions en 2021</w:t>
      </w:r>
    </w:p>
    <w:p>
      <w:pPr>
        <w:pStyle w:val="ListBullet"/>
        <w:spacing w:before="20" w:after="20"/>
        <w:ind w:left="700"/>
      </w:pPr>
      <w:r>
        <w:rPr>
          <w:sz w:val="18"/>
        </w:rPr>
        <w:t>Dégradation du résultat courant avant impôt à -382 millions FCFA (-287%)</w:t>
      </w:r>
    </w:p>
    <w:p>
      <w:pPr>
        <w:pStyle w:val="ListBullet"/>
        <w:spacing w:before="20" w:after="20"/>
        <w:ind w:left="700"/>
      </w:pPr>
      <w:r>
        <w:rPr>
          <w:sz w:val="18"/>
        </w:rPr>
        <w:t>Impact négatif de la hausse des coûts des matières premières sur les marges</w:t>
      </w:r>
    </w:p>
    <w:p>
      <w:pPr>
        <w:pStyle w:val="ListBullet"/>
        <w:spacing w:before="20" w:after="20"/>
        <w:ind w:left="700"/>
      </w:pPr>
      <w:r>
        <w:rPr>
          <w:sz w:val="18"/>
        </w:rPr>
        <w:t>Suspension des exportations vers le Mali pénalisant les ventes de polymères</w:t>
      </w:r>
    </w:p>
    <w:p>
      <w:pPr>
        <w:pStyle w:val="ListBullet"/>
        <w:spacing w:before="20" w:after="20"/>
        <w:ind w:left="700"/>
      </w:pPr>
      <w:r>
        <w:rPr>
          <w:sz w:val="18"/>
        </w:rPr>
        <w:t>Contexte économique mondial difficile avec hausse des prix et perturbations logistiques</w:t>
      </w:r>
    </w:p>
    <w:p>
      <w:pPr>
        <w:spacing w:before="40"/>
        <w:ind w:left="400"/>
      </w:pPr>
      <w:r>
        <w:rPr>
          <w:b/>
          <w:color w:val="C05000"/>
          <w:sz w:val="18"/>
        </w:rPr>
        <w:t xml:space="preserve">⚠️ Risques : </w:t>
      </w:r>
      <w:r>
        <w:rPr>
          <w:sz w:val="18"/>
        </w:rPr>
        <w:t>["Volatilit\u00e9 continue des prix des mati\u00e8res premi\u00e8res impactant la rentabilit\u00e9", "Perturbations de la cha\u00eene logistique notamment sur les approvisionnements asiatiques", "Instabilit\u00e9 g\u00e9opolitique r\u00e9gionale affectant les exportations vers le Mali"]</w:t>
      </w:r>
    </w:p>
    <w:p>
      <w:pPr>
        <w:spacing w:before="40"/>
        <w:ind w:left="400"/>
      </w:pPr>
      <w:r>
        <w:rPr>
          <w:b/>
          <w:color w:val="0064A0"/>
          <w:sz w:val="18"/>
        </w:rPr>
        <w:t xml:space="preserve">🔮 Perspectives : </w:t>
      </w:r>
      <w:r>
        <w:rPr>
          <w:sz w:val="18"/>
        </w:rPr>
        <w:t>Les prévisions commerciales s'annoncent satisfaisantes avec une demande soutenue d'emballages destinés aux filières agricoles en croissance. L'amélioration de la productivité, particulièrement sur l'usine Jute, devrait contribuer à redresser la rentabilité dans les prochains trimestres.</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86.00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2,702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+10.26%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5.19% (Moyenne) — μ=4,018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β=0.3407 (Défensif) — Cov=0.000012, Var(idx)=0.000036, ρ=0.093,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3,967</w:t>
            </w:r>
          </w:p>
        </w:tc>
        <w:tc>
          <w:tcPr>
            <w:tcW w:type="dxa" w:w="1440"/>
            <w:shd w:fill="FFDCE0" w:val="clear"/>
          </w:tcPr>
          <w:p>
            <w:r>
              <w:rPr>
                <w:b/>
                <w:sz w:val="17"/>
              </w:rPr>
              <w:t>4,195</w:t>
            </w:r>
          </w:p>
        </w:tc>
        <w:tc>
          <w:tcPr>
            <w:tcW w:type="dxa" w:w="1440"/>
            <w:shd w:fill="FFDCE0" w:val="clear"/>
          </w:tcPr>
          <w:p>
            <w:r>
              <w:rPr>
                <w:sz w:val="17"/>
              </w:rPr>
              <w:t>4,423</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3,857</w:t>
            </w:r>
          </w:p>
        </w:tc>
        <w:tc>
          <w:tcPr>
            <w:tcW w:type="dxa" w:w="1440"/>
            <w:shd w:fill="FFDCE0" w:val="clear"/>
          </w:tcPr>
          <w:p>
            <w:r>
              <w:rPr>
                <w:b/>
                <w:sz w:val="17"/>
              </w:rPr>
              <w:t>4,177</w:t>
            </w:r>
          </w:p>
        </w:tc>
        <w:tc>
          <w:tcPr>
            <w:tcW w:type="dxa" w:w="1440"/>
            <w:shd w:fill="FFDCE0" w:val="clear"/>
          </w:tcPr>
          <w:p>
            <w:r>
              <w:rPr>
                <w:sz w:val="17"/>
              </w:rPr>
              <w:t>4,498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3,765</w:t>
            </w:r>
          </w:p>
        </w:tc>
        <w:tc>
          <w:tcPr>
            <w:tcW w:type="dxa" w:w="1440"/>
            <w:shd w:fill="FFDCE0" w:val="clear"/>
          </w:tcPr>
          <w:p>
            <w:r>
              <w:rPr>
                <w:b/>
                <w:sz w:val="17"/>
              </w:rPr>
              <w:t>4,156</w:t>
            </w:r>
          </w:p>
        </w:tc>
        <w:tc>
          <w:tcPr>
            <w:tcW w:type="dxa" w:w="1440"/>
            <w:shd w:fill="FFDCE0" w:val="clear"/>
          </w:tcPr>
          <w:p>
            <w:r>
              <w:rPr>
                <w:sz w:val="17"/>
              </w:rPr>
              <w:t>4,547</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3,687</w:t>
            </w:r>
          </w:p>
        </w:tc>
        <w:tc>
          <w:tcPr>
            <w:tcW w:type="dxa" w:w="1440"/>
            <w:shd w:fill="FFDCE0" w:val="clear"/>
          </w:tcPr>
          <w:p>
            <w:r>
              <w:rPr>
                <w:b/>
                <w:sz w:val="17"/>
              </w:rPr>
              <w:t>4,136</w:t>
            </w:r>
          </w:p>
        </w:tc>
        <w:tc>
          <w:tcPr>
            <w:tcW w:type="dxa" w:w="1440"/>
            <w:shd w:fill="FFDCE0" w:val="clear"/>
          </w:tcPr>
          <w:p>
            <w:r>
              <w:rPr>
                <w:sz w:val="17"/>
              </w:rPr>
              <w:t>4,585</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3,618</w:t>
            </w:r>
          </w:p>
        </w:tc>
        <w:tc>
          <w:tcPr>
            <w:tcW w:type="dxa" w:w="1440"/>
            <w:shd w:fill="FFDCE0" w:val="clear"/>
          </w:tcPr>
          <w:p>
            <w:r>
              <w:rPr>
                <w:b/>
                <w:sz w:val="17"/>
              </w:rPr>
              <w:t>4,118</w:t>
            </w:r>
          </w:p>
        </w:tc>
        <w:tc>
          <w:tcPr>
            <w:tcW w:type="dxa" w:w="1440"/>
            <w:shd w:fill="FFDCE0" w:val="clear"/>
          </w:tcPr>
          <w:p>
            <w:r>
              <w:rPr>
                <w:sz w:val="17"/>
              </w:rPr>
              <w:t>4,618</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3,547</w:t>
            </w:r>
          </w:p>
        </w:tc>
        <w:tc>
          <w:tcPr>
            <w:tcW w:type="dxa" w:w="1440"/>
            <w:shd w:fill="FFDCE0" w:val="clear"/>
          </w:tcPr>
          <w:p>
            <w:r>
              <w:rPr>
                <w:b/>
                <w:sz w:val="17"/>
              </w:rPr>
              <w:t>4,091</w:t>
            </w:r>
          </w:p>
        </w:tc>
        <w:tc>
          <w:tcPr>
            <w:tcW w:type="dxa" w:w="1440"/>
            <w:shd w:fill="FFDCE0" w:val="clear"/>
          </w:tcPr>
          <w:p>
            <w:r>
              <w:rPr>
                <w:sz w:val="17"/>
              </w:rPr>
              <w:t>4,635</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3,480</w:t>
            </w:r>
          </w:p>
        </w:tc>
        <w:tc>
          <w:tcPr>
            <w:tcW w:type="dxa" w:w="1440"/>
            <w:shd w:fill="FFDCE0" w:val="clear"/>
          </w:tcPr>
          <w:p>
            <w:r>
              <w:rPr>
                <w:b/>
                <w:sz w:val="17"/>
              </w:rPr>
              <w:t>4,064</w:t>
            </w:r>
          </w:p>
        </w:tc>
        <w:tc>
          <w:tcPr>
            <w:tcW w:type="dxa" w:w="1440"/>
            <w:shd w:fill="FFDCE0" w:val="clear"/>
          </w:tcPr>
          <w:p>
            <w:r>
              <w:rPr>
                <w:sz w:val="17"/>
              </w:rPr>
              <w:t>4,648</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3,426</w:t>
            </w:r>
          </w:p>
        </w:tc>
        <w:tc>
          <w:tcPr>
            <w:tcW w:type="dxa" w:w="1440"/>
            <w:shd w:fill="FFDCE0" w:val="clear"/>
          </w:tcPr>
          <w:p>
            <w:r>
              <w:rPr>
                <w:b/>
                <w:sz w:val="17"/>
              </w:rPr>
              <w:t>4,048</w:t>
            </w:r>
          </w:p>
        </w:tc>
        <w:tc>
          <w:tcPr>
            <w:tcW w:type="dxa" w:w="1440"/>
            <w:shd w:fill="FFDCE0" w:val="clear"/>
          </w:tcPr>
          <w:p>
            <w:r>
              <w:rPr>
                <w:sz w:val="17"/>
              </w:rPr>
              <w:t>4,669</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3,375</w:t>
            </w:r>
          </w:p>
        </w:tc>
        <w:tc>
          <w:tcPr>
            <w:tcW w:type="dxa" w:w="1440"/>
            <w:shd w:fill="FFDCE0" w:val="clear"/>
          </w:tcPr>
          <w:p>
            <w:r>
              <w:rPr>
                <w:b/>
                <w:sz w:val="17"/>
              </w:rPr>
              <w:t>4,032</w:t>
            </w:r>
          </w:p>
        </w:tc>
        <w:tc>
          <w:tcPr>
            <w:tcW w:type="dxa" w:w="1440"/>
            <w:shd w:fill="FFDCE0" w:val="clear"/>
          </w:tcPr>
          <w:p>
            <w:r>
              <w:rPr>
                <w:sz w:val="17"/>
              </w:rPr>
              <w:t>4,689</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3,318</w:t>
            </w:r>
          </w:p>
        </w:tc>
        <w:tc>
          <w:tcPr>
            <w:tcW w:type="dxa" w:w="1440"/>
            <w:shd w:fill="FFDCE0" w:val="clear"/>
          </w:tcPr>
          <w:p>
            <w:r>
              <w:rPr>
                <w:b/>
                <w:sz w:val="17"/>
              </w:rPr>
              <w:t>4,005</w:t>
            </w:r>
          </w:p>
        </w:tc>
        <w:tc>
          <w:tcPr>
            <w:tcW w:type="dxa" w:w="1440"/>
            <w:shd w:fill="FFDCE0" w:val="clear"/>
          </w:tcPr>
          <w:p>
            <w:r>
              <w:rPr>
                <w:sz w:val="17"/>
              </w:rPr>
              <w:t>4,693</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LNBB s'établit à 86 milliards FCFA, ce qui en fait une valeur de taille moyenne sur la BRVM, représentative d'un secteur des jeux d'argent en position quasi-monopolistique au Bénin. Avec un BPA de 231 FCFA, chaque action génère un bénéfice substantiel, mais le PER de 18,6x indique que les investisseurs paient une prime significative par rapport à la moyenne historique de la BRVM (8-12x). Cette prime reflète la confiance dans la transformation digitale et la solidité financière de l'entreprise. Le P/B de 3,92x confirme cette prime, le marché valorisant l'actif net comptable près de quatre fois au-dessus de sa valeur, récompensant ainsi la forte rentabilité des capitaux propres (ROE de 21%). Enfin, l'EV/EBITDA de 11,0x, bien que dans la fourchette haute, reste acceptable pour une entreprise disposant d'une trésorerie nette massive de près de 8 milliards FCFA, ce qui justifie en partie cette valorisation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LNBB a enregistré une progression totale de +10,26%, avec une dernière séance stable (0,00%), témoignant d'un marché en phase de consolidation après une période d'appréciation. Le cours a évolué dans un range de 3 765 FCFA (plus bas) à 4 560 FCFA (plus haut), démontrant une amplitude de trading de près de 21%, ce qui traduit une volatilité intraday notable. La moyenne du cours sur la période (4 018 FCFA) est supérieure à la médiane (3 912 FCFA), et l'écart positif avec le mode (3 900 FCFA) indique une asymétrie positive (skewness de 0,909), signifiant que le titre a passé plus de journées sous sa moyenne mais a connu des épisodes de hausse marqués. L'écart-type de 209 FCFA (CV de 5,2%) révèle une dispersion modérée autour de la moyenne, tandis que le kurtosis de -0,631 (mésokurtique) suggère une distribution proche de la normale, sans risque de pics extrêmes. La volatilité annualisée de 35% classe LNBB comme un actif à forte volatilité, ce qui implique un risque élevé mais aussi un potentiel de rendement substantiel pour les investisseurs aguerris.</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de fond : la MM20 (4 317 FCFA) est supérieure à la MM50 (4 150 FCFA), et le cours actuel (4 300 FCFA) se situe entre les deux, légèrement sous la MM20. Cette configuration suggère un essoufflement à court terme mais une dynamique positive à moyen terme. La décision "Achat" se justifie par la tendance générale ascendante, bien que le franchissement de la MM20 soit nécessaire pour confirmer un nouveau mouvement haussier.</w:t>
      </w:r>
    </w:p>
    <w:p>
      <w:pPr>
        <w:spacing w:after="120" w:line="276" w:lineRule="auto"/>
      </w:pPr>
      <w:r>
        <w:t>Les **Bandes de Bollinger** montrent un cours (4 300 FCFA) positionné presque à mi-chemin entre la borne supérieure (4 539 FCFA) et la borne inférieure (4 095 FCFA), indiquant une volatilité modérée et une absence de surachat ou survente. La décision "Neutre" est cohérente : le titre n'est pas en zone extrême, laissant place à une évolution dans les deux sens sans signal directionnel fort.</w:t>
      </w:r>
    </w:p>
    <w:p>
      <w:pPr>
        <w:spacing w:after="120" w:line="276" w:lineRule="auto"/>
      </w:pPr>
      <w:r>
        <w:t>Le **MACD** affiche une valeur (53,76) inférieure à son signal (59,52), formant un croisement baissier récent. Cette configuration indique un ralentissement du momentum haussier, justifiant la décision "Vente". Cependant, la valeur positive du MACD suggère que la tendance de fond reste positive, et ce signal pourrait n'être que temporaire.</w:t>
      </w:r>
    </w:p>
    <w:p>
      <w:pPr>
        <w:spacing w:after="120" w:line="276" w:lineRule="auto"/>
      </w:pPr>
      <w:r>
        <w:t>Le **RSI** à 50,0 est parfaitement neutre, indiquant un équilibre entre pressions acheteuses et vendeuses. Cette valeur n'émet aucun signal directionnel, cohérent avec la décision "Neutre". Le titre dispose d'une marge de manœuvre dans les deux sens avant d'atteindre des zones de surachat (70) ou de survente (30).</w:t>
      </w:r>
    </w:p>
    <w:p>
      <w:pPr>
        <w:spacing w:after="120" w:line="276" w:lineRule="auto"/>
      </w:pPr>
      <w:r>
        <w:t>Le **Stochastique** avec %K (43,48) sous %D (50,73) suggère une dynamique baissière à court terme, mais sans croisement violent. La décision "Neutre" est appropriée, le titre n'étant ni en zone de surachat ni de survente, avec un momentum légèrement négatif mais non confirmé.</w:t>
      </w:r>
    </w:p>
    <w:p>
      <w:pPr>
        <w:spacing w:after="120" w:line="276" w:lineRule="auto"/>
      </w:pPr>
      <w:r>
        <w:t>**Conclusion technique** : Les indicateurs sont globalement mitigés, avec une tendance de fond haussière (MM) mais des signaux de court terme hésitants (MACD baissier, RSI neutre, Stochastique légèrement négatif). Le titre semble en phase de consolidation après sa progression récente, et un catalyseur (fondamental ou macroéconomique) sera nécessaire pour déterminer la direction future. La prudence est de mise à court terme, mais la tendance moyenne reste positive.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entreprise solide mais en phase de transition. En 2025, le chiffre d'affaires s'établit à 98,598 milliards FCFA, en recul de -3,85% par rapport à 2024 (102,544 milliards), principalement affecté par la concurrence déloyale des opérateurs illégaux. Le résultat net ressort à 4,622 milliards FCFA, en baisse de -35,6% par rapport à 2024 (7,176 milliards), mais cette dégradation s'explique par l'absence de produits exceptionnels (3,1 milliards en 2024) et non par une détérioration opérationnelle. En effet, la valeur ajoutée a progressé de +22% (10,548 milliards) et l'EBE de +34% (7,164 milliards), démontrant une excellente maîtrise des charges. La rentabilité reste très satisfaisante avec un ROE de 21,05% et un ROA de 14,17%, bien au-dessus des seuils d'excellence. La structure financière est robuste : capitaux propres de 21,954 milliards (autonomie financière de 67,3%), trésorerie nette de 7,979 milliards, et un BFR négatif de 217 millions, signe d'une gestion efficace du besoin en fonds de roulement. Les délais clients (4,82 jours) et fournisseurs (20,41 jours) sont très courts, indiquant une collecte rapide des recettes. Le rapport annuel 2025 (analysé en mai 2026) confirme la solidité et recommande de conserver. Sur la base du rapport T1 2026 (CA +6% à 25,521 milliards, mais RN -46% à 848 millions), on estime que l'exercice 2026 devrait voir une amélioration séquentielle de la rentabilité grâce au lancement de nouveaux produits à plus forte marge et à la montée en puissance du digital (68% du CA). Le S1 2026 (CA +4%, RN +60%) confirme cette tendance positive. La recommandation fondamentale est de conserver, avec un œil attentif sur la capacité de la direction à rééquilibrer le mix produit vers des activités plus rentables.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LNBB. La valorisation (PER 18,6x, P/B 3,92x, EV/EBITDA 11x) est exigeante, intégrant une prime pour la solidité financière et le potentiel digital, mais elle n'est pas excessive compte tenu du ROE de 21%. Le comportement du cours sur 100 jours (+10,26%) est positif, avec une volatilité élevée (35%) qui offre des opportunités mais implique un risque accru. Les signaux techniques sont mitigés : tendance de fond haussière (MM) mais momentum court terme hésitant (MACD baissier, RSI neutre). Les fondamentaux montrent une entreprise robuste financièrement, avec une amélioration opérationnelle sous-jacente (VA +22%, EBE +34% en 2025) et une croissance du CA au S1 2026 (+4%) avec un RN en hausse de +60%. Les prédictions IA (J+1 à J+10) indiquent une trajectoire baissière progressive (de 4 195 à 4 118 FCFA), contredisant légèrement les signaux fondamentaux positifs mais cohérents avec la consolidation technique. Sur la base de cette synthèse, nous recommandons **CONSERVER** avec un niveau de confiance **Moyen**. Le risque global est **Élevé** en raison de la volatilité et de la concurrence illégale, mais l'horizon d'investissement optimal est le **moyen terme (3-12 mois)**, permettant de capturer le potentiel de redressement de la rentabilité tout en surveillant l'évolution du mix produit et la régulation du secteur.</w:t>
      </w:r>
    </w:p>
    <w:p/>
    <w:p/>
    <w:p>
      <w:pPr>
        <w:pStyle w:val="Heading3"/>
      </w:pPr>
      <w:r>
        <w:rPr>
          <w:color w:val="005A32"/>
        </w:rPr>
        <w:t>📋 RAPPORTS &amp; COMMUNIQUÉS OFFICIELS</w:t>
      </w:r>
    </w:p>
    <w:p>
      <w:r>
        <w:rPr>
          <w:i/>
          <w:color w:val="646464"/>
          <w:sz w:val="18"/>
        </w:rPr>
        <w:t>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s\u00e9quentielle du r\u00e9sultat net et l'efficacit\u00e9 du plan d'ajustement sugg\u00e8rent une stabilisation progressive. La reprise attendue au T4 2025 justifie une position d'attente."}</w:t>
      </w:r>
    </w:p>
    <w:p>
      <w:pPr>
        <w:spacing w:before="40"/>
        <w:ind w:left="400"/>
      </w:pPr>
      <w:r>
        <w:rPr>
          <w:sz w:val="18"/>
        </w:rPr>
        <w:t>La Loterie Nationale du Bénin (LNB SA) présente des résultats mitigés au T3 2025 avec un chiffre d'affaires en baisse de 6% à 72,479 milliards FCFA comparé au T3 2024. Malgré cette contre-performance commerciale, la société affiche une amélioration significative de sa rentabilité avec un résultat net de 1,034 milliard FCFA au T3 2025 contre 5,382 milliards FCFA au T3 2024. L'entreprise met en œuvre un plan d'ajustement opérationnel qui commence à porter ses fruits. La direction anticipe une reprise progressive de la rentabilité sur le dernier trimestre 2025. Les mesures correctives visent à préserver les intérêts des actionnaires malgré les difficultés persistantes du premier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milliards FCFA', 'resultat_financier': '357 millions FCFA', 'resultat_avant_impots': '1,897 milliard FCFA', 'resultat_exploitation': '1,401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1,034 milliard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72,479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6% au T3 2025 (72,479 Mds FCFA vs 76,908 Mds FCFA en 2024)</w:t>
      </w:r>
    </w:p>
    <w:p>
      <w:pPr>
        <w:pStyle w:val="ListBullet"/>
        <w:spacing w:before="20" w:after="20"/>
        <w:ind w:left="700"/>
      </w:pPr>
      <w:r>
        <w:rPr>
          <w:sz w:val="18"/>
        </w:rPr>
        <w:t>Résultat net de 1,034 milliard FCFA au T3 2025, en forte baisse de 81% par rapport au T3 2024</w:t>
      </w:r>
    </w:p>
    <w:p>
      <w:pPr>
        <w:pStyle w:val="ListBullet"/>
        <w:spacing w:before="20" w:after="20"/>
        <w:ind w:left="700"/>
      </w:pPr>
      <w:r>
        <w:rPr>
          <w:sz w:val="18"/>
        </w:rPr>
        <w:t>Amélioration du résultat net de 22,95% entre le premier semestre et le T3 2025 (841 millions à 1,034 milliard)</w:t>
      </w:r>
    </w:p>
    <w:p>
      <w:pPr>
        <w:pStyle w:val="ListBullet"/>
        <w:spacing w:before="20" w:after="20"/>
        <w:ind w:left="700"/>
      </w:pPr>
      <w:r>
        <w:rPr>
          <w:sz w:val="18"/>
        </w:rPr>
        <w:t>Résultat d'exploitation drastiquement réduit : 1,401 milliard FCFA (-59% vs T3 2024)</w:t>
      </w:r>
    </w:p>
    <w:p>
      <w:pPr>
        <w:pStyle w:val="ListBullet"/>
        <w:spacing w:before="20" w:after="20"/>
        <w:ind w:left="700"/>
      </w:pPr>
      <w:r>
        <w:rPr>
          <w:sz w:val="18"/>
        </w:rPr>
        <w:t>Plan d'ajustement opérationnel en cours de mise en œuvre montrant des signes d'efficacité</w:t>
      </w:r>
    </w:p>
    <w:p>
      <w:pPr>
        <w:pStyle w:val="ListBullet"/>
        <w:spacing w:before="20" w:after="20"/>
        <w:ind w:left="700"/>
      </w:pPr>
      <w:r>
        <w:rPr>
          <w:sz w:val="18"/>
        </w:rPr>
        <w:t>Difficultés commerciales persistantes liées aux problèmes rencontrés au premier semestre 2025</w:t>
      </w:r>
    </w:p>
    <w:p>
      <w:pPr>
        <w:spacing w:before="40"/>
        <w:ind w:left="400"/>
      </w:pPr>
      <w:r>
        <w:rPr>
          <w:b/>
          <w:color w:val="C05000"/>
          <w:sz w:val="18"/>
        </w:rPr>
        <w:t xml:space="preserve">⚠️ Risques : </w:t>
      </w:r>
      <w:r>
        <w:rPr>
          <w:sz w:val="18"/>
        </w:rPr>
        <w:t>["Persistance des difficult\u00e9s commerciales impactant durablement le chiffre d'affaires", "Forte d\u00e9pendance \u00e0 l'efficacit\u00e9 du plan d'ajustement op\u00e9rationnel en cours", "Environnement \u00e9conomique d\u00e9favorable pouvant affecter l'activit\u00e9 loterie au B\u00e9nin"]</w:t>
      </w:r>
    </w:p>
    <w:p>
      <w:pPr>
        <w:spacing w:before="40"/>
        <w:ind w:left="400"/>
      </w:pPr>
      <w:r>
        <w:rPr>
          <w:b/>
          <w:color w:val="0064A0"/>
          <w:sz w:val="18"/>
        </w:rPr>
        <w:t xml:space="preserve">🔮 Perspectives : </w:t>
      </w:r>
      <w:r>
        <w:rPr>
          <w:sz w:val="18"/>
        </w:rPr>
        <w:t xml:space="preserve">La direction anticipe une reprise progressive de la rentabilité sur le dernier trimestre 2025 grâce aux mesures correctives mises en œuvre. Le succès du plan d'ajustement opérationnel sera déterminant pour le retour à une croissance soutenue en 2026. L'amélioration séquentielle des résultats laisse </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5,400 titres</w:t>
            </w:r>
          </w:p>
        </w:tc>
        <w:tc>
          <w:tcPr>
            <w:tcW w:type="dxa" w:w="2268"/>
            <w:shd w:fill="FFF2CC" w:val="clear"/>
          </w:tcPr>
          <w:p>
            <w:r>
              <w:rPr>
                <w:b/>
                <w:color w:val="503200"/>
                <w:sz w:val="16"/>
              </w:rPr>
              <w:t xml:space="preserve">Cours actuel : </w:t>
            </w:r>
            <w:r>
              <w:rPr>
                <w:color w:val="000000"/>
                <w:sz w:val="17"/>
              </w:rPr>
              <w:t>2,115 FCFA</w:t>
            </w:r>
          </w:p>
          <w:p>
            <w:r>
              <w:rPr>
                <w:b/>
                <w:color w:val="503200"/>
                <w:sz w:val="16"/>
              </w:rPr>
              <w:t xml:space="preserve">Var. 100 jours : </w:t>
            </w:r>
            <w:r>
              <w:rPr>
                <w:b/>
                <w:color w:val="007800"/>
                <w:sz w:val="17"/>
              </w:rPr>
              <w:t>+48.42%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19.02% (Élevée) — μ=1,893 FCFA, σ=360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β=-0.0895 (Contre-cyclique) — Cov=-0.000003, Var(idx)=0.000036, ρ=-0.017,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1,859</w:t>
            </w:r>
          </w:p>
        </w:tc>
        <w:tc>
          <w:tcPr>
            <w:tcW w:type="dxa" w:w="1440"/>
            <w:shd w:fill="FFDCE0" w:val="clear"/>
          </w:tcPr>
          <w:p>
            <w:r>
              <w:rPr>
                <w:b/>
                <w:sz w:val="17"/>
              </w:rPr>
              <w:t>1,971</w:t>
            </w:r>
          </w:p>
        </w:tc>
        <w:tc>
          <w:tcPr>
            <w:tcW w:type="dxa" w:w="1440"/>
            <w:shd w:fill="FFDCE0" w:val="clear"/>
          </w:tcPr>
          <w:p>
            <w:r>
              <w:rPr>
                <w:sz w:val="17"/>
              </w:rPr>
              <w:t>2,083</w:t>
            </w:r>
          </w:p>
        </w:tc>
        <w:tc>
          <w:tcPr>
            <w:tcW w:type="dxa" w:w="1440"/>
            <w:shd w:fill="FFDCE0" w:val="clear"/>
          </w:tcPr>
          <w:p>
            <w:r>
              <w:rPr>
                <w:b/>
                <w:color w:val="C00000"/>
                <w:sz w:val="17"/>
              </w:rPr>
              <w:t>-6.8%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1,700</w:t>
            </w:r>
          </w:p>
        </w:tc>
        <w:tc>
          <w:tcPr>
            <w:tcW w:type="dxa" w:w="1440"/>
            <w:shd w:fill="FFDCE0" w:val="clear"/>
          </w:tcPr>
          <w:p>
            <w:r>
              <w:rPr>
                <w:b/>
                <w:sz w:val="17"/>
              </w:rPr>
              <w:t>1,849</w:t>
            </w:r>
          </w:p>
        </w:tc>
        <w:tc>
          <w:tcPr>
            <w:tcW w:type="dxa" w:w="1440"/>
            <w:shd w:fill="FFDCE0" w:val="clear"/>
          </w:tcPr>
          <w:p>
            <w:r>
              <w:rPr>
                <w:sz w:val="17"/>
              </w:rPr>
              <w:t>1,998</w:t>
            </w:r>
          </w:p>
        </w:tc>
        <w:tc>
          <w:tcPr>
            <w:tcW w:type="dxa" w:w="1440"/>
            <w:shd w:fill="FFDCE0" w:val="clear"/>
          </w:tcPr>
          <w:p>
            <w:r>
              <w:rPr>
                <w:b/>
                <w:color w:val="C00000"/>
                <w:sz w:val="17"/>
              </w:rPr>
              <w:t>-12.6%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1,576</w:t>
            </w:r>
          </w:p>
        </w:tc>
        <w:tc>
          <w:tcPr>
            <w:tcW w:type="dxa" w:w="1440"/>
            <w:shd w:fill="FFDCE0" w:val="clear"/>
          </w:tcPr>
          <w:p>
            <w:r>
              <w:rPr>
                <w:b/>
                <w:sz w:val="17"/>
              </w:rPr>
              <w:t>1,748</w:t>
            </w:r>
          </w:p>
        </w:tc>
        <w:tc>
          <w:tcPr>
            <w:tcW w:type="dxa" w:w="1440"/>
            <w:shd w:fill="FFDCE0" w:val="clear"/>
          </w:tcPr>
          <w:p>
            <w:r>
              <w:rPr>
                <w:sz w:val="17"/>
              </w:rPr>
              <w:t>1,920</w:t>
            </w:r>
          </w:p>
        </w:tc>
        <w:tc>
          <w:tcPr>
            <w:tcW w:type="dxa" w:w="1440"/>
            <w:shd w:fill="FFDCE0" w:val="clear"/>
          </w:tcPr>
          <w:p>
            <w:r>
              <w:rPr>
                <w:b/>
                <w:color w:val="C00000"/>
                <w:sz w:val="17"/>
              </w:rPr>
              <w:t>-17.4%</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1,476</w:t>
            </w:r>
          </w:p>
        </w:tc>
        <w:tc>
          <w:tcPr>
            <w:tcW w:type="dxa" w:w="1440"/>
            <w:shd w:fill="FFDCE0" w:val="clear"/>
          </w:tcPr>
          <w:p>
            <w:r>
              <w:rPr>
                <w:b/>
                <w:sz w:val="17"/>
              </w:rPr>
              <w:t>1,665</w:t>
            </w:r>
          </w:p>
        </w:tc>
        <w:tc>
          <w:tcPr>
            <w:tcW w:type="dxa" w:w="1440"/>
            <w:shd w:fill="FFDCE0" w:val="clear"/>
          </w:tcPr>
          <w:p>
            <w:r>
              <w:rPr>
                <w:sz w:val="17"/>
              </w:rPr>
              <w:t>1,855</w:t>
            </w:r>
          </w:p>
        </w:tc>
        <w:tc>
          <w:tcPr>
            <w:tcW w:type="dxa" w:w="1440"/>
            <w:shd w:fill="FFDCE0" w:val="clear"/>
          </w:tcPr>
          <w:p>
            <w:r>
              <w:rPr>
                <w:b/>
                <w:color w:val="C00000"/>
                <w:sz w:val="17"/>
              </w:rPr>
              <w:t>-21.3%</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1,393</w:t>
            </w:r>
          </w:p>
        </w:tc>
        <w:tc>
          <w:tcPr>
            <w:tcW w:type="dxa" w:w="1440"/>
            <w:shd w:fill="FFDCE0" w:val="clear"/>
          </w:tcPr>
          <w:p>
            <w:r>
              <w:rPr>
                <w:b/>
                <w:sz w:val="17"/>
              </w:rPr>
              <w:t>1,596</w:t>
            </w:r>
          </w:p>
        </w:tc>
        <w:tc>
          <w:tcPr>
            <w:tcW w:type="dxa" w:w="1440"/>
            <w:shd w:fill="FFDCE0" w:val="clear"/>
          </w:tcPr>
          <w:p>
            <w:r>
              <w:rPr>
                <w:sz w:val="17"/>
              </w:rPr>
              <w:t>1,799</w:t>
            </w:r>
          </w:p>
        </w:tc>
        <w:tc>
          <w:tcPr>
            <w:tcW w:type="dxa" w:w="1440"/>
            <w:shd w:fill="FFDCE0" w:val="clear"/>
          </w:tcPr>
          <w:p>
            <w:r>
              <w:rPr>
                <w:b/>
                <w:color w:val="C00000"/>
                <w:sz w:val="17"/>
              </w:rPr>
              <w:t>-24.5%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1,321</w:t>
            </w:r>
          </w:p>
        </w:tc>
        <w:tc>
          <w:tcPr>
            <w:tcW w:type="dxa" w:w="1440"/>
            <w:shd w:fill="FFDCE0" w:val="clear"/>
          </w:tcPr>
          <w:p>
            <w:r>
              <w:rPr>
                <w:b/>
                <w:sz w:val="17"/>
              </w:rPr>
              <w:t>1,535</w:t>
            </w:r>
          </w:p>
        </w:tc>
        <w:tc>
          <w:tcPr>
            <w:tcW w:type="dxa" w:w="1440"/>
            <w:shd w:fill="FFDCE0" w:val="clear"/>
          </w:tcPr>
          <w:p>
            <w:r>
              <w:rPr>
                <w:sz w:val="17"/>
              </w:rPr>
              <w:t>1,749</w:t>
            </w:r>
          </w:p>
        </w:tc>
        <w:tc>
          <w:tcPr>
            <w:tcW w:type="dxa" w:w="1440"/>
            <w:shd w:fill="FFDCE0" w:val="clear"/>
          </w:tcPr>
          <w:p>
            <w:r>
              <w:rPr>
                <w:b/>
                <w:color w:val="C00000"/>
                <w:sz w:val="17"/>
              </w:rPr>
              <w:t>-27.4%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1,259</w:t>
            </w:r>
          </w:p>
        </w:tc>
        <w:tc>
          <w:tcPr>
            <w:tcW w:type="dxa" w:w="1440"/>
            <w:shd w:fill="FFDCE0" w:val="clear"/>
          </w:tcPr>
          <w:p>
            <w:r>
              <w:rPr>
                <w:b/>
                <w:sz w:val="17"/>
              </w:rPr>
              <w:t>1,482</w:t>
            </w:r>
          </w:p>
        </w:tc>
        <w:tc>
          <w:tcPr>
            <w:tcW w:type="dxa" w:w="1440"/>
            <w:shd w:fill="FFDCE0" w:val="clear"/>
          </w:tcPr>
          <w:p>
            <w:r>
              <w:rPr>
                <w:sz w:val="17"/>
              </w:rPr>
              <w:t>1,705</w:t>
            </w:r>
          </w:p>
        </w:tc>
        <w:tc>
          <w:tcPr>
            <w:tcW w:type="dxa" w:w="1440"/>
            <w:shd w:fill="FFDCE0" w:val="clear"/>
          </w:tcPr>
          <w:p>
            <w:r>
              <w:rPr>
                <w:b/>
                <w:color w:val="C00000"/>
                <w:sz w:val="17"/>
              </w:rPr>
              <w:t>-29.9%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1,203</w:t>
            </w:r>
          </w:p>
        </w:tc>
        <w:tc>
          <w:tcPr>
            <w:tcW w:type="dxa" w:w="1440"/>
            <w:shd w:fill="FFDCE0" w:val="clear"/>
          </w:tcPr>
          <w:p>
            <w:r>
              <w:rPr>
                <w:b/>
                <w:sz w:val="17"/>
              </w:rPr>
              <w:t>1,434</w:t>
            </w:r>
          </w:p>
        </w:tc>
        <w:tc>
          <w:tcPr>
            <w:tcW w:type="dxa" w:w="1440"/>
            <w:shd w:fill="FFDCE0" w:val="clear"/>
          </w:tcPr>
          <w:p>
            <w:r>
              <w:rPr>
                <w:sz w:val="17"/>
              </w:rPr>
              <w:t>1,664</w:t>
            </w:r>
          </w:p>
        </w:tc>
        <w:tc>
          <w:tcPr>
            <w:tcW w:type="dxa" w:w="1440"/>
            <w:shd w:fill="FFDCE0" w:val="clear"/>
          </w:tcPr>
          <w:p>
            <w:r>
              <w:rPr>
                <w:b/>
                <w:color w:val="C00000"/>
                <w:sz w:val="17"/>
              </w:rPr>
              <w:t>-32.2%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1,153</w:t>
            </w:r>
          </w:p>
        </w:tc>
        <w:tc>
          <w:tcPr>
            <w:tcW w:type="dxa" w:w="1440"/>
            <w:shd w:fill="FFDCE0" w:val="clear"/>
          </w:tcPr>
          <w:p>
            <w:r>
              <w:rPr>
                <w:b/>
                <w:sz w:val="17"/>
              </w:rPr>
              <w:t>1,390</w:t>
            </w:r>
          </w:p>
        </w:tc>
        <w:tc>
          <w:tcPr>
            <w:tcW w:type="dxa" w:w="1440"/>
            <w:shd w:fill="FFDCE0" w:val="clear"/>
          </w:tcPr>
          <w:p>
            <w:r>
              <w:rPr>
                <w:sz w:val="17"/>
              </w:rPr>
              <w:t>1,627</w:t>
            </w:r>
          </w:p>
        </w:tc>
        <w:tc>
          <w:tcPr>
            <w:tcW w:type="dxa" w:w="1440"/>
            <w:shd w:fill="FFDCE0" w:val="clear"/>
          </w:tcPr>
          <w:p>
            <w:r>
              <w:rPr>
                <w:b/>
                <w:color w:val="C00000"/>
                <w:sz w:val="17"/>
              </w:rPr>
              <w:t>-34.3%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1,107</w:t>
            </w:r>
          </w:p>
        </w:tc>
        <w:tc>
          <w:tcPr>
            <w:tcW w:type="dxa" w:w="1440"/>
            <w:shd w:fill="FFDCE0" w:val="clear"/>
          </w:tcPr>
          <w:p>
            <w:r>
              <w:rPr>
                <w:b/>
                <w:sz w:val="17"/>
              </w:rPr>
              <w:t>1,350</w:t>
            </w:r>
          </w:p>
        </w:tc>
        <w:tc>
          <w:tcPr>
            <w:tcW w:type="dxa" w:w="1440"/>
            <w:shd w:fill="FFDCE0" w:val="clear"/>
          </w:tcPr>
          <w:p>
            <w:r>
              <w:rPr>
                <w:sz w:val="17"/>
              </w:rPr>
              <w:t>1,593</w:t>
            </w:r>
          </w:p>
        </w:tc>
        <w:tc>
          <w:tcPr>
            <w:tcW w:type="dxa" w:w="1440"/>
            <w:shd w:fill="FFDCE0" w:val="clear"/>
          </w:tcPr>
          <w:p>
            <w:r>
              <w:rPr>
                <w:b/>
                <w:color w:val="C00000"/>
                <w:sz w:val="17"/>
              </w:rPr>
              <w:t>-36.2%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27 milliards FCFA, ce qui la positionne comme une valeur de taille moyenne sur la BRVM, représentant une part notable mais non dominante de l'activité du marché. Avec un BPA de 160 FCFA, chaque action génère un bénéfice modeste, justifiant un PER de 13,3x. Ce niveau est légèrement supérieur à la moyenne historique de la BRVM (8-12x), indiquant que les investisseurs paient une prime relative pour la croissance future anticipée. Le P/B de 4,69x est particulièrement exigeant, signifiant que le marché valorise l'actif net comptable près de cinq fois au-dessus de sa valeur, ce qui reflète des attentes élevées de rentabilité future. Enfin, l'EV/EBITDA de 19,5x confirme cette valorisation soutenue, la valeur d'entreprise représentant près de vingt fois la capacité opérationnelle, un niveau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performance spectaculaire de +48,42%, passant d'un plus bas de 1 350 FCFA à un plus haut de 2 400 FCFA, avant de clôturer à 2 115 FCFA. La dernière séance montre un repli marqué de -6,42%, suggérant une prise de bénéfices après cette forte hausse. La moyenne du cours sur la période (1 893 FCFA) est inférieure à la médiane (1 975 FCFA), indiquant une distribution asymétrique avec des valeurs extrêmes à la hausse. L'écart-type de 362 FCFA (CV=19,1%) révèle une dispersion modérée, tandis que le kurtosis négatif (-1,413) signale une distribution aplatie, avec moins de pics extrêmes que la normale. Le skewness de -0,305, proche de zéro, confirme une distribution quasi symétrique. La volatilité annualisée de 49,2% est très élevée, classant ce titre comme spéculatif et risqué, avec des fluctuations de prix importantes qui peuvent offrir des opportunités mais aussi des pertes substantielles.</w:t>
      </w:r>
    </w:p>
    <w:p>
      <w:pPr>
        <w:spacing w:after="120" w:line="276" w:lineRule="auto" w:before="240"/>
      </w:pPr>
      <w:r>
        <w:rPr>
          <w:b/>
          <w:color w:val="003366"/>
          <w:sz w:val="24"/>
        </w:rPr>
        <w:t>**PARTIE 2 : ANALYSE TECHNIQUE DÉTAILLÉE**</w:t>
      </w:r>
    </w:p>
    <w:p>
      <w:pPr>
        <w:spacing w:after="120" w:line="276" w:lineRule="auto"/>
      </w:pPr>
      <w:r>
        <w:t>Les moyennes mobiles sur 20 et 50 jours (respectivement 2 229,5 et 2 199,3 FCFA) sont toutes deux supérieures au cours actuel de 2 115 FCFA, ce qui indique une tendance baissière à court terme. Cependant, la décision globale reste "Achat", car le cours a récemment cassé ces moyennes à la hausse, et le croisement des MM20 au-dessus de la MM50 suggère un momentum positif à moyen terme. La position du cours sous la borne inférieure des bandes de Bollinger (2 069,47 FCFA) indique une condition de survente, avec une volatilité élevée. La décision "Neutre" reflète une situation où le prix est en dehors des bornes, signalant un possible retournement à la hausse ou une continuation de la baisse. Le MACD affiche une valeur positive (10,479) mais inférieure à son signal (21,273), indiquant un momentum baissier à court terme. La décision "Vente" suggère que la dynamique haussière s'essouffle, et un croisement baissier pourrait se confirmer. Le RSI à 28,571 est en zone de survente (&lt;30), signalant que le titre est techniquement survendu et pourrait rebondir. La décision "Achat" est cohérente avec cette lecture, suggérant un potentiel de correction haussière. Le stochastique montre un %K à 0,0, extrêmement survendu, tandis que le %D à 45,657 indique une divergence. La décision "Achat" suggère que le titre est à un point d'inflexion, avec un potentiel de rebond technique.</w:t>
      </w:r>
    </w:p>
    <w:p>
      <w:pPr>
        <w:spacing w:after="120" w:line="276" w:lineRule="auto"/>
      </w:pPr>
      <w:r>
        <w:t>En conclusion technique, les indicateurs sont mitigés : le RSI et le stochastique signalent une survente et un possible rebond, tandis que le MACD et la position sous les moyennes mobiles indiquent une pression baissière à court terme. La divergence entre les signaux suggère une période de consolidation, avec un biais haussier à moyen terme si le cours se maintient au-dessus de 2 069 FCFA.</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solides avec un chiffre d'affaires de 5,139 milliards FCFA, en baisse de 23,8% par rapport à l'année précédente, mais un résultat net de 2,037 milliards FCFA, soit une marge nette exceptionnelle de 39,6%. Le ROE de 35,4% et le ROA de 27,3% sont excellents, démontrant une utilisation très efficace des fonds propres et des actifs. La structure financière est saine avec une autonomie financière de 77% et une trésorerie nette positive de 4,196 milliards FCFA. Cependant, le délai clients de 154,7 jours est élevé, représentant un risque de trésorerie, tandis que le BFR de 1,498 milliard FCFA est positif, indiquant un besoin de financement. Les rapports trimestriels de 2025 montrent une forte volatilité : le T1 2025 a enregistré un CA catastrophique de 48,5 millions FCFA (-154%) et une perte de -189,9 millions, tandis que le T3 2025 a bénéficié d'une reprise de provision exceptionnelle de 1,596 milliard FCFA, masquant une baisse de 35% du CA. Le rapport 2026 indique une croissance du CA de +137% au T1, mais une perte persistante de -168,9 millions. Sur la base de ces tendances, on estime que l'exercice 2026 devrait voir une amélioration progressive de l'activité, mais la rentabilité récurrente reste fragile, dépendante de la saisonnalité et des marchés publics.</w:t>
      </w:r>
    </w:p>
    <w:p>
      <w:pPr>
        <w:spacing w:after="120" w:line="276" w:lineRule="auto" w:before="240"/>
      </w:pPr>
      <w:r>
        <w:rPr>
          <w:b/>
          <w:color w:val="003366"/>
          <w:sz w:val="24"/>
        </w:rPr>
        <w:t>**PARTIE 4 : CONCLUSION D'INVESTISSEMENT**</w:t>
      </w:r>
    </w:p>
    <w:p>
      <w:pPr>
        <w:spacing w:after="120" w:line="276" w:lineRule="auto"/>
      </w:pPr>
      <w:r>
        <w:t>La valorisation de NEIC est exigeante avec un PER de 13,3x et un P/B de 4,69x, indiquant que le marché anticipe une forte croissance future, mais laissant peu de marge de sécurité. Le comportement du cours montre une tendance haussière spectaculaire (+48,4%) mais avec une volatilité très élevée (49,2%), et les statistiques descriptives (kurtosis platykurtique, skewness symétrique) suggèrent un marché en équilibre précaire. Les signaux techniques sont divergents : le RSI et le stochastique indiquent une survente et un potentiel rebond, tandis que le MACD et les moyennes mobiles signalent une pression baissière à court terme. Les fondamentaux sont solides en 2025 (ROE 35,4%, trésorerie positive), mais les rapports trimestriels montrent une activité volatile et des pertes récurrentes hors éléments exceptionnels. Les prédictions IA (J+1 à J+10) prévoient une baisse continue du cours de 1 971 à 1 596 FCFA, confirmant les signaux techniques baissiers à court terme. En synthèse, la convergence entre la valorisation élevée, les signaux techniques mitigés et les prédictions baissières suggère une recommandation **CONSERVER** avec un niveau de confiance **Moyen** et un risque global **Élevé**. L'horizon d'investissement optimal serait le **moyen terme (3-12 mois)**, en attendant une stabilisation du cours et une confirmation de la reprise opérationnelle.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1,976 titres</w:t>
            </w:r>
          </w:p>
        </w:tc>
        <w:tc>
          <w:tcPr>
            <w:tcW w:type="dxa" w:w="2268"/>
            <w:shd w:fill="FFF2CC" w:val="clear"/>
          </w:tcPr>
          <w:p>
            <w:r>
              <w:rPr>
                <w:b/>
                <w:color w:val="503200"/>
                <w:sz w:val="16"/>
              </w:rPr>
              <w:t xml:space="preserve">Cours actuel : </w:t>
            </w:r>
            <w:r>
              <w:rPr>
                <w:color w:val="000000"/>
                <w:sz w:val="17"/>
              </w:rPr>
              <w:t>23,550 FCFA</w:t>
            </w:r>
          </w:p>
          <w:p>
            <w:r>
              <w:rPr>
                <w:b/>
                <w:color w:val="503200"/>
                <w:sz w:val="16"/>
              </w:rPr>
              <w:t xml:space="preserve">Var. 100 jours : </w:t>
            </w:r>
            <w:r>
              <w:rPr>
                <w:b/>
                <w:color w:val="007800"/>
                <w:sz w:val="17"/>
              </w:rPr>
              <w:t>+68.21%</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19.83% (Élevée) — μ=17,698 FCFA, σ=3,509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β=1.4207 (Agressif) — Cov=0.000051, Var(idx)=0.000036, ρ=0.361,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23,150</w:t>
            </w:r>
          </w:p>
        </w:tc>
        <w:tc>
          <w:tcPr>
            <w:tcW w:type="dxa" w:w="1440"/>
            <w:shd w:fill="C6EFCE" w:val="clear"/>
          </w:tcPr>
          <w:p>
            <w:r>
              <w:rPr>
                <w:b/>
                <w:sz w:val="17"/>
              </w:rPr>
              <w:t>24,178</w:t>
            </w:r>
          </w:p>
        </w:tc>
        <w:tc>
          <w:tcPr>
            <w:tcW w:type="dxa" w:w="1440"/>
            <w:shd w:fill="C6EFCE" w:val="clear"/>
          </w:tcPr>
          <w:p>
            <w:r>
              <w:rPr>
                <w:sz w:val="17"/>
              </w:rPr>
              <w:t>25,205</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23,127</w:t>
            </w:r>
          </w:p>
        </w:tc>
        <w:tc>
          <w:tcPr>
            <w:tcW w:type="dxa" w:w="1440"/>
            <w:shd w:fill="C6EFCE" w:val="clear"/>
          </w:tcPr>
          <w:p>
            <w:r>
              <w:rPr>
                <w:b/>
                <w:sz w:val="17"/>
              </w:rPr>
              <w:t>24,606</w:t>
            </w:r>
          </w:p>
        </w:tc>
        <w:tc>
          <w:tcPr>
            <w:tcW w:type="dxa" w:w="1440"/>
            <w:shd w:fill="C6EFCE" w:val="clear"/>
          </w:tcPr>
          <w:p>
            <w:r>
              <w:rPr>
                <w:sz w:val="17"/>
              </w:rPr>
              <w:t>26,084</w:t>
            </w:r>
          </w:p>
        </w:tc>
        <w:tc>
          <w:tcPr>
            <w:tcW w:type="dxa" w:w="1440"/>
            <w:shd w:fill="C6EFCE" w:val="clear"/>
          </w:tcPr>
          <w:p>
            <w:r>
              <w:rPr>
                <w:b/>
                <w:color w:val="008000"/>
                <w:sz w:val="17"/>
              </w:rPr>
              <w:t>+4.5%</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23,180</w:t>
            </w:r>
          </w:p>
        </w:tc>
        <w:tc>
          <w:tcPr>
            <w:tcW w:type="dxa" w:w="1440"/>
            <w:shd w:fill="C6EFCE" w:val="clear"/>
          </w:tcPr>
          <w:p>
            <w:r>
              <w:rPr>
                <w:b/>
                <w:sz w:val="17"/>
              </w:rPr>
              <w:t>25,022</w:t>
            </w:r>
          </w:p>
        </w:tc>
        <w:tc>
          <w:tcPr>
            <w:tcW w:type="dxa" w:w="1440"/>
            <w:shd w:fill="C6EFCE" w:val="clear"/>
          </w:tcPr>
          <w:p>
            <w:r>
              <w:rPr>
                <w:sz w:val="17"/>
              </w:rPr>
              <w:t>26,863</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23,259</w:t>
            </w:r>
          </w:p>
        </w:tc>
        <w:tc>
          <w:tcPr>
            <w:tcW w:type="dxa" w:w="1440"/>
            <w:shd w:fill="C6EFCE" w:val="clear"/>
          </w:tcPr>
          <w:p>
            <w:r>
              <w:rPr>
                <w:b/>
                <w:sz w:val="17"/>
              </w:rPr>
              <w:t>25,419</w:t>
            </w:r>
          </w:p>
        </w:tc>
        <w:tc>
          <w:tcPr>
            <w:tcW w:type="dxa" w:w="1440"/>
            <w:shd w:fill="C6EFCE" w:val="clear"/>
          </w:tcPr>
          <w:p>
            <w:r>
              <w:rPr>
                <w:sz w:val="17"/>
              </w:rPr>
              <w:t>27,579</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23,360</w:t>
            </w:r>
          </w:p>
        </w:tc>
        <w:tc>
          <w:tcPr>
            <w:tcW w:type="dxa" w:w="1440"/>
            <w:shd w:fill="C6EFCE" w:val="clear"/>
          </w:tcPr>
          <w:p>
            <w:r>
              <w:rPr>
                <w:b/>
                <w:sz w:val="17"/>
              </w:rPr>
              <w:t>25,812</w:t>
            </w:r>
          </w:p>
        </w:tc>
        <w:tc>
          <w:tcPr>
            <w:tcW w:type="dxa" w:w="1440"/>
            <w:shd w:fill="C6EFCE" w:val="clear"/>
          </w:tcPr>
          <w:p>
            <w:r>
              <w:rPr>
                <w:sz w:val="17"/>
              </w:rPr>
              <w:t>28,264</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23,475</w:t>
            </w:r>
          </w:p>
        </w:tc>
        <w:tc>
          <w:tcPr>
            <w:tcW w:type="dxa" w:w="1440"/>
            <w:shd w:fill="C6EFCE" w:val="clear"/>
          </w:tcPr>
          <w:p>
            <w:r>
              <w:rPr>
                <w:b/>
                <w:sz w:val="17"/>
              </w:rPr>
              <w:t>26,202</w:t>
            </w:r>
          </w:p>
        </w:tc>
        <w:tc>
          <w:tcPr>
            <w:tcW w:type="dxa" w:w="1440"/>
            <w:shd w:fill="C6EFCE" w:val="clear"/>
          </w:tcPr>
          <w:p>
            <w:r>
              <w:rPr>
                <w:sz w:val="17"/>
              </w:rPr>
              <w:t>28,929</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23,601</w:t>
            </w:r>
          </w:p>
        </w:tc>
        <w:tc>
          <w:tcPr>
            <w:tcW w:type="dxa" w:w="1440"/>
            <w:shd w:fill="C6EFCE" w:val="clear"/>
          </w:tcPr>
          <w:p>
            <w:r>
              <w:rPr>
                <w:b/>
                <w:sz w:val="17"/>
              </w:rPr>
              <w:t>26,590</w:t>
            </w:r>
          </w:p>
        </w:tc>
        <w:tc>
          <w:tcPr>
            <w:tcW w:type="dxa" w:w="1440"/>
            <w:shd w:fill="C6EFCE" w:val="clear"/>
          </w:tcPr>
          <w:p>
            <w:r>
              <w:rPr>
                <w:sz w:val="17"/>
              </w:rPr>
              <w:t>29,579</w:t>
            </w:r>
          </w:p>
        </w:tc>
        <w:tc>
          <w:tcPr>
            <w:tcW w:type="dxa" w:w="1440"/>
            <w:shd w:fill="C6EFCE" w:val="clear"/>
          </w:tcPr>
          <w:p>
            <w:r>
              <w:rPr>
                <w:b/>
                <w:color w:val="008000"/>
                <w:sz w:val="17"/>
              </w:rPr>
              <w:t>+12.9%</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23,734</w:t>
            </w:r>
          </w:p>
        </w:tc>
        <w:tc>
          <w:tcPr>
            <w:tcW w:type="dxa" w:w="1440"/>
            <w:shd w:fill="C6EFCE" w:val="clear"/>
          </w:tcPr>
          <w:p>
            <w:r>
              <w:rPr>
                <w:b/>
                <w:sz w:val="17"/>
              </w:rPr>
              <w:t>26,976</w:t>
            </w:r>
          </w:p>
        </w:tc>
        <w:tc>
          <w:tcPr>
            <w:tcW w:type="dxa" w:w="1440"/>
            <w:shd w:fill="C6EFCE" w:val="clear"/>
          </w:tcPr>
          <w:p>
            <w:r>
              <w:rPr>
                <w:sz w:val="17"/>
              </w:rPr>
              <w:t>30,217</w:t>
            </w:r>
          </w:p>
        </w:tc>
        <w:tc>
          <w:tcPr>
            <w:tcW w:type="dxa" w:w="1440"/>
            <w:shd w:fill="C6EFCE" w:val="clear"/>
          </w:tcPr>
          <w:p>
            <w:r>
              <w:rPr>
                <w:b/>
                <w:color w:val="008000"/>
                <w:sz w:val="17"/>
              </w:rPr>
              <w:t>+14.5%</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23,872</w:t>
            </w:r>
          </w:p>
        </w:tc>
        <w:tc>
          <w:tcPr>
            <w:tcW w:type="dxa" w:w="1440"/>
            <w:shd w:fill="C6EFCE" w:val="clear"/>
          </w:tcPr>
          <w:p>
            <w:r>
              <w:rPr>
                <w:b/>
                <w:sz w:val="17"/>
              </w:rPr>
              <w:t>27,359</w:t>
            </w:r>
          </w:p>
        </w:tc>
        <w:tc>
          <w:tcPr>
            <w:tcW w:type="dxa" w:w="1440"/>
            <w:shd w:fill="C6EFCE" w:val="clear"/>
          </w:tcPr>
          <w:p>
            <w:r>
              <w:rPr>
                <w:sz w:val="17"/>
              </w:rPr>
              <w:t>30,846</w:t>
            </w:r>
          </w:p>
        </w:tc>
        <w:tc>
          <w:tcPr>
            <w:tcW w:type="dxa" w:w="1440"/>
            <w:shd w:fill="C6EFCE" w:val="clear"/>
          </w:tcPr>
          <w:p>
            <w:r>
              <w:rPr>
                <w:b/>
                <w:color w:val="008000"/>
                <w:sz w:val="17"/>
              </w:rPr>
              <w:t>+16.2%</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24,012</w:t>
            </w:r>
          </w:p>
        </w:tc>
        <w:tc>
          <w:tcPr>
            <w:tcW w:type="dxa" w:w="1440"/>
            <w:shd w:fill="C6EFCE" w:val="clear"/>
          </w:tcPr>
          <w:p>
            <w:r>
              <w:rPr>
                <w:b/>
                <w:sz w:val="17"/>
              </w:rPr>
              <w:t>27,739</w:t>
            </w:r>
          </w:p>
        </w:tc>
        <w:tc>
          <w:tcPr>
            <w:tcW w:type="dxa" w:w="1440"/>
            <w:shd w:fill="C6EFCE" w:val="clear"/>
          </w:tcPr>
          <w:p>
            <w:r>
              <w:rPr>
                <w:sz w:val="17"/>
              </w:rPr>
              <w:t>31,466</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582,50 milliards FCFA, ce qui en fait l'une des valeurs les plus significatives de la BRVM, reflétant la confiance des investisseurs dans le secteur bancaire ivoirien. Avec un BPA de 1 646 FCFA, chaque action génère un bénéfice substantiel, justifiant un PER de 14,3x. Ce ratio est supérieur à la moyenne historique de la BRVM (8-12x), indiquant que le marché valorise déjà une prime de croissance sur le titre. Le P/B de 2,50x confirme cette prime, le marché valorisant la banque à 2,5 fois sa valeur comptable, ce qui est typique pour une institution performante. Enfin, l'EV/EBITDA de 21,7x est exigeant, signalant que la valeur totale de l'entreprise (dette incluse) est élevée par rapport à sa capacité opérationnelle, un niveau qui nécessite une croissance soutenue pour être justifié.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+68,21%, passant d'un plus bas de 13 810 FCFA à un plus haut de 24 020 FCFA, avec un cours actuel de 23 550 FCFA. La légère baisse de -1,26% lors de la dernière séance suggère une consolidation après cette forte hausse. La moyenne du cours sur la période (17 698 FCFA) est inférieure à la médiane (18 000 FCFA), indiquant une distribution légèrement asymétrique avec une concentration des valeurs vers le bas de la fourchette. L'écart-type de 3 527 FCFA (CV=19,9%) montre une dispersion modérée, tandis que le kurtosis négatif (-1,358) révèle une distribution aplatie, sans pics extrêmes, et le skewness positif (0,287) confirme une asymétrie vers les valeurs hautes. La volatilité annualisée de 37,5% est élevée, signalant un risque de marché important mais aussi un fort potentiel de rendement.</w:t>
      </w:r>
    </w:p>
    <w:p>
      <w:pPr>
        <w:spacing w:after="120" w:line="276" w:lineRule="auto" w:before="240"/>
      </w:pPr>
      <w:r>
        <w:rPr>
          <w:b/>
          <w:color w:val="003366"/>
          <w:sz w:val="24"/>
        </w:rPr>
        <w:t>**PARTIE 2 : ANALYSE TECHNIQUE DÉTAILLÉE**</w:t>
      </w:r>
    </w:p>
    <w:p>
      <w:pPr>
        <w:spacing w:after="120" w:line="276" w:lineRule="auto"/>
      </w:pPr>
      <w:r>
        <w:t>Les **Moyennes Mobiles** (MM20 à 22 859,75 FCFA et MM50 à 20 812,7 FCFA) sont toutes deux inférieures au cours actuel, confirmant une tendance haussière solide. Le croisement haussier des MM20 et MM50, avec le cours au-dessus, génère un signal d'achat clair, indiquant que la dynamique positive est soutenue par les moyennes à court et moyen terme.</w:t>
      </w:r>
    </w:p>
    <w:p>
      <w:pPr>
        <w:spacing w:after="120" w:line="276" w:lineRule="auto"/>
      </w:pPr>
      <w:r>
        <w:t>Les **Bandes de Bollinger** montrent un cours à 23 550 FCFA, positionné entre la borne supérieure (24 675,21 FCFA) et la borne inférieure (21 044,29 FCFA), proche de la borne haute. Cette position suggère une pression acheteuse persistante, mais la décision neutre indique que le cours n'est pas encore en zone de surachat extrême, laissant une marge de progression avant un éventuel retournement.</w:t>
      </w:r>
    </w:p>
    <w:p>
      <w:pPr>
        <w:spacing w:after="120" w:line="276" w:lineRule="auto"/>
      </w:pPr>
      <w:r>
        <w:t>Le **MACD** affiche une valeur de 928,41, légèrement inférieure à son signal (985,39), générant un signal de vente. Cette divergence négative, bien que modeste, suggère un ralentissement du momentum haussier, les investisseurs pourraient assister à une consolidation à court terme avant une reprise de la tendance.</w:t>
      </w:r>
    </w:p>
    <w:p>
      <w:pPr>
        <w:spacing w:after="120" w:line="276" w:lineRule="auto"/>
      </w:pPr>
      <w:r>
        <w:t>Le **RSI** à 48,95 est en zone neutre, indiquant un équilibre entre pressions acheteuses et vendeuses. Cette valeur suggère que le titre n'est ni suracheté ni survendu, offrant une flexibilité pour les prochains mouvements, sans signal directionnel fort.</w:t>
      </w:r>
    </w:p>
    <w:p>
      <w:pPr>
        <w:spacing w:after="120" w:line="276" w:lineRule="auto"/>
      </w:pPr>
      <w:r>
        <w:t>Le **Stochastique** avec %K à 76,73 et %D à 88,28 montre que le titre est proche de la zone de surachat, mais la décision neutre indique que le croisement baissier n'est pas encore confirmé. Cette configuration suggère une possible consolidation après la forte hausse récente.</w:t>
      </w:r>
    </w:p>
    <w:p>
      <w:pPr>
        <w:spacing w:after="120" w:line="276" w:lineRule="auto"/>
      </w:pPr>
      <w:r>
        <w:t>**Conclusion technique** : Les indicateurs sont mitigés, avec des signaux d'achat des moyennes mobiles contrastant avec le MACD vendeur et des oscillateurs neutres. La tendance de fond reste haussière, mais un essoufflement à court terme est possible, nécessitant une surveillance des supports à 22 859 FCFA (MM20) et 21 044 FCFA (borne inférieure).</w:t>
      </w:r>
    </w:p>
    <w:p>
      <w:pPr>
        <w:spacing w:after="120" w:line="276" w:lineRule="auto" w:before="240"/>
      </w:pPr>
      <w:r>
        <w:rPr>
          <w:b/>
          <w:color w:val="003366"/>
          <w:sz w:val="24"/>
        </w:rPr>
        <w:t>**PARTIE 3 : ANALYSE FONDAMENTALE (SECTION CRITIQUE)**</w:t>
      </w:r>
    </w:p>
    <w:p>
      <w:pPr>
        <w:spacing w:after="120" w:line="276" w:lineRule="auto"/>
      </w:pPr>
      <w:r>
        <w:t>En 2025, NSBC a affiché un Produit Net Bancaire de 112,93 milliards FCFA, en hausse de 15% par rapport à 2024, et un résultat net de 40,71 milliards FCFA, en progression de 7%. La rentabilité des fonds propres (ROE) s'établit à 17,45%, un niveau excellent, et le ROA à 1,32%, conforme aux standards bancaires. Le coefficient d'exploitation de 54,59% témoigne d'une gestion efficace, tandis que le coût du risque de 7,54% reste élevé, signalant un portefeuille de crédits sous tension. Les dépôts clientèle (2 242,22 milliards FCFA) couvrent largement les créances clientèle (1 818,67 milliards FCFA), démontrant une transformation saine. Les rapports trimestriels 2025 montrent une accélération : le T1 2025 (PNB +2,5%, résultat net +0,5%) a été suivi d'un S1 2025 (PNB +10,6%, résultat net +12,3%) et d'un T3 2025 (PNB +7%, résultat net +6%). Le T1 2026 confirme cette dynamique avec un PNB de 28,6 milliards FCFA (+28%) et un résultat net de 10,9 milliards FCFA (+53%), porté par l'activité titres. Sur la base de ces données, on estime que l'exercice 2026 pourrait voir un PNB dépasser 130 milliards FCFA et un résultat net supérieur à 45 milliards FCFA, confirmant la solidité et les perspectives de croissance de la banque.</w:t>
      </w:r>
    </w:p>
    <w:p>
      <w:pPr>
        <w:spacing w:after="120" w:line="276" w:lineRule="auto" w:before="240"/>
      </w:pPr>
      <w:r>
        <w:rPr>
          <w:b/>
          <w:color w:val="003366"/>
          <w:sz w:val="24"/>
        </w:rPr>
        <w:t>**PARTIE 4 : CONCLUSION D'INVESTISSEMENT**</w:t>
      </w:r>
    </w:p>
    <w:p>
      <w:pPr>
        <w:spacing w:after="120" w:line="276" w:lineRule="auto"/>
      </w:pPr>
      <w:r>
        <w:t>La valorisation de NSBC (PER 14,3x, P/B 2,5x, EV/EBITDA 21,7x) est exigeante mais justifiée par une croissance robuste et une rentabilité élevée. Le comportement du cours (+68,21% sur 100 jours) avec une volatilité élevée (37,5%) et une distribution statistique asymétrique positive reflète un fort intérêt des investisseurs, bien que le kurtosis plat suggère une absence de mouvements extrêmes. Les signaux techniques sont mitigés, avec des moyennes mobiles haussières contrastant avec un MACD vendeur et des oscillateurs neutres, indiquant une possible consolidation. Les fondamentaux sont solides, avec une croissance soutenue du PNB et du résultat net, une marge nette élevée (36%) et un ROE de 17,45%, malgré un coût du risque élevé. Les prédictions IA (24 178 à 25 812 FCFA sur 10 jours) confirment la tendance haussière, suggérant une poursuite de la progression. La convergence entre la solidité fondamentale, la tendance du cours et les prédictions IA, malgré des signaux techniques mitigés, conduit à une recommandation **ACHAT** avec un niveau de confiance **Moyen** et un risque global **Moyen**. L'horizon d'investissement optimal est le **moyen terme (3-12 mois)**, permettant de capitaliser sur la croissance tout en surveillant le coût du risque et la dépendance aux revenus titres.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366.26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1,970 titres</w:t>
            </w:r>
          </w:p>
        </w:tc>
        <w:tc>
          <w:tcPr>
            <w:tcW w:type="dxa" w:w="2268"/>
            <w:shd w:fill="FFF2CC" w:val="clear"/>
          </w:tcPr>
          <w:p>
            <w:r>
              <w:rPr>
                <w:b/>
                <w:color w:val="503200"/>
                <w:sz w:val="16"/>
              </w:rPr>
              <w:t xml:space="preserve">Cours actuel : </w:t>
            </w:r>
            <w:r>
              <w:rPr>
                <w:color w:val="000000"/>
                <w:sz w:val="17"/>
              </w:rPr>
              <w:t>16,595 FCFA</w:t>
            </w:r>
          </w:p>
          <w:p>
            <w:r>
              <w:rPr>
                <w:b/>
                <w:color w:val="503200"/>
                <w:sz w:val="16"/>
              </w:rPr>
              <w:t xml:space="preserve">Var. 100 jours : </w:t>
            </w:r>
            <w:r>
              <w:rPr>
                <w:b/>
                <w:color w:val="007800"/>
                <w:sz w:val="17"/>
              </w:rPr>
              <w:t>+27.65%</w:t>
            </w:r>
          </w:p>
          <w:p>
            <w:r>
              <w:rPr>
                <w:b/>
                <w:color w:val="503200"/>
                <w:sz w:val="16"/>
              </w:rPr>
              <w:t xml:space="preserve">Plus haut 100j : </w:t>
            </w:r>
            <w:r>
              <w:rPr>
                <w:color w:val="000000"/>
                <w:sz w:val="17"/>
              </w:rPr>
              <w:t>16,750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12.89% (Moyenne) — μ=13,889 FCFA, σ=1,790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β=0.2503 (Défensif) — Cov=0.000009, Var(idx)=0.000036, ρ=0.071,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16,044</w:t>
            </w:r>
          </w:p>
        </w:tc>
        <w:tc>
          <w:tcPr>
            <w:tcW w:type="dxa" w:w="1440"/>
            <w:shd w:fill="FAFAFA" w:val="clear"/>
          </w:tcPr>
          <w:p>
            <w:r>
              <w:rPr>
                <w:b/>
                <w:sz w:val="17"/>
              </w:rPr>
              <w:t>16,423</w:t>
            </w:r>
          </w:p>
        </w:tc>
        <w:tc>
          <w:tcPr>
            <w:tcW w:type="dxa" w:w="1440"/>
            <w:shd w:fill="FAFAFA" w:val="clear"/>
          </w:tcPr>
          <w:p>
            <w:r>
              <w:rPr>
                <w:sz w:val="17"/>
              </w:rPr>
              <w:t>16,802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15,857</w:t>
            </w:r>
          </w:p>
        </w:tc>
        <w:tc>
          <w:tcPr>
            <w:tcW w:type="dxa" w:w="1440"/>
            <w:shd w:fill="FAFAFA" w:val="clear"/>
          </w:tcPr>
          <w:p>
            <w:r>
              <w:rPr>
                <w:b/>
                <w:sz w:val="17"/>
              </w:rPr>
              <w:t>16,392</w:t>
            </w:r>
          </w:p>
        </w:tc>
        <w:tc>
          <w:tcPr>
            <w:tcW w:type="dxa" w:w="1440"/>
            <w:shd w:fill="FAFAFA" w:val="clear"/>
          </w:tcPr>
          <w:p>
            <w:r>
              <w:rPr>
                <w:sz w:val="17"/>
              </w:rPr>
              <w:t>16,927</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15,692</w:t>
            </w:r>
          </w:p>
        </w:tc>
        <w:tc>
          <w:tcPr>
            <w:tcW w:type="dxa" w:w="1440"/>
            <w:shd w:fill="FAFAFA" w:val="clear"/>
          </w:tcPr>
          <w:p>
            <w:r>
              <w:rPr>
                <w:b/>
                <w:sz w:val="17"/>
              </w:rPr>
              <w:t>16,345</w:t>
            </w:r>
          </w:p>
        </w:tc>
        <w:tc>
          <w:tcPr>
            <w:tcW w:type="dxa" w:w="1440"/>
            <w:shd w:fill="FAFAFA" w:val="clear"/>
          </w:tcPr>
          <w:p>
            <w:r>
              <w:rPr>
                <w:sz w:val="17"/>
              </w:rPr>
              <w:t>16,998</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15,545</w:t>
            </w:r>
          </w:p>
        </w:tc>
        <w:tc>
          <w:tcPr>
            <w:tcW w:type="dxa" w:w="1440"/>
            <w:shd w:fill="FAFAFA" w:val="clear"/>
          </w:tcPr>
          <w:p>
            <w:r>
              <w:rPr>
                <w:b/>
                <w:sz w:val="17"/>
              </w:rPr>
              <w:t>16,297</w:t>
            </w:r>
          </w:p>
        </w:tc>
        <w:tc>
          <w:tcPr>
            <w:tcW w:type="dxa" w:w="1440"/>
            <w:shd w:fill="FAFAFA" w:val="clear"/>
          </w:tcPr>
          <w:p>
            <w:r>
              <w:rPr>
                <w:sz w:val="17"/>
              </w:rPr>
              <w:t>17,049</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15,411</w:t>
            </w:r>
          </w:p>
        </w:tc>
        <w:tc>
          <w:tcPr>
            <w:tcW w:type="dxa" w:w="1440"/>
            <w:shd w:fill="FFDCE0" w:val="clear"/>
          </w:tcPr>
          <w:p>
            <w:r>
              <w:rPr>
                <w:b/>
                <w:sz w:val="17"/>
              </w:rPr>
              <w:t>16,249</w:t>
            </w:r>
          </w:p>
        </w:tc>
        <w:tc>
          <w:tcPr>
            <w:tcW w:type="dxa" w:w="1440"/>
            <w:shd w:fill="FFDCE0" w:val="clear"/>
          </w:tcPr>
          <w:p>
            <w:r>
              <w:rPr>
                <w:sz w:val="17"/>
              </w:rPr>
              <w:t>17,088</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15,288</w:t>
            </w:r>
          </w:p>
        </w:tc>
        <w:tc>
          <w:tcPr>
            <w:tcW w:type="dxa" w:w="1440"/>
            <w:shd w:fill="FFDCE0" w:val="clear"/>
          </w:tcPr>
          <w:p>
            <w:r>
              <w:rPr>
                <w:b/>
                <w:sz w:val="17"/>
              </w:rPr>
              <w:t>16,204</w:t>
            </w:r>
          </w:p>
        </w:tc>
        <w:tc>
          <w:tcPr>
            <w:tcW w:type="dxa" w:w="1440"/>
            <w:shd w:fill="FFDCE0" w:val="clear"/>
          </w:tcPr>
          <w:p>
            <w:r>
              <w:rPr>
                <w:sz w:val="17"/>
              </w:rPr>
              <w:t>17,119</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15,173</w:t>
            </w:r>
          </w:p>
        </w:tc>
        <w:tc>
          <w:tcPr>
            <w:tcW w:type="dxa" w:w="1440"/>
            <w:shd w:fill="FFDCE0" w:val="clear"/>
          </w:tcPr>
          <w:p>
            <w:r>
              <w:rPr>
                <w:b/>
                <w:sz w:val="17"/>
              </w:rPr>
              <w:t>16,160</w:t>
            </w:r>
          </w:p>
        </w:tc>
        <w:tc>
          <w:tcPr>
            <w:tcW w:type="dxa" w:w="1440"/>
            <w:shd w:fill="FFDCE0" w:val="clear"/>
          </w:tcPr>
          <w:p>
            <w:r>
              <w:rPr>
                <w:sz w:val="17"/>
              </w:rPr>
              <w:t>17,146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15,065</w:t>
            </w:r>
          </w:p>
        </w:tc>
        <w:tc>
          <w:tcPr>
            <w:tcW w:type="dxa" w:w="1440"/>
            <w:shd w:fill="FFDCE0" w:val="clear"/>
          </w:tcPr>
          <w:p>
            <w:r>
              <w:rPr>
                <w:b/>
                <w:sz w:val="17"/>
              </w:rPr>
              <w:t>16,117</w:t>
            </w:r>
          </w:p>
        </w:tc>
        <w:tc>
          <w:tcPr>
            <w:tcW w:type="dxa" w:w="1440"/>
            <w:shd w:fill="FFDCE0" w:val="clear"/>
          </w:tcPr>
          <w:p>
            <w:r>
              <w:rPr>
                <w:sz w:val="17"/>
              </w:rPr>
              <w:t>17,169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14,962</w:t>
            </w:r>
          </w:p>
        </w:tc>
        <w:tc>
          <w:tcPr>
            <w:tcW w:type="dxa" w:w="1440"/>
            <w:shd w:fill="FFDCE0" w:val="clear"/>
          </w:tcPr>
          <w:p>
            <w:r>
              <w:rPr>
                <w:b/>
                <w:sz w:val="17"/>
              </w:rPr>
              <w:t>16,075</w:t>
            </w:r>
          </w:p>
        </w:tc>
        <w:tc>
          <w:tcPr>
            <w:tcW w:type="dxa" w:w="1440"/>
            <w:shd w:fill="FFDCE0" w:val="clear"/>
          </w:tcPr>
          <w:p>
            <w:r>
              <w:rPr>
                <w:sz w:val="17"/>
              </w:rPr>
              <w:t>17,188</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14,864</w:t>
            </w:r>
          </w:p>
        </w:tc>
        <w:tc>
          <w:tcPr>
            <w:tcW w:type="dxa" w:w="1440"/>
            <w:shd w:fill="FFDCE0" w:val="clear"/>
          </w:tcPr>
          <w:p>
            <w:r>
              <w:rPr>
                <w:b/>
                <w:sz w:val="17"/>
              </w:rPr>
              <w:t>16,034</w:t>
            </w:r>
          </w:p>
        </w:tc>
        <w:tc>
          <w:tcPr>
            <w:tcW w:type="dxa" w:w="1440"/>
            <w:shd w:fill="FFDCE0" w:val="clear"/>
          </w:tcPr>
          <w:p>
            <w:r>
              <w:rPr>
                <w:sz w:val="17"/>
              </w:rPr>
              <w:t>17,204</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366,26 milliards FCFA, ce qui en fait l'une des plus importantes capitalisations de la BRVM, reflétant la position dominante de Nestlé dans l'industrie agroalimentaire ouest-africaine. Le BPA de 835 FCFA indique que chaque action génère un bénéfice substantiel, justifiant un PER de 19,9x. Ce niveau est nettement supérieur à la moyenne historique de la BRVM (8-12x), signifiant que les investisseurs paient une prime significative pour la qualité et la stabilité des bénéfices de l'entreprise. Le P/B de 12,38x confirme cette prime, le marché valorisant le titre bien au-delà de sa valeur comptable, ce qui traduit des attentes de croissance élevées. Enfin, l'EV/EBITDA de 9,8x, situé dans la fourchette raisonnable de 5-10x, tempère quelque peu cette lecture en indiquant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performance remarquable de +27,65%, bien que la dernière séance ait clôturé en léger repli de -0,93% à 16 595 FCFA. Le titre a évolué dans une fourchette large de 11 150 FCFA (plus bas) à 16 750 FCFA (plus haut), démontrant une dynamique haussière soutenue. La moyenne du cours sur la période (13 889 FCFA) est supérieure à la médiane (12 995 FCFA), indiquant une asymétrie positive avec une concentration des valeurs vers le haut de la fourchette. L'écart-type de 1 799 FCFA (CV de 13,0%) révèle une dispersion modérée. Le kurtosis négatif (-1,507) signale une distribution platykurtique, avec peu de pics de prix extrêmes, tandis que le skewness positif (0,319) confirme la tendance haussière. La volatilité annualisée de 33,3% classe le titre dans la catégorie des valeurs à volatilité élevée, ce qui implique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(16 595 FCFA) se positionne nettement au-dessus de la MM20 (16 309 FCFA) et de la MM50 (15 438 FCFA), avec un écart croissant entre les deux moyennes. Cette configuration en pente ascendante confirme une tendance haussière solide à court et moyen terme, justifiant la décision d'achat.</w:t>
      </w:r>
    </w:p>
    <w:p>
      <w:pPr>
        <w:spacing w:after="120" w:line="276" w:lineRule="auto"/>
      </w:pPr>
      <w:r>
        <w:t>**Bandes de Bollinger :** Le prix se situe à 16 595 FCFA, proche de la borne supérieure (16 908 FCFA) et nettement au-dessus de la borne inférieure (15 710 FCFA). Cette position indique une pression acheteuse soutenue, mais également une volatilité accrue. La décision neutre suggère que le marché attend une confirmation de la direction avant de prendre position.</w:t>
      </w:r>
    </w:p>
    <w:p>
      <w:pPr>
        <w:spacing w:after="120" w:line="276" w:lineRule="auto"/>
      </w:pPr>
      <w:r>
        <w:t>**MACD :** La valeur du MACD (344,7) reste positive mais inférieure à son signal (383,4), indiquant un momentum haussier qui s'essouffle. Cette divergence baissière suggère un possible ralentissement de la tendance à court terme, justifiant la décision de vente.</w:t>
      </w:r>
    </w:p>
    <w:p>
      <w:pPr>
        <w:spacing w:after="120" w:line="276" w:lineRule="auto"/>
      </w:pPr>
      <w:r>
        <w:t>**RSI :** À 82,7, le RSI se trouve en zone de surachat prononcée (&gt;70). Cette situation signale que le titre est techniquement surévalué à court terme et qu'un repli correctif est probable, d'où la décision de vente.</w:t>
      </w:r>
    </w:p>
    <w:p>
      <w:pPr>
        <w:spacing w:after="120" w:line="276" w:lineRule="auto"/>
      </w:pPr>
      <w:r>
        <w:t>**Stochastique :** Le %K (79,7) est inférieur au %D (93,2), indiquant un croisement baissier potentiel. Bien que les deux valeurs restent en zone élevée, cette configuration suggère un affaiblissement du momentum haussier, justifiant la décision neutre.</w:t>
      </w:r>
    </w:p>
    <w:p>
      <w:pPr>
        <w:spacing w:after="120" w:line="276" w:lineRule="auto"/>
      </w:pPr>
      <w:r>
        <w:t>**Conclusion technique :** Les indicateurs de tendance (MM, Bollinger) restent positifs, mais les oscillateurs (RSI, MACD, Stochastique) signalent une saturation acheteuse et un essoufflement du momentum. Cette divergence suggère une consolidation ou un repli technique à court terme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hausse de 5,97% par rapport à 2024, avec un résultat net de 18,43 milliards FCFA (+1,5%). La marge nette s'établit à 7,9%, le ROE à 62,3% (excellent, &gt;15%) et le ROA à 9,7%. Le BFR de 22,6 milliards FCFA et un délai clients de 74 jours constituent des points de vigilance pour la trésorerie, tandis que l'endettement (ratio de 135,9%) reste élevé. Les rapports trimestriels 2025 montrent une année contrastée : le T1 a enregistré une baisse du CA de -11% mais une hausse du résultat net de +19%, le S1 une stagnation du CA avec une baisse du résultat net de -23,5%, et les 9 mois une croissance modeste de +1,36% avec un résultat net en baisse de -21,3%. Cependant, le rapport T1 2026 (publié en mai 2026) révèle une accélération spectaculaire : CA de 70,8 milliards FCFA (+31%) et résultat net de 7,5 milliards FCFA (+37%), avec une marge nette améliorée à 10,6%. Sur cette base, on estime que l'exercice 2026 pourrait dépasser les 260 milliards FCFA de CA et atteindre un résultat net supérieur à 25 milliards FCFA, confirmant la solidité du modèle économique et la capacité de l'entreprise à surmonter les pressions inflationnistes.</w:t>
      </w:r>
    </w:p>
    <w:p>
      <w:pPr>
        <w:spacing w:after="120" w:line="276" w:lineRule="auto"/>
      </w:pPr>
      <w:r>
        <w:t>---</w:t>
      </w:r>
    </w:p>
    <w:p>
      <w:pPr>
        <w:spacing w:after="120" w:line="276" w:lineRule="auto"/>
      </w:pPr>
      <w:r>
        <w:t>### PARTIE 4 : CONCLUSION D'INVESTISSEMENT</w:t>
      </w:r>
    </w:p>
    <w:p>
      <w:pPr>
        <w:spacing w:after="120" w:line="276" w:lineRule="auto"/>
      </w:pPr>
      <w:r>
        <w:t>La valorisation de NTLC (PER 19,9x, P/B 12,4x) apparaît exigeante, mais elle est justifiée par la qualité exceptionnelle des fondamentaux (ROE de 62,3%) et les perspectives de croissance confirmées par le T1 2026 (+31% CA). Le comportement du cours (+27,65% sur 100 jours) reflète cette confiance, bien que la volatilité élevée (33,3%) et les statistiques (kurtosis platykurtique, skewness positif) suggèrent un risque de correction. Les signaux techniques sont mitigés : la tendance reste haussière (MM, Bollinger) mais les oscillateurs (RSI à 82,7, MACD en divergence) indiquent une saturation acheteuse à court terme. Les prédictions IA (16 423 à 16 249 FCFA sur 10 jours) confirment cette anticipation de consolidation. En synthèse, les fondamentaux solides et la dynamique de croissance justifient une vision positive à moyen terme, mais la valorisation élevée et les signaux techniques de surachat recommandent la prudence à court terme. **Recommandation finale : ACHAT** avec un niveau de confiance **Moyen** et un risque global **Moyen**. L'horizon d'investissement optimal serait le **moyen terme (3-12 mois)**, en attendant une correction technique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5,412 titres</w:t>
            </w:r>
          </w:p>
        </w:tc>
        <w:tc>
          <w:tcPr>
            <w:tcW w:type="dxa" w:w="2268"/>
            <w:shd w:fill="FFF2CC" w:val="clear"/>
          </w:tcPr>
          <w:p>
            <w:r>
              <w:rPr>
                <w:b/>
                <w:color w:val="503200"/>
                <w:sz w:val="16"/>
              </w:rPr>
              <w:t xml:space="preserve">Cours actuel : </w:t>
            </w:r>
            <w:r>
              <w:rPr>
                <w:color w:val="000000"/>
                <w:sz w:val="17"/>
              </w:rPr>
              <w:t>2,940 FCFA</w:t>
            </w:r>
          </w:p>
          <w:p>
            <w:r>
              <w:rPr>
                <w:b/>
                <w:color w:val="503200"/>
                <w:sz w:val="16"/>
              </w:rPr>
              <w:t xml:space="preserve">Var. 100 jours : </w:t>
            </w:r>
            <w:r>
              <w:rPr>
                <w:b/>
                <w:color w:val="B40000"/>
                <w:sz w:val="17"/>
              </w:rPr>
              <w:t>-2.65%</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3.53% (Faible) — μ=2,833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β=0.1800 (Défensif) — Cov=0.000007, Var(idx)=0.000036, ρ=0.052,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2,860</w:t>
            </w:r>
          </w:p>
        </w:tc>
        <w:tc>
          <w:tcPr>
            <w:tcW w:type="dxa" w:w="1440"/>
            <w:shd w:fill="FAFAFA" w:val="clear"/>
          </w:tcPr>
          <w:p>
            <w:r>
              <w:rPr>
                <w:b/>
                <w:sz w:val="17"/>
              </w:rPr>
              <w:t>2,945</w:t>
            </w:r>
          </w:p>
        </w:tc>
        <w:tc>
          <w:tcPr>
            <w:tcW w:type="dxa" w:w="1440"/>
            <w:shd w:fill="FAFAFA" w:val="clear"/>
          </w:tcPr>
          <w:p>
            <w:r>
              <w:rPr>
                <w:sz w:val="17"/>
              </w:rPr>
              <w:t>3,030</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2,817</w:t>
            </w:r>
          </w:p>
        </w:tc>
        <w:tc>
          <w:tcPr>
            <w:tcW w:type="dxa" w:w="1440"/>
            <w:shd w:fill="FAFAFA" w:val="clear"/>
          </w:tcPr>
          <w:p>
            <w:r>
              <w:rPr>
                <w:b/>
                <w:sz w:val="17"/>
              </w:rPr>
              <w:t>2,937</w:t>
            </w:r>
          </w:p>
        </w:tc>
        <w:tc>
          <w:tcPr>
            <w:tcW w:type="dxa" w:w="1440"/>
            <w:shd w:fill="FAFAFA" w:val="clear"/>
          </w:tcPr>
          <w:p>
            <w:r>
              <w:rPr>
                <w:sz w:val="17"/>
              </w:rPr>
              <w:t>3,058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2,784</w:t>
            </w:r>
          </w:p>
        </w:tc>
        <w:tc>
          <w:tcPr>
            <w:tcW w:type="dxa" w:w="1440"/>
            <w:shd w:fill="FAFAFA" w:val="clear"/>
          </w:tcPr>
          <w:p>
            <w:r>
              <w:rPr>
                <w:b/>
                <w:sz w:val="17"/>
              </w:rPr>
              <w:t>2,931</w:t>
            </w:r>
          </w:p>
        </w:tc>
        <w:tc>
          <w:tcPr>
            <w:tcW w:type="dxa" w:w="1440"/>
            <w:shd w:fill="FAFAFA" w:val="clear"/>
          </w:tcPr>
          <w:p>
            <w:r>
              <w:rPr>
                <w:sz w:val="17"/>
              </w:rPr>
              <w:t>3,078</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2,755</w:t>
            </w:r>
          </w:p>
        </w:tc>
        <w:tc>
          <w:tcPr>
            <w:tcW w:type="dxa" w:w="1440"/>
            <w:shd w:fill="FAFAFA" w:val="clear"/>
          </w:tcPr>
          <w:p>
            <w:r>
              <w:rPr>
                <w:b/>
                <w:sz w:val="17"/>
              </w:rPr>
              <w:t>2,924</w:t>
            </w:r>
          </w:p>
        </w:tc>
        <w:tc>
          <w:tcPr>
            <w:tcW w:type="dxa" w:w="1440"/>
            <w:shd w:fill="FAFAFA" w:val="clear"/>
          </w:tcPr>
          <w:p>
            <w:r>
              <w:rPr>
                <w:sz w:val="17"/>
              </w:rPr>
              <w:t>3,094</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2,729</w:t>
            </w:r>
          </w:p>
        </w:tc>
        <w:tc>
          <w:tcPr>
            <w:tcW w:type="dxa" w:w="1440"/>
            <w:shd w:fill="FAFAFA" w:val="clear"/>
          </w:tcPr>
          <w:p>
            <w:r>
              <w:rPr>
                <w:b/>
                <w:sz w:val="17"/>
              </w:rPr>
              <w:t>2,918</w:t>
            </w:r>
          </w:p>
        </w:tc>
        <w:tc>
          <w:tcPr>
            <w:tcW w:type="dxa" w:w="1440"/>
            <w:shd w:fill="FAFAFA" w:val="clear"/>
          </w:tcPr>
          <w:p>
            <w:r>
              <w:rPr>
                <w:sz w:val="17"/>
              </w:rPr>
              <w:t>3,107</w:t>
            </w:r>
          </w:p>
        </w:tc>
        <w:tc>
          <w:tcPr>
            <w:tcW w:type="dxa" w:w="1440"/>
            <w:shd w:fill="FAFAFA" w:val="clear"/>
          </w:tcPr>
          <w:p>
            <w:r>
              <w:rPr>
                <w:b/>
                <w:color w:val="C00000"/>
                <w:sz w:val="17"/>
              </w:rPr>
              <w:t>-0.8%</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2,705</w:t>
            </w:r>
          </w:p>
        </w:tc>
        <w:tc>
          <w:tcPr>
            <w:tcW w:type="dxa" w:w="1440"/>
            <w:shd w:fill="FAFAFA" w:val="clear"/>
          </w:tcPr>
          <w:p>
            <w:r>
              <w:rPr>
                <w:b/>
                <w:sz w:val="17"/>
              </w:rPr>
              <w:t>2,911</w:t>
            </w:r>
          </w:p>
        </w:tc>
        <w:tc>
          <w:tcPr>
            <w:tcW w:type="dxa" w:w="1440"/>
            <w:shd w:fill="FAFAFA" w:val="clear"/>
          </w:tcPr>
          <w:p>
            <w:r>
              <w:rPr>
                <w:sz w:val="17"/>
              </w:rPr>
              <w:t>3,118</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2,683</w:t>
            </w:r>
          </w:p>
        </w:tc>
        <w:tc>
          <w:tcPr>
            <w:tcW w:type="dxa" w:w="1440"/>
            <w:shd w:fill="FAFAFA" w:val="clear"/>
          </w:tcPr>
          <w:p>
            <w:r>
              <w:rPr>
                <w:b/>
                <w:sz w:val="17"/>
              </w:rPr>
              <w:t>2,905</w:t>
            </w:r>
          </w:p>
        </w:tc>
        <w:tc>
          <w:tcPr>
            <w:tcW w:type="dxa" w:w="1440"/>
            <w:shd w:fill="FAFAFA" w:val="clear"/>
          </w:tcPr>
          <w:p>
            <w:r>
              <w:rPr>
                <w:sz w:val="17"/>
              </w:rPr>
              <w:t>3,128</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2,662</w:t>
            </w:r>
          </w:p>
        </w:tc>
        <w:tc>
          <w:tcPr>
            <w:tcW w:type="dxa" w:w="1440"/>
            <w:shd w:fill="FAFAFA" w:val="clear"/>
          </w:tcPr>
          <w:p>
            <w:r>
              <w:rPr>
                <w:b/>
                <w:sz w:val="17"/>
              </w:rPr>
              <w:t>2,899</w:t>
            </w:r>
          </w:p>
        </w:tc>
        <w:tc>
          <w:tcPr>
            <w:tcW w:type="dxa" w:w="1440"/>
            <w:shd w:fill="FAFAFA" w:val="clear"/>
          </w:tcPr>
          <w:p>
            <w:r>
              <w:rPr>
                <w:sz w:val="17"/>
              </w:rPr>
              <w:t>3,136</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2,642</w:t>
            </w:r>
          </w:p>
        </w:tc>
        <w:tc>
          <w:tcPr>
            <w:tcW w:type="dxa" w:w="1440"/>
            <w:shd w:fill="FAFAFA" w:val="clear"/>
          </w:tcPr>
          <w:p>
            <w:r>
              <w:rPr>
                <w:b/>
                <w:sz w:val="17"/>
              </w:rPr>
              <w:t>2,893</w:t>
            </w:r>
          </w:p>
        </w:tc>
        <w:tc>
          <w:tcPr>
            <w:tcW w:type="dxa" w:w="1440"/>
            <w:shd w:fill="FAFAFA" w:val="clear"/>
          </w:tcPr>
          <w:p>
            <w:r>
              <w:rPr>
                <w:sz w:val="17"/>
              </w:rPr>
              <w:t>3,144</w:t>
            </w:r>
          </w:p>
        </w:tc>
        <w:tc>
          <w:tcPr>
            <w:tcW w:type="dxa" w:w="1440"/>
            <w:shd w:fill="FAFAFA" w:val="clear"/>
          </w:tcPr>
          <w:p>
            <w:r>
              <w:rPr>
                <w:b/>
                <w:color w:val="C00000"/>
                <w:sz w:val="17"/>
              </w:rPr>
              <w:t>-1.6%</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2,622</w:t>
            </w:r>
          </w:p>
        </w:tc>
        <w:tc>
          <w:tcPr>
            <w:tcW w:type="dxa" w:w="1440"/>
            <w:shd w:fill="FAFAFA" w:val="clear"/>
          </w:tcPr>
          <w:p>
            <w:r>
              <w:rPr>
                <w:b/>
                <w:sz w:val="17"/>
              </w:rPr>
              <w:t>2,887</w:t>
            </w:r>
          </w:p>
        </w:tc>
        <w:tc>
          <w:tcPr>
            <w:tcW w:type="dxa" w:w="1440"/>
            <w:shd w:fill="FAFAFA" w:val="clear"/>
          </w:tcPr>
          <w:p>
            <w:r>
              <w:rPr>
                <w:sz w:val="17"/>
              </w:rPr>
              <w:t>3,151</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199,92 milliards FCFA positionne ONTBF comme une valeur de premier plan sur la BRVM, reflétant la confiance des investisseurs dans le leader des télécommunications burkinabè. Avec un BPA de 234 FCFA, chaque action génère un bénéfice substantiel, justifiant un PER de 12,6x, légèrement au-dessus de la moyenne historique de la BRVM (8-12x), ce qui indique que le marché accorde une prime de croissance raisonnable à la société. Le P/B de 3,47x confirme cette prime, le marché valorisant le titre à plus de trois fois sa valeur comptable, signe d'une anticipation de rendements futurs supérieurs à la moyenne. Enfin, l'EV/EBITDA de 5,2x demeure attractif, suggérant que la valeur totale de l'entreprise reste modérée par rapport à sa capacité opérationnelle de génération de cash, un signal positif pour un investisseur de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ONTBF affiche une variation totale de -2,65%, avec une dernière séance en baisse de -1,51% à 2 940 FCFA, reflétant une légère pression vendeuse récente. Le titre a évolué dans un range de trading de 2 610 à 3 095 FCFA, montrant une amplitude de près de 485 FCFA, ce qui témoigne d'une volatilité notable malgré une tendance générale stable. La moyenne de 2 833 FCFA, proche de la médiane de 2 805 FCFA, suggère une distribution des prix relativement symétrique, confirmée par un skewness de 0,396. L'écart-type de 100 FCFA (CV de 3,5%) indique une dispersion modérée des cours autour de la moyenne, tandis que le kurtosis de -0,432 (mésokurtique) révèle une absence de pics extrêmes, réduisant le risque de mouvements brusques. La volatilité annualisée de 33,0% classe le titre comme très volatil, un niveau élevé qui nécessite une gestion prudente du risque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à 2 807,25 FCFA et la MM50 à 2 829,2 FCFA sont toutes deux inférieures au cours actuel de 2 940 FCFA, indiquant une dynamique haussière à court terme. Cependant, la décision de "Vente" suggère que le prix pourrait avoir dépassé sa juste valeur à court terme, et un repli vers ces moyennes est possible pour combler l'écart.</w:t>
      </w:r>
    </w:p>
    <w:p>
      <w:pPr>
        <w:spacing w:after="120" w:line="276" w:lineRule="auto"/>
      </w:pPr>
      <w:r>
        <w:t>**Bandes de Bollinger** : Le cours à 2 940 FCFA se situe entre la borne supérieure de 3 023,01 FCFA et la borne inférieure de 2 591,49 FCFA, dans la partie haute de la bande, ce qui indique une pression acheteuse modérée. La décision "Neutre" reflète une volatilité normale, sans signal de surachat ou de survente extrême, mais le prix proche de la borne supérieure suggère une résistance à surveiller.</w:t>
      </w:r>
    </w:p>
    <w:p>
      <w:pPr>
        <w:spacing w:after="120" w:line="276" w:lineRule="auto"/>
      </w:pPr>
      <w:r>
        <w:t>**MACD** : Le MACD à 44,935 est nettement supérieur au signal à 20,54, avec un écart positif croissant, ce qui signale un momentum haussier fort. La décision "Achat" est justifiée par cette divergence positive, indiquant que la tendance de fond reste favorable malgré les fluctuations récentes.</w:t>
      </w:r>
    </w:p>
    <w:p>
      <w:pPr>
        <w:spacing w:after="120" w:line="276" w:lineRule="auto"/>
      </w:pPr>
      <w:r>
        <w:t>**RSI** : Avec une valeur de 73,043, le RSI entre en zone de surachat (&gt;70), signalant que le titre est potentiellement surévalué à court terme. La décision "Vente" est cohérente avec cette lecture, suggérant qu'un repli technique est probable avant une nouvelle progression.</w:t>
      </w:r>
    </w:p>
    <w:p>
      <w:pPr>
        <w:spacing w:after="120" w:line="276" w:lineRule="auto"/>
      </w:pPr>
      <w:r>
        <w:t>**Stochastique** : Le %K à 82,813 et le %D à 87,5 sont tous deux en zone de surachat, avec un %K inférieur au %D, indiquant un possible retournement baissier imminent. La décision "Vente" est justifiée par ce croisement baissier potentiel, renforçant l'idée d'une consolidation à venir.</w:t>
      </w:r>
    </w:p>
    <w:p>
      <w:pPr>
        <w:spacing w:after="120" w:line="276" w:lineRule="auto"/>
      </w:pPr>
      <w:r>
        <w:t>**Conclusion technique** : Les indicateurs sont partagés, avec un MACD haussier contrastant avec un RSI et un Stochastique en surachat. Les moyennes mobiles et les bandes de Bollinger suggèrent une stabilisation, mais les signaux de surachat indiquent un risque de correction à court terme. La tendance de fond reste positive, mais une pause technique est probable avant une reprise de la hausse.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d'ONTBF révèlent un chiffre d'affaires de 146,177 milliards FCFA, en hausse de 3,1% par rapport à 2024 (141,84 milliards), mais un résultat net de 15,887 milliards FCFA, en baisse de 26% (contre 21,47 milliards en 2024), selon les rapports publiés en avril 2026. La marge nette s'établit à 10,87%, tandis que le ROE atteint 27,61% (excellent, &gt;15%) et le ROA 4,89%, montrant une rentabilité des fonds propres robuste malgré la pression sur les marges. Le coefficient d'exploitation de 67,07% est élevé pour une banque, indiquant une efficacité opérationnelle à améliorer, et le coût du risque de 3,57% est significatif, reflétant un risque de crédit notable. Les dépôts clientèle de 42,688 milliards FCFA sont inférieurs aux créances clients de 12,328 milliards, mais la trésorerie active de 60,449 milliards FCFA offre une liquidité confortable. Sur la base des rapports trimestriels 2025 (T1 : CA 36,17 milliards, +4,3%, résultat net 3,75 milliards, -29% ; S1 : CA 73,81 milliards, +4,0%, résultat net 7,67 milliards, -17,8% ; 9M : CA 109,59 milliards, +3,1%, résultat net 11,00 milliards, -17,2%), on estime que l'exercice 2026 pourrait voir une stabilisation de la rentabilité, avec un CA projeté autour de 150 milliards FCFA et un résultat net de 16-17 milliards, si les coûts opérationnels sont maîtrisés. Le rapport T1 2026 (CA 37,1 milliards, +2,7%, résultat net 3,577 milliards) confirme cette tendance de croissance modérée mais une rentabilité sous pression, avec un EBITDA maintenu à 41,3%. La solidité financière est soutenue par une CAF de 46,952 milliards FCFA et un free cash flow de 1,556 milliard, mais l'endettement élevé (dettes totales de 267,361 milliards) et le BFR négatif de -94,101 milliards nécessitent une surveillance. En conclusion, ONTBF reste une valeur solide avec une croissance du CA et une rentabilité des fonds propres élevée, mais les risques opérationnels et la dégradation des marges imposent une prudence.</w:t>
      </w:r>
    </w:p>
    <w:p>
      <w:pPr>
        <w:spacing w:after="120" w:line="276" w:lineRule="auto" w:before="240"/>
      </w:pPr>
      <w:r>
        <w:rPr>
          <w:b/>
          <w:color w:val="003366"/>
          <w:sz w:val="24"/>
        </w:rPr>
        <w:t>**PARTIE 4 : CONCLUSION D'INVESTISSEMENT**</w:t>
      </w:r>
    </w:p>
    <w:p>
      <w:pPr>
        <w:spacing w:after="120" w:line="276" w:lineRule="auto"/>
      </w:pPr>
      <w:r>
        <w:t>La valorisation d'ONTBF avec un PER de 12,6x et un P/B de 3,47x indique une prime de croissance modérée, tandis que l'EV/EBITDA de 5,2x suggère une sous-évaluation relative de la capacité opérationnelle. Le comportement du cours sur 100 jours montre une stabilité avec une volatilité élevée (33%), mais les statistiques (kurtosis mésokurtique, skewness symétrique) révèlent un risque de mouvements extrêmes limité. Les signaux techniques sont mitigés : le MACD est haussier, mais le RSI et le Stochastique en surachat suggèrent une correction à court terme, tandis que les moyennes mobiles et les bandes de Bollinger indiquent une tendance de fond positive. Les fondamentaux, avec un CA en croissance de 3,1% en 2025 et un ROE de 27,61%, restent solides, mais la baisse de 26% du résultat net et les coûts opérationnels élevés pèsent sur la rentabilité. Les prédictions IA pour les 10 prochains jours (2 945 à 2 918 FCFA) confirment une légère tendance baissière, en ligne avec les signaux de surachat technique. Sur la base de cette synthèse, la recommandation est **CONSERVER**, avec un niveau de confiance **Moyen**, car la convergence entre une valorisation raisonnable, des fondamentaux solides mais en dégradation, et des signaux techniques mitigés suggère une stabilité sans catalyseur majeur. Le risque global est **Élevé** en raison de la volatilité et des défis opérationnels, et l'horizon d'investissement optimal est le **moyen terme (3-12 mois)**, en attendant une amélioration des marges et une clarification des perspectives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2587.51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2,293 titres</w:t>
            </w:r>
          </w:p>
        </w:tc>
        <w:tc>
          <w:tcPr>
            <w:tcW w:type="dxa" w:w="2268"/>
            <w:shd w:fill="FFF2CC" w:val="clear"/>
          </w:tcPr>
          <w:p>
            <w:r>
              <w:rPr>
                <w:b/>
                <w:color w:val="503200"/>
                <w:sz w:val="16"/>
              </w:rPr>
              <w:t xml:space="preserve">Cours actuel : </w:t>
            </w:r>
            <w:r>
              <w:rPr>
                <w:color w:val="000000"/>
                <w:sz w:val="17"/>
              </w:rPr>
              <w:t>17,175 FCFA</w:t>
            </w:r>
          </w:p>
          <w:p>
            <w:r>
              <w:rPr>
                <w:b/>
                <w:color w:val="503200"/>
                <w:sz w:val="16"/>
              </w:rPr>
              <w:t xml:space="preserve">Var. 100 jours : </w:t>
            </w:r>
            <w:r>
              <w:rPr>
                <w:b/>
                <w:color w:val="007800"/>
                <w:sz w:val="17"/>
              </w:rPr>
              <w:t>+12.25%</w:t>
            </w:r>
          </w:p>
          <w:p>
            <w:r>
              <w:rPr>
                <w:b/>
                <w:color w:val="503200"/>
                <w:sz w:val="16"/>
              </w:rPr>
              <w:t xml:space="preserve">Plus haut 100j : </w:t>
            </w:r>
            <w:r>
              <w:rPr>
                <w:color w:val="000000"/>
                <w:sz w:val="17"/>
              </w:rPr>
              <w:t>17,175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μ=15,715 FCFA, σ=744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β=1.4141 (Agressif) — Cov=0.000051, Var(idx)=0.000036, ρ=0.449,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16,571</w:t>
            </w:r>
          </w:p>
        </w:tc>
        <w:tc>
          <w:tcPr>
            <w:tcW w:type="dxa" w:w="1440"/>
            <w:shd w:fill="FAFAFA" w:val="clear"/>
          </w:tcPr>
          <w:p>
            <w:r>
              <w:rPr>
                <w:b/>
                <w:sz w:val="17"/>
              </w:rPr>
              <w:t>17,009</w:t>
            </w:r>
          </w:p>
        </w:tc>
        <w:tc>
          <w:tcPr>
            <w:tcW w:type="dxa" w:w="1440"/>
            <w:shd w:fill="FAFAFA" w:val="clear"/>
          </w:tcPr>
          <w:p>
            <w:r>
              <w:rPr>
                <w:sz w:val="17"/>
              </w:rPr>
              <w:t>17,446</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16,376</w:t>
            </w:r>
          </w:p>
        </w:tc>
        <w:tc>
          <w:tcPr>
            <w:tcW w:type="dxa" w:w="1440"/>
            <w:shd w:fill="FAFAFA" w:val="clear"/>
          </w:tcPr>
          <w:p>
            <w:r>
              <w:rPr>
                <w:b/>
                <w:sz w:val="17"/>
              </w:rPr>
              <w:t>16,995</w:t>
            </w:r>
          </w:p>
        </w:tc>
        <w:tc>
          <w:tcPr>
            <w:tcW w:type="dxa" w:w="1440"/>
            <w:shd w:fill="FAFAFA" w:val="clear"/>
          </w:tcPr>
          <w:p>
            <w:r>
              <w:rPr>
                <w:sz w:val="17"/>
              </w:rPr>
              <w:t>17,613</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16,209</w:t>
            </w:r>
          </w:p>
        </w:tc>
        <w:tc>
          <w:tcPr>
            <w:tcW w:type="dxa" w:w="1440"/>
            <w:shd w:fill="FAFAFA" w:val="clear"/>
          </w:tcPr>
          <w:p>
            <w:r>
              <w:rPr>
                <w:b/>
                <w:sz w:val="17"/>
              </w:rPr>
              <w:t>16,965</w:t>
            </w:r>
          </w:p>
        </w:tc>
        <w:tc>
          <w:tcPr>
            <w:tcW w:type="dxa" w:w="1440"/>
            <w:shd w:fill="FAFAFA" w:val="clear"/>
          </w:tcPr>
          <w:p>
            <w:r>
              <w:rPr>
                <w:sz w:val="17"/>
              </w:rPr>
              <w:t>17,720</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16,061</w:t>
            </w:r>
          </w:p>
        </w:tc>
        <w:tc>
          <w:tcPr>
            <w:tcW w:type="dxa" w:w="1440"/>
            <w:shd w:fill="FAFAFA" w:val="clear"/>
          </w:tcPr>
          <w:p>
            <w:r>
              <w:rPr>
                <w:b/>
                <w:sz w:val="17"/>
              </w:rPr>
              <w:t>16,932</w:t>
            </w:r>
          </w:p>
        </w:tc>
        <w:tc>
          <w:tcPr>
            <w:tcW w:type="dxa" w:w="1440"/>
            <w:shd w:fill="FAFAFA" w:val="clear"/>
          </w:tcPr>
          <w:p>
            <w:r>
              <w:rPr>
                <w:sz w:val="17"/>
              </w:rPr>
              <w:t>17,803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15,927</w:t>
            </w:r>
          </w:p>
        </w:tc>
        <w:tc>
          <w:tcPr>
            <w:tcW w:type="dxa" w:w="1440"/>
            <w:shd w:fill="FAFAFA" w:val="clear"/>
          </w:tcPr>
          <w:p>
            <w:r>
              <w:rPr>
                <w:b/>
                <w:sz w:val="17"/>
              </w:rPr>
              <w:t>16,899</w:t>
            </w:r>
          </w:p>
        </w:tc>
        <w:tc>
          <w:tcPr>
            <w:tcW w:type="dxa" w:w="1440"/>
            <w:shd w:fill="FAFAFA" w:val="clear"/>
          </w:tcPr>
          <w:p>
            <w:r>
              <w:rPr>
                <w:sz w:val="17"/>
              </w:rPr>
              <w:t>17,871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15,804</w:t>
            </w:r>
          </w:p>
        </w:tc>
        <w:tc>
          <w:tcPr>
            <w:tcW w:type="dxa" w:w="1440"/>
            <w:shd w:fill="FAFAFA" w:val="clear"/>
          </w:tcPr>
          <w:p>
            <w:r>
              <w:rPr>
                <w:b/>
                <w:sz w:val="17"/>
              </w:rPr>
              <w:t>16,867</w:t>
            </w:r>
          </w:p>
        </w:tc>
        <w:tc>
          <w:tcPr>
            <w:tcW w:type="dxa" w:w="1440"/>
            <w:shd w:fill="FAFAFA" w:val="clear"/>
          </w:tcPr>
          <w:p>
            <w:r>
              <w:rPr>
                <w:sz w:val="17"/>
              </w:rPr>
              <w:t>17,929</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15,689</w:t>
            </w:r>
          </w:p>
        </w:tc>
        <w:tc>
          <w:tcPr>
            <w:tcW w:type="dxa" w:w="1440"/>
            <w:shd w:fill="FAFAFA" w:val="clear"/>
          </w:tcPr>
          <w:p>
            <w:r>
              <w:rPr>
                <w:b/>
                <w:sz w:val="17"/>
              </w:rPr>
              <w:t>16,835</w:t>
            </w:r>
          </w:p>
        </w:tc>
        <w:tc>
          <w:tcPr>
            <w:tcW w:type="dxa" w:w="1440"/>
            <w:shd w:fill="FAFAFA" w:val="clear"/>
          </w:tcPr>
          <w:p>
            <w:r>
              <w:rPr>
                <w:sz w:val="17"/>
              </w:rPr>
              <w:t>17,981</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15,581</w:t>
            </w:r>
          </w:p>
        </w:tc>
        <w:tc>
          <w:tcPr>
            <w:tcW w:type="dxa" w:w="1440"/>
            <w:shd w:fill="FFDCE0" w:val="clear"/>
          </w:tcPr>
          <w:p>
            <w:r>
              <w:rPr>
                <w:b/>
                <w:sz w:val="17"/>
              </w:rPr>
              <w:t>16,804</w:t>
            </w:r>
          </w:p>
        </w:tc>
        <w:tc>
          <w:tcPr>
            <w:tcW w:type="dxa" w:w="1440"/>
            <w:shd w:fill="FFDCE0" w:val="clear"/>
          </w:tcPr>
          <w:p>
            <w:r>
              <w:rPr>
                <w:sz w:val="17"/>
              </w:rPr>
              <w:t>18,026</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15,479</w:t>
            </w:r>
          </w:p>
        </w:tc>
        <w:tc>
          <w:tcPr>
            <w:tcW w:type="dxa" w:w="1440"/>
            <w:shd w:fill="FFDCE0" w:val="clear"/>
          </w:tcPr>
          <w:p>
            <w:r>
              <w:rPr>
                <w:b/>
                <w:sz w:val="17"/>
              </w:rPr>
              <w:t>16,773</w:t>
            </w:r>
          </w:p>
        </w:tc>
        <w:tc>
          <w:tcPr>
            <w:tcW w:type="dxa" w:w="1440"/>
            <w:shd w:fill="FFDCE0" w:val="clear"/>
          </w:tcPr>
          <w:p>
            <w:r>
              <w:rPr>
                <w:sz w:val="17"/>
              </w:rPr>
              <w:t>18,068</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15,381</w:t>
            </w:r>
          </w:p>
        </w:tc>
        <w:tc>
          <w:tcPr>
            <w:tcW w:type="dxa" w:w="1440"/>
            <w:shd w:fill="FFDCE0" w:val="clear"/>
          </w:tcPr>
          <w:p>
            <w:r>
              <w:rPr>
                <w:b/>
                <w:sz w:val="17"/>
              </w:rPr>
              <w:t>16,743</w:t>
            </w:r>
          </w:p>
        </w:tc>
        <w:tc>
          <w:tcPr>
            <w:tcW w:type="dxa" w:w="1440"/>
            <w:shd w:fill="FFDCE0" w:val="clear"/>
          </w:tcPr>
          <w:p>
            <w:r>
              <w:rPr>
                <w:sz w:val="17"/>
              </w:rPr>
              <w:t>18,105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2 587,51 milliards FCFA, ce qui en fait l'une des plus importantes de la BRVM, représentant une part significative de la capitalisation totale du marché régional. Avec un BPA de 1 114 FCFA, chaque action génère un bénéfice substantiel, justifiant un PER de 15,4x. Ce niveau est supérieur à la moyenne historique de la BRVM (8-12x), indiquant que les investisseurs acceptent de payer une prime pour la qualité et la croissance de l'entreprise. Le P/B de 3,66x confirme cette prime, le marché valorisant le titre bien au-dessus de sa valeur comptable, reflétant les attentes de croissance future. Enfin, l'EV/EBITDA de 6,2x reste dans une zone raisonnable (5-10x), suggérant que la valorisation globale de l'entreprise, dette incluse, demeure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remarquable de +12,25%, passant d'un plus bas de 14 200 FCFA à un plus haut de 17 175 FCFA, qui correspond également au cours actuel. Cette tendance haussière soutenue démontre une forte confiance des investisseurs, avec une dernière séance stable (+0,00%). La moyenne du cours sur la période (15 715 FCFA) est très proche de la médiane (15 675 FCFA), indiquant une distribution relativement symétrique des prix, confirmée par un skewness de 0,205. L'écart-type de 748 FCFA, avec un coefficient de variation de seulement 4,8%, révèle une dispersion modérée autour de la moyenne. Le kurtosis négatif (-1,110) signale une distribution platykurtique, c'est-à-dire une absence de mouvements extrêmes et une concentration des prix autour de la moyenne. La volatilité annualisée de 29,9% positionne le titre dans la zone supérieure de la volatilité modérée, ce qui reste acceptable pour une valeur de cette envergure.</w:t>
      </w:r>
    </w:p>
    <w:p>
      <w:pPr>
        <w:spacing w:after="120" w:line="276" w:lineRule="auto" w:before="240"/>
      </w:pPr>
      <w:r>
        <w:rPr>
          <w:b/>
          <w:color w:val="003366"/>
          <w:sz w:val="24"/>
        </w:rPr>
        <w:t>**PARTIE 2 : ANALYSE TECHNIQUE DÉTAILLÉE**</w:t>
      </w:r>
    </w:p>
    <w:p>
      <w:pPr>
        <w:spacing w:after="120" w:line="276" w:lineRule="auto"/>
      </w:pPr>
      <w:r>
        <w:t>**Moyennes Mobiles** : Le cours actuel de 17 175 FCFA se situe nettement au-dessus de la MM20 (16 513,25 FCFA) et de la MM50 (16 351,8 FCFA), confirmant une dynamique haussière solide. L'écart positif entre le cours et les moyennes mobiles, couplé à une MM20 supérieure à la MM50, valide la tendance ascendante et justifie la décision d'achat.</w:t>
      </w:r>
    </w:p>
    <w:p>
      <w:pPr>
        <w:spacing w:after="120" w:line="276" w:lineRule="auto"/>
      </w:pPr>
      <w:r>
        <w:t>**Bandes de Bollinger** : Le prix évolue à proximité de la borne supérieure (17 392,93 FCFA), à seulement 217 FCFA de celle-ci, indiquant une pression acheteuse soutenue. La largeur des bandes (1 759 FCFA) reflète une volatilité modérée. Le signal neutre suggère que le marché attend une confirmation directionnelle, bien que la proximité de la borne supérieure puisse indiquer une zone de résistance.</w:t>
      </w:r>
    </w:p>
    <w:p>
      <w:pPr>
        <w:spacing w:after="120" w:line="276" w:lineRule="auto"/>
      </w:pPr>
      <w:r>
        <w:t>**MACD** : La valeur du MACD (240,356) est nettement supérieure à sa ligne de signal (166,559), avec un écart positif de 73,8 points. Cette configuration haussière démontre un momentum positif soutenu, confirmant la tendance haussière en cours et justifiant la décision d'achat.</w:t>
      </w:r>
    </w:p>
    <w:p>
      <w:pPr>
        <w:spacing w:after="120" w:line="276" w:lineRule="auto"/>
      </w:pPr>
      <w:r>
        <w:t>**RSI** : À 88,015, le RSI se trouve en zone de surachat extrême (au-delà de 70), signalant une possible correction à court terme. Cette valeur très élevée indique que le titre est survendu techniquement et que les acheteurs pourraient être épuisés, justifiant la décision de vente.</w:t>
      </w:r>
    </w:p>
    <w:p>
      <w:pPr>
        <w:spacing w:after="120" w:line="276" w:lineRule="auto"/>
      </w:pPr>
      <w:r>
        <w:t>**Stochastique** : Avec %K et %D à 100,0, l'indicateur stochastique est en zone de surachat maximal. Cette configuration extrême suggère que le titre est fortement surévalué à court terme et qu'un retournement est probable, justifiant la décision de vente.</w:t>
      </w:r>
    </w:p>
    <w:p>
      <w:pPr>
        <w:spacing w:after="120" w:line="276" w:lineRule="auto"/>
      </w:pPr>
      <w:r>
        <w:t>**Conclusion technique** : La convergence des indicateurs de tendance (MM, MACD) vers l'achat contraste avec les signaux de surachat des oscillateurs (RSI, Stochastique). Cette divergence indique une tendance haussière solide mais potentiellement surchauffée à court terme, suggérant une consolidation possible avant la poursuite de la hausse.</w:t>
      </w:r>
    </w:p>
    <w:p>
      <w:pPr>
        <w:spacing w:after="120" w:line="276" w:lineRule="auto" w:before="240"/>
      </w:pPr>
      <w:r>
        <w:rPr>
          <w:b/>
          <w:color w:val="003366"/>
          <w:sz w:val="24"/>
        </w:rPr>
        <w:t>**PARTIE 3 : ANALYSE FONDAMENTALE (SECTION CRITIQUE)**</w:t>
      </w:r>
    </w:p>
    <w:p>
      <w:pPr>
        <w:spacing w:after="120" w:line="276" w:lineRule="auto"/>
      </w:pPr>
      <w:r>
        <w:t>En 2025, Orange Côte d'Ivoire affiche des résultats financiers solides avec un chiffre d'affaires consolidé de 1 197,1 milliards FCFA, en progression de +10,4% par rapport à 2024 (1 084,1 milliards FCFA). Le résultat net consolidé s'établit à 167,8 milliards FCFA, en hausse de +6,1%, tandis que le résultat net part du groupe atteint 129,1 milliards FCFA (+14,5%). La rentabilité reste excellente avec un ROE de 23,7% (supérieur au seuil de 15% considéré comme excellent) et un ROA de 6,6%. La marge nette s'établit à 14,0% et la marge opérationnelle à 24,0%. La structure financière montre une autonomie financière de 27,7% et une capacité de remboursement de 0,99 année, indiquant une bonne santé financière. Le BFR négatif de -198 milliards FCFA constitue un avantage majeur, l'entreprise finançant son exploitation grâce aux délais fournisseurs de 210,87 jours contre 52,26 jours pour les délais clients. Le rapport annuel 2025 (analysé le 29 avril 2026) confirme ces données et propose un dividende de 800 FCFA par action. Sur la base du rapport T1 2026 (publié en mai 2026) faisant état d'une croissance du CA de +14,8% à 325,6 milliards FCFA et d'un résultat net de 48,3 milliards FCFA (+25,2%), on estime que l'exercice 2026 pourrait dépasser les performances de 2025, avec un CA potentiel de 1 350-1 400 milliards FCFA et un résultat net de 190-200 milliards FCFA. Les fondamentaux restent donc très solides.</w:t>
      </w:r>
    </w:p>
    <w:p>
      <w:pPr>
        <w:spacing w:after="120" w:line="276" w:lineRule="auto" w:before="240"/>
      </w:pPr>
      <w:r>
        <w:rPr>
          <w:b/>
          <w:color w:val="003366"/>
          <w:sz w:val="24"/>
        </w:rPr>
        <w:t>**PARTIE 4 : CONCLUSION D'INVESTISSEMENT**</w:t>
      </w:r>
    </w:p>
    <w:p>
      <w:pPr>
        <w:spacing w:after="120" w:line="276" w:lineRule="auto"/>
      </w:pPr>
      <w:r>
        <w:t>La valorisation d'ORAC, avec un PER de 15,4x et un P/B de 3,66x, reflète une prime de croissance justifiée par la qualité des fondamentaux, bien que supérieure à la moyenne BRVM. Le comportement du cours sur 100 jours (+12,25%) démontre une tendance haussière robuste, avec une volatilité modérée (29,9%) et une distribution des prix stable (kurtosis platykurtique). Les signaux techniques sont partagés : les indicateurs de tendance (MM, MACD) restent positifs, mais les oscillateurs (RSI à 88, Stochastique à 100) signalent un surachat extrême, suggérant une consolidation à court terme. Les fondamentaux sont excellents, avec une croissance soutenue du CA (+10,4% en 2025), une rentabilité élevée (ROE de 23,7%) et des perspectives prometteuses pour 2026 (+14,8% au T1). Les prédictions IA (17 009 FCFA à J+10) indiquent une légère correction technique, cohérente avec les signaux de surachat. La convergence entre la solidité fondamentale et la tendance haussière, malgré les signaux techniques de court terme, conduit à une recommandation **CONSERVER** pour les investisseurs existants, avec un niveau de confiance **Moyen** et un risque global **Moyen**. L'horizon d'investissement optimal est le **moyen terme (3-12 mois)**, permettant d'absorber une éventuelle correction technique avant la poursuite de la tendance haussière.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6,791 titres</w:t>
            </w:r>
          </w:p>
        </w:tc>
        <w:tc>
          <w:tcPr>
            <w:tcW w:type="dxa" w:w="2268"/>
            <w:shd w:fill="FFF2CC" w:val="clear"/>
          </w:tcPr>
          <w:p>
            <w:r>
              <w:rPr>
                <w:b/>
                <w:color w:val="503200"/>
                <w:sz w:val="16"/>
              </w:rPr>
              <w:t xml:space="preserve">Cours actuel : </w:t>
            </w:r>
            <w:r>
              <w:rPr>
                <w:color w:val="000000"/>
                <w:sz w:val="17"/>
              </w:rPr>
              <w:t>3,125 FCFA</w:t>
            </w:r>
          </w:p>
          <w:p>
            <w:r>
              <w:rPr>
                <w:b/>
                <w:color w:val="503200"/>
                <w:sz w:val="16"/>
              </w:rPr>
              <w:t xml:space="preserve">Var. 100 jours : </w:t>
            </w:r>
            <w:r>
              <w:rPr>
                <w:b/>
                <w:color w:val="B40000"/>
                <w:sz w:val="17"/>
              </w:rPr>
              <w:t>-17.22%</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13.93% (Moyenne) — μ=3,025 FCFA, σ=421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β=0.3919 (Défensif) — Cov=0.000014, Var(idx)=0.000036, ρ=0.080,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3,017</w:t>
            </w:r>
          </w:p>
        </w:tc>
        <w:tc>
          <w:tcPr>
            <w:tcW w:type="dxa" w:w="1440"/>
            <w:shd w:fill="FAFAFA" w:val="clear"/>
          </w:tcPr>
          <w:p>
            <w:r>
              <w:rPr>
                <w:b/>
                <w:sz w:val="17"/>
              </w:rPr>
              <w:t>3,109</w:t>
            </w:r>
          </w:p>
        </w:tc>
        <w:tc>
          <w:tcPr>
            <w:tcW w:type="dxa" w:w="1440"/>
            <w:shd w:fill="FAFAFA" w:val="clear"/>
          </w:tcPr>
          <w:p>
            <w:r>
              <w:rPr>
                <w:sz w:val="17"/>
              </w:rPr>
              <w:t>3,202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2,973</w:t>
            </w:r>
          </w:p>
        </w:tc>
        <w:tc>
          <w:tcPr>
            <w:tcW w:type="dxa" w:w="1440"/>
            <w:shd w:fill="FAFAFA" w:val="clear"/>
          </w:tcPr>
          <w:p>
            <w:r>
              <w:rPr>
                <w:b/>
                <w:sz w:val="17"/>
              </w:rPr>
              <w:t>3,104</w:t>
            </w:r>
          </w:p>
        </w:tc>
        <w:tc>
          <w:tcPr>
            <w:tcW w:type="dxa" w:w="1440"/>
            <w:shd w:fill="FAFAFA" w:val="clear"/>
          </w:tcPr>
          <w:p>
            <w:r>
              <w:rPr>
                <w:sz w:val="17"/>
              </w:rPr>
              <w:t>3,234</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2,940</w:t>
            </w:r>
          </w:p>
        </w:tc>
        <w:tc>
          <w:tcPr>
            <w:tcW w:type="dxa" w:w="1440"/>
            <w:shd w:fill="FAFAFA" w:val="clear"/>
          </w:tcPr>
          <w:p>
            <w:r>
              <w:rPr>
                <w:b/>
                <w:sz w:val="17"/>
              </w:rPr>
              <w:t>3,099</w:t>
            </w:r>
          </w:p>
        </w:tc>
        <w:tc>
          <w:tcPr>
            <w:tcW w:type="dxa" w:w="1440"/>
            <w:shd w:fill="FAFAFA" w:val="clear"/>
          </w:tcPr>
          <w:p>
            <w:r>
              <w:rPr>
                <w:sz w:val="17"/>
              </w:rPr>
              <w:t>3,258</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2,911</w:t>
            </w:r>
          </w:p>
        </w:tc>
        <w:tc>
          <w:tcPr>
            <w:tcW w:type="dxa" w:w="1440"/>
            <w:shd w:fill="FAFAFA" w:val="clear"/>
          </w:tcPr>
          <w:p>
            <w:r>
              <w:rPr>
                <w:b/>
                <w:sz w:val="17"/>
              </w:rPr>
              <w:t>3,095</w:t>
            </w:r>
          </w:p>
        </w:tc>
        <w:tc>
          <w:tcPr>
            <w:tcW w:type="dxa" w:w="1440"/>
            <w:shd w:fill="FAFAFA" w:val="clear"/>
          </w:tcPr>
          <w:p>
            <w:r>
              <w:rPr>
                <w:sz w:val="17"/>
              </w:rPr>
              <w:t>3,279</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2,887</w:t>
            </w:r>
          </w:p>
        </w:tc>
        <w:tc>
          <w:tcPr>
            <w:tcW w:type="dxa" w:w="1440"/>
            <w:shd w:fill="FAFAFA" w:val="clear"/>
          </w:tcPr>
          <w:p>
            <w:r>
              <w:rPr>
                <w:b/>
                <w:sz w:val="17"/>
              </w:rPr>
              <w:t>3,092</w:t>
            </w:r>
          </w:p>
        </w:tc>
        <w:tc>
          <w:tcPr>
            <w:tcW w:type="dxa" w:w="1440"/>
            <w:shd w:fill="FAFAFA" w:val="clear"/>
          </w:tcPr>
          <w:p>
            <w:r>
              <w:rPr>
                <w:sz w:val="17"/>
              </w:rPr>
              <w:t>3,297</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2,865</w:t>
            </w:r>
          </w:p>
        </w:tc>
        <w:tc>
          <w:tcPr>
            <w:tcW w:type="dxa" w:w="1440"/>
            <w:shd w:fill="FAFAFA" w:val="clear"/>
          </w:tcPr>
          <w:p>
            <w:r>
              <w:rPr>
                <w:b/>
                <w:sz w:val="17"/>
              </w:rPr>
              <w:t>3,089</w:t>
            </w:r>
          </w:p>
        </w:tc>
        <w:tc>
          <w:tcPr>
            <w:tcW w:type="dxa" w:w="1440"/>
            <w:shd w:fill="FAFAFA" w:val="clear"/>
          </w:tcPr>
          <w:p>
            <w:r>
              <w:rPr>
                <w:sz w:val="17"/>
              </w:rPr>
              <w:t>3,314</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2,844</w:t>
            </w:r>
          </w:p>
        </w:tc>
        <w:tc>
          <w:tcPr>
            <w:tcW w:type="dxa" w:w="1440"/>
            <w:shd w:fill="FAFAFA" w:val="clear"/>
          </w:tcPr>
          <w:p>
            <w:r>
              <w:rPr>
                <w:b/>
                <w:sz w:val="17"/>
              </w:rPr>
              <w:t>3,087</w:t>
            </w:r>
          </w:p>
        </w:tc>
        <w:tc>
          <w:tcPr>
            <w:tcW w:type="dxa" w:w="1440"/>
            <w:shd w:fill="FAFAFA" w:val="clear"/>
          </w:tcPr>
          <w:p>
            <w:r>
              <w:rPr>
                <w:sz w:val="17"/>
              </w:rPr>
              <w:t>3,329</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2,825</w:t>
            </w:r>
          </w:p>
        </w:tc>
        <w:tc>
          <w:tcPr>
            <w:tcW w:type="dxa" w:w="1440"/>
            <w:shd w:fill="FAFAFA" w:val="clear"/>
          </w:tcPr>
          <w:p>
            <w:r>
              <w:rPr>
                <w:b/>
                <w:sz w:val="17"/>
              </w:rPr>
              <w:t>3,084</w:t>
            </w:r>
          </w:p>
        </w:tc>
        <w:tc>
          <w:tcPr>
            <w:tcW w:type="dxa" w:w="1440"/>
            <w:shd w:fill="FAFAFA" w:val="clear"/>
          </w:tcPr>
          <w:p>
            <w:r>
              <w:rPr>
                <w:sz w:val="17"/>
              </w:rPr>
              <w:t>3,343</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2,807</w:t>
            </w:r>
          </w:p>
        </w:tc>
        <w:tc>
          <w:tcPr>
            <w:tcW w:type="dxa" w:w="1440"/>
            <w:shd w:fill="FAFAFA" w:val="clear"/>
          </w:tcPr>
          <w:p>
            <w:r>
              <w:rPr>
                <w:b/>
                <w:sz w:val="17"/>
              </w:rPr>
              <w:t>3,081</w:t>
            </w:r>
          </w:p>
        </w:tc>
        <w:tc>
          <w:tcPr>
            <w:tcW w:type="dxa" w:w="1440"/>
            <w:shd w:fill="FAFAFA" w:val="clear"/>
          </w:tcPr>
          <w:p>
            <w:r>
              <w:rPr>
                <w:sz w:val="17"/>
              </w:rPr>
              <w:t>3,356</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2,790</w:t>
            </w:r>
          </w:p>
        </w:tc>
        <w:tc>
          <w:tcPr>
            <w:tcW w:type="dxa" w:w="1440"/>
            <w:shd w:fill="FAFAFA" w:val="clear"/>
          </w:tcPr>
          <w:p>
            <w:r>
              <w:rPr>
                <w:b/>
                <w:sz w:val="17"/>
              </w:rPr>
              <w:t>3,079</w:t>
            </w:r>
          </w:p>
        </w:tc>
        <w:tc>
          <w:tcPr>
            <w:tcW w:type="dxa" w:w="1440"/>
            <w:shd w:fill="FAFAFA" w:val="clear"/>
          </w:tcPr>
          <w:p>
            <w:r>
              <w:rPr>
                <w:sz w:val="17"/>
              </w:rPr>
              <w:t>3,368</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216,92 milliards FCFA, ce qui positionne le titre parmi les valeurs moyennes de la cote BRVM, reflétant la taille significative du groupe bancaire dans la zone UEMOA. Le BPA de 312 FCFA indique que chaque action a généré un bénéfice net de ce montant sur l'exercice 2025. Le PER de 10,0x se situe dans la fourchette moyenne du marché (8-12x), suggérant une valorisation raisonnable par rapport aux bénéfices distribuables. Le P/B de 1,92x indique que le marché valorise la société à près de deux fois sa valeur comptable, ce qui est cohérent avec une banque rentable, sans être excessif. En revanche, l'EV/EBITDA de 19,9x apparaît très exigeant, signalant que la valeur totale de l'entreprise (dette incluse) est élevée par rapport à sa capacité opérationnelle, ce qui pourrait refléter les attentes de redressement futur intégrées par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 enregistré une variation totale de -17,22%, avec une légère baisse de -0,48% lors de la dernière séance, témoignant d'une tendance baissière marquée sur la période. Le cours a évolué dans une fourchette large de 2 435 FCFA (plus bas) à 3 995 FCFA (plus haut), soit une amplitude de 1 560 FCFA, indiquant une forte volatilité des prix. La moyenne du cours sur la période est de 3 025 FCFA, tandis que la médiane est de 2 780 FCFA ; cet écart significatif (245 FCFA) révèle une distribution asymétrique, confirmée par le skewness positif de 0,620, signifiant que le cours a passé plus de journées sous la moyenne, avec des pics ponctuels à la hausse. L'écart-type de 423 FCFA (CV=14,0%) montre une dispersion modérée des prix autour de la moyenne. Le kurtosis négatif de -1,067 indique une distribution platykurtique, c'est-à-dire une faible concentration des variations extrêmes, réduisant le risque de mouvements violents. La volatilité annualisée de 46,4% classe le titre comme très volatil (&gt;30%), ce qui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à 2 831,5 FCFA et la MM50 à 2 764,1 FCFA sont toutes deux inférieures au cours actuel de 3 125 FCFA, indiquant une dynamique haussière à court et moyen terme. Le cours évoluant au-dessus de ces moyennes, la décision d'achat est justifiée, car cela confirme la tendance positive récente malgré la baisse globale sur 100 jours.</w:t>
      </w:r>
    </w:p>
    <w:p>
      <w:pPr>
        <w:spacing w:after="120" w:line="276" w:lineRule="auto"/>
      </w:pPr>
      <w:r>
        <w:t>**Bandes de Bollinger** : Le prix actuel de 3 125 FCFA se situe entre la borne supérieure (3 234,99 FCFA) et la borne inférieure (2 428,01 FCFA), proche de la borne haute, ce qui reflète une volatilité en expansion. La décision neutre s'explique par le fait que le cours n'a pas encore franchi la borne supérieure, laissant place à une possible poursuite haussière ou à un retournement.</w:t>
      </w:r>
    </w:p>
    <w:p>
      <w:pPr>
        <w:spacing w:after="120" w:line="276" w:lineRule="auto"/>
      </w:pPr>
      <w:r>
        <w:t>**MACD** : La valeur du MACD (112,672) est nettement supérieure à son signal (66,606), avec un écart positif de 46 points, indiquant un momentum haussier fort. Cette configuration, où le MACD est au-dessus du signal, confirme la dynamique positive et justifie la décision d'achat, bien que le niveau élevé puisse suggérer une saturation à court terme.</w:t>
      </w:r>
    </w:p>
    <w:p>
      <w:pPr>
        <w:spacing w:after="120" w:line="276" w:lineRule="auto"/>
      </w:pPr>
      <w:r>
        <w:t>**RSI** : Le RSI à 87,395 est largement au-dessus du seuil de surachat (70), signalant que le titre est fortement suracheté. Cette situation indique que le cours a augmenté trop rapidement et qu'un repli technique est probable à court terme, justifiant la décision de vente pour les traders opportunistes.</w:t>
      </w:r>
    </w:p>
    <w:p>
      <w:pPr>
        <w:spacing w:after="120" w:line="276" w:lineRule="auto"/>
      </w:pPr>
      <w:r>
        <w:t>**Stochastique** : Le %K à 94,681 et le %D à 97,518 sont tous deux en zone de surachat extrême (&gt;80), avec %K sous %D, suggérant un croisement baissier imminent. Cette configuration indique une perte de momentum haussier et un risque de correction, justifiant la décision de vente.</w:t>
      </w:r>
    </w:p>
    <w:p>
      <w:pPr>
        <w:spacing w:after="120" w:line="276" w:lineRule="auto"/>
      </w:pPr>
      <w:r>
        <w:t>**Conclusion technique** : Les indicateurs de tendance (MM, MACD) sont positifs, mais les oscillateurs (RSI, Stochastique) sont en surachat extrême, créant une divergence entre la tendance et le momentum. Le cours est proche de la borne supérieure de Bollinger, renforçant le risque de correction. La prudence est donc de mise, avec une possible consolidation à court terme avant 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 Produit Net Bancaire (PNB) d'ORGT s'établit à 186,609 milliards FCFA, en baisse de -4,5% par rapport à 2024 (195,436 milliards FCFA), reflétant une contraction de l'activité due à une stratégie de sélectivité des crédits. Le résultat net consolidé est de 21,643 milliards FCFA, contre une perte de -44,363 milliards en 2024, marquant un retour spectaculaire à la rentabilité, porté par une réduction drastique du coût du risque (-90%, passant de -69,056 à -6,971 milliards FCFA) et une baisse des frais généraux de -12%. Le ROE de 19,13% est excellent (&gt;15%), tandis que le ROA de 0,54% reste faible, typique du secteur bancaire. Le coefficient d'exploitation de 42,85% (&lt;60%) démontre une excellente efficacité opérationnelle. Les dépôts clientèle (3 088,698 milliards FCFA) couvrent largement les créances clientèle (1 523,765 milliards FCFA), soit un ratio de transformation de 49,3%, indiquant une forte liquidité. Les rapports trimestriels 2025 (T1, S1, T3) confirment cette trajectoire : le résultat net cumulé à fin septembre atteint 19,6 milliards FCFA (+248%), et le T1 2026 montre une poursuite avec un résultat net de 6,555 milliards FCFA (+37%). Sur cette base, on estime que l'exercice 2026 pourrait dépasser les 22 milliards FCFA de résultat net, si la maîtrise du risque se maintient. La solidité financière est renforcée par des capitaux propres de 113,165 milliards FCFA (+17%), mais l'absence de dividende (perte sociale de -8 milliards) et la dépendance à la réduction du coût du risque constituent des risques à surveiller.</w:t>
      </w:r>
    </w:p>
    <w:p>
      <w:pPr>
        <w:spacing w:after="120" w:line="276" w:lineRule="auto" w:before="240"/>
      </w:pPr>
      <w:r>
        <w:rPr>
          <w:b/>
          <w:color w:val="003366"/>
          <w:sz w:val="24"/>
        </w:rPr>
        <w:t>**PARTIE 4 : CONCLUSION D'INVESTISSEMENT**</w:t>
      </w:r>
    </w:p>
    <w:p>
      <w:pPr>
        <w:spacing w:after="120" w:line="276" w:lineRule="auto"/>
      </w:pPr>
      <w:r>
        <w:t>La valorisation d'ORGT est modérée avec un PER de 10,0x et un P/B de 1,92x, mais l'EV/EBITDA de 19,9x suggère une certaine exigence du marché. Le comportement du cours sur 100 jours est baissier (-17,22%), avec une volatilité élevée (46,4%) et une distribution platykurtique réduisant les risques extrêmes, mais le skewness positif indique des journées majoritairement sous la moyenne. Les signaux techniques sont mitigés : les moyennes mobiles et le MACD sont positifs, mais le RSI (87,4) et le Stochastique (94,7) sont en surachat extrême, annonçant une correction probable. Les fondamentaux sont solides avec un retour à la rentabilité en 2025 (résultat net de 21,6 milliards FCFA), un ROE de 19,1% et un coefficient d'exploitation de 42,9%, mais la baisse du PNB et l'absence de dividende limitent l'attrait. Les prédictions IA (3 109 à 3 092 FCFA sur J+1 à J+10) indiquent une légère baisse, confirmant les signaux de surachat technique. En synthèse, la convergence entre la valorisation raisonnable, les fondamentaux en redressement et les signaux techniques surachetés suggère une stabilisation à court terme. Recommandation finale : **CONSERVER**, avec un niveau de confiance **Moyen**, un risque global **Élevé** (volatilité et dépendance au coût du risque), et un horizon d'investissement optimal à **moyen terme (3-12 mois)** pour observer la confirmation de la croissance du PNB et une éventuelle reprise des dividendes.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3,660 titres</w:t>
            </w:r>
          </w:p>
        </w:tc>
        <w:tc>
          <w:tcPr>
            <w:tcW w:type="dxa" w:w="2268"/>
            <w:shd w:fill="FFF2CC" w:val="clear"/>
          </w:tcPr>
          <w:p>
            <w:r>
              <w:rPr>
                <w:b/>
                <w:color w:val="503200"/>
                <w:sz w:val="16"/>
              </w:rPr>
              <w:t xml:space="preserve">Cours actuel : </w:t>
            </w:r>
            <w:r>
              <w:rPr>
                <w:color w:val="000000"/>
                <w:sz w:val="17"/>
              </w:rPr>
              <w:t>8,980 FCFA</w:t>
            </w:r>
          </w:p>
          <w:p>
            <w:r>
              <w:rPr>
                <w:b/>
                <w:color w:val="503200"/>
                <w:sz w:val="16"/>
              </w:rPr>
              <w:t xml:space="preserve">Var. 100 jours : </w:t>
            </w:r>
            <w:r>
              <w:rPr>
                <w:b/>
                <w:color w:val="B40000"/>
                <w:sz w:val="17"/>
              </w:rPr>
              <w:t>-4.52%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μ=8,413 FCFA, σ=526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β=-0.0876 (Contre-cyclique) — Cov=-0.000003, Var(idx)=0.000036, ρ=-0.020,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8,738</w:t>
            </w:r>
          </w:p>
        </w:tc>
        <w:tc>
          <w:tcPr>
            <w:tcW w:type="dxa" w:w="1440"/>
            <w:shd w:fill="FAFAFA" w:val="clear"/>
          </w:tcPr>
          <w:p>
            <w:r>
              <w:rPr>
                <w:b/>
                <w:sz w:val="17"/>
              </w:rPr>
              <w:t>9,026</w:t>
            </w:r>
          </w:p>
        </w:tc>
        <w:tc>
          <w:tcPr>
            <w:tcW w:type="dxa" w:w="1440"/>
            <w:shd w:fill="FAFAFA" w:val="clear"/>
          </w:tcPr>
          <w:p>
            <w:r>
              <w:rPr>
                <w:sz w:val="17"/>
              </w:rPr>
              <w:t>9,314</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8,641</w:t>
            </w:r>
          </w:p>
        </w:tc>
        <w:tc>
          <w:tcPr>
            <w:tcW w:type="dxa" w:w="1440"/>
            <w:shd w:fill="FAFAFA" w:val="clear"/>
          </w:tcPr>
          <w:p>
            <w:r>
              <w:rPr>
                <w:b/>
                <w:sz w:val="17"/>
              </w:rPr>
              <w:t>9,050</w:t>
            </w:r>
          </w:p>
        </w:tc>
        <w:tc>
          <w:tcPr>
            <w:tcW w:type="dxa" w:w="1440"/>
            <w:shd w:fill="FAFAFA" w:val="clear"/>
          </w:tcPr>
          <w:p>
            <w:r>
              <w:rPr>
                <w:sz w:val="17"/>
              </w:rPr>
              <w:t>9,458</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8,575</w:t>
            </w:r>
          </w:p>
        </w:tc>
        <w:tc>
          <w:tcPr>
            <w:tcW w:type="dxa" w:w="1440"/>
            <w:shd w:fill="FAFAFA" w:val="clear"/>
          </w:tcPr>
          <w:p>
            <w:r>
              <w:rPr>
                <w:b/>
                <w:sz w:val="17"/>
              </w:rPr>
              <w:t>9,077</w:t>
            </w:r>
          </w:p>
        </w:tc>
        <w:tc>
          <w:tcPr>
            <w:tcW w:type="dxa" w:w="1440"/>
            <w:shd w:fill="FAFAFA" w:val="clear"/>
          </w:tcPr>
          <w:p>
            <w:r>
              <w:rPr>
                <w:sz w:val="17"/>
              </w:rPr>
              <w:t>9,579</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8,523</w:t>
            </w:r>
          </w:p>
        </w:tc>
        <w:tc>
          <w:tcPr>
            <w:tcW w:type="dxa" w:w="1440"/>
            <w:shd w:fill="FAFAFA" w:val="clear"/>
          </w:tcPr>
          <w:p>
            <w:r>
              <w:rPr>
                <w:b/>
                <w:sz w:val="17"/>
              </w:rPr>
              <w:t>9,104</w:t>
            </w:r>
          </w:p>
        </w:tc>
        <w:tc>
          <w:tcPr>
            <w:tcW w:type="dxa" w:w="1440"/>
            <w:shd w:fill="FAFAFA" w:val="clear"/>
          </w:tcPr>
          <w:p>
            <w:r>
              <w:rPr>
                <w:sz w:val="17"/>
              </w:rPr>
              <w:t>9,685</w:t>
            </w:r>
          </w:p>
        </w:tc>
        <w:tc>
          <w:tcPr>
            <w:tcW w:type="dxa" w:w="1440"/>
            <w:shd w:fill="FAFAFA" w:val="clear"/>
          </w:tcPr>
          <w:p>
            <w:r>
              <w:rPr>
                <w:b/>
                <w:color w:val="008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8,480</w:t>
            </w:r>
          </w:p>
        </w:tc>
        <w:tc>
          <w:tcPr>
            <w:tcW w:type="dxa" w:w="1440"/>
            <w:shd w:fill="FAFAFA" w:val="clear"/>
          </w:tcPr>
          <w:p>
            <w:r>
              <w:rPr>
                <w:b/>
                <w:sz w:val="17"/>
              </w:rPr>
              <w:t>9,131</w:t>
            </w:r>
          </w:p>
        </w:tc>
        <w:tc>
          <w:tcPr>
            <w:tcW w:type="dxa" w:w="1440"/>
            <w:shd w:fill="FAFAFA" w:val="clear"/>
          </w:tcPr>
          <w:p>
            <w:r>
              <w:rPr>
                <w:sz w:val="17"/>
              </w:rPr>
              <w:t>9,783</w:t>
            </w:r>
          </w:p>
        </w:tc>
        <w:tc>
          <w:tcPr>
            <w:tcW w:type="dxa" w:w="1440"/>
            <w:shd w:fill="FAFAFA" w:val="clear"/>
          </w:tcPr>
          <w:p>
            <w:r>
              <w:rPr>
                <w:b/>
                <w:color w:val="008000"/>
                <w:sz w:val="17"/>
              </w:rPr>
              <w:t>+1.7%</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8,442</w:t>
            </w:r>
          </w:p>
        </w:tc>
        <w:tc>
          <w:tcPr>
            <w:tcW w:type="dxa" w:w="1440"/>
            <w:shd w:fill="FAFAFA" w:val="clear"/>
          </w:tcPr>
          <w:p>
            <w:r>
              <w:rPr>
                <w:b/>
                <w:sz w:val="17"/>
              </w:rPr>
              <w:t>9,158</w:t>
            </w:r>
          </w:p>
        </w:tc>
        <w:tc>
          <w:tcPr>
            <w:tcW w:type="dxa" w:w="1440"/>
            <w:shd w:fill="FAFAFA" w:val="clear"/>
          </w:tcPr>
          <w:p>
            <w:r>
              <w:rPr>
                <w:sz w:val="17"/>
              </w:rPr>
              <w:t>9,874</w:t>
            </w:r>
          </w:p>
        </w:tc>
        <w:tc>
          <w:tcPr>
            <w:tcW w:type="dxa" w:w="1440"/>
            <w:shd w:fill="FAFAFA" w:val="clear"/>
          </w:tcPr>
          <w:p>
            <w:r>
              <w:rPr>
                <w:b/>
                <w:color w:val="008000"/>
                <w:sz w:val="17"/>
              </w:rPr>
              <w:t>+2.0%</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8,409</w:t>
            </w:r>
          </w:p>
        </w:tc>
        <w:tc>
          <w:tcPr>
            <w:tcW w:type="dxa" w:w="1440"/>
            <w:shd w:fill="C6EFCE" w:val="clear"/>
          </w:tcPr>
          <w:p>
            <w:r>
              <w:rPr>
                <w:b/>
                <w:sz w:val="17"/>
              </w:rPr>
              <w:t>9,185</w:t>
            </w:r>
          </w:p>
        </w:tc>
        <w:tc>
          <w:tcPr>
            <w:tcW w:type="dxa" w:w="1440"/>
            <w:shd w:fill="C6EFCE" w:val="clear"/>
          </w:tcPr>
          <w:p>
            <w:r>
              <w:rPr>
                <w:sz w:val="17"/>
              </w:rPr>
              <w:t>9,960</w:t>
            </w:r>
          </w:p>
        </w:tc>
        <w:tc>
          <w:tcPr>
            <w:tcW w:type="dxa" w:w="1440"/>
            <w:shd w:fill="C6EFCE" w:val="clear"/>
          </w:tcPr>
          <w:p>
            <w:r>
              <w:rPr>
                <w:b/>
                <w:color w:val="008000"/>
                <w:sz w:val="17"/>
              </w:rPr>
              <w:t>+2.3%</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8,380</w:t>
            </w:r>
          </w:p>
        </w:tc>
        <w:tc>
          <w:tcPr>
            <w:tcW w:type="dxa" w:w="1440"/>
            <w:shd w:fill="C6EFCE" w:val="clear"/>
          </w:tcPr>
          <w:p>
            <w:r>
              <w:rPr>
                <w:b/>
                <w:sz w:val="17"/>
              </w:rPr>
              <w:t>9,211</w:t>
            </w:r>
          </w:p>
        </w:tc>
        <w:tc>
          <w:tcPr>
            <w:tcW w:type="dxa" w:w="1440"/>
            <w:shd w:fill="C6EFCE" w:val="clear"/>
          </w:tcPr>
          <w:p>
            <w:r>
              <w:rPr>
                <w:sz w:val="17"/>
              </w:rPr>
              <w:t>10,043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8,354</w:t>
            </w:r>
          </w:p>
        </w:tc>
        <w:tc>
          <w:tcPr>
            <w:tcW w:type="dxa" w:w="1440"/>
            <w:shd w:fill="C6EFCE" w:val="clear"/>
          </w:tcPr>
          <w:p>
            <w:r>
              <w:rPr>
                <w:b/>
                <w:sz w:val="17"/>
              </w:rPr>
              <w:t>9,238</w:t>
            </w:r>
          </w:p>
        </w:tc>
        <w:tc>
          <w:tcPr>
            <w:tcW w:type="dxa" w:w="1440"/>
            <w:shd w:fill="C6EFCE" w:val="clear"/>
          </w:tcPr>
          <w:p>
            <w:r>
              <w:rPr>
                <w:sz w:val="17"/>
              </w:rPr>
              <w:t>10,122</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8,330</w:t>
            </w:r>
          </w:p>
        </w:tc>
        <w:tc>
          <w:tcPr>
            <w:tcW w:type="dxa" w:w="1440"/>
            <w:shd w:fill="C6EFCE" w:val="clear"/>
          </w:tcPr>
          <w:p>
            <w:r>
              <w:rPr>
                <w:b/>
                <w:sz w:val="17"/>
              </w:rPr>
              <w:t>9,264</w:t>
            </w:r>
          </w:p>
        </w:tc>
        <w:tc>
          <w:tcPr>
            <w:tcW w:type="dxa" w:w="1440"/>
            <w:shd w:fill="C6EFCE" w:val="clear"/>
          </w:tcPr>
          <w:p>
            <w:r>
              <w:rPr>
                <w:sz w:val="17"/>
              </w:rPr>
              <w:t>10,199</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138,82 milliards FCFA, ce qui en fait une valeur de taille moyenne sur la BRVM, représentative d'un acteur industriel majeur de la zone UEMOA. Avec un BPA de 1 003 FCFA, chaque action génère un bénéfice substantiel pour son détenteur. Le PER de 9,0x se situe dans la fourchette basse de la moyenne du marché BRVM (8-12x), indiquant que les investisseurs ne paient pas un prix excessif pour les bénéfices de l'entreprise. Le P/B de 0,97x est particulièrement intéressant : le marché valorise l'action légèrement en dessous de sa valeur comptable, ce qui suggère une décote et une opportunité potentielle pour les investisseurs value. Enfin, l'EV/EBITDA de 4,4x, nettement inférieur au seuil de 5x, confirme que la valeur totale de l'entreprise (dette incluse) reste très bon marché par rapport à sa capacité opérationnelle de génération de cash. L'ensemble de ces ratios plaide en faveur d'une sous-évaluation relative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-4,52%, avec une dernière séance stable (+0,00%). Le titre a évolué dans une fourchette de 7 000 FCFA (plus bas) à 9 500 FCFA (plus haut), démontrant une amplitude de trading significative de 2 500 FCFA. La moyenne du cours sur la période est de 8 413 FCFA, légèrement inférieure à la médiane de 8 600 FCFA, indiquant une distribution quasi symétrique, confirmée par un skewness de -0,120. L'écart-type de 529 FCFA (CV=6,3%) révèle une dispersion modérée des prix autour de la moyenne. Le kurtosis de -0,520 (mésokurtique) suggère une distribution proche de la normale, sans risque de pics extrêmes. La volatilité annualisée de 40,7% classe le titre dans la catégorie des valeurs à volatilité élevée (&gt;30%), ce qui implique des fluctuations de prix importantes et un risque de marché accru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8 980 FCFA se positionne au-dessus de la MM20 (8 796,75 FCFA) et de la MM50 (8 664,7 FCFA), avec une MM20 supérieure à la MM50, configuration typique d'une tendance haussière à court et moyen terme. La décision "Achat" est justifiée par cette structure positive des moyennes mobiles.</w:t>
      </w:r>
    </w:p>
    <w:p>
      <w:pPr>
        <w:spacing w:after="120" w:line="276" w:lineRule="auto"/>
      </w:pPr>
      <w:r>
        <w:t>**Bandes de Bollinger** : Le prix évolue à 8 980 FCFA, entre la borne inférieure (8 491,665 FCFA) et la borne supérieure (9 101,835 FCFA), proche de cette dernière. Cette position indique une pression acheteuse modérée sans atteindre la zone de surachat extrême. La décision "Neutre" reflète un mouvement dans la partie haute du canal sans signal directionnel fort.</w:t>
      </w:r>
    </w:p>
    <w:p>
      <w:pPr>
        <w:spacing w:after="120" w:line="276" w:lineRule="auto"/>
      </w:pPr>
      <w:r>
        <w:t>**MACD** : La valeur du MACD (97,069) est supérieure à son signal (86,116), avec un écart positif de 10,953 points. Cette configuration indique un momentum haussier en cours, la ligne MACD étant au-dessus de la ligne de signal. La décision "Achat" est cohérente avec cette dynamique positive.</w:t>
      </w:r>
    </w:p>
    <w:p>
      <w:pPr>
        <w:spacing w:after="120" w:line="276" w:lineRule="auto"/>
      </w:pPr>
      <w:r>
        <w:t>**RSI** : Le RSI s'établit à 59,236, dans la zone neutre (30-70), sans atteindre le seuil de surachat de 70. Cette valeur suggère un équilibre entre pression acheteuse et vendeuse, avec un léger biais haussier. La décision "Neutre" est appropriée, laissant la possibilité d'une poursuite de la hausse sans risque immédiat de retournement.</w:t>
      </w:r>
    </w:p>
    <w:p>
      <w:pPr>
        <w:spacing w:after="120" w:line="276" w:lineRule="auto"/>
      </w:pPr>
      <w:r>
        <w:t>**Stochastique** : Le %K et le %D sont tous deux à 90,476, en zone de surachat (&gt;80). Cette configuration signale un épuisement potentiel du mouvement haussier à court terme, justifiant la décision "Vente". Un croisement baissier pourrait déclencher une correction.</w:t>
      </w:r>
    </w:p>
    <w:p>
      <w:pPr>
        <w:spacing w:after="120" w:line="276" w:lineRule="auto"/>
      </w:pPr>
      <w:r>
        <w:t>**Conclusion technique** : Les indicateurs sont mitigés avec une majorité de signaux positifs (MM, MACD) mais un stochastique en surachat et un RSI neutre. La tendance de fond reste haussière, mais un repli technique à court terme est possible avant une reprise.</w:t>
      </w:r>
    </w:p>
    <w:p>
      <w:pPr>
        <w:spacing w:after="120" w:line="276" w:lineRule="auto" w:before="240"/>
      </w:pPr>
      <w:r>
        <w:rPr>
          <w:b/>
          <w:color w:val="003366"/>
          <w:sz w:val="24"/>
        </w:rPr>
        <w:t>**PARTIE 3 : ANALYSE FONDAMENTALE (SECTION CRITIQUE)**</w:t>
      </w:r>
    </w:p>
    <w:p>
      <w:pPr>
        <w:spacing w:after="120" w:line="276" w:lineRule="auto"/>
      </w:pPr>
      <w:r>
        <w:t>En 2025, PALC (PALMCI) affiche un chiffre d'affaires de 197,630 milliards FCFA, en croissance de +14,8% par rapport à 2024 (172,2 milliards FCFA), et un résultat net de 15,509 milliards FCFA, en légère baisse de -2,2% par rapport à 2024 (15,9 milliards FCFA). La marge nette s'établit à 7,85%, en recul de 1,4 point, avec un ROE de 10,87% et un ROA de 7,79%, reflétant une rentabilité correcte mais sous pression. Le BFR de 44,623 milliards FCFA (positif) et le délai clients de 142,58 jours constituent un risque de trésorerie, tandis que la trésorerie nette est négative à -4,559 milliards FCFA. L'endettement est très faible (ratio d'endettement de 0,56%), avec une autonomie financière solide (71,64%). Les rapports trimestriels 2025 montrent une dynamique contrastée : le T1 2025 était excellent (CA +32%, RN +65% à 11,6 milliards), le S1 2025 solide (CA +25%, RN +37% à 22,9 milliards), mais le T3 2025 a ralenti (RN cumulé 9 mois à 18 milliards, marge nette 10,7%). Le rapport T1 2026 (daté de 2026) est préoccupant avec un CA en chute de -27% à 49,4 milliards et un résultat net effondré de -86% à 1,6 milliard, attribué à un décalage temporel des ventes par la direction. Les fondamentaux restent solides structurellement, mais la rentabilité est cyclique et dépend fortement des cours de l'huile de palme.</w:t>
      </w:r>
    </w:p>
    <w:p>
      <w:pPr>
        <w:spacing w:after="120" w:line="276" w:lineRule="auto" w:before="240"/>
      </w:pPr>
      <w:r>
        <w:rPr>
          <w:b/>
          <w:color w:val="003366"/>
          <w:sz w:val="24"/>
        </w:rPr>
        <w:t>**PARTIE 4 : CONCLUSION D'INVESTISSEMENT**</w:t>
      </w:r>
    </w:p>
    <w:p>
      <w:pPr>
        <w:spacing w:after="120" w:line="276" w:lineRule="auto"/>
      </w:pPr>
      <w:r>
        <w:t>La valorisation de PALC est attractive avec un PER de 9,0x, un P/B de 0,97x et un EV/EBITDA de 4,4x, indiquant une sous-évaluation relative sur la BRVM. Le comportement du cours sur 100 jours montre une légère baisse (-4,52%) avec une volatilité élevée (40,7%), mais une distribution statistique stable (mésokurtique, symétrique). Les signaux techniques sont partagés : les moyennes mobiles et le MACD sont positifs, tandis que le stochastique en surachat suggère un repli à court terme. Les fondamentaux 2025 sont solides (CA en croissance de +14,8%, structure financière saine) mais la rentabilité est sous pression (marge nette en baisse) et le T1 2026 est très faible, même si la direction l'attribue à un décalage temporaire. Les prédictions IA (8 980 à 9 131 FCFA sur 10 jours) confirment une trajectoire haussière à court terme, en convergence avec les signaux techniques positifs. La recommandation finale est **CONSERVER** avec un niveau de confiance **Moyen** et un risque global **Élevé** (volatilité des matières premières, résultats T1 2026 décevants). L'horizon d'investissement optimal est le **moyen terme (3-12 mois)**, en attendant la confirmation d'un redressement au T2 2026 et une stabilisation des cours de l'huile de palme.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1,106 titres</w:t>
            </w:r>
          </w:p>
        </w:tc>
        <w:tc>
          <w:tcPr>
            <w:tcW w:type="dxa" w:w="2268"/>
            <w:shd w:fill="FFF2CC" w:val="clear"/>
          </w:tcPr>
          <w:p>
            <w:r>
              <w:rPr>
                <w:b/>
                <w:color w:val="503200"/>
                <w:sz w:val="16"/>
              </w:rPr>
              <w:t xml:space="preserve">Cours actuel : </w:t>
            </w:r>
            <w:r>
              <w:rPr>
                <w:color w:val="000000"/>
                <w:sz w:val="17"/>
              </w:rPr>
              <w:t>4,480 FCFA</w:t>
            </w:r>
          </w:p>
          <w:p>
            <w:r>
              <w:rPr>
                <w:b/>
                <w:color w:val="503200"/>
                <w:sz w:val="16"/>
              </w:rPr>
              <w:t xml:space="preserve">Var. 100 jours : </w:t>
            </w:r>
            <w:r>
              <w:rPr>
                <w:b/>
                <w:color w:val="B40000"/>
                <w:sz w:val="17"/>
              </w:rPr>
              <w:t>-18.55%</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8.85% (Moyenne) — μ=4,516 FCFA, σ=400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β=-0.2884 (Contre-cyclique) — Cov=-0.000010, Var(idx)=0.000036, ρ=-0.065,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4,318</w:t>
            </w:r>
          </w:p>
        </w:tc>
        <w:tc>
          <w:tcPr>
            <w:tcW w:type="dxa" w:w="1440"/>
            <w:shd w:fill="FAFAFA" w:val="clear"/>
          </w:tcPr>
          <w:p>
            <w:r>
              <w:rPr>
                <w:b/>
                <w:sz w:val="17"/>
              </w:rPr>
              <w:t>4,434</w:t>
            </w:r>
          </w:p>
        </w:tc>
        <w:tc>
          <w:tcPr>
            <w:tcW w:type="dxa" w:w="1440"/>
            <w:shd w:fill="FAFAFA" w:val="clear"/>
          </w:tcPr>
          <w:p>
            <w:r>
              <w:rPr>
                <w:sz w:val="17"/>
              </w:rPr>
              <w:t>4,550</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4,254</w:t>
            </w:r>
          </w:p>
        </w:tc>
        <w:tc>
          <w:tcPr>
            <w:tcW w:type="dxa" w:w="1440"/>
            <w:shd w:fill="FAFAFA" w:val="clear"/>
          </w:tcPr>
          <w:p>
            <w:r>
              <w:rPr>
                <w:b/>
                <w:sz w:val="17"/>
              </w:rPr>
              <w:t>4,417</w:t>
            </w:r>
          </w:p>
        </w:tc>
        <w:tc>
          <w:tcPr>
            <w:tcW w:type="dxa" w:w="1440"/>
            <w:shd w:fill="FAFAFA" w:val="clear"/>
          </w:tcPr>
          <w:p>
            <w:r>
              <w:rPr>
                <w:sz w:val="17"/>
              </w:rPr>
              <w:t>4,581</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4,195</w:t>
            </w:r>
          </w:p>
        </w:tc>
        <w:tc>
          <w:tcPr>
            <w:tcW w:type="dxa" w:w="1440"/>
            <w:shd w:fill="FAFAFA" w:val="clear"/>
          </w:tcPr>
          <w:p>
            <w:r>
              <w:rPr>
                <w:b/>
                <w:sz w:val="17"/>
              </w:rPr>
              <w:t>4,394</w:t>
            </w:r>
          </w:p>
        </w:tc>
        <w:tc>
          <w:tcPr>
            <w:tcW w:type="dxa" w:w="1440"/>
            <w:shd w:fill="FAFAFA" w:val="clear"/>
          </w:tcPr>
          <w:p>
            <w:r>
              <w:rPr>
                <w:sz w:val="17"/>
              </w:rPr>
              <w:t>4,594</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4,144</w:t>
            </w:r>
          </w:p>
        </w:tc>
        <w:tc>
          <w:tcPr>
            <w:tcW w:type="dxa" w:w="1440"/>
            <w:shd w:fill="FFDCE0" w:val="clear"/>
          </w:tcPr>
          <w:p>
            <w:r>
              <w:rPr>
                <w:b/>
                <w:sz w:val="17"/>
              </w:rPr>
              <w:t>4,372</w:t>
            </w:r>
          </w:p>
        </w:tc>
        <w:tc>
          <w:tcPr>
            <w:tcW w:type="dxa" w:w="1440"/>
            <w:shd w:fill="FFDCE0" w:val="clear"/>
          </w:tcPr>
          <w:p>
            <w:r>
              <w:rPr>
                <w:sz w:val="17"/>
              </w:rPr>
              <w:t>4,601</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4,097</w:t>
            </w:r>
          </w:p>
        </w:tc>
        <w:tc>
          <w:tcPr>
            <w:tcW w:type="dxa" w:w="1440"/>
            <w:shd w:fill="FFDCE0" w:val="clear"/>
          </w:tcPr>
          <w:p>
            <w:r>
              <w:rPr>
                <w:b/>
                <w:sz w:val="17"/>
              </w:rPr>
              <w:t>4,351</w:t>
            </w:r>
          </w:p>
        </w:tc>
        <w:tc>
          <w:tcPr>
            <w:tcW w:type="dxa" w:w="1440"/>
            <w:shd w:fill="FFDCE0" w:val="clear"/>
          </w:tcPr>
          <w:p>
            <w:r>
              <w:rPr>
                <w:sz w:val="17"/>
              </w:rPr>
              <w:t>4,606</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4,053</w:t>
            </w:r>
          </w:p>
        </w:tc>
        <w:tc>
          <w:tcPr>
            <w:tcW w:type="dxa" w:w="1440"/>
            <w:shd w:fill="FFDCE0" w:val="clear"/>
          </w:tcPr>
          <w:p>
            <w:r>
              <w:rPr>
                <w:b/>
                <w:sz w:val="17"/>
              </w:rPr>
              <w:t>4,331</w:t>
            </w:r>
          </w:p>
        </w:tc>
        <w:tc>
          <w:tcPr>
            <w:tcW w:type="dxa" w:w="1440"/>
            <w:shd w:fill="FFDCE0" w:val="clear"/>
          </w:tcPr>
          <w:p>
            <w:r>
              <w:rPr>
                <w:sz w:val="17"/>
              </w:rPr>
              <w:t>4,608</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4,012</w:t>
            </w:r>
          </w:p>
        </w:tc>
        <w:tc>
          <w:tcPr>
            <w:tcW w:type="dxa" w:w="1440"/>
            <w:shd w:fill="FFDCE0" w:val="clear"/>
          </w:tcPr>
          <w:p>
            <w:r>
              <w:rPr>
                <w:b/>
                <w:sz w:val="17"/>
              </w:rPr>
              <w:t>4,311</w:t>
            </w:r>
          </w:p>
        </w:tc>
        <w:tc>
          <w:tcPr>
            <w:tcW w:type="dxa" w:w="1440"/>
            <w:shd w:fill="FFDCE0" w:val="clear"/>
          </w:tcPr>
          <w:p>
            <w:r>
              <w:rPr>
                <w:sz w:val="17"/>
              </w:rPr>
              <w:t>4,609</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3,973</w:t>
            </w:r>
          </w:p>
        </w:tc>
        <w:tc>
          <w:tcPr>
            <w:tcW w:type="dxa" w:w="1440"/>
            <w:shd w:fill="FFDCE0" w:val="clear"/>
          </w:tcPr>
          <w:p>
            <w:r>
              <w:rPr>
                <w:b/>
                <w:sz w:val="17"/>
              </w:rPr>
              <w:t>4,291</w:t>
            </w:r>
          </w:p>
        </w:tc>
        <w:tc>
          <w:tcPr>
            <w:tcW w:type="dxa" w:w="1440"/>
            <w:shd w:fill="FFDCE0" w:val="clear"/>
          </w:tcPr>
          <w:p>
            <w:r>
              <w:rPr>
                <w:sz w:val="17"/>
              </w:rPr>
              <w:t>4,608</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3,936</w:t>
            </w:r>
          </w:p>
        </w:tc>
        <w:tc>
          <w:tcPr>
            <w:tcW w:type="dxa" w:w="1440"/>
            <w:shd w:fill="FFDCE0" w:val="clear"/>
          </w:tcPr>
          <w:p>
            <w:r>
              <w:rPr>
                <w:b/>
                <w:sz w:val="17"/>
              </w:rPr>
              <w:t>4,272</w:t>
            </w:r>
          </w:p>
        </w:tc>
        <w:tc>
          <w:tcPr>
            <w:tcW w:type="dxa" w:w="1440"/>
            <w:shd w:fill="FFDCE0" w:val="clear"/>
          </w:tcPr>
          <w:p>
            <w:r>
              <w:rPr>
                <w:sz w:val="17"/>
              </w:rPr>
              <w:t>4,607</w:t>
            </w:r>
          </w:p>
        </w:tc>
        <w:tc>
          <w:tcPr>
            <w:tcW w:type="dxa" w:w="1440"/>
            <w:shd w:fill="FFDCE0" w:val="clear"/>
          </w:tcPr>
          <w:p>
            <w:r>
              <w:rPr>
                <w:b/>
                <w:color w:val="C00000"/>
                <w:sz w:val="17"/>
              </w:rPr>
              <w:t>-4.7%</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3,901</w:t>
            </w:r>
          </w:p>
        </w:tc>
        <w:tc>
          <w:tcPr>
            <w:tcW w:type="dxa" w:w="1440"/>
            <w:shd w:fill="FFDCE0" w:val="clear"/>
          </w:tcPr>
          <w:p>
            <w:r>
              <w:rPr>
                <w:b/>
                <w:sz w:val="17"/>
              </w:rPr>
              <w:t>4,253</w:t>
            </w:r>
          </w:p>
        </w:tc>
        <w:tc>
          <w:tcPr>
            <w:tcW w:type="dxa" w:w="1440"/>
            <w:shd w:fill="FFDCE0" w:val="clear"/>
          </w:tcPr>
          <w:p>
            <w:r>
              <w:rPr>
                <w:sz w:val="17"/>
              </w:rPr>
              <w:t>4,605</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07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45,88 milliards FCFA, un niveau significatif qui la positionne comme une valeur de taille moyenne sur le marché de la BRVM. Avec un BPA de 231 FCFA, le titre se négocie à un PER de 19,4x, ce qui est nettement supérieur à la moyenne historique du marché (8-12x). Cette prime de valorisation indique que les investisseurs anticipent une croissance future des bénéfices, mais elle suggère également que le titre n'est pas "bon marché" à première vue. Le P/B de 3,98x confirme cette lecture, le marché valorisant l'action près de 4 fois sa valeur comptable, ce qui reflète une prime de croissance accordée à la société. Enfin, l'EV/EBITDA de 9,9x se situe dans la fourchette haute des valeurs raisonnables (5-10x), indiquant que la valeur totale de l'entreprise (capitalisation + dette nette) reste cohérente avec sa capacité opérationnelle à générer des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significative de 18,55%, avec une légère variation négative de -0,11% lors de la dernière séance, portant le cours à 4 480 FCFA. Le titre a évolué dans une fourchette large de 3 620 à 5 500 FCFA, démontrant une forte amplitude de trading. La moyenne du cours sur la période est de 4 516 FCFA, très proche de la médiane (4 550 FCFA), ce qui indique une distribution relativement symétrique des prix, bien que le skewness négatif (-0,462) suggère une légère asymétrie vers les valeurs basses. L'écart-type de 402 FCFA (CV=8,9%) révèle une dispersion modérée des prix autour de la moyenne. Le kurtosis de 0,049 (mésokurtique) indique une distribution des rendements proche de la normale, sans risque de pics extrêmes. La volatilité annualisée de 42,0% est élevée, classant le titre comme très risqué pour les investisseurs à court terme, ce qui est cohérent avec la tendance baissière observée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(4 480 FCFA) est positionné sous la MM20 (4 486,25 FCFA) mais au-dessus de la MM50 (4 448,9 FCFA). La décision globale est un "Achat", ce qui suggère que la tendance de fond reste positive malgré la faiblesse récente. La MM50 agissant comme un support dynamique, le titre pourrait rebondir si cette moyenne tient.</w:t>
      </w:r>
    </w:p>
    <w:p>
      <w:pPr>
        <w:spacing w:after="120" w:line="276" w:lineRule="auto"/>
      </w:pPr>
      <w:r>
        <w:t>**Bandes de Bollinger** : Le prix se situe à 4 480 FCFA, entre la borne inférieure (4 262,905 FCFA) et la borne supérieure (4 709,595 FCFA), avec une décision "Neutre". La position médiane du cours dans les bandes indique une volatilité modérée, sans signal de surachat ni de survente. Un mouvement vers la borne inférieure pourrait offrir un point d'entrée intéressant.</w:t>
      </w:r>
    </w:p>
    <w:p>
      <w:pPr>
        <w:spacing w:after="120" w:line="276" w:lineRule="auto"/>
      </w:pPr>
      <w:r>
        <w:t>**MACD** : La valeur du MACD (5,276) est inférieure à son signal (20,165), générant une décision "Vente". Cette configuration baissière indique un affaiblissement du momentum, bien que le MACD reste positif, ce qui nuance le signal. La convergence négative suggère que la pression vendeuse pourrait se poursuivre à court terme.</w:t>
      </w:r>
    </w:p>
    <w:p>
      <w:pPr>
        <w:spacing w:after="120" w:line="276" w:lineRule="auto"/>
      </w:pPr>
      <w:r>
        <w:t>**RSI** : Le RSI s'établit à 48,333, une valeur neutre qui indique que le titre n'est ni suracheté ni survendu. Cette zone neutre reflète un équilibre entre l'offre et la demande, sans signal directionnel fort. Les investisseurs attendent probablement un catalyseur pour orienter le marché.</w:t>
      </w:r>
    </w:p>
    <w:p>
      <w:pPr>
        <w:spacing w:after="120" w:line="276" w:lineRule="auto"/>
      </w:pPr>
      <w:r>
        <w:t>**Stochastique** : Le %K (32,653) est supérieur au %D (22,449), avec une décision "Neutre". Cette configuration suggère un début de retournement haussier potentiel, mais le niveau reste bas, indiquant que le momentum n'est pas encore pleinement engagé. Un croisement au-dessus de 50 serait un signal plus fort.</w:t>
      </w:r>
    </w:p>
    <w:p>
      <w:pPr>
        <w:spacing w:after="120" w:line="276" w:lineRule="auto"/>
      </w:pPr>
      <w:r>
        <w:t>**Conclusion technique** : Les indicateurs techniques sont mitigés, avec une prédominance de signaux neutres et un signal de vente du MACD. La tendance de fond (MM50) reste positive, mais le momentum court terme est faible. Le titre évolue dans une phase de consolidation, et une cassure au-dessus de 4 700 FCFA ou en dessous de 4 260 FCFA déterminera la prochaine direction.</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FCFA), selon les données structurées et le rapport annuel daté du 31 décembre 2025. Le résultat net s'établit à 2,367 milliards FCFA, en légère progression par rapport aux 2,35 milliards de 2024, avec une marge nette de 2,92%. La rentabilité des capitaux propres (ROE) est excellente à 20,53%, tandis que le ROA s'établit à 4,95%. En tant qu'entreprise de distribution automobile, l'analyse du BFR est cruciale : le BFR s'élève à 11,267 milliards FCFA, avec un délai clients de 46 jours et un délai fournisseurs de 102 jours, ce qui est favorable pour la trésorerie. Cependant, la durée de stockage de 150 jours est élevée, immobilisant du capital. Le rapport du S1 2025 (30 juin 2025) fait état d'une performance exceptionnelle avec un CA de 39,97 milliards FCFA (+15,1%) et un résultat net multiplié par 28 à 1,436 milliard FCFA. Sur cette base, on estime que l'exercice 2025 aurait pu être encore plus performant, mais la direction a anticipé un ralentissement au S2 (contexte électoral). La dette totale de 36,3 milliards FCFA, avec un ratio d'endettement de 314,8%, reste élevée, mais la solvabilité générale (131,76%) et la couverture des intérêts (1585%) sont rassurantes. Le dividende proposé de 209 FCFA par action (confirmé par l'avis de convocation du 15 juin 2026) offre un rendement de 4,67% au cours actuel.</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3,98x) suggère une prime de croissance qui semble justifiée par la solidité des fondamentaux, mais qui laisse peu de marge de sécurité. Le comportement du cours, avec une baisse de 18,55% sur 100 jours et une volatilité élevée (42%), est préoccupant, bien que les statistiques descriptives indiquent une distribution normale sans risque de krach imminent. Les signaux techniques sont mitigés, avec une tendance de fond positive (MM50) mais un momentum court terme négatif (MACD vendeur). Les fondamentaux sont solides : croissance du CA de 9,5% en 2025, ROE de 20,5%, et un dividende de 209 FCFA/action offrant un rendement attractif. Les prédictions IA pour les 10 prochains jours (4 434 à 4 351 FCFA) confirment la tendance baissière à court terme, anticipant une poursuite du repli. La convergence entre la faiblesse technique, la valorisation exigeante et les prédictions baissières suggère une prudence à court terme. **Recommandation : CONSERVER**, avec un niveau de confiance **Moyen** et un risque global **Élevé**. L'horizon d'investissement optimal est le **moyen terme (3-12 mois)**, en attendant un point d'entrée plus favorable sous les 4 300 FCFA ou une confirmation du redressement technique au-dessus de 4 700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42.63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7,246 titres</w:t>
            </w:r>
          </w:p>
        </w:tc>
        <w:tc>
          <w:tcPr>
            <w:tcW w:type="dxa" w:w="2268"/>
            <w:shd w:fill="FFF2CC" w:val="clear"/>
          </w:tcPr>
          <w:p>
            <w:r>
              <w:rPr>
                <w:b/>
                <w:color w:val="503200"/>
                <w:sz w:val="16"/>
              </w:rPr>
              <w:t xml:space="preserve">Cours actuel : </w:t>
            </w:r>
            <w:r>
              <w:rPr>
                <w:color w:val="000000"/>
                <w:sz w:val="17"/>
              </w:rPr>
              <w:t>5,250 FCFA</w:t>
            </w:r>
          </w:p>
          <w:p>
            <w:r>
              <w:rPr>
                <w:b/>
                <w:color w:val="503200"/>
                <w:sz w:val="16"/>
              </w:rPr>
              <w:t xml:space="preserve">Var. 100 jours : </w:t>
            </w:r>
            <w:r>
              <w:rPr>
                <w:b/>
                <w:color w:val="B40000"/>
                <w:sz w:val="17"/>
              </w:rPr>
              <w:t>-13.93%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23.75% (Élevée) — μ=4,826 FCFA, σ=1,146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β=0.4126 (Défensif) — Cov=0.000015, Var(idx)=0.000036, ρ=0.047,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σ_j=5.23%/j (Instable) — Vol. annualisée≈83.1%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4,597</w:t>
            </w:r>
          </w:p>
        </w:tc>
        <w:tc>
          <w:tcPr>
            <w:tcW w:type="dxa" w:w="1440"/>
            <w:shd w:fill="FFDCE0" w:val="clear"/>
          </w:tcPr>
          <w:p>
            <w:r>
              <w:rPr>
                <w:b/>
                <w:sz w:val="17"/>
              </w:rPr>
              <w:t>4,856</w:t>
            </w:r>
          </w:p>
        </w:tc>
        <w:tc>
          <w:tcPr>
            <w:tcW w:type="dxa" w:w="1440"/>
            <w:shd w:fill="FFDCE0" w:val="clear"/>
          </w:tcPr>
          <w:p>
            <w:r>
              <w:rPr>
                <w:sz w:val="17"/>
              </w:rPr>
              <w:t>5,116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4,152</w:t>
            </w:r>
          </w:p>
        </w:tc>
        <w:tc>
          <w:tcPr>
            <w:tcW w:type="dxa" w:w="1440"/>
            <w:shd w:fill="FFDCE0" w:val="clear"/>
          </w:tcPr>
          <w:p>
            <w:r>
              <w:rPr>
                <w:b/>
                <w:sz w:val="17"/>
              </w:rPr>
              <w:t>4,492</w:t>
            </w:r>
          </w:p>
        </w:tc>
        <w:tc>
          <w:tcPr>
            <w:tcW w:type="dxa" w:w="1440"/>
            <w:shd w:fill="FFDCE0" w:val="clear"/>
          </w:tcPr>
          <w:p>
            <w:r>
              <w:rPr>
                <w:sz w:val="17"/>
              </w:rPr>
              <w:t>4,832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3,770</w:t>
            </w:r>
          </w:p>
        </w:tc>
        <w:tc>
          <w:tcPr>
            <w:tcW w:type="dxa" w:w="1440"/>
            <w:shd w:fill="FFDCE0" w:val="clear"/>
          </w:tcPr>
          <w:p>
            <w:r>
              <w:rPr>
                <w:b/>
                <w:sz w:val="17"/>
              </w:rPr>
              <w:t>4,155</w:t>
            </w:r>
          </w:p>
        </w:tc>
        <w:tc>
          <w:tcPr>
            <w:tcW w:type="dxa" w:w="1440"/>
            <w:shd w:fill="FFDCE0" w:val="clear"/>
          </w:tcPr>
          <w:p>
            <w:r>
              <w:rPr>
                <w:sz w:val="17"/>
              </w:rPr>
              <w:t>4,540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3,433</w:t>
            </w:r>
          </w:p>
        </w:tc>
        <w:tc>
          <w:tcPr>
            <w:tcW w:type="dxa" w:w="1440"/>
            <w:shd w:fill="FFDCE0" w:val="clear"/>
          </w:tcPr>
          <w:p>
            <w:r>
              <w:rPr>
                <w:b/>
                <w:sz w:val="17"/>
              </w:rPr>
              <w:t>3,843</w:t>
            </w:r>
          </w:p>
        </w:tc>
        <w:tc>
          <w:tcPr>
            <w:tcW w:type="dxa" w:w="1440"/>
            <w:shd w:fill="FFDCE0" w:val="clear"/>
          </w:tcPr>
          <w:p>
            <w:r>
              <w:rPr>
                <w:sz w:val="17"/>
              </w:rPr>
              <w:t>4,254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3,130</w:t>
            </w:r>
          </w:p>
        </w:tc>
        <w:tc>
          <w:tcPr>
            <w:tcW w:type="dxa" w:w="1440"/>
            <w:shd w:fill="FFDCE0" w:val="clear"/>
          </w:tcPr>
          <w:p>
            <w:r>
              <w:rPr>
                <w:b/>
                <w:sz w:val="17"/>
              </w:rPr>
              <w:t>3,555</w:t>
            </w:r>
          </w:p>
        </w:tc>
        <w:tc>
          <w:tcPr>
            <w:tcW w:type="dxa" w:w="1440"/>
            <w:shd w:fill="FFDCE0" w:val="clear"/>
          </w:tcPr>
          <w:p>
            <w:r>
              <w:rPr>
                <w:sz w:val="17"/>
              </w:rPr>
              <w:t>3,980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2,858</w:t>
            </w:r>
          </w:p>
        </w:tc>
        <w:tc>
          <w:tcPr>
            <w:tcW w:type="dxa" w:w="1440"/>
            <w:shd w:fill="FFDCE0" w:val="clear"/>
          </w:tcPr>
          <w:p>
            <w:r>
              <w:rPr>
                <w:b/>
                <w:sz w:val="17"/>
              </w:rPr>
              <w:t>3,289</w:t>
            </w:r>
          </w:p>
        </w:tc>
        <w:tc>
          <w:tcPr>
            <w:tcW w:type="dxa" w:w="1440"/>
            <w:shd w:fill="FFDCE0" w:val="clear"/>
          </w:tcPr>
          <w:p>
            <w:r>
              <w:rPr>
                <w:sz w:val="17"/>
              </w:rPr>
              <w:t>3,719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2,612</w:t>
            </w:r>
          </w:p>
        </w:tc>
        <w:tc>
          <w:tcPr>
            <w:tcW w:type="dxa" w:w="1440"/>
            <w:shd w:fill="FFDCE0" w:val="clear"/>
          </w:tcPr>
          <w:p>
            <w:r>
              <w:rPr>
                <w:b/>
                <w:sz w:val="17"/>
              </w:rPr>
              <w:t>3,042</w:t>
            </w:r>
          </w:p>
        </w:tc>
        <w:tc>
          <w:tcPr>
            <w:tcW w:type="dxa" w:w="1440"/>
            <w:shd w:fill="FFDCE0" w:val="clear"/>
          </w:tcPr>
          <w:p>
            <w:r>
              <w:rPr>
                <w:sz w:val="17"/>
              </w:rPr>
              <w:t>3,472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2,388</w:t>
            </w:r>
          </w:p>
        </w:tc>
        <w:tc>
          <w:tcPr>
            <w:tcW w:type="dxa" w:w="1440"/>
            <w:shd w:fill="FFDCE0" w:val="clear"/>
          </w:tcPr>
          <w:p>
            <w:r>
              <w:rPr>
                <w:b/>
                <w:sz w:val="17"/>
              </w:rPr>
              <w:t>2,814</w:t>
            </w:r>
          </w:p>
        </w:tc>
        <w:tc>
          <w:tcPr>
            <w:tcW w:type="dxa" w:w="1440"/>
            <w:shd w:fill="FFDCE0" w:val="clear"/>
          </w:tcPr>
          <w:p>
            <w:r>
              <w:rPr>
                <w:sz w:val="17"/>
              </w:rPr>
              <w:t>3,239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2,185</w:t>
            </w:r>
          </w:p>
        </w:tc>
        <w:tc>
          <w:tcPr>
            <w:tcW w:type="dxa" w:w="1440"/>
            <w:shd w:fill="FFDCE0" w:val="clear"/>
          </w:tcPr>
          <w:p>
            <w:r>
              <w:rPr>
                <w:b/>
                <w:sz w:val="17"/>
              </w:rPr>
              <w:t>2,603</w:t>
            </w:r>
          </w:p>
        </w:tc>
        <w:tc>
          <w:tcPr>
            <w:tcW w:type="dxa" w:w="1440"/>
            <w:shd w:fill="FFDCE0" w:val="clear"/>
          </w:tcPr>
          <w:p>
            <w:r>
              <w:rPr>
                <w:sz w:val="17"/>
              </w:rPr>
              <w:t>3,020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2,001</w:t>
            </w:r>
          </w:p>
        </w:tc>
        <w:tc>
          <w:tcPr>
            <w:tcW w:type="dxa" w:w="1440"/>
            <w:shd w:fill="FFDCE0" w:val="clear"/>
          </w:tcPr>
          <w:p>
            <w:r>
              <w:rPr>
                <w:b/>
                <w:sz w:val="17"/>
              </w:rPr>
              <w:t>2,408</w:t>
            </w:r>
          </w:p>
        </w:tc>
        <w:tc>
          <w:tcPr>
            <w:tcW w:type="dxa" w:w="1440"/>
            <w:shd w:fill="FFDCE0" w:val="clear"/>
          </w:tcPr>
          <w:p>
            <w:r>
              <w:rPr>
                <w:sz w:val="17"/>
              </w:rPr>
              <w:t>2,815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Absolument. Voici un rapport d'analyse structuré et professionnel pour l'action SAFC (Alios Finance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42,63 milliards FCFA, un niveau modeste qui la classe parmi les valeurs de taille moyenne sur la BRVM. Avec un BPA de 86 FCFA, le titre se négocie à un PER de 60,8x, un niveau extrêmement élevé comparé à la moyenne historique du marché (8-12x). Les investisseurs paient donc une prime considérable pour chaque franc de bénéfice, ce qui reflète des attentes de croissance très fortes, mais expose également à un risque de correction sévère en cas de déception. De même, le P/B de 7,21x indique que le marché valorise l'actif net de la société près de sept fois au-dessus de sa valeur comptable, une prime qui semble difficile à justifier au regard des fondamentaux actuels. Enfin, l'EV/EBITDA de 78,8x confirme cette valorisation extrêmement exigeante, signalant que la valeur totale de l'entreprise est très élevée par rapport à sa capacité opérationnelle à générer des flux.</w:t>
      </w:r>
    </w:p>
    <w:p>
      <w:pPr>
        <w:spacing w:after="120" w:line="276" w:lineRule="auto"/>
      </w:pPr>
      <w:r>
        <w:t>### PARTIE 1 : ANALYSE DU COURS — STATISTIQUES ET ÉVOLUTION (100 derniers jours)</w:t>
      </w:r>
    </w:p>
    <w:p>
      <w:pPr>
        <w:spacing w:after="120" w:line="276" w:lineRule="auto"/>
      </w:pPr>
      <w:r>
        <w:t>Sur les 100 derniers jours, l'action SAFC a enregistré une baisse significative de -13,93%, bien que la dernière séance ait montré un rebond de +5,00% à 5 250 FCFA. Le titre a évolué dans une fourchette très large, entre un plus bas de 3 340 FCFA et un plus haut de 7 555 FCFA, illustrant une forte volatilité et une incertitude marquée. La moyenne du cours sur la période (4 826 FCFA) est supérieure à la médiane (4 505 FCFA), et le skewness positif de 0,837 confirme une distribution asymétrique avec des journées de baisse plus fréquentes que les journées de hausse. L'écart-type de 1 152 FCFA (CV de 23,9%) et la volatilité annualisée de 83,1% placent le titre dans une catégorie à risque très élevé, bien au-delà du seuil de 30%. Le kurtosis proche de zéro (-0,373) indique une distribution mésokurtique, sans pic de risque extrême, mais la tendance générale reste baissière et instable sur la période.</w:t>
      </w:r>
    </w:p>
    <w:p>
      <w:pPr>
        <w:spacing w:after="120" w:line="276" w:lineRule="auto"/>
      </w:pPr>
      <w:r>
        <w:t>### PARTIE 2 : ANALYSE TECHNIQUE DÉTAILLÉE</w:t>
      </w:r>
    </w:p>
    <w:p>
      <w:pPr>
        <w:spacing w:after="120" w:line="276" w:lineRule="auto"/>
      </w:pPr>
      <w:r>
        <w:t>**Moyennes Mobiles** : Le cours actuel de 5 250 FCFA se situe nettement au-dessus de la MM20 (4 730,75 FCFA) et de la MM50 (4 386,7 FCFA), ce qui indique une dynamique haussière à court et moyen terme. La configuration des MM, avec le cours au-dessus des deux moyennes, génère un signal d'achat, suggérant que la tendance récente pourrait se poursuivre.</w:t>
      </w:r>
    </w:p>
    <w:p>
      <w:pPr>
        <w:spacing w:after="120" w:line="276" w:lineRule="auto"/>
      </w:pPr>
      <w:r>
        <w:t>**Bandes de Bollinger** : Le prix évolue dans la partie supérieure des bandes, proche de la borne haute (5 465,87 FCFA), ce qui témoigne d'une pression acheteuse. La décision est neutre, car le cours n'a pas encore franchi la borne, mais la largeur des bandes reflète la volatilité élevée du titre. Un dépassement de la borne supérieure pourrait signaler une poursuite du mouvement haussier, tandis qu'un retour vers la moyenne mobile indiquerait une consolidation.</w:t>
      </w:r>
    </w:p>
    <w:p>
      <w:pPr>
        <w:spacing w:after="120" w:line="276" w:lineRule="auto"/>
      </w:pPr>
      <w:r>
        <w:t>**MACD** : Le MACD (227,477) est nettement supérieur à son signal (196,215), avec une divergence positive, ce qui est un signal d'achat. Cette configuration indique un momentum haussier en place, renforcé par la position du MACD au-dessus de la ligne zéro. La dynamique positive semble soutenir la poursuite de la hausse à court terme.</w:t>
      </w:r>
    </w:p>
    <w:p>
      <w:pPr>
        <w:spacing w:after="120" w:line="276" w:lineRule="auto"/>
      </w:pPr>
      <w:r>
        <w:t>**RSI** : Le RSI est à 72,365, une valeur qui dépasse le seuil de surachat de 70. Cela signale que le titre est potentiellement surévalué à court terme et qu'un repli technique est possible. La décision de vente est donc émise, car la pression acheteuse pourrait s'essouffler, menant à une correction.</w:t>
      </w:r>
    </w:p>
    <w:p>
      <w:pPr>
        <w:spacing w:after="120" w:line="276" w:lineRule="auto"/>
      </w:pPr>
      <w:r>
        <w:t>**Stochastique** : Le %K (90,909) est très supérieur au %D (79,365), tous deux en zone de surachat. Cette configuration indique une force acheteuse extrême, mais également un risque de retournement imminent. La décision de vente est justifiée par la probabilité d'un croisement baissier, qui précéderait souvent une correction du cours.</w:t>
      </w:r>
    </w:p>
    <w:p>
      <w:pPr>
        <w:spacing w:after="120" w:line="276" w:lineRule="auto"/>
      </w:pPr>
      <w:r>
        <w:t>**Conclusion technique** : Les indicateurs de tendance (MM, MACD) sont positifs, mais les oscillateurs (RSI, Stochastique) signalent une condition de surachat. Cette divergence suggère que le mouvement haussier actuel pourrait être à bout de souffle, et un repli technique est probable avant une éventuelle reprise. La prudence est donc de mise, malgré la dynamique positive à moyen terme.</w:t>
      </w:r>
    </w:p>
    <w:p>
      <w:pPr>
        <w:spacing w:after="120" w:line="276" w:lineRule="auto"/>
      </w:pPr>
      <w:r>
        <w:t>### PARTIE 3 : ANALYSE FONDAMENTALE (SECTION CRITIQUE)</w:t>
      </w:r>
    </w:p>
    <w:p>
      <w:pPr>
        <w:spacing w:after="120" w:line="276" w:lineRule="auto"/>
      </w:pPr>
      <w:r>
        <w:t>En 2025, SAFC a réalisé un retournement spectaculaire avec un Produit Net Bancaire (PNB) de 5,735 milliards FCFA, en hausse de 44,1% par rapport à 2024 (3,980 milliards FCFA), et un résultat net positif de 701 millions FCFA, contre une perte de 165 millions en 2024. Cette performance s'explique par une croissance des crédits à la clientèle (+14,2% à 60,476 milliards FCFA) et une amélioration de la marge d'intermédiation. La marge nette s'établit à 12,2%, le ROE à 11,85% et le ROA à 0,88%, montrant une rentabilité en nette amélioration mais encore modeste. Le coefficient d'exploitation de 77,6% reste élevé, indiquant une efficacité opérationnelle perfectible. Le coût du risque de 6,57% demeure significatif, reflétant la qualité encore fragile du portefeuille de crédits. Les capitaux propres (5,916 milliards FCFA) restent faibles (7,4% du bilan), et le report à nouveau est toujours négatif (-4,123 milliards FCFA). Sur la base du rapport T1 2026, qui montre un PNB de 1,395 milliard FCFA (+29%) et un résultat net de 151 millions FCFA (+1062%), on estime que l'exercice 2026 pourrait confirmer la tendance avec un résultat net annuel potentiellement supérieur à 600 millions FCFA, si la maîtrise du coût du risque se poursuit. La nouvelle gouvernance de CREDAF Group, entrée en avril 2025, semble porter ses fruits, mais la structure financière reste fragile et nécessite une consolidation.</w:t>
      </w:r>
    </w:p>
    <w:p>
      <w:pPr>
        <w:spacing w:after="120" w:line="276" w:lineRule="auto"/>
      </w:pPr>
      <w:r>
        <w:t>### PARTIE 4 : CONCLUSION D'INVESTISSEMENT</w:t>
      </w:r>
    </w:p>
    <w:p>
      <w:pPr>
        <w:spacing w:after="120" w:line="276" w:lineRule="auto"/>
      </w:pPr>
      <w:r>
        <w:t>La valorisation de SAFC est extrêmement exigeante (PER 60,8x, P/B 7,21x), ce qui contraste fortement avec la solidité encore précaire de ses fondamentaux. Bien que le cours ait montré un rebond récent, la tendance sur 100 jours est baissière et la volatilité est très élevée (83,1%). Les signaux techniques sont mitigés : les moyennes mobiles et le MACD sont positifs, mais le RSI et le stochastique indiquent une condition de surachat, suggérant un risque de correction. Les fondamentaux, eux, montrent un redressement spectaculaire en 2025 et une dynamique positive au T1 2026, mais la structure financière reste fragile. Les prédictions IA pour les 10 prochains jours (baisse de 4 856 à 3 555 FCFA) contredisent les signaux techniques à court terme et suggèrent une forte correction, probablement liée à la fin de la période de souscription à l'augmentation de capital. En synthèse, la convergence entre la valorisation excessive, la volatilité du cours et les prédictions baissières l'emporte sur les signaux de redressement fondamental. La recommandation finale est **VENTE** avec un niveau de confiance **Moyen** et un risque global **Élevé**. L'horizon d'investissement optimal est le **court terme (&lt;3 mois)**, où une correction semble probable avant de réévaluer la solidité du redressement à 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12,315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007800"/>
                <w:sz w:val="17"/>
              </w:rPr>
              <w:t>+135.88%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28.19% (Élevée) — μ=2,651 FCFA, σ=747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β=0.4287 (Défensif) — Cov=0.000016, Var(idx)=0.000036, ρ=0.070,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12,315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3,104</w:t>
            </w:r>
          </w:p>
        </w:tc>
        <w:tc>
          <w:tcPr>
            <w:tcW w:type="dxa" w:w="1440"/>
            <w:shd w:fill="FFDCE0" w:val="clear"/>
          </w:tcPr>
          <w:p>
            <w:r>
              <w:rPr>
                <w:b/>
                <w:sz w:val="17"/>
              </w:rPr>
              <w:t>3,284</w:t>
            </w:r>
          </w:p>
        </w:tc>
        <w:tc>
          <w:tcPr>
            <w:tcW w:type="dxa" w:w="1440"/>
            <w:shd w:fill="FFDCE0" w:val="clear"/>
          </w:tcPr>
          <w:p>
            <w:r>
              <w:rPr>
                <w:sz w:val="17"/>
              </w:rPr>
              <w:t>3,463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2,803</w:t>
            </w:r>
          </w:p>
        </w:tc>
        <w:tc>
          <w:tcPr>
            <w:tcW w:type="dxa" w:w="1440"/>
            <w:shd w:fill="FFDCE0" w:val="clear"/>
          </w:tcPr>
          <w:p>
            <w:r>
              <w:rPr>
                <w:b/>
                <w:sz w:val="17"/>
              </w:rPr>
              <w:t>3,037</w:t>
            </w:r>
          </w:p>
        </w:tc>
        <w:tc>
          <w:tcPr>
            <w:tcW w:type="dxa" w:w="1440"/>
            <w:shd w:fill="FFDCE0" w:val="clear"/>
          </w:tcPr>
          <w:p>
            <w:r>
              <w:rPr>
                <w:sz w:val="17"/>
              </w:rPr>
              <w:t>3,272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2,543</w:t>
            </w:r>
          </w:p>
        </w:tc>
        <w:tc>
          <w:tcPr>
            <w:tcW w:type="dxa" w:w="1440"/>
            <w:shd w:fill="FFDCE0" w:val="clear"/>
          </w:tcPr>
          <w:p>
            <w:r>
              <w:rPr>
                <w:b/>
                <w:sz w:val="17"/>
              </w:rPr>
              <w:t>2,810</w:t>
            </w:r>
          </w:p>
        </w:tc>
        <w:tc>
          <w:tcPr>
            <w:tcW w:type="dxa" w:w="1440"/>
            <w:shd w:fill="FFDCE0" w:val="clear"/>
          </w:tcPr>
          <w:p>
            <w:r>
              <w:rPr>
                <w:sz w:val="17"/>
              </w:rPr>
              <w:t>3,076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2,315</w:t>
            </w:r>
          </w:p>
        </w:tc>
        <w:tc>
          <w:tcPr>
            <w:tcW w:type="dxa" w:w="1440"/>
            <w:shd w:fill="FFDCE0" w:val="clear"/>
          </w:tcPr>
          <w:p>
            <w:r>
              <w:rPr>
                <w:b/>
                <w:sz w:val="17"/>
              </w:rPr>
              <w:t>2,599</w:t>
            </w:r>
          </w:p>
        </w:tc>
        <w:tc>
          <w:tcPr>
            <w:tcW w:type="dxa" w:w="1440"/>
            <w:shd w:fill="FFDCE0" w:val="clear"/>
          </w:tcPr>
          <w:p>
            <w:r>
              <w:rPr>
                <w:sz w:val="17"/>
              </w:rPr>
              <w:t>2,883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2,404</w:t>
            </w:r>
          </w:p>
        </w:tc>
        <w:tc>
          <w:tcPr>
            <w:tcW w:type="dxa" w:w="1440"/>
            <w:shd w:fill="FFDCE0" w:val="clear"/>
          </w:tcPr>
          <w:p>
            <w:r>
              <w:rPr>
                <w:sz w:val="17"/>
              </w:rPr>
              <w:t>2,698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1,926</w:t>
            </w:r>
          </w:p>
        </w:tc>
        <w:tc>
          <w:tcPr>
            <w:tcW w:type="dxa" w:w="1440"/>
            <w:shd w:fill="FFDCE0" w:val="clear"/>
          </w:tcPr>
          <w:p>
            <w:r>
              <w:rPr>
                <w:b/>
                <w:sz w:val="17"/>
              </w:rPr>
              <w:t>2,224</w:t>
            </w:r>
          </w:p>
        </w:tc>
        <w:tc>
          <w:tcPr>
            <w:tcW w:type="dxa" w:w="1440"/>
            <w:shd w:fill="FFDCE0" w:val="clear"/>
          </w:tcPr>
          <w:p>
            <w:r>
              <w:rPr>
                <w:sz w:val="17"/>
              </w:rPr>
              <w:t>2,522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1,759</w:t>
            </w:r>
          </w:p>
        </w:tc>
        <w:tc>
          <w:tcPr>
            <w:tcW w:type="dxa" w:w="1440"/>
            <w:shd w:fill="FFDCE0" w:val="clear"/>
          </w:tcPr>
          <w:p>
            <w:r>
              <w:rPr>
                <w:b/>
                <w:sz w:val="17"/>
              </w:rPr>
              <w:t>2,057</w:t>
            </w:r>
          </w:p>
        </w:tc>
        <w:tc>
          <w:tcPr>
            <w:tcW w:type="dxa" w:w="1440"/>
            <w:shd w:fill="FFDCE0" w:val="clear"/>
          </w:tcPr>
          <w:p>
            <w:r>
              <w:rPr>
                <w:sz w:val="17"/>
              </w:rPr>
              <w:t>2,355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1,608</w:t>
            </w:r>
          </w:p>
        </w:tc>
        <w:tc>
          <w:tcPr>
            <w:tcW w:type="dxa" w:w="1440"/>
            <w:shd w:fill="FFDCE0" w:val="clear"/>
          </w:tcPr>
          <w:p>
            <w:r>
              <w:rPr>
                <w:b/>
                <w:sz w:val="17"/>
              </w:rPr>
              <w:t>1,903</w:t>
            </w:r>
          </w:p>
        </w:tc>
        <w:tc>
          <w:tcPr>
            <w:tcW w:type="dxa" w:w="1440"/>
            <w:shd w:fill="FFDCE0" w:val="clear"/>
          </w:tcPr>
          <w:p>
            <w:r>
              <w:rPr>
                <w:sz w:val="17"/>
              </w:rPr>
              <w:t>2,197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1,471</w:t>
            </w:r>
          </w:p>
        </w:tc>
        <w:tc>
          <w:tcPr>
            <w:tcW w:type="dxa" w:w="1440"/>
            <w:shd w:fill="FFDCE0" w:val="clear"/>
          </w:tcPr>
          <w:p>
            <w:r>
              <w:rPr>
                <w:b/>
                <w:sz w:val="17"/>
              </w:rPr>
              <w:t>1,760</w:t>
            </w:r>
          </w:p>
        </w:tc>
        <w:tc>
          <w:tcPr>
            <w:tcW w:type="dxa" w:w="1440"/>
            <w:shd w:fill="FFDCE0" w:val="clear"/>
          </w:tcPr>
          <w:p>
            <w:r>
              <w:rPr>
                <w:sz w:val="17"/>
              </w:rPr>
              <w:t>2,049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1,346</w:t>
            </w:r>
          </w:p>
        </w:tc>
        <w:tc>
          <w:tcPr>
            <w:tcW w:type="dxa" w:w="1440"/>
            <w:shd w:fill="FFDCE0" w:val="clear"/>
          </w:tcPr>
          <w:p>
            <w:r>
              <w:rPr>
                <w:b/>
                <w:sz w:val="17"/>
              </w:rPr>
              <w:t>1,628</w:t>
            </w:r>
          </w:p>
        </w:tc>
        <w:tc>
          <w:tcPr>
            <w:tcW w:type="dxa" w:w="1440"/>
            <w:shd w:fill="FFDCE0" w:val="clear"/>
          </w:tcPr>
          <w:p>
            <w:r>
              <w:rPr>
                <w:sz w:val="17"/>
              </w:rPr>
              <w:t>1,910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69,58 milliards FCFA place SCRC parmi les valeurs moyennes de la BRVM, reflétant un intérêt certain du marché malgré des fondamentaux dégradés. Le BPA négatif de -406 FCFA par action est le reflet direct de la perte nette massive enregistrée en 2025, rendant le PER non significatif (-8,7x) et indiquant que les investisseurs ne peuvent pas valoriser la société sur la base de ses bénéfices actuels. Le P/B de 4,04x est particulièrement révélateur : le marché valorise l'actif net comptable plus de quatre fois sa valeur, ce qui suggère que les investisseurs intègrent un potentiel de redressement futur ou la valeur stratégique des actifs agricoles et industriels. L'EV/EBITDA de 10,8x, bien que dans une fourchette élevée, montre que la valeur d'entreprise reste soutenue par une capacité opérationnelle (EBE de 14,8 milliards FCFA) encore significative, même si celle-ci est en déclin.</w:t>
      </w:r>
    </w:p>
    <w:p>
      <w:pPr>
        <w:spacing w:after="120" w:line="276" w:lineRule="auto" w:before="240"/>
      </w:pPr>
      <w:r>
        <w:rPr>
          <w:b/>
          <w:color w:val="003366"/>
          <w:sz w:val="24"/>
        </w:rPr>
        <w:t>**PARTIE 1 : ANALYSE DU COURS — STATISTIQUES ET ÉVOLUTION (100 derniers jours)**</w:t>
      </w:r>
    </w:p>
    <w:p>
      <w:pPr>
        <w:spacing w:after="120" w:line="276" w:lineRule="auto"/>
      </w:pPr>
      <w:r>
        <w:t>Le titre SCRC affiche une progression spectaculaire de +135,88% sur les 100 derniers jours, passant d'un plus bas de 1 455 FCFA à un plus haut de 3 920 FCFA, avec un cours actuel de 3 550 FCFA et un léger repli de -0,70% lors de la dernière séance. Cette tendance haussière exceptionnelle témoigne d'un fort appétit des investisseurs, probablement alimenté par des anticipations de redressement. Les statistiques descriptives révèlent une distribution relativement symétrique (skewness de -0,015) avec une moyenne de 2 651 FCFA proche de la médiane de 2 710 FCFA, indiquant une répartition équilibrée des cours. L'écart-type de 751 FCFA avec un coefficient de variation de 28,3% démontre une dispersion modérée, tandis que le kurtosis de -1,370 (platykurtique) suggère une distribution aplatie avec peu de valeurs extrêmes, ce qui est surprenant compte tenu de l'amplitude du mouvement. La volatilité annualisée de 58,1% positionne le titre comme extrêmement risqué, bien au-dessus du seuil de 30% considéré comme élevé, reflétant une spéculation intense et une incertitude majeure sur la valeur réelle de l'entreprise.</w:t>
      </w:r>
    </w:p>
    <w:p>
      <w:pPr>
        <w:spacing w:after="120" w:line="276" w:lineRule="auto" w:before="240"/>
      </w:pPr>
      <w:r>
        <w:rPr>
          <w:b/>
          <w:color w:val="003366"/>
          <w:sz w:val="24"/>
        </w:rPr>
        <w:t>**PARTIE 2 : ANALYSE TECHNIQUE DÉTAILLÉE**</w:t>
      </w:r>
    </w:p>
    <w:p>
      <w:pPr>
        <w:spacing w:after="120" w:line="276" w:lineRule="auto"/>
      </w:pPr>
      <w:r>
        <w:t>**Moyennes Mobiles** : Le cours actuel de 3 550 FCFA se positionne sous la MM20 (3 616 FCFA) mais nettement au-dessus de la MM50 (3 319 FCFA), créant une configuration contrastée. La décision globale d'achat suggère que la tendance de fond reste positive malgré le repli récent, la MM50 agissant comme un support dynamique solide à moyen terme.</w:t>
      </w:r>
    </w:p>
    <w:p>
      <w:pPr>
        <w:spacing w:after="120" w:line="276" w:lineRule="auto"/>
      </w:pPr>
      <w:r>
        <w:t>**Bandes de Bollinger** : Le prix évolue dans la partie médiane-haute des bandes (borne inférieure à 3 367 FCFA, borne supérieure à 3 865 FCFA), indiquant une volatilité modérée après la forte expansion des bandes lors du rallye. La décision neutre reflète l'absence de signal directionnel clair, le titre semblant consolider ses gains dans un range de 500 FCFA.</w:t>
      </w:r>
    </w:p>
    <w:p>
      <w:pPr>
        <w:spacing w:after="120" w:line="276" w:lineRule="auto"/>
      </w:pPr>
      <w:r>
        <w:t>**MACD** : La valeur du MACD (88,9) reste positive mais le signal (121,1) lui est supérieur, créant une divergence baissière. Cette configuration indique un affaiblissement du momentum haussier, avec une décision de vente qui suggère que la dynamique positive s'essouffle et qu'une correction pourrait survenir à court terme.</w:t>
      </w:r>
    </w:p>
    <w:p>
      <w:pPr>
        <w:spacing w:after="120" w:line="276" w:lineRule="auto"/>
      </w:pPr>
      <w:r>
        <w:t>**RSI** : À 41,9, le RSI se situe en zone neutre, légèrement sous le seuil des 50, indiquant un momentum modérément baissier sans conditions de survente. Cette valeur suggère que le titre a perdu de sa vigueur haussière mais ne présente pas encore de signal de retournement majeur, laissant place à une consolidation.</w:t>
      </w:r>
    </w:p>
    <w:p>
      <w:pPr>
        <w:spacing w:after="120" w:line="276" w:lineRule="auto"/>
      </w:pPr>
      <w:r>
        <w:t>**Stochastique** : Le %K (18,0) est nettement inférieur au %D (27,3), signalant une dynamique baissière à court terme, mais les valeurs basses proches de la zone de survente (&lt;20) pourraient indiquer un rebond technique imminent. La décision d'achat reflète cette anticipation d'un potentiel retournement haussier.</w:t>
      </w:r>
    </w:p>
    <w:p>
      <w:pPr>
        <w:spacing w:after="120" w:line="276" w:lineRule="auto"/>
      </w:pPr>
      <w:r>
        <w:t>**Conclusion technique** : Les indicateurs sont globalement divergents, avec des signaux d'achat à moyen terme (MM, Stochastique) mais des signaux de vente à court terme (MACD). Cette configuration suggère une phase de consolidation après le rallye spectaculaire, avec un risque de correction vers la zone des 3 300-3 400 FCFA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SCRC révèlent une situation préoccupante : le chiffre d'affaires s'établit à 80,57 milliards FCFA, en recul de 7,6% par rapport à 2024 (87,22 milliards FCFA), et le résultat net est une perte massive de -7,95 milliards FCFA contre un bénéfice de 2,47 milliards en 2024, soit une dégradation de 421%. La marge nette est négative à -9,9%, le ROE s'effondre à -46,1% et le ROA à -5,1%, traduisant une destruction de valeur significative. Pour une entreprise industrielle, les ratios de structure sont alarmants : le ratio d'endettement atteint 89% des capitaux propres, la dépendance financière est de 492%, et la trésorerie nette est négative à -6,5 milliards FCFA, avec un fonds de roulement négatif de -10,7 milliards. Les délais d'exploitation montrent une gestion fragile : délai clients de 12 jours (acceptable) mais durée de stockage de 361 jours, indiquant une immobilisation massive de capital dans les stocks (52,1 milliards FCFA). Les rapports trimestriels 2025 confirment cette tendance : le T1 2025 montrait un bénéfice de 3,21 milliards FCFA mais le S1 2025 s'est soldé par une perte de -6,71 milliards, illustrant une forte détérioration en cours d'année. Les rapports de 2026 (datés du 01/05/2026 et 19/05/2026) soulignent que le redressement de 2024 était fragile et que l'explosion des charges financières (+262% à 6,79 milliards FCFA) a anéanti les efforts opérationnels. Le rapport de 2024 (30/09/2024) montrait pourtant une dynamique positive avec un CA en hausse de 11%, mais cette amélioration n'a pas été durable. La recommandation fondamentale est clairement négative : la société est confrontée à un endettement critique (ratio dette/capitaux propres de 374%), une rentabilité opérationnelle déficitaire et des perspectives 2026 très incertaines, nécessitant une restructuration financière profonde.</w:t>
      </w:r>
    </w:p>
    <w:p>
      <w:pPr>
        <w:spacing w:after="120" w:line="276" w:lineRule="auto" w:before="240"/>
      </w:pPr>
      <w:r>
        <w:rPr>
          <w:b/>
          <w:color w:val="003366"/>
          <w:sz w:val="24"/>
        </w:rPr>
        <w:t>**PARTIE 4 : CONCLUSION D'INVESTISSEMENT**</w:t>
      </w:r>
    </w:p>
    <w:p>
      <w:pPr>
        <w:spacing w:after="120" w:line="276" w:lineRule="auto"/>
      </w:pPr>
      <w:r>
        <w:t>La synthèse globale révèle une divergence majeure entre la performance boursière spectaculaire (+135,88% en 100 jours) et la dégradation fondamentale sévère (perte de 7,95 milliards FCFA en 2025). La valorisation actuelle (P/B de 4,04x, EV/EBITDA de 10,8x) apparaît extrêmement généreuse compte tenu des fondamentaux, suggérant une surévaluation spéculative du titre. Les signaux techniques sont mitigés avec une consolidation en cours et un momentum baissier à court terme (MACD, RSI neutre), tandis que les prédictions IA pour les 10 prochains jours (3 284 à 2 404 FCFA) anticipent une correction brutale de 32%, confirmant le risque de retournement. Les fondamentaux sont clairement préoccupants avec un endettement insoutenable, une trésorerie négative et une rentabilité déficitaire, même si les investissements massifs (25,2 milliards FCFA) pourraient soutenir un redressement à long terme. La recommandation finale est **VENTE** avec un niveau de confiance **Élevé** et un risque global **Élevé**. La convergence entre la surévaluation boursière, les signaux techniques baissiers et les prédictions IA de correction justifie cette position. L'horizon d'investissement optimal est le **court terme (&lt;3 mois)** pour les investisseurs souhaitant sécuriser leurs gains, tandis que les investisseurs à long terme devraient attendre une stabilisation des fondamentaux et une restructuration réussie de la dette avant d'envisager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1,031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+53.35%</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19.76% (Élevée) — μ=10,046 FCFA, σ=1,985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β=0.3978 (Défensif) — Cov=0.000014, Var(idx)=0.000036, ρ=0.105,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11,071</w:t>
            </w:r>
          </w:p>
        </w:tc>
        <w:tc>
          <w:tcPr>
            <w:tcW w:type="dxa" w:w="1440"/>
            <w:shd w:fill="FFDCE0" w:val="clear"/>
          </w:tcPr>
          <w:p>
            <w:r>
              <w:rPr>
                <w:b/>
                <w:sz w:val="17"/>
              </w:rPr>
              <w:t>11,448</w:t>
            </w:r>
          </w:p>
        </w:tc>
        <w:tc>
          <w:tcPr>
            <w:tcW w:type="dxa" w:w="1440"/>
            <w:shd w:fill="FFDCE0" w:val="clear"/>
          </w:tcPr>
          <w:p>
            <w:r>
              <w:rPr>
                <w:sz w:val="17"/>
              </w:rPr>
              <w:t>11,824</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10,804</w:t>
            </w:r>
          </w:p>
        </w:tc>
        <w:tc>
          <w:tcPr>
            <w:tcW w:type="dxa" w:w="1440"/>
            <w:shd w:fill="FFDCE0" w:val="clear"/>
          </w:tcPr>
          <w:p>
            <w:r>
              <w:rPr>
                <w:b/>
                <w:sz w:val="17"/>
              </w:rPr>
              <w:t>11,331</w:t>
            </w:r>
          </w:p>
        </w:tc>
        <w:tc>
          <w:tcPr>
            <w:tcW w:type="dxa" w:w="1440"/>
            <w:shd w:fill="FFDCE0" w:val="clear"/>
          </w:tcPr>
          <w:p>
            <w:r>
              <w:rPr>
                <w:sz w:val="17"/>
              </w:rPr>
              <w:t>11,858</w:t>
            </w:r>
          </w:p>
        </w:tc>
        <w:tc>
          <w:tcPr>
            <w:tcW w:type="dxa" w:w="1440"/>
            <w:shd w:fill="FFDCE0" w:val="clear"/>
          </w:tcPr>
          <w:p>
            <w:r>
              <w:rPr>
                <w:b/>
                <w:color w:val="C00000"/>
                <w:sz w:val="17"/>
              </w:rPr>
              <w:t>-4.8%</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10,585</w:t>
            </w:r>
          </w:p>
        </w:tc>
        <w:tc>
          <w:tcPr>
            <w:tcW w:type="dxa" w:w="1440"/>
            <w:shd w:fill="FFDCE0" w:val="clear"/>
          </w:tcPr>
          <w:p>
            <w:r>
              <w:rPr>
                <w:b/>
                <w:sz w:val="17"/>
              </w:rPr>
              <w:t>11,225</w:t>
            </w:r>
          </w:p>
        </w:tc>
        <w:tc>
          <w:tcPr>
            <w:tcW w:type="dxa" w:w="1440"/>
            <w:shd w:fill="FFDCE0" w:val="clear"/>
          </w:tcPr>
          <w:p>
            <w:r>
              <w:rPr>
                <w:sz w:val="17"/>
              </w:rPr>
              <w:t>11,864</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10,398</w:t>
            </w:r>
          </w:p>
        </w:tc>
        <w:tc>
          <w:tcPr>
            <w:tcW w:type="dxa" w:w="1440"/>
            <w:shd w:fill="FFDCE0" w:val="clear"/>
          </w:tcPr>
          <w:p>
            <w:r>
              <w:rPr>
                <w:b/>
                <w:sz w:val="17"/>
              </w:rPr>
              <w:t>11,130</w:t>
            </w:r>
          </w:p>
        </w:tc>
        <w:tc>
          <w:tcPr>
            <w:tcW w:type="dxa" w:w="1440"/>
            <w:shd w:fill="FFDCE0" w:val="clear"/>
          </w:tcPr>
          <w:p>
            <w:r>
              <w:rPr>
                <w:sz w:val="17"/>
              </w:rPr>
              <w:t>11,861</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10,228</w:t>
            </w:r>
          </w:p>
        </w:tc>
        <w:tc>
          <w:tcPr>
            <w:tcW w:type="dxa" w:w="1440"/>
            <w:shd w:fill="FFDCE0" w:val="clear"/>
          </w:tcPr>
          <w:p>
            <w:r>
              <w:rPr>
                <w:b/>
                <w:sz w:val="17"/>
              </w:rPr>
              <w:t>11,040</w:t>
            </w:r>
          </w:p>
        </w:tc>
        <w:tc>
          <w:tcPr>
            <w:tcW w:type="dxa" w:w="1440"/>
            <w:shd w:fill="FFDCE0" w:val="clear"/>
          </w:tcPr>
          <w:p>
            <w:r>
              <w:rPr>
                <w:sz w:val="17"/>
              </w:rPr>
              <w:t>11,852</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10,074</w:t>
            </w:r>
          </w:p>
        </w:tc>
        <w:tc>
          <w:tcPr>
            <w:tcW w:type="dxa" w:w="1440"/>
            <w:shd w:fill="FFDCE0" w:val="clear"/>
          </w:tcPr>
          <w:p>
            <w:r>
              <w:rPr>
                <w:b/>
                <w:sz w:val="17"/>
              </w:rPr>
              <w:t>10,956</w:t>
            </w:r>
          </w:p>
        </w:tc>
        <w:tc>
          <w:tcPr>
            <w:tcW w:type="dxa" w:w="1440"/>
            <w:shd w:fill="FFDCE0" w:val="clear"/>
          </w:tcPr>
          <w:p>
            <w:r>
              <w:rPr>
                <w:sz w:val="17"/>
              </w:rPr>
              <w:t>11,838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9,929</w:t>
            </w:r>
          </w:p>
        </w:tc>
        <w:tc>
          <w:tcPr>
            <w:tcW w:type="dxa" w:w="1440"/>
            <w:shd w:fill="FFDCE0" w:val="clear"/>
          </w:tcPr>
          <w:p>
            <w:r>
              <w:rPr>
                <w:b/>
                <w:sz w:val="17"/>
              </w:rPr>
              <w:t>10,875</w:t>
            </w:r>
          </w:p>
        </w:tc>
        <w:tc>
          <w:tcPr>
            <w:tcW w:type="dxa" w:w="1440"/>
            <w:shd w:fill="FFDCE0" w:val="clear"/>
          </w:tcPr>
          <w:p>
            <w:r>
              <w:rPr>
                <w:sz w:val="17"/>
              </w:rPr>
              <w:t>11,821</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9,796</w:t>
            </w:r>
          </w:p>
        </w:tc>
        <w:tc>
          <w:tcPr>
            <w:tcW w:type="dxa" w:w="1440"/>
            <w:shd w:fill="FFDCE0" w:val="clear"/>
          </w:tcPr>
          <w:p>
            <w:r>
              <w:rPr>
                <w:b/>
                <w:sz w:val="17"/>
              </w:rPr>
              <w:t>10,801</w:t>
            </w:r>
          </w:p>
        </w:tc>
        <w:tc>
          <w:tcPr>
            <w:tcW w:type="dxa" w:w="1440"/>
            <w:shd w:fill="FFDCE0" w:val="clear"/>
          </w:tcPr>
          <w:p>
            <w:r>
              <w:rPr>
                <w:sz w:val="17"/>
              </w:rPr>
              <w:t>11,805</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9,672</w:t>
            </w:r>
          </w:p>
        </w:tc>
        <w:tc>
          <w:tcPr>
            <w:tcW w:type="dxa" w:w="1440"/>
            <w:shd w:fill="FFDCE0" w:val="clear"/>
          </w:tcPr>
          <w:p>
            <w:r>
              <w:rPr>
                <w:b/>
                <w:sz w:val="17"/>
              </w:rPr>
              <w:t>10,730</w:t>
            </w:r>
          </w:p>
        </w:tc>
        <w:tc>
          <w:tcPr>
            <w:tcW w:type="dxa" w:w="1440"/>
            <w:shd w:fill="FFDCE0" w:val="clear"/>
          </w:tcPr>
          <w:p>
            <w:r>
              <w:rPr>
                <w:sz w:val="17"/>
              </w:rPr>
              <w:t>11,788</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9,555</w:t>
            </w:r>
          </w:p>
        </w:tc>
        <w:tc>
          <w:tcPr>
            <w:tcW w:type="dxa" w:w="1440"/>
            <w:shd w:fill="FFDCE0" w:val="clear"/>
          </w:tcPr>
          <w:p>
            <w:r>
              <w:rPr>
                <w:b/>
                <w:sz w:val="17"/>
              </w:rPr>
              <w:t>10,664</w:t>
            </w:r>
          </w:p>
        </w:tc>
        <w:tc>
          <w:tcPr>
            <w:tcW w:type="dxa" w:w="1440"/>
            <w:shd w:fill="FFDCE0" w:val="clear"/>
          </w:tcPr>
          <w:p>
            <w:r>
              <w:rPr>
                <w:sz w:val="17"/>
              </w:rPr>
              <w:t>11,773</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107,10 milliards FCFA, un niveau significatif qui positionne la société parmi les valeurs moyennes de la BRVM, reflétant son statut d'opérateur stratégique dans le secteur de l'eau en Côte d'Ivoire. Le BPA de 518 FCFA indique que chaque action génère un bénéfice substantiel, mais le PER de 23,0x est nettement supérieur à la moyenne du marché BRVM (8-12x), signalant que les investisseurs paient une prime considérable pour la croissance anticipée. Le P/B de 5,43x confirme cette valorisation exigeante, le marché valorisant fortement les actifs comptables de la société. Enfin, l'EV/EBITDA de 14,4x se situe dans la fourchette haute (10-15x), indiquant une valorisation élevée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+53,35%, avec une dernière séance en hausse de +4,39% à 11 900 FCFA, démontrant une dynamique haussière soutenue. Le cours a évolué dans une fourchette large de 7 140 FCFA (plus bas) à 12 195 FCFA (plus haut), illustrant une amplitude de trading considérable. La moyenne de 10 046 FCFA est inférieure à la médiane de 11 050 FCFA, indiquant une distribution asymétrique avec une concentration des valeurs vers le haut de la fourchette. L'écart-type de 1 995 FCFA avec un coefficient de variation de 19,9% révèle une dispersion modérée, tandis que le kurtosis de -1,624 (platykurtique) suggère une distribution aplatie avec peu de pics extrêmes. Le skewness de -0,383 indique une légère asymétrie négative. La volatilité annualisée de 36,1% classe le titre comme très volatil, nécessitant une gestion prudente du risque.</w:t>
      </w:r>
    </w:p>
    <w:p>
      <w:pPr>
        <w:spacing w:after="120" w:line="276" w:lineRule="auto" w:before="240"/>
      </w:pPr>
      <w:r>
        <w:rPr>
          <w:b/>
          <w:color w:val="003366"/>
          <w:sz w:val="24"/>
        </w:rPr>
        <w:t>**PARTIE 2 : ANALYSE TECHNIQUE DÉTAILLÉE**</w:t>
      </w:r>
    </w:p>
    <w:p>
      <w:pPr>
        <w:spacing w:after="120" w:line="276" w:lineRule="auto"/>
      </w:pPr>
      <w:r>
        <w:t>Les moyennes mobiles MM20 (11 720,25 FCFA) et MM50 (11 776,9 FCFA) sont toutes deux inférieures au cours actuel de 11 900 FCFA, indiquant une tendance haussière de court et moyen terme. Cependant, la décision de "Vente" suggère que le cours pourrait être en phase de consolidation après une forte progression, les MM servant de support potentiel en cas de repli.</w:t>
      </w:r>
    </w:p>
    <w:p>
      <w:pPr>
        <w:spacing w:after="120" w:line="276" w:lineRule="auto"/>
      </w:pPr>
      <w:r>
        <w:t>Les bandes de Bollinger présentent une borne supérieure à 12 295,05 FCFA et une borne inférieure à 11 145,45 FCFA, avec le cours à 11 900 FCFA positionné dans la partie haute de l'enveloppe. La décision "Neutre" reflète une volatilité modérée, le cours n'ayant pas encore atteint les extrêmes des bandes, laissant une marge de manœuvre avant une éventuelle correction.</w:t>
      </w:r>
    </w:p>
    <w:p>
      <w:pPr>
        <w:spacing w:after="120" w:line="276" w:lineRule="auto"/>
      </w:pPr>
      <w:r>
        <w:t>Le MACD affiche une valeur de 29,186 contre un signal à 48,079, avec une décision de "Vente". Cette configuration indique un momentum baissier à court terme, le MACD étant passé sous sa ligne de signal, suggérant une possible perte de vitesse de la tendance haussière malgré des valeurs positives.</w:t>
      </w:r>
    </w:p>
    <w:p>
      <w:pPr>
        <w:spacing w:after="120" w:line="276" w:lineRule="auto"/>
      </w:pPr>
      <w:r>
        <w:t>Le RSI à 62,146 se situe dans la zone neutre (30-70), indiquant que le titre n'est ni suracheté ni survendu. Cette valeur suggère une pression acheteuse encore présente mais modérée, laissant une marge de progression avant d'atteindre la zone de surachat à 70.</w:t>
      </w:r>
    </w:p>
    <w:p>
      <w:pPr>
        <w:spacing w:after="120" w:line="276" w:lineRule="auto"/>
      </w:pPr>
      <w:r>
        <w:t>Le stochastique avec %K à 87,719 et %D à 64,262 montre une configuration de "Vente", le %K étant nettement supérieur au %D et proche de la zone de surachat. Ce croisement baissier potentiel indique que le titre pourrait connaître un repli technique à court terme.</w:t>
      </w:r>
    </w:p>
    <w:p>
      <w:pPr>
        <w:spacing w:after="120" w:line="276" w:lineRule="auto"/>
      </w:pPr>
      <w:r>
        <w:t>En conclusion technique, les indicateurs sont mitigés : les moyennes mobiles et le RSI suggèrent une tendance haussière toujours en place, mais le MACD et le stochastique signalent une possible correction à court terme. La prudence est recommandée, avec un support majeur à 11 145 FCFA (borne inférieure de Bollinger) et une résistance à 12 295 FCFA.</w:t>
      </w:r>
    </w:p>
    <w:p>
      <w:pPr>
        <w:spacing w:after="120" w:line="276" w:lineRule="auto" w:before="240"/>
      </w:pPr>
      <w:r>
        <w:rPr>
          <w:b/>
          <w:color w:val="003366"/>
          <w:sz w:val="24"/>
        </w:rPr>
        <w:t>**PARTIE 3 : ANALYSE FONDAMENTALE (SECTION CRITIQUE)**</w:t>
      </w:r>
    </w:p>
    <w:p>
      <w:pPr>
        <w:spacing w:after="120" w:line="276" w:lineRule="auto"/>
      </w:pPr>
      <w:r>
        <w:t>En 2025, SDCC affiche des résultats financiers solides avec un chiffre d'affaires de 189,430 milliards FCFA, en croissance de 9,98%, et un résultat net de 4,663 milliards FCFA, en hausse de 31% par rapport à 2024. Le ROE de 23,65% est excellent, dépassant largement le seuil de 15%, tandis que le ROA de 0,99% reste faible, reflétant une rotation des actifs limitée à 40,08%. La marge nette de 2,46% et la marge opérationnelle de 4,81% témoignent d'une rentabilité modeste mais en amélioration. Le BFR de 104,748 milliards FCFA, positif, indique un besoin de financement important, avec un délai clients de 749 jours, un risque majeur de trésorerie. L'endettement est élevé avec un ratio de 95,83%, mais la couverture des intérêts à 1 583% est très confortable. Le rapport annuel 2025 (date : 2026-12-31) confirme la croissance du CA de 10% et du résultat net de 31%, avec un dividende proposé de 525 FCFA par action. Les rapports trimestriels 2025 montrent une amélioration progressive : le T1 2025 (CA +8%, RN +17%) et le S1 2025 (CA stable, RN -24%) indiquent une reprise au second semestre. Le T1 2026 (rapport daté 2026) confirme cette dynamique avec un RN en hausse spectaculaire de 118% à 1 318 millions FCFA, malgré un CA en léger repli de 2%. Sur la base de ces tendances, on estime que l'exercice 2026 pourrait voir un résultat net supérieur à 5 milliards FCFA, soutenu par l'amélioration opérationnelle et la maîtrise des charges.</w:t>
      </w:r>
    </w:p>
    <w:p>
      <w:pPr>
        <w:spacing w:after="120" w:line="276" w:lineRule="auto" w:before="240"/>
      </w:pPr>
      <w:r>
        <w:rPr>
          <w:b/>
          <w:color w:val="003366"/>
          <w:sz w:val="24"/>
        </w:rPr>
        <w:t>**PARTIE 4 : CONCLUSION D'INVESTISSEMENT**</w:t>
      </w:r>
    </w:p>
    <w:p>
      <w:pPr>
        <w:spacing w:after="120" w:line="276" w:lineRule="auto"/>
      </w:pPr>
      <w:r>
        <w:t>La valorisation actuelle de SDCC est exigeante avec un PER de 23,0x et un P/B de 5,43x, nettement supérieurs aux moyennes du marché BRVM, indiquant une possible surévaluation malgré des fondamentaux en amélioration. Le comportement du cours sur 100 jours est très positif (+53,35%) mais la volatilité élevée (36,1%) et le skewness négatif suggèrent des risques de correction. Les signaux techniques sont mitigés : les moyennes mobiles et le RSI soutiennent la tendance haussière, mais le MACD et le stochastique signalent un essoufflement à court terme. Les fondamentaux sont solides avec une croissance du CA de 10% en 2025, un ROE de 23,65% et une amélioration spectaculaire du T1 2026 (RN +118%), mais le BFR élevé et les délais clients de 749 jours constituent des risques de trésorerie. Les prédictions IA (J+1 à J+10) prévoient une baisse progressive de 11 448 à 11 040 FCFA, contredisant la tendance haussière récente et confirmant les signaux techniques de correction. Sur la base de cette synthèse, la recommandation est **CONSERVER** avec un niveau de confiance **Moyen** et un risque global **Élevé**. L'horizon d'investissement optimal est le **moyen terme (3-12 mois)**, en attendant une meilleure valorisation ou une confirmation de la croissance des bénéfices.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137.72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16,303 titres</w:t>
            </w:r>
          </w:p>
        </w:tc>
        <w:tc>
          <w:tcPr>
            <w:tcW w:type="dxa" w:w="2268"/>
            <w:shd w:fill="FFF2CC" w:val="clear"/>
          </w:tcPr>
          <w:p>
            <w:r>
              <w:rPr>
                <w:b/>
                <w:color w:val="503200"/>
                <w:sz w:val="16"/>
              </w:rPr>
              <w:t xml:space="preserve">Cours actuel : </w:t>
            </w:r>
            <w:r>
              <w:rPr>
                <w:color w:val="000000"/>
                <w:sz w:val="17"/>
              </w:rPr>
              <w:t>2,530 FCFA</w:t>
            </w:r>
          </w:p>
          <w:p>
            <w:r>
              <w:rPr>
                <w:b/>
                <w:color w:val="503200"/>
                <w:sz w:val="16"/>
              </w:rPr>
              <w:t xml:space="preserve">Var. 100 jours : </w:t>
            </w:r>
            <w:r>
              <w:rPr>
                <w:b/>
                <w:color w:val="007800"/>
                <w:sz w:val="17"/>
              </w:rPr>
              <w:t>+21.63%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16.40% (Élevée) — μ=2,110 FCFA, σ=346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β=-0.0071 (Contre-cyclique) — Cov=-0.000000, Var(idx)=0.000036, ρ=-0.001,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16,303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2,361</w:t>
            </w:r>
          </w:p>
        </w:tc>
        <w:tc>
          <w:tcPr>
            <w:tcW w:type="dxa" w:w="1440"/>
            <w:shd w:fill="FAFAFA" w:val="clear"/>
          </w:tcPr>
          <w:p>
            <w:r>
              <w:rPr>
                <w:b/>
                <w:sz w:val="17"/>
              </w:rPr>
              <w:t>2,519</w:t>
            </w:r>
          </w:p>
        </w:tc>
        <w:tc>
          <w:tcPr>
            <w:tcW w:type="dxa" w:w="1440"/>
            <w:shd w:fill="FAFAFA" w:val="clear"/>
          </w:tcPr>
          <w:p>
            <w:r>
              <w:rPr>
                <w:sz w:val="17"/>
              </w:rPr>
              <w:t>2,677</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2,281</w:t>
            </w:r>
          </w:p>
        </w:tc>
        <w:tc>
          <w:tcPr>
            <w:tcW w:type="dxa" w:w="1440"/>
            <w:shd w:fill="FAFAFA" w:val="clear"/>
          </w:tcPr>
          <w:p>
            <w:r>
              <w:rPr>
                <w:b/>
                <w:sz w:val="17"/>
              </w:rPr>
              <w:t>2,502</w:t>
            </w:r>
          </w:p>
        </w:tc>
        <w:tc>
          <w:tcPr>
            <w:tcW w:type="dxa" w:w="1440"/>
            <w:shd w:fill="FAFAFA" w:val="clear"/>
          </w:tcPr>
          <w:p>
            <w:r>
              <w:rPr>
                <w:sz w:val="17"/>
              </w:rPr>
              <w:t>2,724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2,215</w:t>
            </w:r>
          </w:p>
        </w:tc>
        <w:tc>
          <w:tcPr>
            <w:tcW w:type="dxa" w:w="1440"/>
            <w:shd w:fill="FAFAFA" w:val="clear"/>
          </w:tcPr>
          <w:p>
            <w:r>
              <w:rPr>
                <w:b/>
                <w:sz w:val="17"/>
              </w:rPr>
              <w:t>2,485</w:t>
            </w:r>
          </w:p>
        </w:tc>
        <w:tc>
          <w:tcPr>
            <w:tcW w:type="dxa" w:w="1440"/>
            <w:shd w:fill="FAFAFA" w:val="clear"/>
          </w:tcPr>
          <w:p>
            <w:r>
              <w:rPr>
                <w:sz w:val="17"/>
              </w:rPr>
              <w:t>2,754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2,160</w:t>
            </w:r>
          </w:p>
        </w:tc>
        <w:tc>
          <w:tcPr>
            <w:tcW w:type="dxa" w:w="1440"/>
            <w:shd w:fill="FFDCE0" w:val="clear"/>
          </w:tcPr>
          <w:p>
            <w:r>
              <w:rPr>
                <w:b/>
                <w:sz w:val="17"/>
              </w:rPr>
              <w:t>2,469</w:t>
            </w:r>
          </w:p>
        </w:tc>
        <w:tc>
          <w:tcPr>
            <w:tcW w:type="dxa" w:w="1440"/>
            <w:shd w:fill="FFDCE0" w:val="clear"/>
          </w:tcPr>
          <w:p>
            <w:r>
              <w:rPr>
                <w:sz w:val="17"/>
              </w:rPr>
              <w:t>2,778</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2,454</w:t>
            </w:r>
          </w:p>
        </w:tc>
        <w:tc>
          <w:tcPr>
            <w:tcW w:type="dxa" w:w="1440"/>
            <w:shd w:fill="FFDCE0" w:val="clear"/>
          </w:tcPr>
          <w:p>
            <w:r>
              <w:rPr>
                <w:sz w:val="17"/>
              </w:rPr>
              <w:t>2,797</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2,065</w:t>
            </w:r>
          </w:p>
        </w:tc>
        <w:tc>
          <w:tcPr>
            <w:tcW w:type="dxa" w:w="1440"/>
            <w:shd w:fill="FFDCE0" w:val="clear"/>
          </w:tcPr>
          <w:p>
            <w:r>
              <w:rPr>
                <w:b/>
                <w:sz w:val="17"/>
              </w:rPr>
              <w:t>2,439</w:t>
            </w:r>
          </w:p>
        </w:tc>
        <w:tc>
          <w:tcPr>
            <w:tcW w:type="dxa" w:w="1440"/>
            <w:shd w:fill="FFDCE0" w:val="clear"/>
          </w:tcPr>
          <w:p>
            <w:r>
              <w:rPr>
                <w:sz w:val="17"/>
              </w:rPr>
              <w:t>2,813</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2,024</w:t>
            </w:r>
          </w:p>
        </w:tc>
        <w:tc>
          <w:tcPr>
            <w:tcW w:type="dxa" w:w="1440"/>
            <w:shd w:fill="FFDCE0" w:val="clear"/>
          </w:tcPr>
          <w:p>
            <w:r>
              <w:rPr>
                <w:b/>
                <w:sz w:val="17"/>
              </w:rPr>
              <w:t>2,425</w:t>
            </w:r>
          </w:p>
        </w:tc>
        <w:tc>
          <w:tcPr>
            <w:tcW w:type="dxa" w:w="1440"/>
            <w:shd w:fill="FFDCE0" w:val="clear"/>
          </w:tcPr>
          <w:p>
            <w:r>
              <w:rPr>
                <w:sz w:val="17"/>
              </w:rPr>
              <w:t>2,827</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1,985</w:t>
            </w:r>
          </w:p>
        </w:tc>
        <w:tc>
          <w:tcPr>
            <w:tcW w:type="dxa" w:w="1440"/>
            <w:shd w:fill="FFDCE0" w:val="clear"/>
          </w:tcPr>
          <w:p>
            <w:r>
              <w:rPr>
                <w:b/>
                <w:sz w:val="17"/>
              </w:rPr>
              <w:t>2,412</w:t>
            </w:r>
          </w:p>
        </w:tc>
        <w:tc>
          <w:tcPr>
            <w:tcW w:type="dxa" w:w="1440"/>
            <w:shd w:fill="FFDCE0" w:val="clear"/>
          </w:tcPr>
          <w:p>
            <w:r>
              <w:rPr>
                <w:sz w:val="17"/>
              </w:rPr>
              <w:t>2,839</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1,948</w:t>
            </w:r>
          </w:p>
        </w:tc>
        <w:tc>
          <w:tcPr>
            <w:tcW w:type="dxa" w:w="1440"/>
            <w:shd w:fill="FFDCE0" w:val="clear"/>
          </w:tcPr>
          <w:p>
            <w:r>
              <w:rPr>
                <w:b/>
                <w:sz w:val="17"/>
              </w:rPr>
              <w:t>2,398</w:t>
            </w:r>
          </w:p>
        </w:tc>
        <w:tc>
          <w:tcPr>
            <w:tcW w:type="dxa" w:w="1440"/>
            <w:shd w:fill="FFDCE0" w:val="clear"/>
          </w:tcPr>
          <w:p>
            <w:r>
              <w:rPr>
                <w:sz w:val="17"/>
              </w:rPr>
              <w:t>2,849</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1,913</w:t>
            </w:r>
          </w:p>
        </w:tc>
        <w:tc>
          <w:tcPr>
            <w:tcW w:type="dxa" w:w="1440"/>
            <w:shd w:fill="FFDCE0" w:val="clear"/>
          </w:tcPr>
          <w:p>
            <w:r>
              <w:rPr>
                <w:b/>
                <w:sz w:val="17"/>
              </w:rPr>
              <w:t>2,385</w:t>
            </w:r>
          </w:p>
        </w:tc>
        <w:tc>
          <w:tcPr>
            <w:tcW w:type="dxa" w:w="1440"/>
            <w:shd w:fill="FFDCE0" w:val="clear"/>
          </w:tcPr>
          <w:p>
            <w:r>
              <w:rPr>
                <w:sz w:val="17"/>
              </w:rPr>
              <w:t>2,857</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137,72 milliards FCFA, ce qui positionne le titre parmi les valeurs moyennes de la cote BRVM, avec une liquidité quotidienne modeste d'environ 16 303 titres échangés. Le BPA de 387 FCFA par action, rapporté au cours actuel de 2 530 FCFA, fait ressortir un PER de 6,5x, significativement inférieur à la moyenne du marché régional (8-12x), suggérant une sous-évaluation relative du titre. Le P/B de 1,77x indique que le marché valorise la société à près de 1,8 fois ses capitaux propres, un niveau raisonnable qui reflète une certaine confiance des investisseurs dans la qualité du bilan. En revanche, l'EV/EBITDA de 29,7x apparaît très exigeant, signalant que la valeur d'entreprise rapportée à la capacité opérationnelle est élevée, ce qui tempère l'attrait apparent du PER. Cette divergence entre un PER faible et un EV/EBITDA élevé s'explique par l'importance des éléments financiers dans la formation du résultat net, comme le révèlent les rapports récents.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SDSC affiche une progression totale de +21,63%, avec une accélération marquée lors de la dernière séance (+7,43%), portant le cours à 2 530 FCFA. Le titre a évolué dans une fourchette large de 1 650 à 2 820 FCFA, témoignant d'un intérêt soutenu des investisseurs malgré une volatilité annualisée élevée de 52,1%, caractéristique des valeurs moyennes de la BRVM. La moyenne du cours sur la période (2 110 FCFA) est supérieure à la médiane (1 980 FCFA), et le skewness positif de 0,582 indique que le cours a passé plus de journées sous la moyenne, avec des épisodes de hausse marqués. Le kurtosis négatif de -1,024 révèle une distribution platykurtique, c'est-à-dire une faible concentration des variations autour de la moyenne, réduisant le risque de mouvements extrêmes isolés. L'écart-type de 348 FCFA, soit un coefficient de variation de 16,5%, confirme une dispersion modérée du cours autour de sa moyenne, tandis que le mode à 1 920 FCFA indique le niveau de prix le plus fréquemment observé, bien en dessous du cours actuel, suggérant que la récente appréciation du titre est encore récente.</w:t>
      </w:r>
    </w:p>
    <w:p>
      <w:pPr>
        <w:spacing w:after="120" w:line="276" w:lineRule="auto" w:before="240"/>
      </w:pPr>
      <w:r>
        <w:rPr>
          <w:b/>
          <w:color w:val="003366"/>
          <w:sz w:val="24"/>
        </w:rPr>
        <w:t>**PARTIE 2 : ANALYSE TECHNIQUE DÉTAILLÉE**</w:t>
      </w:r>
    </w:p>
    <w:p>
      <w:pPr>
        <w:spacing w:after="120" w:line="276" w:lineRule="auto"/>
      </w:pPr>
      <w:r>
        <w:t>Les moyennes mobiles constituent le signal le plus favorable, avec une MM20 à 2 608,25 FCFA et une MM50 à 2 384,7 FCFA, toutes deux inférieures au cours actuel de 2 530 FCFA, ce qui confirme une dynamique haussière de moyen terme. La décision d'achat générée par cet indicateur est cohérente avec la tendance générale observée sur les 100 derniers jours, le cours évoluant au-dessus de ses principaux supports dynamiques.</w:t>
      </w:r>
    </w:p>
    <w:p>
      <w:pPr>
        <w:spacing w:after="120" w:line="276" w:lineRule="auto"/>
      </w:pPr>
      <w:r>
        <w:t>Les bandes de Bollinger, avec une borne supérieure à 2 992,55 FCFA et une borne inférieure à 2 223,95 FCFA, encadrent un cours positionné dans la partie médiane du canal, indiquant une volatilité normale sans situation de surachat ou de survente. La décision neutre reflète l'absence de signal directionnel fort, le titre disposant d'une marge de progression avant d'atteindre la borne supérieure.</w:t>
      </w:r>
    </w:p>
    <w:p>
      <w:pPr>
        <w:spacing w:after="120" w:line="276" w:lineRule="auto"/>
      </w:pPr>
      <w:r>
        <w:t>Le MACD affiche une valeur de 51,124 pour un signal à 94,913, la différence négative indiquant un momentum baissier à court terme malgré la tendance haussière de fond. La décision de vente générée par cet indicateur suggère une possible consolidation technique après la récente progression, les deux lignes évoluant encore au-dessus de zéro mais avec un écart qui se resserre.</w:t>
      </w:r>
    </w:p>
    <w:p>
      <w:pPr>
        <w:spacing w:after="120" w:line="276" w:lineRule="auto"/>
      </w:pPr>
      <w:r>
        <w:t>Le RSI à 40,306 se situe dans la zone neutre, sans signal de surachat ni de survente, indiquant que le titre dispose d'un potentiel haussier résiduel avant d'atteindre des niveaux considérés comme excessifs. La décision neutre est cohérente avec la position du cours dans ses bandes de Bollinger.</w:t>
      </w:r>
    </w:p>
    <w:p>
      <w:pPr>
        <w:spacing w:after="120" w:line="276" w:lineRule="auto"/>
      </w:pPr>
      <w:r>
        <w:t>Le stochastique, avec un %K à 37,634 et un %D à 12,545, montre un croisement haussier récent, le %K évoluant au-dessus du %D, ce qui pourrait signaler un début de reprise du momentum à très court terme. La décision neutre reflète toutefois la prudence nécessaire tant que le %K n'a pas franchi le seuil des 50.</w:t>
      </w:r>
    </w:p>
    <w:p>
      <w:pPr>
        <w:spacing w:after="120" w:line="276" w:lineRule="auto"/>
      </w:pPr>
      <w:r>
        <w:t>La conclusion technique de l'ensemble est mitigée : les moyennes mobiles plaident pour une poursuite de la tendance haussière, mais le MACD et la position dans les bandes de Bollinger suggèrent une phase de consolidation. Le croisement stochastique récent pourrait toutefois relancer le mouvement haussier à court terme, tandis que le RSI laisse une marge de progression avant toute zone de surachat.</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s'établit à 27,08%, largement au-dessus du seuil d'excellence de 15%, et le ROA à 11,2%, confirmant une utilisation efficace des actifs. La structure financière est saine avec une autonomie financière de 41,36% et une capacité de remboursement de seulement 0,56 année. Cependant, le délai clients de 467 jours constitue un risque de trésorerie majeur, partiellement compensé par un délai fournisseurs très favorable de 4 534 jours. Les rapports trimestriels 2025 révèlent une dégradation marquée : au T1 2025, le résultat net n'était que de 223 millions FCFA (contre une perte de 193 millions au T1 2024), et le S1 2025 s'est soldé par une perte de 427 millions FCFA, principalement due à l'absence de dividendes des filiales. Le rapport annuel provisoire 2025 (daté du 31 décembre 2025) confirme cette tendance avec un résultat net de seulement 785 millions FCFA, soit une marge nette de 0,85%, le résultat d'exploitation étant déficitaire à -2,271 milliards FCFA. La recommandation de conserver émise par l'analyse DeepSeek du 5 août 2026 s'appuie sur la solidité du bilan (capitaux propres de 72,8 milliards) et la croissance du CA (+7,43% en 2025), mais la chute de 89% du dividende et la faiblesse de la rentabilité opérationnelle justifient la prudence.</w:t>
      </w:r>
    </w:p>
    <w:p>
      <w:pPr>
        <w:spacing w:after="120" w:line="276" w:lineRule="auto" w:before="240"/>
      </w:pPr>
      <w:r>
        <w:rPr>
          <w:b/>
          <w:color w:val="003366"/>
          <w:sz w:val="24"/>
        </w:rPr>
        <w:t>**PARTIE 4 : CONCLUSION D'INVESTISSEMENT**</w:t>
      </w:r>
    </w:p>
    <w:p>
      <w:pPr>
        <w:spacing w:after="120" w:line="276" w:lineRule="auto"/>
      </w:pPr>
      <w:r>
        <w:t>La valorisation de SDSC présente un profil contrasté : un PER de 6,5x suggère une sous-évaluation, mais l'EV/EBITDA de 29,7x et la dégradation brutale de la rentabilité en 2025 (marge nette passant de 24,6% à 0,85%) tempèrent cet attrait. Le comportement du cours sur 100 jours (+21,63%) avec une volatilité élevée de 52,1% et une distribution platykurtique indique un titre spéculatif, soutenu par la récente accélération de la dernière séance (+7,43%). Les signaux techniques sont mitigés : les moyennes mobiles sont haussières, mais le MACD vendeur et le RSI neutre suggèrent une consolidation à court terme. Les fondamentaux montrent une entreprise dont l'activité opérationnelle propre est déficitaire en 2025, dépendante des dividendes de filiales pour rester bénéficiaire, bien que le bilan reste solide avec 74,7 milliards de trésorerie nette. Les prédictions IA pour les 10 prochains jours (baisse progressive de 2 519 à 2 454 FCFA) contredisent la tendance haussière récente et suggèrent un repli technique. La convergence entre la dégradation fondamentale, les signaux techniques mitigés et les prédictions baissières conduit à une recommandation de **CONSERVER** avec un niveau de confiance **moyen** et un risque global **élevé**. L'horizon d'investissement optimal serait le **moyen terme (3-12 mois)**, en attendant la confirmation d'un redressement des marges opérationnelles au premier semestre 2026 et une clarification de la politique de dividende.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(+28%) et l'am\u00e9lioration de la marge op\u00e9rationnelle d\u00e9montrent la solidit\u00e9 du mod\u00e8le \u00e9conomique. Cependant, la baisse des capitaux propres et la tr\u00e9sorerie nette n\u00e9gative n\u00e9cessitent un suivi attentif."}</w:t>
      </w:r>
    </w:p>
    <w:p>
      <w:pPr>
        <w:spacing w:before="40"/>
        <w:ind w:left="400"/>
      </w:pPr>
      <w:r>
        <w:rPr>
          <w:sz w:val="18"/>
        </w:rPr>
        <w:t>Africa Global Logistics (AGL) affiche une croissance solide avec un chiffre d'affaires en hausse de 8,8% à 86,997 milliards FCFA en 2022. Le résultat net progresse significativement de 28,0% pour atteindre 10,044 milliards FCFA, témoignant d'une amélioration de la rentabilité. La marge nette s'améliore à 11,5% contre 10,4% en 2021, reflétant une meilleure maîtrise des coûts opérationnels. Le total du bilan s'établit à 149,634 milliards FCFA avec des capitaux propres renforcés à 10,044 milliards FCFA. La situation financière apparaît solide avec une trésorerie nette négative réduite et des flux opérationnels positifs.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{'dettes_financieres': '9,708 milliards FCFA', 'creances_et_emplois': '96,934 milliards FCFA', 'immobilisations_corporelles': '30,089 milliards FCFA', 'flux_tresorerie_operationnels': '19,236 millions FCFA'}</w:t>
            </w:r>
          </w:p>
        </w:tc>
        <w:tc>
          <w:tcPr>
            <w:tcW w:type="dxa" w:w="2160"/>
          </w:tcPr>
          <w:p>
            <w:pPr>
              <w:ind w:left="100"/>
            </w:pPr>
            <w:r/>
            <w:r>
              <w:rPr>
                <w:b/>
                <w:sz w:val="16"/>
              </w:rPr>
              <w:t>dividende</w:t>
              <w:br/>
            </w:r>
            <w:r>
              <w:rPr>
                <w:sz w:val="18"/>
              </w:rPr>
              <w:t>5,008 milliards FCFA</w:t>
            </w:r>
          </w:p>
        </w:tc>
        <w:tc>
          <w:tcPr>
            <w:tcW w:type="dxa" w:w="2160"/>
          </w:tcPr>
          <w:p>
            <w:pPr>
              <w:ind w:left="100"/>
            </w:pPr>
            <w:r/>
            <w:r>
              <w:rPr>
                <w:b/>
                <w:sz w:val="16"/>
              </w:rPr>
              <w:t>marge_nette</w:t>
              <w:br/>
            </w:r>
            <w:r>
              <w:rPr>
                <w:sz w:val="18"/>
              </w:rPr>
              <w:t>11,5%</w:t>
            </w:r>
          </w:p>
        </w:tc>
        <w:tc>
          <w:tcPr>
            <w:tcW w:type="dxa" w:w="2160"/>
          </w:tcPr>
          <w:p>
            <w:pPr>
              <w:ind w:left="100"/>
            </w:pPr>
            <w:r/>
            <w:r>
              <w:rPr>
                <w:b/>
                <w:sz w:val="16"/>
              </w:rPr>
              <w:t>total_actif</w:t>
              <w:br/>
            </w:r>
            <w:r>
              <w:rPr>
                <w:sz w:val="18"/>
              </w:rPr>
              <w:t>149,634 milliards FCFA</w:t>
            </w:r>
          </w:p>
        </w:tc>
      </w:tr>
      <w:tr>
        <w:tc>
          <w:tcPr>
            <w:tcW w:type="dxa" w:w="2160"/>
          </w:tcPr>
          <w:p>
            <w:r/>
            <w:r>
              <w:rPr>
                <w:b/>
                <w:sz w:val="16"/>
              </w:rPr>
              <w:t>resultat_net</w:t>
              <w:br/>
            </w:r>
            <w:r>
              <w:rPr>
                <w:sz w:val="18"/>
              </w:rPr>
              <w:t>10,044 milliards FCFA</w:t>
            </w:r>
          </w:p>
        </w:tc>
        <w:tc>
          <w:tcPr>
            <w:tcW w:type="dxa" w:w="2160"/>
          </w:tcPr>
          <w:p>
            <w:r/>
            <w:r>
              <w:rPr>
                <w:b/>
                <w:sz w:val="16"/>
              </w:rPr>
              <w:t>capitaux_propres</w:t>
              <w:br/>
            </w:r>
            <w:r>
              <w:rPr>
                <w:sz w:val="18"/>
              </w:rPr>
              <w:t>10,044 milliards FCFA</w:t>
            </w:r>
          </w:p>
        </w:tc>
        <w:tc>
          <w:tcPr>
            <w:tcW w:type="dxa" w:w="2160"/>
          </w:tcPr>
          <w:p>
            <w:r/>
            <w:r>
              <w:rPr>
                <w:b/>
                <w:sz w:val="16"/>
              </w:rPr>
              <w:t>chiffre_affaires</w:t>
              <w:br/>
            </w:r>
            <w:r>
              <w:rPr>
                <w:sz w:val="18"/>
              </w:rPr>
              <w:t>86,997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8,8% à 86,997 milliards FCFA</w:t>
      </w:r>
    </w:p>
    <w:p>
      <w:pPr>
        <w:pStyle w:val="ListBullet"/>
        <w:spacing w:before="20" w:after="20"/>
        <w:ind w:left="700"/>
      </w:pPr>
      <w:r>
        <w:rPr>
          <w:sz w:val="18"/>
        </w:rPr>
        <w:t>Progression remarquable du résultat net de +28,0% à 10,044 milliards FCFA</w:t>
      </w:r>
    </w:p>
    <w:p>
      <w:pPr>
        <w:pStyle w:val="ListBullet"/>
        <w:spacing w:before="20" w:after="20"/>
        <w:ind w:left="700"/>
      </w:pPr>
      <w:r>
        <w:rPr>
          <w:sz w:val="18"/>
        </w:rPr>
        <w:t>Amélioration de la marge nette de 10,4% à 11,5%</w:t>
      </w:r>
    </w:p>
    <w:p>
      <w:pPr>
        <w:pStyle w:val="ListBullet"/>
        <w:spacing w:before="20" w:after="20"/>
        <w:ind w:left="700"/>
      </w:pPr>
      <w:r>
        <w:rPr>
          <w:sz w:val="18"/>
        </w:rPr>
        <w:t>Total actif stable à 149,634 milliards FCFA</w:t>
      </w:r>
    </w:p>
    <w:p>
      <w:pPr>
        <w:pStyle w:val="ListBullet"/>
        <w:spacing w:before="20" w:after="20"/>
        <w:ind w:left="700"/>
      </w:pPr>
      <w:r>
        <w:rPr>
          <w:sz w:val="18"/>
        </w:rPr>
        <w:t>Capitaux propres en baisse à 10,044 milliards FCFA contre 13,942 milliards FCFA</w:t>
      </w:r>
    </w:p>
    <w:p>
      <w:pPr>
        <w:pStyle w:val="ListBullet"/>
        <w:spacing w:before="20" w:after="20"/>
        <w:ind w:left="700"/>
      </w:pPr>
      <w:r>
        <w:rPr>
          <w:sz w:val="18"/>
        </w:rPr>
        <w:t>Trésorerie nette négative améliorée de -5,671 millions FCFA contre -4,353 millions FCFA précédemment</w:t>
      </w:r>
    </w:p>
    <w:p>
      <w:pPr>
        <w:spacing w:before="40"/>
        <w:ind w:left="400"/>
      </w:pPr>
      <w:r>
        <w:rPr>
          <w:b/>
          <w:color w:val="C05000"/>
          <w:sz w:val="18"/>
        </w:rPr>
        <w:t xml:space="preserve">⚠️ Risques : </w:t>
      </w:r>
      <w:r>
        <w:rPr>
          <w:sz w:val="18"/>
        </w:rPr>
        <w:t>["Tr\u00e9sorerie nette n\u00e9gative malgr\u00e9 l'am\u00e9lioration, pouvant limiter la flexibilit\u00e9 financi\u00e8re", "Baisse significative des capitaux propres de 13,942 \u00e0 10,044 milliards FCFA", "Forte d\u00e9pendance aux cr\u00e9ances clients avec 96,934 milliards FCFA d'encours"]</w:t>
      </w:r>
    </w:p>
    <w:p>
      <w:pPr>
        <w:spacing w:before="40"/>
        <w:ind w:left="400"/>
      </w:pPr>
      <w:r>
        <w:rPr>
          <w:b/>
          <w:color w:val="0064A0"/>
          <w:sz w:val="18"/>
        </w:rPr>
        <w:t xml:space="preserve">🔮 Perspectives : </w:t>
      </w:r>
      <w:r>
        <w:rPr>
          <w:sz w:val="18"/>
        </w:rPr>
        <w:t>Les perspectives restent favorables avec une dynamique de croissance maintenue et une rentabilité en amélioration continue. L'entreprise devrait poursuivre sa stratégie de développement tout en consolidant sa structure financière. La capacité à générer des flux opérationnels positifs constitue un at</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36.40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5,081 titres</w:t>
            </w:r>
          </w:p>
        </w:tc>
        <w:tc>
          <w:tcPr>
            <w:tcW w:type="dxa" w:w="2268"/>
            <w:shd w:fill="FFF2CC" w:val="clear"/>
          </w:tcPr>
          <w:p>
            <w:r>
              <w:rPr>
                <w:b/>
                <w:color w:val="503200"/>
                <w:sz w:val="16"/>
              </w:rPr>
              <w:t xml:space="preserve">Cours actuel : </w:t>
            </w:r>
            <w:r>
              <w:rPr>
                <w:color w:val="000000"/>
                <w:sz w:val="17"/>
              </w:rPr>
              <w:t>1,445 FCFA</w:t>
            </w:r>
          </w:p>
          <w:p>
            <w:r>
              <w:rPr>
                <w:b/>
                <w:color w:val="503200"/>
                <w:sz w:val="16"/>
              </w:rPr>
              <w:t xml:space="preserve">Var. 100 jours : </w:t>
            </w:r>
            <w:r>
              <w:rPr>
                <w:b/>
                <w:color w:val="B40000"/>
                <w:sz w:val="17"/>
              </w:rPr>
              <w:t>-32.32%</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13.13% (Moyenne) — μ=1,641 FCFA, σ=215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β=0.7276 (Défensif) — Cov=0.000026, Var(idx)=0.000036, ρ=0.136,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1,357</w:t>
            </w:r>
          </w:p>
        </w:tc>
        <w:tc>
          <w:tcPr>
            <w:tcW w:type="dxa" w:w="1440"/>
            <w:shd w:fill="FAFAFA" w:val="clear"/>
          </w:tcPr>
          <w:p>
            <w:r>
              <w:rPr>
                <w:b/>
                <w:sz w:val="17"/>
              </w:rPr>
              <w:t>1,423</w:t>
            </w:r>
          </w:p>
        </w:tc>
        <w:tc>
          <w:tcPr>
            <w:tcW w:type="dxa" w:w="1440"/>
            <w:shd w:fill="FAFAFA" w:val="clear"/>
          </w:tcPr>
          <w:p>
            <w:r>
              <w:rPr>
                <w:sz w:val="17"/>
              </w:rPr>
              <w:t>1,489</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1,318</w:t>
            </w:r>
          </w:p>
        </w:tc>
        <w:tc>
          <w:tcPr>
            <w:tcW w:type="dxa" w:w="1440"/>
            <w:shd w:fill="FFDCE0" w:val="clear"/>
          </w:tcPr>
          <w:p>
            <w:r>
              <w:rPr>
                <w:b/>
                <w:sz w:val="17"/>
              </w:rPr>
              <w:t>1,410</w:t>
            </w:r>
          </w:p>
        </w:tc>
        <w:tc>
          <w:tcPr>
            <w:tcW w:type="dxa" w:w="1440"/>
            <w:shd w:fill="FFDCE0" w:val="clear"/>
          </w:tcPr>
          <w:p>
            <w:r>
              <w:rPr>
                <w:sz w:val="17"/>
              </w:rPr>
              <w:t>1,503</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1,284</w:t>
            </w:r>
          </w:p>
        </w:tc>
        <w:tc>
          <w:tcPr>
            <w:tcW w:type="dxa" w:w="1440"/>
            <w:shd w:fill="FFDCE0" w:val="clear"/>
          </w:tcPr>
          <w:p>
            <w:r>
              <w:rPr>
                <w:b/>
                <w:sz w:val="17"/>
              </w:rPr>
              <w:t>1,397</w:t>
            </w:r>
          </w:p>
        </w:tc>
        <w:tc>
          <w:tcPr>
            <w:tcW w:type="dxa" w:w="1440"/>
            <w:shd w:fill="FFDCE0" w:val="clear"/>
          </w:tcPr>
          <w:p>
            <w:r>
              <w:rPr>
                <w:sz w:val="17"/>
              </w:rPr>
              <w:t>1,510</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1,255</w:t>
            </w:r>
          </w:p>
        </w:tc>
        <w:tc>
          <w:tcPr>
            <w:tcW w:type="dxa" w:w="1440"/>
            <w:shd w:fill="FFDCE0" w:val="clear"/>
          </w:tcPr>
          <w:p>
            <w:r>
              <w:rPr>
                <w:b/>
                <w:sz w:val="17"/>
              </w:rPr>
              <w:t>1,384</w:t>
            </w:r>
          </w:p>
        </w:tc>
        <w:tc>
          <w:tcPr>
            <w:tcW w:type="dxa" w:w="1440"/>
            <w:shd w:fill="FFDCE0" w:val="clear"/>
          </w:tcPr>
          <w:p>
            <w:r>
              <w:rPr>
                <w:sz w:val="17"/>
              </w:rPr>
              <w:t>1,513</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1,228</w:t>
            </w:r>
          </w:p>
        </w:tc>
        <w:tc>
          <w:tcPr>
            <w:tcW w:type="dxa" w:w="1440"/>
            <w:shd w:fill="FFDCE0" w:val="clear"/>
          </w:tcPr>
          <w:p>
            <w:r>
              <w:rPr>
                <w:b/>
                <w:sz w:val="17"/>
              </w:rPr>
              <w:t>1,371</w:t>
            </w:r>
          </w:p>
        </w:tc>
        <w:tc>
          <w:tcPr>
            <w:tcW w:type="dxa" w:w="1440"/>
            <w:shd w:fill="FFDCE0" w:val="clear"/>
          </w:tcPr>
          <w:p>
            <w:r>
              <w:rPr>
                <w:sz w:val="17"/>
              </w:rPr>
              <w:t>1,514</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1,203</w:t>
            </w:r>
          </w:p>
        </w:tc>
        <w:tc>
          <w:tcPr>
            <w:tcW w:type="dxa" w:w="1440"/>
            <w:shd w:fill="FFDCE0" w:val="clear"/>
          </w:tcPr>
          <w:p>
            <w:r>
              <w:rPr>
                <w:b/>
                <w:sz w:val="17"/>
              </w:rPr>
              <w:t>1,358</w:t>
            </w:r>
          </w:p>
        </w:tc>
        <w:tc>
          <w:tcPr>
            <w:tcW w:type="dxa" w:w="1440"/>
            <w:shd w:fill="FFDCE0" w:val="clear"/>
          </w:tcPr>
          <w:p>
            <w:r>
              <w:rPr>
                <w:sz w:val="17"/>
              </w:rPr>
              <w:t>1,513</w:t>
            </w:r>
          </w:p>
        </w:tc>
        <w:tc>
          <w:tcPr>
            <w:tcW w:type="dxa" w:w="1440"/>
            <w:shd w:fill="FFDCE0" w:val="clear"/>
          </w:tcPr>
          <w:p>
            <w:r>
              <w:rPr>
                <w:b/>
                <w:color w:val="C00000"/>
                <w:sz w:val="17"/>
              </w:rPr>
              <w:t>-6.0%</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1,180</w:t>
            </w:r>
          </w:p>
        </w:tc>
        <w:tc>
          <w:tcPr>
            <w:tcW w:type="dxa" w:w="1440"/>
            <w:shd w:fill="FFDCE0" w:val="clear"/>
          </w:tcPr>
          <w:p>
            <w:r>
              <w:rPr>
                <w:b/>
                <w:sz w:val="17"/>
              </w:rPr>
              <w:t>1,345</w:t>
            </w:r>
          </w:p>
        </w:tc>
        <w:tc>
          <w:tcPr>
            <w:tcW w:type="dxa" w:w="1440"/>
            <w:shd w:fill="FFDCE0" w:val="clear"/>
          </w:tcPr>
          <w:p>
            <w:r>
              <w:rPr>
                <w:sz w:val="17"/>
              </w:rPr>
              <w:t>1,511</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1,158</w:t>
            </w:r>
          </w:p>
        </w:tc>
        <w:tc>
          <w:tcPr>
            <w:tcW w:type="dxa" w:w="1440"/>
            <w:shd w:fill="FFDCE0" w:val="clear"/>
          </w:tcPr>
          <w:p>
            <w:r>
              <w:rPr>
                <w:b/>
                <w:sz w:val="17"/>
              </w:rPr>
              <w:t>1,333</w:t>
            </w:r>
          </w:p>
        </w:tc>
        <w:tc>
          <w:tcPr>
            <w:tcW w:type="dxa" w:w="1440"/>
            <w:shd w:fill="FFDCE0" w:val="clear"/>
          </w:tcPr>
          <w:p>
            <w:r>
              <w:rPr>
                <w:sz w:val="17"/>
              </w:rPr>
              <w:t>1,509</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1,137</w:t>
            </w:r>
          </w:p>
        </w:tc>
        <w:tc>
          <w:tcPr>
            <w:tcW w:type="dxa" w:w="1440"/>
            <w:shd w:fill="FFDCE0" w:val="clear"/>
          </w:tcPr>
          <w:p>
            <w:r>
              <w:rPr>
                <w:b/>
                <w:sz w:val="17"/>
              </w:rPr>
              <w:t>1,321</w:t>
            </w:r>
          </w:p>
        </w:tc>
        <w:tc>
          <w:tcPr>
            <w:tcW w:type="dxa" w:w="1440"/>
            <w:shd w:fill="FFDCE0" w:val="clear"/>
          </w:tcPr>
          <w:p>
            <w:r>
              <w:rPr>
                <w:sz w:val="17"/>
              </w:rPr>
              <w:t>1,506</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1,117</w:t>
            </w:r>
          </w:p>
        </w:tc>
        <w:tc>
          <w:tcPr>
            <w:tcW w:type="dxa" w:w="1440"/>
            <w:shd w:fill="FFDCE0" w:val="clear"/>
          </w:tcPr>
          <w:p>
            <w:r>
              <w:rPr>
                <w:b/>
                <w:sz w:val="17"/>
              </w:rPr>
              <w:t>1,310</w:t>
            </w:r>
          </w:p>
        </w:tc>
        <w:tc>
          <w:tcPr>
            <w:tcW w:type="dxa" w:w="1440"/>
            <w:shd w:fill="FFDCE0" w:val="clear"/>
          </w:tcPr>
          <w:p>
            <w:r>
              <w:rPr>
                <w:sz w:val="17"/>
              </w:rPr>
              <w:t>1,503</w:t>
            </w:r>
          </w:p>
        </w:tc>
        <w:tc>
          <w:tcPr>
            <w:tcW w:type="dxa" w:w="1440"/>
            <w:shd w:fill="FFDCE0" w:val="clear"/>
          </w:tcPr>
          <w:p>
            <w:r>
              <w:rPr>
                <w:b/>
                <w:color w:val="C00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le rapport d'analyse structuré pour l'action SEMC,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36,40 milliards FCFA, un niveau modeste qui la classe parmi les valeurs de taille moyenne sur la BRVM. Les ratios de valorisation (BPA, PER, P/B, EV/EBITDA) ne sont pas calculables en raison de l'absence de données financières structurées dans la base de données. Cette lacune est regrettable, car elle prive l'investisseur d'une comparaison directe avec les moyennes du marché (PER BRVM ~8-12x). Toutefois, sur la base des rapports annuels disponibles, nous pouvons estimer un BPA historique d'environ 40 FCFA pour l'exercice 2023, ce qui, au cours actuel de 1 445 FCFA, impliquerait un PER d'environ 36x, très supérieur à la moyenne du marché, signalant une décote de croissance ou une anticipation de rebond importante. La capitalisation actuelle reflète une phase de transition et de doute du marché sur la capacité de l'entreprise à se redresser.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subi une dépréciation massive de -32,32%, avec une légère baisse de -0,34% lors de la dernière séance, confirmant une pression vendeuse persistante. Le titre a évolué dans un large range de 1 350 FCFA (plus bas) à 2 265 FCFA (plus haut), illustrant une forte amplitude de trading. La tendance est clairement baissière. Les statistiques descriptives confirment cette faiblesse : la moyenne (1 641 FCFA) est supérieure à la médiane (1 555 FCFA), et le skewness positif (1.090) indique que le cours a passé plus de temps sous sa moyenne, ce qui est un signe de distribution. L'écart-type de 217 FCFA (CV=13,2%) montre une dispersion modérée, mais la volatilité annualisée de 51,6% est extrêmement élevée (&gt;30%), signalant un risque majeur. Le kurtosis proche de zéro (-0.011) suggère une distribution normale des rendements, sans pic de volatilité inhabituel, mais la tendance de fond reste résolument négative.</w:t>
      </w:r>
    </w:p>
    <w:p>
      <w:pPr>
        <w:spacing w:after="120" w:line="276" w:lineRule="auto"/>
      </w:pPr>
      <w:r>
        <w:t>---</w:t>
      </w:r>
    </w:p>
    <w:p>
      <w:pPr>
        <w:spacing w:after="120" w:line="276" w:lineRule="auto"/>
      </w:pPr>
      <w:r>
        <w:t>### **PARTIE 2 : ANALYSE TECHNIQUE DÉTAILLÉE**</w:t>
      </w:r>
    </w:p>
    <w:p>
      <w:pPr>
        <w:spacing w:after="120" w:line="276" w:lineRule="auto"/>
      </w:pPr>
      <w:r>
        <w:t>**Moyennes Mobiles (MM20=1477.25, MM50=1520.7) :** Le cours actuel (1 445 FCFA) est inférieur à ses deux moyennes mobiles principales. La MM20 est également sous la MM50, formant une configuration baissière classique. Cette dynamique confirme la tendance négative de fond et justifie la décision de **Vente**.</w:t>
      </w:r>
    </w:p>
    <w:p>
      <w:pPr>
        <w:spacing w:after="120" w:line="276" w:lineRule="auto"/>
      </w:pPr>
      <w:r>
        <w:t>**Bandes de Bollinger (Borne sup=1549.7, Borne inf=1404.8) :** Le prix se situe dans la partie inférieure des bandes, proche de la borne basse. Cela indique que le titre est survendu à court terme, mais la pente des bandes suggère une volatilité toujours élevée. La position du prix ne signale pas de retournement imminent, d'où une décision **Neutre**.</w:t>
      </w:r>
    </w:p>
    <w:p>
      <w:pPr>
        <w:spacing w:after="120" w:line="276" w:lineRule="auto"/>
      </w:pPr>
      <w:r>
        <w:t>**MACD (Valeur=-11.362, Signal=-11.135) :** Le MACD est négatif et se situe sous sa ligne de signal. Bien que l'écart soit faible, cette configuration indique un momentum baissier persistant. La dynamique ne montre aucun signe de convergence positive, justifiant la décision de **Vente**.</w:t>
      </w:r>
    </w:p>
    <w:p>
      <w:pPr>
        <w:spacing w:after="120" w:line="276" w:lineRule="auto"/>
      </w:pPr>
      <w:r>
        <w:t>**RSI (Valeur=43.678) :** Le RSI est en zone neutre (entre 30 et 70), mais sa valeur proche de 40 indique une faiblesse relative. Il n'est pas en survente, ce qui signifie qu'il y a encore de la place pour une baisse avant qu'un rebond technique ne soit envisageable. La décision est **Neutre**.</w:t>
      </w:r>
    </w:p>
    <w:p>
      <w:pPr>
        <w:spacing w:after="120" w:line="276" w:lineRule="auto"/>
      </w:pPr>
      <w:r>
        <w:t>**Stochastique (%K=31.818, %D=43.939) :** Le %K est inférieur à %D, et les deux sont sous le seuil de 50, ce qui est un signal baissier. Le croisement baissier récent suggère que la pression vendeuse n'est pas terminée. La décision est **Neutre**, mais avec un biais négatif.</w:t>
      </w:r>
    </w:p>
    <w:p>
      <w:pPr>
        <w:spacing w:after="120" w:line="276" w:lineRule="auto"/>
      </w:pPr>
      <w:r>
        <w:t>**Conclusion technique :** L'ensemble des indicateurs techniques converge vers un signal de vente ou de neutralité avec un biais baissier. La tendance est clairement négative, le momentum est faible, et le titre ne montre aucun signe de retournement majeur. La pression vendeuse reste dominante, et il est prudent d'attendre des signaux de retournement plus forts avant d'envisager toute position acheteuse.</w:t>
      </w:r>
    </w:p>
    <w:p>
      <w:pPr>
        <w:spacing w:after="120" w:line="276" w:lineRule="auto"/>
      </w:pPr>
      <w:r>
        <w:t>---</w:t>
      </w:r>
    </w:p>
    <w:p>
      <w:pPr>
        <w:spacing w:after="120" w:line="276" w:lineRule="auto"/>
      </w:pPr>
      <w:r>
        <w:t>### **PARTIE 3 : ANALYSE FONDAMENTALE (SECTION CRITIQUE)**</w:t>
      </w:r>
    </w:p>
    <w:p>
      <w:pPr>
        <w:spacing w:after="120" w:line="276" w:lineRule="auto"/>
      </w:pPr>
      <w:r>
        <w:t>L'analyse fondamentale s'appuie sur les rapports annuels disponibles, bien qu'ils soient antérieurs à 2025. Le rapport de l'exercice 2023 (publié le 31/12/2024) fait état d'un **chiffre d'affaires de 27,88 milliards FCFA**, en baisse de 6% par rapport à 2022 (29,60 milliards FCFA). Le **résultat net a chuté de 74%** pour s'établir à 1,01 milliard FCFA, contre 3,86 milliards FCFA en 2022. Cette dégradation s'explique par une perte de clients clés (AIRONE), une baisse des volumes et une pression sur les coûts. La marge nette s'est effondrée à 3,6% (vs 13% en 2022). Aucun dividende n'a été distribué. Le rapport du 1er trimestre 2023 (publié le 31/12/2023) montrait pourtant une dynamique positive avec un CA de 7,65 milliards FCFA (+16,5%) et un bénéfice net de 855 millions FCFA (+37,9%), suggérant une amélioration qui ne s'est pas concrétisée sur l'ensemble de l'année. Les rapports de 2022 mentionnent des chiffres consolidés différents (CA de 125,4 milliards FCFA), mais semblent incohérents avec les données sociales de 2023, indiquant un périmètre ou une source différente. L'entreprise traverse une phase de transition avec le rachat par Sonoco Products Company, ce qui pourrait apporter des capitaux et une expertise, mais aussi une réorganisation. Les perspectives de rebond en 2024 (objectif de CA de 32 milliards FCFA) sont ambitieuses mais risquées. La recommandation fondamentale est de **CONSERVER avec vigilance**, compte tenu de la fragilité de la rentabilité et des incertitudes stratégiques.</w:t>
      </w:r>
    </w:p>
    <w:p>
      <w:pPr>
        <w:spacing w:after="120" w:line="276" w:lineRule="auto"/>
      </w:pPr>
      <w:r>
        <w:t>---</w:t>
      </w:r>
    </w:p>
    <w:p>
      <w:pPr>
        <w:spacing w:after="120" w:line="276" w:lineRule="auto"/>
      </w:pPr>
      <w:r>
        <w:t>### **PARTIE 4 : CONCLUSION D'INVESTISSEMENT**</w:t>
      </w:r>
    </w:p>
    <w:p>
      <w:pPr>
        <w:spacing w:after="120" w:line="276" w:lineRule="auto"/>
      </w:pPr>
      <w:r>
        <w:t>La synthèse globale est fortement baissière. La valorisation, bien que non calculable précisément, suggère un PER élevé sur des bénéfices en chute libre, indiquant une possible surévaluation. Le comportement du cours est préoccupant avec une tendance baissière marquée et une volatilité extrême. Les signaux techniques sont convergents vers une poursuite de la baisse, sans signe de retournement. Les fondamentaux sont fragiles, avec une rentabilité en forte dégradation et des perspectives incertaines malgré un potentiel de rebond. Les prédictions IA pour les 10 prochains jours (1 423 à 1 371 FCFA) confirment cette trajectoire baissière, anticipant une poursuite du déclin. Face à cette convergence de signaux négatifs entre la technique, le momentum et les prédictions, et malgré des fondamentaux en transition, la recommandation finale est **VENTE**. Le niveau de confiance est **Moyen**, car un retournement pourrait être provoqué par des nouvelles positives sur le plan stratégique (rachat par Sonoco). Le niveau de risque global est **Élevé** en raison de la volatilité et de l'incertitude. L'horizon d'investissement optimal est le **court terme (&lt;3 mois)** pour les investisseurs cherchant à limiter leurs pertes, ou une attente à moyen terme pour observer les premiers effets du plan de relance.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4,417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+8.57%</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μ=36,485 FCFA, σ=2,065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β=0.5344 (Défensif) — Cov=0.000019, Var(idx)=0.000036, ρ=0.214,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36,946</w:t>
            </w:r>
          </w:p>
        </w:tc>
        <w:tc>
          <w:tcPr>
            <w:tcW w:type="dxa" w:w="1440"/>
            <w:shd w:fill="FAFAFA" w:val="clear"/>
          </w:tcPr>
          <w:p>
            <w:r>
              <w:rPr>
                <w:b/>
                <w:sz w:val="17"/>
              </w:rPr>
              <w:t>37,704</w:t>
            </w:r>
          </w:p>
        </w:tc>
        <w:tc>
          <w:tcPr>
            <w:tcW w:type="dxa" w:w="1440"/>
            <w:shd w:fill="FAFAFA" w:val="clear"/>
          </w:tcPr>
          <w:p>
            <w:r>
              <w:rPr>
                <w:sz w:val="17"/>
              </w:rPr>
              <w:t>38,461</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36,557</w:t>
            </w:r>
          </w:p>
        </w:tc>
        <w:tc>
          <w:tcPr>
            <w:tcW w:type="dxa" w:w="1440"/>
            <w:shd w:fill="FAFAFA" w:val="clear"/>
          </w:tcPr>
          <w:p>
            <w:r>
              <w:rPr>
                <w:b/>
                <w:sz w:val="17"/>
              </w:rPr>
              <w:t>37,627</w:t>
            </w:r>
          </w:p>
        </w:tc>
        <w:tc>
          <w:tcPr>
            <w:tcW w:type="dxa" w:w="1440"/>
            <w:shd w:fill="FAFAFA" w:val="clear"/>
          </w:tcPr>
          <w:p>
            <w:r>
              <w:rPr>
                <w:sz w:val="17"/>
              </w:rPr>
              <w:t>38,696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36,238</w:t>
            </w:r>
          </w:p>
        </w:tc>
        <w:tc>
          <w:tcPr>
            <w:tcW w:type="dxa" w:w="1440"/>
            <w:shd w:fill="FAFAFA" w:val="clear"/>
          </w:tcPr>
          <w:p>
            <w:r>
              <w:rPr>
                <w:b/>
                <w:sz w:val="17"/>
              </w:rPr>
              <w:t>37,544</w:t>
            </w:r>
          </w:p>
        </w:tc>
        <w:tc>
          <w:tcPr>
            <w:tcW w:type="dxa" w:w="1440"/>
            <w:shd w:fill="FAFAFA" w:val="clear"/>
          </w:tcPr>
          <w:p>
            <w:r>
              <w:rPr>
                <w:sz w:val="17"/>
              </w:rPr>
              <w:t>38,851</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35,960</w:t>
            </w:r>
          </w:p>
        </w:tc>
        <w:tc>
          <w:tcPr>
            <w:tcW w:type="dxa" w:w="1440"/>
            <w:shd w:fill="FAFAFA" w:val="clear"/>
          </w:tcPr>
          <w:p>
            <w:r>
              <w:rPr>
                <w:b/>
                <w:sz w:val="17"/>
              </w:rPr>
              <w:t>37,465</w:t>
            </w:r>
          </w:p>
        </w:tc>
        <w:tc>
          <w:tcPr>
            <w:tcW w:type="dxa" w:w="1440"/>
            <w:shd w:fill="FAFAFA" w:val="clear"/>
          </w:tcPr>
          <w:p>
            <w:r>
              <w:rPr>
                <w:sz w:val="17"/>
              </w:rPr>
              <w:t>38,971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35,710</w:t>
            </w:r>
          </w:p>
        </w:tc>
        <w:tc>
          <w:tcPr>
            <w:tcW w:type="dxa" w:w="1440"/>
            <w:shd w:fill="FAFAFA" w:val="clear"/>
          </w:tcPr>
          <w:p>
            <w:r>
              <w:rPr>
                <w:b/>
                <w:sz w:val="17"/>
              </w:rPr>
              <w:t>37,390</w:t>
            </w:r>
          </w:p>
        </w:tc>
        <w:tc>
          <w:tcPr>
            <w:tcW w:type="dxa" w:w="1440"/>
            <w:shd w:fill="FAFAFA" w:val="clear"/>
          </w:tcPr>
          <w:p>
            <w:r>
              <w:rPr>
                <w:sz w:val="17"/>
              </w:rPr>
              <w:t>39,069</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35,479</w:t>
            </w:r>
          </w:p>
        </w:tc>
        <w:tc>
          <w:tcPr>
            <w:tcW w:type="dxa" w:w="1440"/>
            <w:shd w:fill="FAFAFA" w:val="clear"/>
          </w:tcPr>
          <w:p>
            <w:r>
              <w:rPr>
                <w:b/>
                <w:sz w:val="17"/>
              </w:rPr>
              <w:t>37,316</w:t>
            </w:r>
          </w:p>
        </w:tc>
        <w:tc>
          <w:tcPr>
            <w:tcW w:type="dxa" w:w="1440"/>
            <w:shd w:fill="FAFAFA" w:val="clear"/>
          </w:tcPr>
          <w:p>
            <w:r>
              <w:rPr>
                <w:sz w:val="17"/>
              </w:rPr>
              <w:t>39,152</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35,264</w:t>
            </w:r>
          </w:p>
        </w:tc>
        <w:tc>
          <w:tcPr>
            <w:tcW w:type="dxa" w:w="1440"/>
            <w:shd w:fill="FAFAFA" w:val="clear"/>
          </w:tcPr>
          <w:p>
            <w:r>
              <w:rPr>
                <w:b/>
                <w:sz w:val="17"/>
              </w:rPr>
              <w:t>37,244</w:t>
            </w:r>
          </w:p>
        </w:tc>
        <w:tc>
          <w:tcPr>
            <w:tcW w:type="dxa" w:w="1440"/>
            <w:shd w:fill="FAFAFA" w:val="clear"/>
          </w:tcPr>
          <w:p>
            <w:r>
              <w:rPr>
                <w:sz w:val="17"/>
              </w:rPr>
              <w:t>39,224</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35,061</w:t>
            </w:r>
          </w:p>
        </w:tc>
        <w:tc>
          <w:tcPr>
            <w:tcW w:type="dxa" w:w="1440"/>
            <w:shd w:fill="FFDCE0" w:val="clear"/>
          </w:tcPr>
          <w:p>
            <w:r>
              <w:rPr>
                <w:b/>
                <w:sz w:val="17"/>
              </w:rPr>
              <w:t>37,174</w:t>
            </w:r>
          </w:p>
        </w:tc>
        <w:tc>
          <w:tcPr>
            <w:tcW w:type="dxa" w:w="1440"/>
            <w:shd w:fill="FFDCE0" w:val="clear"/>
          </w:tcPr>
          <w:p>
            <w:r>
              <w:rPr>
                <w:sz w:val="17"/>
              </w:rPr>
              <w:t>39,286</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34,868</w:t>
            </w:r>
          </w:p>
        </w:tc>
        <w:tc>
          <w:tcPr>
            <w:tcW w:type="dxa" w:w="1440"/>
            <w:shd w:fill="FFDCE0" w:val="clear"/>
          </w:tcPr>
          <w:p>
            <w:r>
              <w:rPr>
                <w:b/>
                <w:sz w:val="17"/>
              </w:rPr>
              <w:t>37,104</w:t>
            </w:r>
          </w:p>
        </w:tc>
        <w:tc>
          <w:tcPr>
            <w:tcW w:type="dxa" w:w="1440"/>
            <w:shd w:fill="FFDCE0" w:val="clear"/>
          </w:tcPr>
          <w:p>
            <w:r>
              <w:rPr>
                <w:sz w:val="17"/>
              </w:rPr>
              <w:t>39,341</w:t>
            </w:r>
          </w:p>
        </w:tc>
        <w:tc>
          <w:tcPr>
            <w:tcW w:type="dxa" w:w="1440"/>
            <w:shd w:fill="FFDCE0" w:val="clear"/>
          </w:tcPr>
          <w:p>
            <w:r>
              <w:rPr>
                <w:b/>
                <w:color w:val="C00000"/>
                <w:sz w:val="17"/>
              </w:rPr>
              <w:t>-2.4%</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34,683</w:t>
            </w:r>
          </w:p>
        </w:tc>
        <w:tc>
          <w:tcPr>
            <w:tcW w:type="dxa" w:w="1440"/>
            <w:shd w:fill="FFDCE0" w:val="clear"/>
          </w:tcPr>
          <w:p>
            <w:r>
              <w:rPr>
                <w:b/>
                <w:sz w:val="17"/>
              </w:rPr>
              <w:t>37,036</w:t>
            </w:r>
          </w:p>
        </w:tc>
        <w:tc>
          <w:tcPr>
            <w:tcW w:type="dxa" w:w="1440"/>
            <w:shd w:fill="FFDCE0" w:val="clear"/>
          </w:tcPr>
          <w:p>
            <w:r>
              <w:rPr>
                <w:sz w:val="17"/>
              </w:rPr>
              <w:t>39,390</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1 182,22 milliards FCFA, ce qui en fait l'une des plus importantes capitalisations de la BRVM, reflétant son statut de leader bancaire régional. Le BPA de 3 258 FCFA indique que chaque action génère un bénéfice substantiel, justifiant un PER de 11,7x. Ce ratio se situe dans la fourchette haute de la moyenne BRVM (8-12x), indiquant que les investisseurs paient un prix raisonnable, voire légèrement premium, pour les bénéfices de la banque. Le P/B de 2,39x montre que le marché valorise l'action à plus du double de sa valeur comptable, une prime de croissance accordée pour sa rentabilité supérieure. Enfin, l'EV/EBITDA de 24,5x est très exigeant, signalant que la valeur totale de l'entreprise (dette incluse) est élevée par rapport à sa capacité opérationnelle, ce qui peut refléter des attentes de croissance future importantes.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solide de +8,57%, avec une dernière séance en légère hausse de +0,25% à 38 000 FCFA. Le titre a évolué dans un range de trading de 32 800 FCFA (plus bas) à 39 200 FCFA (plus haut), démontrant une amplitude de fluctuation notable. La moyenne du cours sur la période est de 36 485 FCFA, légèrement inférieure à la médiane de 36 965 FCFA, ce qui suggère une distribution quasi symétrique avec une légère concentration des valeurs vers le bas. L'écart-type de 2 075 FCFA, avec un coefficient de variation de 5,7%, indique une dispersion modérée autour de la moyenne. Le kurtosis négatif (-1.405) confirme une distribution platykurtique, signifiant une faible probabilité de mouvements extrêmes, tandis que le skewness de -0.206, proche de zéro, confirme la symétrie de la distribution. La volatilité annualisée de 24,2% classe le titre dans la catégorie modérée (15-30%), indiquant un risque de marché acceptable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38 000 FCFA est inférieur à la MM20 (38 101,75 FCFA) et à la MM50 (38 357,2 FCFA), signalant une dynamique baissière à court et moyen terme. La décision de "Vente" est justifiée par cette configuration où le prix évolue sous ses moyennes mobiles clés, indiquant une pression vendeuse persistante.</w:t>
      </w:r>
    </w:p>
    <w:p>
      <w:pPr>
        <w:spacing w:after="120" w:line="276" w:lineRule="auto"/>
      </w:pPr>
      <w:r>
        <w:t>**Bandes de Bollinger** : Le prix se situe à 38 000 FCFA, proche de la borne inférieure (37 512,95 FCFA) et loin de la borne supérieure (38 690,55 FCFA). Cette position suggère une volatilité modérée avec un potentiel de rebond technique. La décision "Neutre" reflète l'absence de signal directionnel fort, le prix n'ayant pas encore atteint les extrêmes des bandes.</w:t>
      </w:r>
    </w:p>
    <w:p>
      <w:pPr>
        <w:spacing w:after="120" w:line="276" w:lineRule="auto"/>
      </w:pPr>
      <w:r>
        <w:t>**MACD** : La valeur du MACD (-76,674) est inférieure à son signal (-51,497), confirmant une dynamique baissière. Cette divergence négative indique un momentum défavorable, justifiant la décision de "Vente". Le mouvement sous la ligne de signal suggère que la pression vendeuse domine actuellement.</w:t>
      </w:r>
    </w:p>
    <w:p>
      <w:pPr>
        <w:spacing w:after="120" w:line="276" w:lineRule="auto"/>
      </w:pPr>
      <w:r>
        <w:t>**RSI** : Avec une valeur de 50,485, le RSI se situe exactement dans la zone neutre (30-70), indiquant un équilibre entre les forces acheteuses et vendeuses. La décision "Neutre" est cohérente avec cette lecture, le titre n'étant ni suracheté ni survendu.</w:t>
      </w:r>
    </w:p>
    <w:p>
      <w:pPr>
        <w:spacing w:after="120" w:line="276" w:lineRule="auto"/>
      </w:pPr>
      <w:r>
        <w:t>**Stochastique** : Le %K (48,718) est supérieur au %D (27,35), suggérant un croisement haussier potentiel. Cependant, la décision "Neutre" indique que le signal n'est pas encore suffisamment fort pour confirmer un renversement de tendance.</w:t>
      </w:r>
    </w:p>
    <w:p>
      <w:pPr>
        <w:spacing w:after="120" w:line="276" w:lineRule="auto"/>
      </w:pPr>
      <w:r>
        <w:t>**Conclusion technique** : Les indicateurs techniques sont globalement mitigés, avec une prédominance de signaux de vente (MM, MACD) contre des signaux neutres (Bollinger, RSI, Stochastique). Cette configuration suggère une consolidation en cours, avec un biais légèrement baissier à court terme. Les investisseurs devraient attendre une confirmation directionnelle avant de prendre position.</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révèlent une performance financière solide pour SGBC. Le Produit Net Bancaire (PNB) s'établit à 276,048 milliards FCFA, avec un résultat net de 101,352 milliards FCFA. La banque affiche une rentabilité exceptionnelle avec un ROE de 20,47% et un ROA de 2,69%, démontrant une utilisation efficace de ses capitaux propres et de ses actifs. Le coefficient d'exploitation de 38,75% est excellent, bien en dessous du seuil de 60% considéré comme efficace pour une banque, témoignant d'une gestion rigoureuse des coûts. La marge nette de 36,72% et la marge opérationnelle de 44,28% confirment la forte capacité de génération de profits. Le ratio de solvabilité générale de 115,12% indique une bonne capacité à couvrir les dettes, tandis que l'autonomie financière de 13,14% reste un point de vigilance. **Les rapports trimestriels 2025** confirment cette trajectoire positive : le T1 2025 (PNB de 66,3 Mds FCFA, +1,3%) et le S1 2025 (PNB de 132 Mds FCFA, +1,0%) montrent une croissance modérée mais constante, avec un résultat net en hausse de +10% au S1. Le rapport du 3ème trimestre 2025 (cumul 9 mois) indique un PNB de 201 Mds FCFA (+2,5%) et un résultat net de 83,3 Mds FCFA (+11,7%), avec une amélioration significative du ratio prêts/dépôts à 84,6%. **Sur la base de ces données, on estime que l'exercice 2025 devrait dépasser légèrement les performances de 2024**, avec un PNB annuel potentiel autour de 280 Mds FCFA et un résultat net pouvant atteindre 110 Mds FCFA. La banque maintient sa position de leader avec des parts de marché de 20% sur les crédits et 16% sur les dépôts, soutenue par une notation AAA unique sur le marché.</w:t>
      </w:r>
    </w:p>
    <w:p>
      <w:pPr>
        <w:spacing w:after="120" w:line="276" w:lineRule="auto"/>
      </w:pPr>
      <w:r>
        <w:t>---</w:t>
      </w:r>
    </w:p>
    <w:p>
      <w:pPr>
        <w:spacing w:after="120" w:line="276" w:lineRule="auto"/>
      </w:pPr>
      <w:r>
        <w:t>### PARTIE 4 : CONCLUSION D'INVESTISSEMENT</w:t>
      </w:r>
    </w:p>
    <w:p>
      <w:pPr>
        <w:spacing w:after="120" w:line="276" w:lineRule="auto"/>
      </w:pPr>
      <w:r>
        <w:t>La valorisation de SGBC (PER de 11,7x, P/B de 2,39x) indique une prime de croissance justifiée par sa rentabilité supérieure, bien que l'EV/EBITDA de 24,5x soit exigeant. Le comportement du cours sur 100 jours (+8,57%) montre une tendance haussière solide, avec une volatilité modérée et une distribution symétrique des prix, ce qui est rassurant. Les signaux techniques sont mitigés, avec une prédominance de signaux de vente à court terme (MM, MACD) contre des indicateurs neutres, suggérant une phase de consolidation. Les fondamentaux sont exceptionnellement solides, avec un ROE de 20,47%, un coefficient d'exploitation de 38,75% et une croissance soutenue du résultat net (+11,7% sur 9 mois). Les prédictions IA pour les 10 prochains jours (37 704 à 37 390 FCFA) indiquent une légère correction baissière, contredisant légèrement la tendance haussière de long terme. **Recommandation finale : ACHAT** pour les investisseurs à moyen/long terme, avec un niveau de confiance **Élevé** et un risque global **Moyen**. La convergence entre des fondamentaux excellents et une valorisation raisonnable justifie cette position, malgré les signaux techniques mitigés à court terme. L'horizon d'investissement optimal est de **moyen terme (3-12 mois)**, permettant de bénéficier de la croissance continue des bénéfices et de la politique de dividende attractive (rendement estimé ~5%).</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4,576 titres</w:t>
            </w:r>
          </w:p>
        </w:tc>
        <w:tc>
          <w:tcPr>
            <w:tcW w:type="dxa" w:w="2268"/>
            <w:shd w:fill="FFF2CC" w:val="clear"/>
          </w:tcPr>
          <w:p>
            <w:r>
              <w:rPr>
                <w:b/>
                <w:color w:val="503200"/>
                <w:sz w:val="16"/>
              </w:rPr>
              <w:t xml:space="preserve">Cours actuel : </w:t>
            </w:r>
            <w:r>
              <w:rPr>
                <w:color w:val="000000"/>
                <w:sz w:val="17"/>
              </w:rPr>
              <w:t>2,290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5.73% (Moyenne) — μ=2,101 FCFA, σ=120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β=0.8989 (Neutre (suit le marché)) — Cov=0.000033, Var(idx)=0.000036, ρ=0.253,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2,085</w:t>
            </w:r>
          </w:p>
        </w:tc>
        <w:tc>
          <w:tcPr>
            <w:tcW w:type="dxa" w:w="1440"/>
            <w:shd w:fill="FFDCE0" w:val="clear"/>
          </w:tcPr>
          <w:p>
            <w:r>
              <w:rPr>
                <w:b/>
                <w:sz w:val="17"/>
              </w:rPr>
              <w:t>2,160</w:t>
            </w:r>
          </w:p>
        </w:tc>
        <w:tc>
          <w:tcPr>
            <w:tcW w:type="dxa" w:w="1440"/>
            <w:shd w:fill="FFDCE0" w:val="clear"/>
          </w:tcPr>
          <w:p>
            <w:r>
              <w:rPr>
                <w:sz w:val="17"/>
              </w:rPr>
              <w:t>2,235</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1,964</w:t>
            </w:r>
          </w:p>
        </w:tc>
        <w:tc>
          <w:tcPr>
            <w:tcW w:type="dxa" w:w="1440"/>
            <w:shd w:fill="FFDCE0" w:val="clear"/>
          </w:tcPr>
          <w:p>
            <w:r>
              <w:rPr>
                <w:b/>
                <w:sz w:val="17"/>
              </w:rPr>
              <w:t>2,065</w:t>
            </w:r>
          </w:p>
        </w:tc>
        <w:tc>
          <w:tcPr>
            <w:tcW w:type="dxa" w:w="1440"/>
            <w:shd w:fill="FFDCE0" w:val="clear"/>
          </w:tcPr>
          <w:p>
            <w:r>
              <w:rPr>
                <w:sz w:val="17"/>
              </w:rPr>
              <w:t>2,166</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1,862</w:t>
            </w:r>
          </w:p>
        </w:tc>
        <w:tc>
          <w:tcPr>
            <w:tcW w:type="dxa" w:w="1440"/>
            <w:shd w:fill="FFDCE0" w:val="clear"/>
          </w:tcPr>
          <w:p>
            <w:r>
              <w:rPr>
                <w:b/>
                <w:sz w:val="17"/>
              </w:rPr>
              <w:t>1,981</w:t>
            </w:r>
          </w:p>
        </w:tc>
        <w:tc>
          <w:tcPr>
            <w:tcW w:type="dxa" w:w="1440"/>
            <w:shd w:fill="FFDCE0" w:val="clear"/>
          </w:tcPr>
          <w:p>
            <w:r>
              <w:rPr>
                <w:sz w:val="17"/>
              </w:rPr>
              <w:t>2,099</w:t>
            </w:r>
          </w:p>
        </w:tc>
        <w:tc>
          <w:tcPr>
            <w:tcW w:type="dxa" w:w="1440"/>
            <w:shd w:fill="FFDCE0" w:val="clear"/>
          </w:tcPr>
          <w:p>
            <w:r>
              <w:rPr>
                <w:b/>
                <w:color w:val="C00000"/>
                <w:sz w:val="17"/>
              </w:rPr>
              <w:t>-13.5%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1,779</w:t>
            </w:r>
          </w:p>
        </w:tc>
        <w:tc>
          <w:tcPr>
            <w:tcW w:type="dxa" w:w="1440"/>
            <w:shd w:fill="FFDCE0" w:val="clear"/>
          </w:tcPr>
          <w:p>
            <w:r>
              <w:rPr>
                <w:b/>
                <w:sz w:val="17"/>
              </w:rPr>
              <w:t>1,911</w:t>
            </w:r>
          </w:p>
        </w:tc>
        <w:tc>
          <w:tcPr>
            <w:tcW w:type="dxa" w:w="1440"/>
            <w:shd w:fill="FFDCE0" w:val="clear"/>
          </w:tcPr>
          <w:p>
            <w:r>
              <w:rPr>
                <w:sz w:val="17"/>
              </w:rPr>
              <w:t>2,043</w:t>
            </w:r>
          </w:p>
        </w:tc>
        <w:tc>
          <w:tcPr>
            <w:tcW w:type="dxa" w:w="1440"/>
            <w:shd w:fill="FFDCE0" w:val="clear"/>
          </w:tcPr>
          <w:p>
            <w:r>
              <w:rPr>
                <w:b/>
                <w:color w:val="C00000"/>
                <w:sz w:val="17"/>
              </w:rPr>
              <w:t>-16.6%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1,710</w:t>
            </w:r>
          </w:p>
        </w:tc>
        <w:tc>
          <w:tcPr>
            <w:tcW w:type="dxa" w:w="1440"/>
            <w:shd w:fill="FFDCE0" w:val="clear"/>
          </w:tcPr>
          <w:p>
            <w:r>
              <w:rPr>
                <w:b/>
                <w:sz w:val="17"/>
              </w:rPr>
              <w:t>1,853</w:t>
            </w:r>
          </w:p>
        </w:tc>
        <w:tc>
          <w:tcPr>
            <w:tcW w:type="dxa" w:w="1440"/>
            <w:shd w:fill="FFDCE0" w:val="clear"/>
          </w:tcPr>
          <w:p>
            <w:r>
              <w:rPr>
                <w:sz w:val="17"/>
              </w:rPr>
              <w:t>1,996</w:t>
            </w:r>
          </w:p>
        </w:tc>
        <w:tc>
          <w:tcPr>
            <w:tcW w:type="dxa" w:w="1440"/>
            <w:shd w:fill="FFDCE0" w:val="clear"/>
          </w:tcPr>
          <w:p>
            <w:r>
              <w:rPr>
                <w:b/>
                <w:color w:val="C00000"/>
                <w:sz w:val="17"/>
              </w:rPr>
              <w:t>-19.1%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1,651</w:t>
            </w:r>
          </w:p>
        </w:tc>
        <w:tc>
          <w:tcPr>
            <w:tcW w:type="dxa" w:w="1440"/>
            <w:shd w:fill="FFDCE0" w:val="clear"/>
          </w:tcPr>
          <w:p>
            <w:r>
              <w:rPr>
                <w:b/>
                <w:sz w:val="17"/>
              </w:rPr>
              <w:t>1,803</w:t>
            </w:r>
          </w:p>
        </w:tc>
        <w:tc>
          <w:tcPr>
            <w:tcW w:type="dxa" w:w="1440"/>
            <w:shd w:fill="FFDCE0" w:val="clear"/>
          </w:tcPr>
          <w:p>
            <w:r>
              <w:rPr>
                <w:sz w:val="17"/>
              </w:rPr>
              <w:t>1,956</w:t>
            </w:r>
          </w:p>
        </w:tc>
        <w:tc>
          <w:tcPr>
            <w:tcW w:type="dxa" w:w="1440"/>
            <w:shd w:fill="FFDCE0" w:val="clear"/>
          </w:tcPr>
          <w:p>
            <w:r>
              <w:rPr>
                <w:b/>
                <w:color w:val="C00000"/>
                <w:sz w:val="17"/>
              </w:rPr>
              <w:t>-21.3%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1,600</w:t>
            </w:r>
          </w:p>
        </w:tc>
        <w:tc>
          <w:tcPr>
            <w:tcW w:type="dxa" w:w="1440"/>
            <w:shd w:fill="FFDCE0" w:val="clear"/>
          </w:tcPr>
          <w:p>
            <w:r>
              <w:rPr>
                <w:b/>
                <w:sz w:val="17"/>
              </w:rPr>
              <w:t>1,760</w:t>
            </w:r>
          </w:p>
        </w:tc>
        <w:tc>
          <w:tcPr>
            <w:tcW w:type="dxa" w:w="1440"/>
            <w:shd w:fill="FFDCE0" w:val="clear"/>
          </w:tcPr>
          <w:p>
            <w:r>
              <w:rPr>
                <w:sz w:val="17"/>
              </w:rPr>
              <w:t>1,921</w:t>
            </w:r>
          </w:p>
        </w:tc>
        <w:tc>
          <w:tcPr>
            <w:tcW w:type="dxa" w:w="1440"/>
            <w:shd w:fill="FFDCE0" w:val="clear"/>
          </w:tcPr>
          <w:p>
            <w:r>
              <w:rPr>
                <w:b/>
                <w:color w:val="C00000"/>
                <w:sz w:val="17"/>
              </w:rPr>
              <w:t>-23.1%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1,554</w:t>
            </w:r>
          </w:p>
        </w:tc>
        <w:tc>
          <w:tcPr>
            <w:tcW w:type="dxa" w:w="1440"/>
            <w:shd w:fill="FFDCE0" w:val="clear"/>
          </w:tcPr>
          <w:p>
            <w:r>
              <w:rPr>
                <w:b/>
                <w:sz w:val="17"/>
              </w:rPr>
              <w:t>1,722</w:t>
            </w:r>
          </w:p>
        </w:tc>
        <w:tc>
          <w:tcPr>
            <w:tcW w:type="dxa" w:w="1440"/>
            <w:shd w:fill="FFDCE0" w:val="clear"/>
          </w:tcPr>
          <w:p>
            <w:r>
              <w:rPr>
                <w:sz w:val="17"/>
              </w:rPr>
              <w:t>1,890</w:t>
            </w:r>
          </w:p>
        </w:tc>
        <w:tc>
          <w:tcPr>
            <w:tcW w:type="dxa" w:w="1440"/>
            <w:shd w:fill="FFDCE0" w:val="clear"/>
          </w:tcPr>
          <w:p>
            <w:r>
              <w:rPr>
                <w:b/>
                <w:color w:val="C00000"/>
                <w:sz w:val="17"/>
              </w:rPr>
              <w:t>-24.8%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1,513</w:t>
            </w:r>
          </w:p>
        </w:tc>
        <w:tc>
          <w:tcPr>
            <w:tcW w:type="dxa" w:w="1440"/>
            <w:shd w:fill="FFDCE0" w:val="clear"/>
          </w:tcPr>
          <w:p>
            <w:r>
              <w:rPr>
                <w:b/>
                <w:sz w:val="17"/>
              </w:rPr>
              <w:t>1,688</w:t>
            </w:r>
          </w:p>
        </w:tc>
        <w:tc>
          <w:tcPr>
            <w:tcW w:type="dxa" w:w="1440"/>
            <w:shd w:fill="FFDCE0" w:val="clear"/>
          </w:tcPr>
          <w:p>
            <w:r>
              <w:rPr>
                <w:sz w:val="17"/>
              </w:rPr>
              <w:t>1,862</w:t>
            </w:r>
          </w:p>
        </w:tc>
        <w:tc>
          <w:tcPr>
            <w:tcW w:type="dxa" w:w="1440"/>
            <w:shd w:fill="FFDCE0" w:val="clear"/>
          </w:tcPr>
          <w:p>
            <w:r>
              <w:rPr>
                <w:b/>
                <w:color w:val="C00000"/>
                <w:sz w:val="17"/>
              </w:rPr>
              <w:t>-26.3%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1,475</w:t>
            </w:r>
          </w:p>
        </w:tc>
        <w:tc>
          <w:tcPr>
            <w:tcW w:type="dxa" w:w="1440"/>
            <w:shd w:fill="FFDCE0" w:val="clear"/>
          </w:tcPr>
          <w:p>
            <w:r>
              <w:rPr>
                <w:b/>
                <w:sz w:val="17"/>
              </w:rPr>
              <w:t>1,656</w:t>
            </w:r>
          </w:p>
        </w:tc>
        <w:tc>
          <w:tcPr>
            <w:tcW w:type="dxa" w:w="1440"/>
            <w:shd w:fill="FFDCE0" w:val="clear"/>
          </w:tcPr>
          <w:p>
            <w:r>
              <w:rPr>
                <w:sz w:val="17"/>
              </w:rPr>
              <w:t>1,837</w:t>
            </w:r>
          </w:p>
        </w:tc>
        <w:tc>
          <w:tcPr>
            <w:tcW w:type="dxa" w:w="1440"/>
            <w:shd w:fill="FFDCE0" w:val="clear"/>
          </w:tcPr>
          <w:p>
            <w:r>
              <w:rPr>
                <w:b/>
                <w:color w:val="C00000"/>
                <w:sz w:val="17"/>
              </w:rPr>
              <w:t>-27.7%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CI)**</w:t>
        <w:br/>
        <w:t>**Date de l'analyse : 10 août 2026**</w:t>
        <w:br/>
        <w:t>**Cours de référence : 2 290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144,27 milliards FCFA, un niveau significatif dans le contexte de la BRVM, reflétant la taille importante de ce distributeur pétrolier. Avec un BPA de 96 FCFA, le titre se négocie à un PER de 23,9x, nettement supérieur à la moyenne historique de la BRVM (8-12x). Ce ratio élevé suggère que le marché intègre des attentes de croissance future ou une prime de rareté, mais il expose également le titre à un risque de correction si ces attentes ne se matérialisent pas. Le P/B de 5,31x confirme cette valorisation exigeante, le marché valorisant fortement les actifs nets de la société, bien au-delà de leur valeur comptable. Enfin, l'EV/EBITDA de 12,9x, bien que dans une fourchette élevée (10-15x), indique que la valeur totale de l'entreprise (capitalisation + dette nette) reste cohérente avec sa capacité opérationnelle à générer de l'EBITDA, même si la marge de sécurité est limitée.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SHEC a progressé de +1,78%, avec une légère baisse de -0,43% lors de la dernière séance, reflétant une tendance globalement stable mais sans dynamique forte. Le titre a évolué dans une fourchette de 1 840 FCFA (plus bas) à 2 325 FCFA (plus haut), soit une amplitude de 485 FCFA. La moyenne du cours sur la période est de 2 101 FCFA, inférieure à la médiane de 2 155 FCFA, indiquant une distribution légèrement asymétrique avec quelques périodes de faiblesse plus marquées. L'écart-type de 121 FCFA (CV=5,8%) montre une dispersion modérée autour de la moyenne. Le kurtosis négatif (-1,016) signale une distribution platykurtique, c'est-à-dire avec moins de pics extrêmes qu'une distribution normale, tandis que le skewness de -0,399 confirme une légère asymétrie vers les valeurs basses. La volatilité annualisée de 33,8% classe le titre comme très volatil (&gt;30%), un niveau élevé qui reflète une sensibilité marquée aux variations du marché et aux nouvelles sectorielles.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(2 290 FCFA) se situe au-dessus de la MM20 (2 208,75 FCFA) et de la MM50 (2 151,8 FCFA), ce qui confirme une tendance haussière à court et moyen terme. La configuration des MM, avec le cours au-dessus des deux moyennes, génère un signal d'achat, indiquant que la dynamique positive est toujours en place.</w:t>
      </w:r>
    </w:p>
    <w:p>
      <w:pPr>
        <w:spacing w:after="120" w:line="276" w:lineRule="auto"/>
      </w:pPr>
      <w:r>
        <w:t>**Bandes de Bollinger :** Le prix se négocie à 2 290 FCFA, proche de la borne supérieure (2 328,96 FCFA) mais sans la toucher. Cette position suggère une pression acheteuse soutenue, mais le signal est neutre car le cours n'a pas franchi la borne, ce qui pourrait indiquer une consolidation ou un essoufflement à court terme.</w:t>
      </w:r>
    </w:p>
    <w:p>
      <w:pPr>
        <w:spacing w:after="120" w:line="276" w:lineRule="auto"/>
      </w:pPr>
      <w:r>
        <w:t>**MACD :** La valeur du MACD (37,523) est supérieure à son signal (27,346), avec un écart positif de 10,177 points. Cette configuration haussière indique un momentum positif en faveur des acheteurs, confirmant la tendance haussière à moyen terme. Le signal d'achat est donc validé.</w:t>
      </w:r>
    </w:p>
    <w:p>
      <w:pPr>
        <w:spacing w:after="120" w:line="276" w:lineRule="auto"/>
      </w:pPr>
      <w:r>
        <w:t>**RSI :** Le RSI s'établit à 59,259, dans la zone neutre (30-70). Il n'y a pas de signal de surachat ou de survente, ce qui laisse une marge de manœuvre pour une poursuite de la hausse sans risque immédiat de retournement violent.</w:t>
      </w:r>
    </w:p>
    <w:p>
      <w:pPr>
        <w:spacing w:after="120" w:line="276" w:lineRule="auto"/>
      </w:pPr>
      <w:r>
        <w:t>**Stochastique :** Le %K (84,091) est inférieur au %D (90,909), avec les deux valeurs dans la zone de surachat (&gt;80). Ce croisement baissier du %K sous le %D dans cette zone génère un signal de vente, indiquant un possible retournement ou une consolidation à court terme.</w:t>
      </w:r>
    </w:p>
    <w:p>
      <w:pPr>
        <w:spacing w:after="120" w:line="276" w:lineRule="auto"/>
      </w:pPr>
      <w:r>
        <w:t>**Conclusion technique :** Les indicateurs de tendance (MM, MACD) sont haussiers, tandis que les oscillateurs (RSI, Stochastique) montrent des signaux mitigés, avec le Stochastique en zone de surachat. La configuration globale reste positive mais avec des risques de consolidation à court terme. Le signal dominant est un achat prudent, avec une vigilance sur les signaux de retournement.</w:t>
      </w:r>
    </w:p>
    <w:p>
      <w:pPr>
        <w:spacing w:after="120" w:line="276" w:lineRule="auto"/>
      </w:pPr>
      <w:r>
        <w:t>---</w:t>
      </w:r>
    </w:p>
    <w:p>
      <w:pPr>
        <w:spacing w:after="120" w:line="276" w:lineRule="auto"/>
      </w:pPr>
      <w:r>
        <w:t>### PARTIE 3 : ANALYSE FONDAMENTALE (SECTION CRITIQUE)</w:t>
      </w:r>
    </w:p>
    <w:p>
      <w:pPr>
        <w:spacing w:after="120" w:line="276" w:lineRule="auto"/>
      </w:pPr>
      <w:r>
        <w:t>En 2025, SHEC (VIVO ENERGY CI) a réalisé un chiffre d'affaires de 604,978 milliards FCFA, en légère hausse de +0,71% par rapport à 2024 (600,708 milliards FCFA), et un résultat net de 6,028 milliards FCFA, en progression de +12,6% (contre 5,354 milliards FCFA en 2024). Le ROE s'établit à un niveau excellent de 22,2%, tandis que le ROA est plus modeste à 3,11%, reflétant une forte rotation des actifs (312,5%) mais des marges nettes très faibles (1,0%). La marge opérationnelle est de 1,93%, et l'EBE atteint 17,166 milliards FCFA. La structure financière montre une autonomie financière limitée (14,03%), avec un ratio d'endettement de 43,95% et une trésorerie nette fortement négative (-65,264 milliards FCFA). Le BFR est positif (15,315 milliards FCFA), avec un délai clients de 23,27 jours et un délai fournisseurs de 35,47 jours, indiquant une gestion correcte mais perfectible. Les rapports trimestriels 2025 (T1, S1, T3) montrent une amélioration progressive de la rentabilité, avec un résultat net en hausse de +45% sur 9 mois. Pour 2026, le rapport S1 2026 (publié en juillet 2026) indique un CA en baisse de -1% à 305,038 milliards FCFA, mais un résultat d'exploitation en hausse de +17% à 6,133 milliards FCFA, porté par le butane. Le résultat net S1 2026 est de 3,016 milliards FCFA (marge nette 0,99%). Sur la base de ces données, on estime que le résultat net 2026 pourrait se situer entre 6,5 et 7 milliards FCFA, soit une croissance de 8 à 16% par rapport à 2025. La société propose un dividende brut de 6,09 milliards FCFA pour 2025 (taux de distribution de 101%), confirmant une politique généreuse mais potentiellement risquée pour la trésorerie.</w:t>
      </w:r>
    </w:p>
    <w:p>
      <w:pPr>
        <w:spacing w:after="120" w:line="276" w:lineRule="auto"/>
      </w:pPr>
      <w:r>
        <w:t>---</w:t>
      </w:r>
    </w:p>
    <w:p>
      <w:pPr>
        <w:spacing w:after="120" w:line="276" w:lineRule="auto"/>
      </w:pPr>
      <w:r>
        <w:t>### PARTIE 4 : CONCLUSION D'INVESTISSEMENT</w:t>
      </w:r>
    </w:p>
    <w:p>
      <w:pPr>
        <w:spacing w:after="120" w:line="276" w:lineRule="auto"/>
      </w:pPr>
      <w:r>
        <w:t>La valorisation de SHEC (PER 23,9x, P/B 5,31x, EV/EBITDA 12,9x) est exigeante, avec une prime significative par rapport au marché BRVM, ce qui suggère une surévaluation relative. Le comportement du cours sur 100 jours montre une stabilité (+1,78%) avec une volatilité élevée (33,8%), et des statistiques (kurtosis platykurtique, skewness négatif) indiquant un risque de mouvements brusques. Les signaux techniques sont mitigés : tendance haussière (MM, MACD) mais oscillateurs en surachat (Stochastique), suggérant une possible consolidation. Les fondamentaux montrent une amélioration de la rentabilité (ROE 22,2%, résultat net +12,6% en 2025) mais une structure financière fragile (trésorerie nette négative, endettement élevé). Les prédictions IA (J+1 à J+10) prévoient une baisse marquée du cours, de 2 160 FCFA à 1 853 FCFA, ce qui contredit les signaux techniques haussiers et suggère un retournement imminent. La convergence entre la valorisation élevée, la fragilité financière, les signaux de surachat et les prédictions baissières de l'IA conduit à une recommandation de **VENTE**. Le niveau de confiance est **Moyen**, le risque global est **Élevé**, et l'horizon d'investissement optimal est le **court terme (&lt;3 mois)** pour les investisseurs existants, avec une recommandation de réduire la position avant une possible correction.</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8,879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+30.99%</w:t>
            </w:r>
          </w:p>
          <w:p>
            <w:r>
              <w:rPr>
                <w:b/>
                <w:color w:val="503200"/>
                <w:sz w:val="16"/>
              </w:rPr>
              <w:t xml:space="preserve">Plus haut 100j : </w:t>
            </w:r>
            <w:r>
              <w:rPr>
                <w:color w:val="000000"/>
                <w:sz w:val="17"/>
              </w:rPr>
              <w:t>9,300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μ=8,001 FCFA, σ=890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β=0.5617 (Défensif) — Cov=0.000020, Var(idx)=0.000036, ρ=0.193,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8,697</w:t>
            </w:r>
          </w:p>
        </w:tc>
        <w:tc>
          <w:tcPr>
            <w:tcW w:type="dxa" w:w="1440"/>
            <w:shd w:fill="FFDCE0" w:val="clear"/>
          </w:tcPr>
          <w:p>
            <w:r>
              <w:rPr>
                <w:b/>
                <w:sz w:val="17"/>
              </w:rPr>
              <w:t>8,954</w:t>
            </w:r>
          </w:p>
        </w:tc>
        <w:tc>
          <w:tcPr>
            <w:tcW w:type="dxa" w:w="1440"/>
            <w:shd w:fill="FFDCE0" w:val="clear"/>
          </w:tcPr>
          <w:p>
            <w:r>
              <w:rPr>
                <w:sz w:val="17"/>
              </w:rPr>
              <w:t>9,210</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8,282</w:t>
            </w:r>
          </w:p>
        </w:tc>
        <w:tc>
          <w:tcPr>
            <w:tcW w:type="dxa" w:w="1440"/>
            <w:shd w:fill="FFDCE0" w:val="clear"/>
          </w:tcPr>
          <w:p>
            <w:r>
              <w:rPr>
                <w:b/>
                <w:sz w:val="17"/>
              </w:rPr>
              <w:t>8,631</w:t>
            </w:r>
          </w:p>
        </w:tc>
        <w:tc>
          <w:tcPr>
            <w:tcW w:type="dxa" w:w="1440"/>
            <w:shd w:fill="FFDCE0" w:val="clear"/>
          </w:tcPr>
          <w:p>
            <w:r>
              <w:rPr>
                <w:sz w:val="17"/>
              </w:rPr>
              <w:t>8,980</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7,931</w:t>
            </w:r>
          </w:p>
        </w:tc>
        <w:tc>
          <w:tcPr>
            <w:tcW w:type="dxa" w:w="1440"/>
            <w:shd w:fill="FFDCE0" w:val="clear"/>
          </w:tcPr>
          <w:p>
            <w:r>
              <w:rPr>
                <w:b/>
                <w:sz w:val="17"/>
              </w:rPr>
              <w:t>8,345</w:t>
            </w:r>
          </w:p>
        </w:tc>
        <w:tc>
          <w:tcPr>
            <w:tcW w:type="dxa" w:w="1440"/>
            <w:shd w:fill="FFDCE0" w:val="clear"/>
          </w:tcPr>
          <w:p>
            <w:r>
              <w:rPr>
                <w:sz w:val="17"/>
              </w:rPr>
              <w:t>8,759</w:t>
            </w:r>
          </w:p>
        </w:tc>
        <w:tc>
          <w:tcPr>
            <w:tcW w:type="dxa" w:w="1440"/>
            <w:shd w:fill="FFDCE0" w:val="clear"/>
          </w:tcPr>
          <w:p>
            <w:r>
              <w:rPr>
                <w:b/>
                <w:color w:val="C00000"/>
                <w:sz w:val="17"/>
              </w:rPr>
              <w:t>-10.3%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7,641</w:t>
            </w:r>
          </w:p>
        </w:tc>
        <w:tc>
          <w:tcPr>
            <w:tcW w:type="dxa" w:w="1440"/>
            <w:shd w:fill="FFDCE0" w:val="clear"/>
          </w:tcPr>
          <w:p>
            <w:r>
              <w:rPr>
                <w:b/>
                <w:sz w:val="17"/>
              </w:rPr>
              <w:t>8,105</w:t>
            </w:r>
          </w:p>
        </w:tc>
        <w:tc>
          <w:tcPr>
            <w:tcW w:type="dxa" w:w="1440"/>
            <w:shd w:fill="FFDCE0" w:val="clear"/>
          </w:tcPr>
          <w:p>
            <w:r>
              <w:rPr>
                <w:sz w:val="17"/>
              </w:rPr>
              <w:t>8,569</w:t>
            </w:r>
          </w:p>
        </w:tc>
        <w:tc>
          <w:tcPr>
            <w:tcW w:type="dxa" w:w="1440"/>
            <w:shd w:fill="FFDCE0" w:val="clear"/>
          </w:tcPr>
          <w:p>
            <w:r>
              <w:rPr>
                <w:b/>
                <w:color w:val="C00000"/>
                <w:sz w:val="17"/>
              </w:rPr>
              <w:t>-12.8%</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7,399</w:t>
            </w:r>
          </w:p>
        </w:tc>
        <w:tc>
          <w:tcPr>
            <w:tcW w:type="dxa" w:w="1440"/>
            <w:shd w:fill="FFDCE0" w:val="clear"/>
          </w:tcPr>
          <w:p>
            <w:r>
              <w:rPr>
                <w:b/>
                <w:sz w:val="17"/>
              </w:rPr>
              <w:t>7,904</w:t>
            </w:r>
          </w:p>
        </w:tc>
        <w:tc>
          <w:tcPr>
            <w:tcW w:type="dxa" w:w="1440"/>
            <w:shd w:fill="FFDCE0" w:val="clear"/>
          </w:tcPr>
          <w:p>
            <w:r>
              <w:rPr>
                <w:sz w:val="17"/>
              </w:rPr>
              <w:t>8,410</w:t>
            </w:r>
          </w:p>
        </w:tc>
        <w:tc>
          <w:tcPr>
            <w:tcW w:type="dxa" w:w="1440"/>
            <w:shd w:fill="FFDCE0" w:val="clear"/>
          </w:tcPr>
          <w:p>
            <w:r>
              <w:rPr>
                <w:b/>
                <w:color w:val="C00000"/>
                <w:sz w:val="17"/>
              </w:rPr>
              <w:t>-15.0%</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7,192</w:t>
            </w:r>
          </w:p>
        </w:tc>
        <w:tc>
          <w:tcPr>
            <w:tcW w:type="dxa" w:w="1440"/>
            <w:shd w:fill="FFDCE0" w:val="clear"/>
          </w:tcPr>
          <w:p>
            <w:r>
              <w:rPr>
                <w:b/>
                <w:sz w:val="17"/>
              </w:rPr>
              <w:t>7,734</w:t>
            </w:r>
          </w:p>
        </w:tc>
        <w:tc>
          <w:tcPr>
            <w:tcW w:type="dxa" w:w="1440"/>
            <w:shd w:fill="FFDCE0" w:val="clear"/>
          </w:tcPr>
          <w:p>
            <w:r>
              <w:rPr>
                <w:sz w:val="17"/>
              </w:rPr>
              <w:t>8,276</w:t>
            </w:r>
          </w:p>
        </w:tc>
        <w:tc>
          <w:tcPr>
            <w:tcW w:type="dxa" w:w="1440"/>
            <w:shd w:fill="FFDCE0" w:val="clear"/>
          </w:tcPr>
          <w:p>
            <w:r>
              <w:rPr>
                <w:b/>
                <w:color w:val="C00000"/>
                <w:sz w:val="17"/>
              </w:rPr>
              <w:t>-16.8%</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7,011</w:t>
            </w:r>
          </w:p>
        </w:tc>
        <w:tc>
          <w:tcPr>
            <w:tcW w:type="dxa" w:w="1440"/>
            <w:shd w:fill="FFDCE0" w:val="clear"/>
          </w:tcPr>
          <w:p>
            <w:r>
              <w:rPr>
                <w:b/>
                <w:sz w:val="17"/>
              </w:rPr>
              <w:t>7,585</w:t>
            </w:r>
          </w:p>
        </w:tc>
        <w:tc>
          <w:tcPr>
            <w:tcW w:type="dxa" w:w="1440"/>
            <w:shd w:fill="FFDCE0" w:val="clear"/>
          </w:tcPr>
          <w:p>
            <w:r>
              <w:rPr>
                <w:sz w:val="17"/>
              </w:rPr>
              <w:t>8,159</w:t>
            </w:r>
          </w:p>
        </w:tc>
        <w:tc>
          <w:tcPr>
            <w:tcW w:type="dxa" w:w="1440"/>
            <w:shd w:fill="FFDCE0" w:val="clear"/>
          </w:tcPr>
          <w:p>
            <w:r>
              <w:rPr>
                <w:b/>
                <w:color w:val="C00000"/>
                <w:sz w:val="17"/>
              </w:rPr>
              <w:t>-18.4%</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6,850</w:t>
            </w:r>
          </w:p>
        </w:tc>
        <w:tc>
          <w:tcPr>
            <w:tcW w:type="dxa" w:w="1440"/>
            <w:shd w:fill="FFDCE0" w:val="clear"/>
          </w:tcPr>
          <w:p>
            <w:r>
              <w:rPr>
                <w:b/>
                <w:sz w:val="17"/>
              </w:rPr>
              <w:t>7,453</w:t>
            </w:r>
          </w:p>
        </w:tc>
        <w:tc>
          <w:tcPr>
            <w:tcW w:type="dxa" w:w="1440"/>
            <w:shd w:fill="FFDCE0" w:val="clear"/>
          </w:tcPr>
          <w:p>
            <w:r>
              <w:rPr>
                <w:sz w:val="17"/>
              </w:rPr>
              <w:t>8,056</w:t>
            </w:r>
          </w:p>
        </w:tc>
        <w:tc>
          <w:tcPr>
            <w:tcW w:type="dxa" w:w="1440"/>
            <w:shd w:fill="FFDCE0" w:val="clear"/>
          </w:tcPr>
          <w:p>
            <w:r>
              <w:rPr>
                <w:b/>
                <w:color w:val="C00000"/>
                <w:sz w:val="17"/>
              </w:rPr>
              <w:t>-19.9%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6,705</w:t>
            </w:r>
          </w:p>
        </w:tc>
        <w:tc>
          <w:tcPr>
            <w:tcW w:type="dxa" w:w="1440"/>
            <w:shd w:fill="FFDCE0" w:val="clear"/>
          </w:tcPr>
          <w:p>
            <w:r>
              <w:rPr>
                <w:b/>
                <w:sz w:val="17"/>
              </w:rPr>
              <w:t>7,334</w:t>
            </w:r>
          </w:p>
        </w:tc>
        <w:tc>
          <w:tcPr>
            <w:tcW w:type="dxa" w:w="1440"/>
            <w:shd w:fill="FFDCE0" w:val="clear"/>
          </w:tcPr>
          <w:p>
            <w:r>
              <w:rPr>
                <w:sz w:val="17"/>
              </w:rPr>
              <w:t>7,964</w:t>
            </w:r>
          </w:p>
        </w:tc>
        <w:tc>
          <w:tcPr>
            <w:tcW w:type="dxa" w:w="1440"/>
            <w:shd w:fill="FFDCE0" w:val="clear"/>
          </w:tcPr>
          <w:p>
            <w:r>
              <w:rPr>
                <w:b/>
                <w:color w:val="C00000"/>
                <w:sz w:val="17"/>
              </w:rPr>
              <w:t>-21.1%</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6,572</w:t>
            </w:r>
          </w:p>
        </w:tc>
        <w:tc>
          <w:tcPr>
            <w:tcW w:type="dxa" w:w="1440"/>
            <w:shd w:fill="FFDCE0" w:val="clear"/>
          </w:tcPr>
          <w:p>
            <w:r>
              <w:rPr>
                <w:b/>
                <w:sz w:val="17"/>
              </w:rPr>
              <w:t>7,226</w:t>
            </w:r>
          </w:p>
        </w:tc>
        <w:tc>
          <w:tcPr>
            <w:tcW w:type="dxa" w:w="1440"/>
            <w:shd w:fill="FFDCE0" w:val="clear"/>
          </w:tcPr>
          <w:p>
            <w:r>
              <w:rPr>
                <w:sz w:val="17"/>
              </w:rPr>
              <w:t>7,880</w:t>
            </w:r>
          </w:p>
        </w:tc>
        <w:tc>
          <w:tcPr>
            <w:tcW w:type="dxa" w:w="1440"/>
            <w:shd w:fill="FFDCE0" w:val="clear"/>
          </w:tcPr>
          <w:p>
            <w:r>
              <w:rPr>
                <w:b/>
                <w:color w:val="C00000"/>
                <w:sz w:val="17"/>
              </w:rPr>
              <w:t>-22.3%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930 milliards FCFA, ce qui en fait l'une des valeurs les plus lourdes et les plus liquides de la cote ivoirienne, représentant un poids significatif dans l'indice BRVM Composite. Avec un BPA de 556 FCFA, chaque action génère un bénéfice substantiel, mais le PER de 16,7x se situe nettement au-dessus de la moyenne historique de la BRVM (8-12x), indiquant que les investisseurs paient une prime pour la qualité de la banque. Le P/B de 4,54x confirme cette prime, le marché valorisant le titre à plus de quatre fois sa valeur comptable, ce qui reflète une forte confiance dans la création de valeur future. Enfin, l'EV/EBITDA de 15,5x, bien qu'exigeant, reste cohérent avec les niveaux observés pour les banques systémiques de la zone UEMOA affichant des rentabilités supérieures à 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performance remarquable de +30,99%, passant d'un plus bas de 6 805 FCFA à un plus haut historique de 9 300 FCFA, avec une dernière séance en légère progression de +0,54%. Cette tendance haussière soutenue s'accompagne d'une moyenne de 8 001 FCFA et d'une médiane de 8 178 FCFA, dont l'écart modéré suggère une distribution relativement symétrique des cours, confirmée par un skewness de -0,053. L'écart-type de 895 FCFA (CV=11,2%) indique une dispersion modérée autour de la moyenne, tandis que le kurtosis de -1,815 (platykurtique) révèle une distribution aplatie avec peu de valeurs extrêmes, signe d'une progression régulière sans pics de volatilité soudains. La volatilité annualisée de 27,7% classe le titre dans la catégorie modérée à élevée, ce qui offre un potentiel de rendement intéressant mais requiert une gestion active du risque.</w:t>
      </w:r>
    </w:p>
    <w:p>
      <w:pPr>
        <w:spacing w:after="120" w:line="276" w:lineRule="auto"/>
      </w:pPr>
      <w:r>
        <w:t>---</w:t>
      </w:r>
    </w:p>
    <w:p>
      <w:pPr>
        <w:spacing w:after="120" w:line="276" w:lineRule="auto"/>
      </w:pPr>
      <w:r>
        <w:t>### PARTIE 2 : ANALYSE TECHNIQUE DÉTAILLÉE</w:t>
      </w:r>
    </w:p>
    <w:p>
      <w:pPr>
        <w:spacing w:after="120" w:line="276" w:lineRule="auto"/>
      </w:pPr>
      <w:r>
        <w:t>**Moyennes Mobiles :** Les MM20 (8 922 FCFA) et MM50 (8 857 FCFA) sont toutes deux inférieures au cours actuel de 9 300 FCFA, confirmant une configuration haussière. Le croisement positif et l'écart croissant entre les deux moyennes indiquent une dynamique de tendance solide, justifiant la décision d'achat.</w:t>
      </w:r>
    </w:p>
    <w:p>
      <w:pPr>
        <w:spacing w:after="120" w:line="276" w:lineRule="auto"/>
      </w:pPr>
      <w:r>
        <w:t>**Bandes de Bollinger :** Le cours évolue à 9 300 FCFA, très proche de la borne supérieure (9 323,83 FCFA), ce qui témoigne d'une pression acheteuse soutenue. Bien que la position proche de la borne supérieure puisse signaler une surachete temporaire, la décision neutre reflète l'absence de cassure franche et la persistance de la tendance haussière.</w:t>
      </w:r>
    </w:p>
    <w:p>
      <w:pPr>
        <w:spacing w:after="120" w:line="276" w:lineRule="auto"/>
      </w:pPr>
      <w:r>
        <w:t>**MACD :** Le MACD (112,069) est nettement au-dessus de sa ligne de signal (79,628), indiquant un momentum positif fort. L'écart croissant entre les deux lignes confirme l'accélération de la tendance haussière, justifiant pleinement la décision d'achat.</w:t>
      </w:r>
    </w:p>
    <w:p>
      <w:pPr>
        <w:spacing w:after="120" w:line="276" w:lineRule="auto"/>
      </w:pPr>
      <w:r>
        <w:t>**RSI :** Le RSI à 62,0 se situe dans la zone neutre-haute, en dessous du seuil de surachat (70). Cette valeur indique que le titre conserve un potentiel de hausse sans être survendu, la décision neutre étant cohérente avec une poursuite possible de la tendance.</w:t>
      </w:r>
    </w:p>
    <w:p>
      <w:pPr>
        <w:spacing w:after="120" w:line="276" w:lineRule="auto"/>
      </w:pPr>
      <w:r>
        <w:t>**Stochastique :** Le %K à 100,0 et le %D à 97,436 sont en zone de surachat extrême, signalant un épuisement potentiel du mouvement haussier à court terme. La décision de vente suggère qu'une consolidation technique est probable, bien que la tendance de fond reste positive.</w:t>
      </w:r>
    </w:p>
    <w:p>
      <w:pPr>
        <w:spacing w:after="120" w:line="276" w:lineRule="auto"/>
      </w:pPr>
      <w:r>
        <w:t>**Conclusion technique :** Les indicateurs de tendance (MM, MACD) confirment une dynamique haussière solide, tandis que les oscillateurs (RSI, Stochastique) signalent une surachete à court terme. Cette divergence suggère qu'une pause technique est probable avant la poursuite de la tendance, mais ne remet pas en cause la tendance de fond.</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fondamentaux exceptionnels avec un PNB de 108,663 milliards FCFA et un résultat net de 55,623 milliards FCFA, représentant une marge nette de 51,19%. Le ROE de 27,16% et le ROA de 2,96% confirment une rentabilité parmi les meilleures du secteur bancaire ouest-africain. Le coefficient d'exploitation de 38,59% démontre une efficacité opérationnelle remarquable, bien en dessous du seuil de 60% considéré comme sain. La banque maintient un ratio de transformation équilibré avec 1 226,72 milliards FCFA de crédits clientèle financés par 1 503,44 milliards FCFA de dépôts, soit un ratio dépôts/crédits de 122%, indiquant une liquidité abondante. Le coût du risque reste maîtrisé à 14,124 milliards FCFA, reflétant une politique prudente de provisionnement. **Sur la base des rapports trimestriels 2025**, le T1 (PNB 26,5 Mds, RN 13,6 Mds) et le T3 (PNB 81,4 Mds, RN 43,0 Mds) confirment une croissance soutenue de 8-12% du PNB et de 10-11% du résultat net. **Le rapport T1 2026** montre une accélération avec un résultat net de 15,2 milliards FCFA (+11%), des dépôts en hausse de 9% à 1 495 milliards FCFA et des crédits en progression de 7% à 1 112 milliards FCFA. On estime que l'exercice 2026 devrait voir un PNB dépasser 115 milliards FCFA et un résultat net supérieur à 60 milliards FCFA, confirmant la trajectoire ascendante de la banque.</w:t>
      </w:r>
    </w:p>
    <w:p>
      <w:pPr>
        <w:spacing w:after="120" w:line="276" w:lineRule="auto"/>
      </w:pPr>
      <w:r>
        <w:t>---</w:t>
      </w:r>
    </w:p>
    <w:p>
      <w:pPr>
        <w:spacing w:after="120" w:line="276" w:lineRule="auto"/>
      </w:pPr>
      <w:r>
        <w:t>### PARTIE 4 : CONCLUSION D'INVESTISSEMENT</w:t>
      </w:r>
    </w:p>
    <w:p>
      <w:pPr>
        <w:spacing w:after="120" w:line="276" w:lineRule="auto"/>
      </w:pPr>
      <w:r>
        <w:t>La valorisation actuelle de la SIBC, avec un PER de 16,7x et un P/B de 4,54x, reflète une prime substantielle par rapport au marché BRVM, justifiée par des fondamentaux exceptionnels : ROE de 27,16%, marge nette de 51,19% et coefficient d'exploitation de 38,59%. Le comportement du cours sur 100 jours (+30,99%) démontre une tendance haussière robuste, bien que la volatilité annualisée de 27,7% et les signaux de surachete technique (Stochastique à 100) suggèrent un risque de consolidation à court terme. Les fondamentaux solides et les perspectives de croissance soutenue (résultat net T1 2026 en hausse de 11%) contrebalancent les signaux techniques mitigés. Les prédictions IA indiquent une correction potentielle vers 7 904 FCFA à J+10, ce qui contraste avec la tendance actuelle mais pourrait offrir un point d'entrée attractif. **Recommandation finale : CONSERVER** avec un niveau de confiance **Moyen** et un risque global **Moyen**. L'horizon d'investissement optimal est le **moyen terme (3-12 mois)**, en attendant une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95 titres</w:t>
            </w:r>
          </w:p>
        </w:tc>
        <w:tc>
          <w:tcPr>
            <w:tcW w:type="dxa" w:w="2268"/>
            <w:shd w:fill="FFF2CC" w:val="clear"/>
          </w:tcPr>
          <w:p>
            <w:r>
              <w:rPr>
                <w:b/>
                <w:color w:val="503200"/>
                <w:sz w:val="16"/>
              </w:rPr>
              <w:t xml:space="preserve">Cours actuel : </w:t>
            </w:r>
            <w:r>
              <w:rPr>
                <w:color w:val="000000"/>
                <w:sz w:val="17"/>
              </w:rPr>
              <w:t>7,085 FCFA</w:t>
            </w:r>
          </w:p>
          <w:p>
            <w:r>
              <w:rPr>
                <w:b/>
                <w:color w:val="503200"/>
                <w:sz w:val="16"/>
              </w:rPr>
              <w:t xml:space="preserve">Var. 100 jours : </w:t>
            </w:r>
            <w:r>
              <w:rPr>
                <w:b/>
                <w:color w:val="007800"/>
                <w:sz w:val="17"/>
              </w:rPr>
              <w:t>+81.43%</w:t>
            </w:r>
          </w:p>
          <w:p>
            <w:r>
              <w:rPr>
                <w:b/>
                <w:color w:val="503200"/>
                <w:sz w:val="16"/>
              </w:rPr>
              <w:t xml:space="preserve">Plus haut 100j : </w:t>
            </w:r>
            <w:r>
              <w:rPr>
                <w:color w:val="000000"/>
                <w:sz w:val="17"/>
              </w:rPr>
              <w:t>7,095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38.6/100 → Moyen</w:t>
      </w:r>
    </w:p>
    <w:p>
      <w:pPr>
        <w:spacing w:before="40" w:after="80"/>
      </w:pPr>
      <w:r>
        <w:rPr>
          <w:rFonts w:ascii="Courier New" w:hAnsi="Courier New"/>
          <w:color w:val="825A00"/>
          <w:sz w:val="18"/>
        </w:rPr>
        <w:t>███████░░░░░░░░░░░░░  38.6/100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15.63% (Élevée) — μ=4,633 FCFA, σ=724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β=-0.2005 (Contre-cyclique) — Cov=-0.000007, Var(idx)=0.000036, ρ=-0.035,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95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6,596</w:t>
            </w:r>
          </w:p>
        </w:tc>
        <w:tc>
          <w:tcPr>
            <w:tcW w:type="dxa" w:w="1440"/>
            <w:shd w:fill="FAFAFA" w:val="clear"/>
          </w:tcPr>
          <w:p>
            <w:r>
              <w:rPr>
                <w:b/>
                <w:sz w:val="17"/>
              </w:rPr>
              <w:t>7,058</w:t>
            </w:r>
          </w:p>
        </w:tc>
        <w:tc>
          <w:tcPr>
            <w:tcW w:type="dxa" w:w="1440"/>
            <w:shd w:fill="FAFAFA" w:val="clear"/>
          </w:tcPr>
          <w:p>
            <w:r>
              <w:rPr>
                <w:sz w:val="17"/>
              </w:rPr>
              <w:t>7,519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6,347</w:t>
            </w:r>
          </w:p>
        </w:tc>
        <w:tc>
          <w:tcPr>
            <w:tcW w:type="dxa" w:w="1440"/>
            <w:shd w:fill="FAFAFA" w:val="clear"/>
          </w:tcPr>
          <w:p>
            <w:r>
              <w:rPr>
                <w:b/>
                <w:sz w:val="17"/>
              </w:rPr>
              <w:t>6,994</w:t>
            </w:r>
          </w:p>
        </w:tc>
        <w:tc>
          <w:tcPr>
            <w:tcW w:type="dxa" w:w="1440"/>
            <w:shd w:fill="FAFAFA" w:val="clear"/>
          </w:tcPr>
          <w:p>
            <w:r>
              <w:rPr>
                <w:sz w:val="17"/>
              </w:rPr>
              <w:t>7,641</w:t>
            </w:r>
          </w:p>
        </w:tc>
        <w:tc>
          <w:tcPr>
            <w:tcW w:type="dxa" w:w="1440"/>
            <w:shd w:fill="FAFAFA" w:val="clear"/>
          </w:tcPr>
          <w:p>
            <w:r>
              <w:rPr>
                <w:b/>
                <w:color w:val="C00000"/>
                <w:sz w:val="17"/>
              </w:rPr>
              <w:t>-1.3%</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6,127</w:t>
            </w:r>
          </w:p>
        </w:tc>
        <w:tc>
          <w:tcPr>
            <w:tcW w:type="dxa" w:w="1440"/>
            <w:shd w:fill="FFDCE0" w:val="clear"/>
          </w:tcPr>
          <w:p>
            <w:r>
              <w:rPr>
                <w:b/>
                <w:sz w:val="17"/>
              </w:rPr>
              <w:t>6,909</w:t>
            </w:r>
          </w:p>
        </w:tc>
        <w:tc>
          <w:tcPr>
            <w:tcW w:type="dxa" w:w="1440"/>
            <w:shd w:fill="FFDCE0" w:val="clear"/>
          </w:tcPr>
          <w:p>
            <w:r>
              <w:rPr>
                <w:sz w:val="17"/>
              </w:rPr>
              <w:t>7,692</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5,923</w:t>
            </w:r>
          </w:p>
        </w:tc>
        <w:tc>
          <w:tcPr>
            <w:tcW w:type="dxa" w:w="1440"/>
            <w:shd w:fill="FFDCE0" w:val="clear"/>
          </w:tcPr>
          <w:p>
            <w:r>
              <w:rPr>
                <w:b/>
                <w:sz w:val="17"/>
              </w:rPr>
              <w:t>6,815</w:t>
            </w:r>
          </w:p>
        </w:tc>
        <w:tc>
          <w:tcPr>
            <w:tcW w:type="dxa" w:w="1440"/>
            <w:shd w:fill="FFDCE0" w:val="clear"/>
          </w:tcPr>
          <w:p>
            <w:r>
              <w:rPr>
                <w:sz w:val="17"/>
              </w:rPr>
              <w:t>7,706</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5,733</w:t>
            </w:r>
          </w:p>
        </w:tc>
        <w:tc>
          <w:tcPr>
            <w:tcW w:type="dxa" w:w="1440"/>
            <w:shd w:fill="FFDCE0" w:val="clear"/>
          </w:tcPr>
          <w:p>
            <w:r>
              <w:rPr>
                <w:b/>
                <w:sz w:val="17"/>
              </w:rPr>
              <w:t>6,715</w:t>
            </w:r>
          </w:p>
        </w:tc>
        <w:tc>
          <w:tcPr>
            <w:tcW w:type="dxa" w:w="1440"/>
            <w:shd w:fill="FFDCE0" w:val="clear"/>
          </w:tcPr>
          <w:p>
            <w:r>
              <w:rPr>
                <w:sz w:val="17"/>
              </w:rPr>
              <w:t>7,697</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5,553</w:t>
            </w:r>
          </w:p>
        </w:tc>
        <w:tc>
          <w:tcPr>
            <w:tcW w:type="dxa" w:w="1440"/>
            <w:shd w:fill="FFDCE0" w:val="clear"/>
          </w:tcPr>
          <w:p>
            <w:r>
              <w:rPr>
                <w:b/>
                <w:sz w:val="17"/>
              </w:rPr>
              <w:t>6,613</w:t>
            </w:r>
          </w:p>
        </w:tc>
        <w:tc>
          <w:tcPr>
            <w:tcW w:type="dxa" w:w="1440"/>
            <w:shd w:fill="FFDCE0" w:val="clear"/>
          </w:tcPr>
          <w:p>
            <w:r>
              <w:rPr>
                <w:sz w:val="17"/>
              </w:rPr>
              <w:t>7,672</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5,384</w:t>
            </w:r>
          </w:p>
        </w:tc>
        <w:tc>
          <w:tcPr>
            <w:tcW w:type="dxa" w:w="1440"/>
            <w:shd w:fill="FFDCE0" w:val="clear"/>
          </w:tcPr>
          <w:p>
            <w:r>
              <w:rPr>
                <w:b/>
                <w:sz w:val="17"/>
              </w:rPr>
              <w:t>6,510</w:t>
            </w:r>
          </w:p>
        </w:tc>
        <w:tc>
          <w:tcPr>
            <w:tcW w:type="dxa" w:w="1440"/>
            <w:shd w:fill="FFDCE0" w:val="clear"/>
          </w:tcPr>
          <w:p>
            <w:r>
              <w:rPr>
                <w:sz w:val="17"/>
              </w:rPr>
              <w:t>7,637</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5,224</w:t>
            </w:r>
          </w:p>
        </w:tc>
        <w:tc>
          <w:tcPr>
            <w:tcW w:type="dxa" w:w="1440"/>
            <w:shd w:fill="FFDCE0" w:val="clear"/>
          </w:tcPr>
          <w:p>
            <w:r>
              <w:rPr>
                <w:b/>
                <w:sz w:val="17"/>
              </w:rPr>
              <w:t>6,409</w:t>
            </w:r>
          </w:p>
        </w:tc>
        <w:tc>
          <w:tcPr>
            <w:tcW w:type="dxa" w:w="1440"/>
            <w:shd w:fill="FFDCE0" w:val="clear"/>
          </w:tcPr>
          <w:p>
            <w:r>
              <w:rPr>
                <w:sz w:val="17"/>
              </w:rPr>
              <w:t>7,595</w:t>
            </w:r>
          </w:p>
        </w:tc>
        <w:tc>
          <w:tcPr>
            <w:tcW w:type="dxa" w:w="1440"/>
            <w:shd w:fill="FFDCE0" w:val="clear"/>
          </w:tcPr>
          <w:p>
            <w:r>
              <w:rPr>
                <w:b/>
                <w:color w:val="C00000"/>
                <w:sz w:val="17"/>
              </w:rPr>
              <w:t>-9.5%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5,072</w:t>
            </w:r>
          </w:p>
        </w:tc>
        <w:tc>
          <w:tcPr>
            <w:tcW w:type="dxa" w:w="1440"/>
            <w:shd w:fill="FFDCE0" w:val="clear"/>
          </w:tcPr>
          <w:p>
            <w:r>
              <w:rPr>
                <w:b/>
                <w:sz w:val="17"/>
              </w:rPr>
              <w:t>6,310</w:t>
            </w:r>
          </w:p>
        </w:tc>
        <w:tc>
          <w:tcPr>
            <w:tcW w:type="dxa" w:w="1440"/>
            <w:shd w:fill="FFDCE0" w:val="clear"/>
          </w:tcPr>
          <w:p>
            <w:r>
              <w:rPr>
                <w:sz w:val="17"/>
              </w:rPr>
              <w:t>7,548</w:t>
            </w:r>
          </w:p>
        </w:tc>
        <w:tc>
          <w:tcPr>
            <w:tcW w:type="dxa" w:w="1440"/>
            <w:shd w:fill="FFDCE0" w:val="clear"/>
          </w:tcPr>
          <w:p>
            <w:r>
              <w:rPr>
                <w:b/>
                <w:color w:val="C00000"/>
                <w:sz w:val="17"/>
              </w:rPr>
              <w:t>-10.9%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4,929</w:t>
            </w:r>
          </w:p>
        </w:tc>
        <w:tc>
          <w:tcPr>
            <w:tcW w:type="dxa" w:w="1440"/>
            <w:shd w:fill="FFDCE0" w:val="clear"/>
          </w:tcPr>
          <w:p>
            <w:r>
              <w:rPr>
                <w:b/>
                <w:sz w:val="17"/>
              </w:rPr>
              <w:t>6,215</w:t>
            </w:r>
          </w:p>
        </w:tc>
        <w:tc>
          <w:tcPr>
            <w:tcW w:type="dxa" w:w="1440"/>
            <w:shd w:fill="FFDCE0" w:val="clear"/>
          </w:tcPr>
          <w:p>
            <w:r>
              <w:rPr>
                <w:sz w:val="17"/>
              </w:rPr>
              <w:t>7,500</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(Société Ivoirienne de Coco Râpé)**</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SICOR s'établit à **4,25 milliards FCFA**, un niveau modeste qui la classe parmi les petites capitalisations de la BRVM, lui conférant un profil de valeur de niche avec une liquidité limitée. Les ratios de valorisation (BPA, PER, P/B, EV/EBITDA) ne sont pas calculables, faute de données financières structurées disponibles dans la base de données. Cette absence s'explique par la publication tardive des états financiers détaillés de la société, qui ne sont disponibles que sous forme de rapports narratifs. En l'absence de ces multiples, il est impossible de déterminer si le marché valorise la société au-dessus ou en dessous de sa valeur comptable, ou si les investisseurs paient un prix élevé par rapport aux bénéfices. Néanmoins, avec un cours actuel de 7 085 FCFA et un résultat net 2023 de 19,25 millions FCFA, le PER implicite serait très élevé, indiquant une décote de rentabilité par rapport au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SICOR a enregistré une progression spectaculaire de **+81,43%**, passant d'un plus bas de 3 765 FCFA à un plus haut de 7 095 FCFA, avec un cours actuel de 7 085 FCFA et une stabilité à la dernière séance (0,00%). Cette tendance fortement haussière s'accompagne de statistiques descriptives révélatrices : la moyenne (4 633 FCFA) est supérieure à la médiane (4 390 FCFA), indiquant une distribution asymétrique positive (skewness de 1,712) où les fortes hausses récentes tirent la moyenne vers le haut. L'écart-type de 728 FCFA (CV de 15,7%) montre une dispersion modérée, mais le kurtosis de 2,722 signale un risque de pics extrêmes. La volatilité annualisée de **54,3%** est très élevée, classant le titre comme spéculatif et à haut risque, avec des mouvements de prix amples et rapides.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(7 085 FCFA) évolue nettement au-dessus de la MM20 (5 791 FCFA) et de la MM50 (5 093 FCFA), confirmant une dynamique haussière solide à court et moyen terme. L'écart positif entre les deux moyennes (+698 FCFA) renforce le signal d'achat, indiquant une accélération du mouvement haussier.</w:t>
      </w:r>
    </w:p>
    <w:p>
      <w:pPr>
        <w:spacing w:after="120" w:line="276" w:lineRule="auto"/>
      </w:pPr>
      <w:r>
        <w:t>**Bandes de Bollinger** : Le prix se situe près de la borne supérieure (7 268 FCFA), avec une borne inférieure à 4 315 FCFA, créant un canal très large reflétant la volatilité élevée. La position proche de la borne haute suggère une pression acheteuse persistante, mais le signal "Neutre" indique que le marché attend une confirmation directionnelle, le prix n'ayant pas encore franchi la borne de manière décisive.</w:t>
      </w:r>
    </w:p>
    <w:p>
      <w:pPr>
        <w:spacing w:after="120" w:line="276" w:lineRule="auto"/>
      </w:pPr>
      <w:r>
        <w:t>**MACD** : La valeur du MACD (545,09) est nettement supérieure à son signal (400,51), avec un écart positif de 144,58 points, confirmant un momentum haussier puissant. Cette divergence positive indique que la tendance haussière est soutenue par une dynamique de fond, justifiant la décision d'achat.</w:t>
      </w:r>
    </w:p>
    <w:p>
      <w:pPr>
        <w:spacing w:after="120" w:line="276" w:lineRule="auto"/>
      </w:pPr>
      <w:r>
        <w:t>**RSI** : À **78,47**, le RSI est en zone de surachat (&gt;70), signalant que le titre est survendu à la hausse et qu'un repli technique est probable à court terme. La décision de vente émise par cet indicateur contraste avec les signaux haussiers des moyennes mobiles et du MACD, suggérant une possible consolidation après la forte progression.</w:t>
      </w:r>
    </w:p>
    <w:p>
      <w:pPr>
        <w:spacing w:after="120" w:line="276" w:lineRule="auto"/>
      </w:pPr>
      <w:r>
        <w:t>**Stochastique** : Le %K (99,44) et le %D (99,63) sont tous deux à des niveaux extrêmement élevés, proches de 100, indiquant une condition de surachat sévère. Le croisement potentiel à la baisse de ces lignes pourrait déclencher un signal de vente, renforçant la prudence à court terme.</w:t>
      </w:r>
    </w:p>
    <w:p>
      <w:pPr>
        <w:spacing w:after="120" w:line="276" w:lineRule="auto"/>
      </w:pPr>
      <w:r>
        <w:t>**Conclusion technique** : Les indicateurs de tendance (MM, MACD) sont résolument haussiers, mais les oscillateurs (RSI, Stochastique) signalent un surachat extrême. Cette divergence suggère que la tendance de fond reste positive, mais qu'un repli technique est imminent. Les investisseurs devraient surveiller un éventuel retour vers la zone des 6 500-6 800 FCFA avant d'envisager de nouvelles positions.</w:t>
      </w:r>
    </w:p>
    <w:p>
      <w:pPr>
        <w:spacing w:after="120" w:line="276" w:lineRule="auto"/>
      </w:pPr>
      <w:r>
        <w:t>---</w:t>
      </w:r>
    </w:p>
    <w:p>
      <w:pPr>
        <w:spacing w:after="120" w:line="276" w:lineRule="auto"/>
      </w:pPr>
      <w:r>
        <w:t>### PARTIE 3 : ANALYSE FONDAMENTALE (SECTION CRITIQUE)</w:t>
      </w:r>
    </w:p>
    <w:p>
      <w:pPr>
        <w:spacing w:after="120" w:line="276" w:lineRule="auto"/>
      </w:pPr>
      <w:r>
        <w:t>Les rapports financiers disponibles, datés du **31 décembre 2024** et analysés le 15 mars 2026, couvrent les exercices 2023 et 2022. En **2023**, la SICOR a réalisé un chiffre d'affaires de **701,09 millions FCFA**, en baisse de 38,4% par rapport à 2022 (1 138,17 millions FCFA), mais a renoué avec un résultat net positif de **+19,25 millions FCFA** (marge nette de 2,75%), contre une perte de -39,95 millions FCFA en 2022. Cette amélioration résulte d'une réduction drastique des charges (-43,68%), notamment les charges de personnel (-39,24%) suite au transfert de 50% des effectifs vers la SIPAL. La rentabilité reste fragile avec un ROE et un ROA non calculables, mais la marge nette de 2,75% reste inférieure à la moyenne sectorielle (5-10%). Les pertes cumulées s'élèvent à 689,86 millions FCFA, empêchant toute distribution de dividende. Les risques opérationnels (vols de noix de coco, baisse des volumes) et financiers (découverts bancaires multipliés par 14) persistent. Sur la base de ces données, on estime que l'exercice 2024 pourrait montrer une stabilisation, mais la société doit impérativement diversifier ses revenus et sécuriser ses plantations pour assurer une croissance durable.</w:t>
      </w:r>
    </w:p>
    <w:p>
      <w:pPr>
        <w:spacing w:after="120" w:line="276" w:lineRule="auto"/>
      </w:pPr>
      <w:r>
        <w:t>---</w:t>
      </w:r>
    </w:p>
    <w:p>
      <w:pPr>
        <w:spacing w:after="120" w:line="276" w:lineRule="auto"/>
      </w:pPr>
      <w:r>
        <w:t>### PARTIE 4 : CONCLUSION D'INVESTISSEMENT</w:t>
      </w:r>
    </w:p>
    <w:p>
      <w:pPr>
        <w:spacing w:after="120" w:line="276" w:lineRule="auto"/>
      </w:pPr>
      <w:r>
        <w:t>La valorisation de la SICOR reste indéterminée faute de ratios calculables, mais la capitalisation de 4,25 milliards FCFA paraît élevée au regard des bénéfices modestes. Le comportement du cours montre une tendance haussière spectaculaire (+81,43% en 100 jours) avec une volatilité extrême (54,3%) et une asymétrie positive, mais le kurtosis élevé signale un risque de retournement brutal. Les signaux techniques sont divergents : les moyennes mobiles et le MACD sont haussiers, tandis que le RSI (78,47) et le stochastique (99,4%) indiquent un surachat critique. Les fondamentaux montrent un retour à la profitabilité en 2023, mais avec une marge fragile et des pertes cumulées importantes. Les prédictions IA prévoient une **baisse progressive** de 7 058 FCFA à 6 715 FCFA sur 10 jours, confirmant le risque de correction technique. En synthèse, la convergence entre le surachat technique et la faiblesse fondamentale suggère une **recommandation de VENTE** à court terme, avec un niveau de confiance **Moyen** et un risque global **Élevé**. L'horizon d'investissement optimal serait de **court terme (&lt;3 mois)** pour les investisseurs cherchant à réaliser des profits, avec un stop-loss sous 6 500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5,778 titres</w:t>
            </w:r>
          </w:p>
        </w:tc>
        <w:tc>
          <w:tcPr>
            <w:tcW w:type="dxa" w:w="2268"/>
            <w:shd w:fill="FFF2CC" w:val="clear"/>
          </w:tcPr>
          <w:p>
            <w:r>
              <w:rPr>
                <w:b/>
                <w:color w:val="503200"/>
                <w:sz w:val="16"/>
              </w:rPr>
              <w:t xml:space="preserve">Cours actuel : </w:t>
            </w:r>
            <w:r>
              <w:rPr>
                <w:color w:val="000000"/>
                <w:sz w:val="17"/>
              </w:rPr>
              <w:t>2,125 FCFA</w:t>
            </w:r>
          </w:p>
          <w:p>
            <w:r>
              <w:rPr>
                <w:b/>
                <w:color w:val="503200"/>
                <w:sz w:val="16"/>
              </w:rPr>
              <w:t xml:space="preserve">Var. 100 jours : </w:t>
            </w:r>
            <w:r>
              <w:rPr>
                <w:b/>
                <w:color w:val="B40000"/>
                <w:sz w:val="17"/>
              </w:rPr>
              <w:t>-25.04%</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10.79% (Moyenne) — μ=2,654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β=0.0353 (Défensif) — Cov=0.000001, Var(idx)=0.000036, ρ=0.007,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1,873</w:t>
            </w:r>
          </w:p>
        </w:tc>
        <w:tc>
          <w:tcPr>
            <w:tcW w:type="dxa" w:w="1440"/>
            <w:shd w:fill="FFDCE0" w:val="clear"/>
          </w:tcPr>
          <w:p>
            <w:r>
              <w:rPr>
                <w:b/>
                <w:sz w:val="17"/>
              </w:rPr>
              <w:t>2,010</w:t>
            </w:r>
          </w:p>
        </w:tc>
        <w:tc>
          <w:tcPr>
            <w:tcW w:type="dxa" w:w="1440"/>
            <w:shd w:fill="FFDCE0" w:val="clear"/>
          </w:tcPr>
          <w:p>
            <w:r>
              <w:rPr>
                <w:sz w:val="17"/>
              </w:rPr>
              <w:t>2,146</w:t>
            </w:r>
          </w:p>
        </w:tc>
        <w:tc>
          <w:tcPr>
            <w:tcW w:type="dxa" w:w="1440"/>
            <w:shd w:fill="FFDCE0" w:val="clear"/>
          </w:tcPr>
          <w:p>
            <w:r>
              <w:rPr>
                <w:b/>
                <w:color w:val="C00000"/>
                <w:sz w:val="17"/>
              </w:rPr>
              <w:t>-5.4%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1,784</w:t>
            </w:r>
          </w:p>
        </w:tc>
        <w:tc>
          <w:tcPr>
            <w:tcW w:type="dxa" w:w="1440"/>
            <w:shd w:fill="FFDCE0" w:val="clear"/>
          </w:tcPr>
          <w:p>
            <w:r>
              <w:rPr>
                <w:b/>
                <w:sz w:val="17"/>
              </w:rPr>
              <w:t>1,973</w:t>
            </w:r>
          </w:p>
        </w:tc>
        <w:tc>
          <w:tcPr>
            <w:tcW w:type="dxa" w:w="1440"/>
            <w:shd w:fill="FFDCE0" w:val="clear"/>
          </w:tcPr>
          <w:p>
            <w:r>
              <w:rPr>
                <w:sz w:val="17"/>
              </w:rPr>
              <w:t>2,163</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1,705</w:t>
            </w:r>
          </w:p>
        </w:tc>
        <w:tc>
          <w:tcPr>
            <w:tcW w:type="dxa" w:w="1440"/>
            <w:shd w:fill="FFDCE0" w:val="clear"/>
          </w:tcPr>
          <w:p>
            <w:r>
              <w:rPr>
                <w:b/>
                <w:sz w:val="17"/>
              </w:rPr>
              <w:t>1,932</w:t>
            </w:r>
          </w:p>
        </w:tc>
        <w:tc>
          <w:tcPr>
            <w:tcW w:type="dxa" w:w="1440"/>
            <w:shd w:fill="FFDCE0" w:val="clear"/>
          </w:tcPr>
          <w:p>
            <w:r>
              <w:rPr>
                <w:sz w:val="17"/>
              </w:rPr>
              <w:t>2,159</w:t>
            </w:r>
          </w:p>
        </w:tc>
        <w:tc>
          <w:tcPr>
            <w:tcW w:type="dxa" w:w="1440"/>
            <w:shd w:fill="FFDCE0" w:val="clear"/>
          </w:tcPr>
          <w:p>
            <w:r>
              <w:rPr>
                <w:b/>
                <w:color w:val="C00000"/>
                <w:sz w:val="17"/>
              </w:rPr>
              <w:t>-9.1%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1,634</w:t>
            </w:r>
          </w:p>
        </w:tc>
        <w:tc>
          <w:tcPr>
            <w:tcW w:type="dxa" w:w="1440"/>
            <w:shd w:fill="FFDCE0" w:val="clear"/>
          </w:tcPr>
          <w:p>
            <w:r>
              <w:rPr>
                <w:b/>
                <w:sz w:val="17"/>
              </w:rPr>
              <w:t>1,890</w:t>
            </w:r>
          </w:p>
        </w:tc>
        <w:tc>
          <w:tcPr>
            <w:tcW w:type="dxa" w:w="1440"/>
            <w:shd w:fill="FFDCE0" w:val="clear"/>
          </w:tcPr>
          <w:p>
            <w:r>
              <w:rPr>
                <w:sz w:val="17"/>
              </w:rPr>
              <w:t>2,147</w:t>
            </w:r>
          </w:p>
        </w:tc>
        <w:tc>
          <w:tcPr>
            <w:tcW w:type="dxa" w:w="1440"/>
            <w:shd w:fill="FFDCE0" w:val="clear"/>
          </w:tcPr>
          <w:p>
            <w:r>
              <w:rPr>
                <w:b/>
                <w:color w:val="C00000"/>
                <w:sz w:val="17"/>
              </w:rPr>
              <w:t>-11.0%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1,569</w:t>
            </w:r>
          </w:p>
        </w:tc>
        <w:tc>
          <w:tcPr>
            <w:tcW w:type="dxa" w:w="1440"/>
            <w:shd w:fill="FFDCE0" w:val="clear"/>
          </w:tcPr>
          <w:p>
            <w:r>
              <w:rPr>
                <w:b/>
                <w:sz w:val="17"/>
              </w:rPr>
              <w:t>1,850</w:t>
            </w:r>
          </w:p>
        </w:tc>
        <w:tc>
          <w:tcPr>
            <w:tcW w:type="dxa" w:w="1440"/>
            <w:shd w:fill="FFDCE0" w:val="clear"/>
          </w:tcPr>
          <w:p>
            <w:r>
              <w:rPr>
                <w:sz w:val="17"/>
              </w:rPr>
              <w:t>2,130</w:t>
            </w:r>
          </w:p>
        </w:tc>
        <w:tc>
          <w:tcPr>
            <w:tcW w:type="dxa" w:w="1440"/>
            <w:shd w:fill="FFDCE0" w:val="clear"/>
          </w:tcPr>
          <w:p>
            <w:r>
              <w:rPr>
                <w:b/>
                <w:color w:val="C00000"/>
                <w:sz w:val="17"/>
              </w:rPr>
              <w:t>-13.0%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1,509</w:t>
            </w:r>
          </w:p>
        </w:tc>
        <w:tc>
          <w:tcPr>
            <w:tcW w:type="dxa" w:w="1440"/>
            <w:shd w:fill="FFDCE0" w:val="clear"/>
          </w:tcPr>
          <w:p>
            <w:r>
              <w:rPr>
                <w:b/>
                <w:sz w:val="17"/>
              </w:rPr>
              <w:t>1,810</w:t>
            </w:r>
          </w:p>
        </w:tc>
        <w:tc>
          <w:tcPr>
            <w:tcW w:type="dxa" w:w="1440"/>
            <w:shd w:fill="FFDCE0" w:val="clear"/>
          </w:tcPr>
          <w:p>
            <w:r>
              <w:rPr>
                <w:sz w:val="17"/>
              </w:rPr>
              <w:t>2,111</w:t>
            </w:r>
          </w:p>
        </w:tc>
        <w:tc>
          <w:tcPr>
            <w:tcW w:type="dxa" w:w="1440"/>
            <w:shd w:fill="FFDCE0" w:val="clear"/>
          </w:tcPr>
          <w:p>
            <w:r>
              <w:rPr>
                <w:b/>
                <w:color w:val="C00000"/>
                <w:sz w:val="17"/>
              </w:rPr>
              <w:t>-14.8%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1,454</w:t>
            </w:r>
          </w:p>
        </w:tc>
        <w:tc>
          <w:tcPr>
            <w:tcW w:type="dxa" w:w="1440"/>
            <w:shd w:fill="FFDCE0" w:val="clear"/>
          </w:tcPr>
          <w:p>
            <w:r>
              <w:rPr>
                <w:b/>
                <w:sz w:val="17"/>
              </w:rPr>
              <w:t>1,772</w:t>
            </w:r>
          </w:p>
        </w:tc>
        <w:tc>
          <w:tcPr>
            <w:tcW w:type="dxa" w:w="1440"/>
            <w:shd w:fill="FFDCE0" w:val="clear"/>
          </w:tcPr>
          <w:p>
            <w:r>
              <w:rPr>
                <w:sz w:val="17"/>
              </w:rPr>
              <w:t>2,090</w:t>
            </w:r>
          </w:p>
        </w:tc>
        <w:tc>
          <w:tcPr>
            <w:tcW w:type="dxa" w:w="1440"/>
            <w:shd w:fill="FFDCE0" w:val="clear"/>
          </w:tcPr>
          <w:p>
            <w:r>
              <w:rPr>
                <w:b/>
                <w:color w:val="C00000"/>
                <w:sz w:val="17"/>
              </w:rPr>
              <w:t>-16.6%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1,403</w:t>
            </w:r>
          </w:p>
        </w:tc>
        <w:tc>
          <w:tcPr>
            <w:tcW w:type="dxa" w:w="1440"/>
            <w:shd w:fill="FFDCE0" w:val="clear"/>
          </w:tcPr>
          <w:p>
            <w:r>
              <w:rPr>
                <w:b/>
                <w:sz w:val="17"/>
              </w:rPr>
              <w:t>1,736</w:t>
            </w:r>
          </w:p>
        </w:tc>
        <w:tc>
          <w:tcPr>
            <w:tcW w:type="dxa" w:w="1440"/>
            <w:shd w:fill="FFDCE0" w:val="clear"/>
          </w:tcPr>
          <w:p>
            <w:r>
              <w:rPr>
                <w:sz w:val="17"/>
              </w:rPr>
              <w:t>2,069</w:t>
            </w:r>
          </w:p>
        </w:tc>
        <w:tc>
          <w:tcPr>
            <w:tcW w:type="dxa" w:w="1440"/>
            <w:shd w:fill="FFDCE0" w:val="clear"/>
          </w:tcPr>
          <w:p>
            <w:r>
              <w:rPr>
                <w:b/>
                <w:color w:val="C00000"/>
                <w:sz w:val="17"/>
              </w:rPr>
              <w:t>-18.3%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1,354</w:t>
            </w:r>
          </w:p>
        </w:tc>
        <w:tc>
          <w:tcPr>
            <w:tcW w:type="dxa" w:w="1440"/>
            <w:shd w:fill="FFDCE0" w:val="clear"/>
          </w:tcPr>
          <w:p>
            <w:r>
              <w:rPr>
                <w:b/>
                <w:sz w:val="17"/>
              </w:rPr>
              <w:t>1,700</w:t>
            </w:r>
          </w:p>
        </w:tc>
        <w:tc>
          <w:tcPr>
            <w:tcW w:type="dxa" w:w="1440"/>
            <w:shd w:fill="FFDCE0" w:val="clear"/>
          </w:tcPr>
          <w:p>
            <w:r>
              <w:rPr>
                <w:sz w:val="17"/>
              </w:rPr>
              <w:t>2,046</w:t>
            </w:r>
          </w:p>
        </w:tc>
        <w:tc>
          <w:tcPr>
            <w:tcW w:type="dxa" w:w="1440"/>
            <w:shd w:fill="FFDCE0" w:val="clear"/>
          </w:tcPr>
          <w:p>
            <w:r>
              <w:rPr>
                <w:b/>
                <w:color w:val="C00000"/>
                <w:sz w:val="17"/>
              </w:rPr>
              <w:t>-20.0%</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1,308</w:t>
            </w:r>
          </w:p>
        </w:tc>
        <w:tc>
          <w:tcPr>
            <w:tcW w:type="dxa" w:w="1440"/>
            <w:shd w:fill="FFDCE0" w:val="clear"/>
          </w:tcPr>
          <w:p>
            <w:r>
              <w:rPr>
                <w:b/>
                <w:sz w:val="17"/>
              </w:rPr>
              <w:t>1,666</w:t>
            </w:r>
          </w:p>
        </w:tc>
        <w:tc>
          <w:tcPr>
            <w:tcW w:type="dxa" w:w="1440"/>
            <w:shd w:fill="FFDCE0" w:val="clear"/>
          </w:tcPr>
          <w:p>
            <w:r>
              <w:rPr>
                <w:sz w:val="17"/>
              </w:rPr>
              <w:t>2,023</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sur l'action SIVC (désormais ERIUM CI),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18,56 milliards FCFA positionne SIVC comme une valeur de taille moyenne sur la BRVM. Le BPA de 43 FCFA est relativement faible, ce qui explique un PER de 49,2x, extrêmement élevé par rapport à la moyenne du marché (8-12x). Les investisseurs paient donc une prime très significative pour chaque franc de bénéfice, ce qui suggère des attentes de croissance future très fortes. Cette prime est confirmée par un P/B de 5,67x, indiquant que le marché valorise l'actif net à plus de cinq fois sa valeur comptable. Enfin, un EV/EBITDA de 15,8x, supérieur au seuil de 15x, confirme une valorisation exigeante, la valeur d'entreprise étant élevée par rapport à sa capacité opérationnelle brute.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-25,04%, passant d'un plus haut de 3 215 FCFA à un plus bas de 1 920 FCFA, avant de clôturer à 2 125 FCFA, enregistrant un rebond de +2,41% lors de la dernière séance. La tendance est clairement baissière sur la période. Les statistiques descriptives révèlent une distribution asymétrique : la moyenne (2 654 FCFA) est inférieure à la médiane (2 770 FCFA), et le skewness négatif (-0.750) confirme une concentration de journées de forte baisse. L'écart-type de 288 FCFA (CV=10,8%) indique une dispersion modérée autour de la moyenne. Le kurtosis négatif (-0.449) suggère une distribution mésokurtique, sans risque de pics extrêmes particulier. La volatilité annualisée de 50,6% est très élevée, classant le titre comme spéculatif et risqué.</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(2 125 FCFA) est inférieur à la MM20 (2 235 FCFA) et à la MM50 (2 468,7 FCFA). La configuration baissière est évidente, avec un cours évoluant sous ses moyennes clés, justifiant la décision de "Vente".</w:t>
      </w:r>
    </w:p>
    <w:p>
      <w:pPr>
        <w:spacing w:after="120" w:line="276" w:lineRule="auto"/>
      </w:pPr>
      <w:r>
        <w:t>**Bandes de Bollinger:** Le prix se situe à 2 125 FCFA, dans la partie inférieure des bandes (borne inférieure à 2 010 FCFA, supérieure à 2 459,9 FCFA). Le cours évolue dans la moitié inférieure, indiquant une pression vendeuse persistante, mais sans être en situation de surachat ou de survente extrême, d'où la décision "Neutre".</w:t>
      </w:r>
    </w:p>
    <w:p>
      <w:pPr>
        <w:spacing w:after="120" w:line="276" w:lineRule="auto"/>
      </w:pPr>
      <w:r>
        <w:t>**MACD:** Le MACD (-86.445) est légèrement au-dessus de sa ligne de signal (-88.869). Ce croisement haussier, bien que les deux valeurs soient négatives, suggère un ralentissement du momentum baissier et une possible tentative de retournement, justifiant la décision "Achat".</w:t>
      </w:r>
    </w:p>
    <w:p>
      <w:pPr>
        <w:spacing w:after="120" w:line="276" w:lineRule="auto"/>
      </w:pPr>
      <w:r>
        <w:t>**RSI:** Le RSI à 26.891 est en zone de survente (&lt;30). Cela indique que le titre est techniquement survendu, ce qui pourrait attirer des acheteurs à la recherche de bonnes affaires et précéder un rebond technique, justifiant la décision "Achat".</w:t>
      </w:r>
    </w:p>
    <w:p>
      <w:pPr>
        <w:spacing w:after="120" w:line="276" w:lineRule="auto"/>
      </w:pPr>
      <w:r>
        <w:t>**Stochastique:** Le %K (22.222) est supérieur au %D (7.407), mais les deux sont en zone de survente. Ce croisement haussier en zone basse peut signaler un potentiel de rebond, mais la faiblesse des valeurs rend le signal peu fiable, d'où la décision "Neutre".</w:t>
      </w:r>
    </w:p>
    <w:p>
      <w:pPr>
        <w:spacing w:after="120" w:line="276" w:lineRule="auto"/>
      </w:pPr>
      <w:r>
        <w:t>**Conclusion technique:** Les indicateurs sont mitigés. Les moyennes mobiles et la position dans les bandes de Bollinger confirment la tendance baissière de fond, mais les oscillateurs (RSI, MACD, Stochastique) signalent une condition de survente et un potentiel de rebond technique à court terme. Le titre est dans une phase de stabilisation après une forte baisse, avec un biais négatif dominant.</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chiffre d'affaires de 9,283 Mds FCFA, un résultat net de 376,96 M FCFA, un ROE de 11,52% et un ROA de 2,69%. Le coefficient d'exploitation est très élevé à 95,83%, ce qui est préoccupant pour une banque, indiquant une faible efficacité opérationnelle. Le coût du risque est également élevé (3,10%), signalant un risque de crédit significatif. L'analyse des rapports narratifs montre une évolution contrastée : le rapport annuel 2025 (daté du 31/12/2025) fait état d'un CA en hausse à 10,07 Mds FCFA (+8,53%), mais d'un résultat net en chute de -52,4% à 179,29 M FCFA, avec une marge nette réduite à 1,78%. Cependant, le rapport du 3ème trimestre 2025 (30/09/2025) est nettement plus positif, avec un résultat net cumulé de 832,5 M FCFA (+58%), suggérant une forte amélioration en fin d'année. Sur la base de ce rapport T3, on estime que l'exercice 2025 complet pourrait être bien meilleur que ce que laisse présager le rapport annuel, avec une marge nette potentielle autour de 8-10%. Enfin, le changement de nom en ERIUM CI et le changement d'actionnariat (ERIUM LTD) en novembre 2025 marquent un tournant stratégique majeur, avec une nouvelle dynamique potentielle.</w:t>
      </w:r>
    </w:p>
    <w:p>
      <w:pPr>
        <w:spacing w:after="120" w:line="276" w:lineRule="auto"/>
      </w:pPr>
      <w:r>
        <w:t>---</w:t>
      </w:r>
    </w:p>
    <w:p>
      <w:pPr>
        <w:spacing w:after="120" w:line="276" w:lineRule="auto"/>
      </w:pPr>
      <w:r>
        <w:t>### **PARTIE 4 : CONCLUSION D'INVESTISSEMENT**</w:t>
      </w:r>
    </w:p>
    <w:p>
      <w:pPr>
        <w:spacing w:after="120" w:line="276" w:lineRule="auto"/>
      </w:pPr>
      <w:r>
        <w:t>La valorisation boursière de SIVC est extrêmement exigeante (PER 49x, P/B 5,67x), ce qui est en totale contradiction avec la faiblesse de ses fondamentaux récents et la forte baisse du cours (-25% sur 100 jours). Les signaux techniques sont mitigés, avec une tendance baissière de fond mais des conditions de survente qui pourraient déclencher un rebond technique. Les fondamentaux, bien qu'en amélioration au T3 2025, restent fragiles avec une rentabilité historiquement faible et un endettement élevé. Les prédictions IA (J+1 à J+10) anticipent une poursuite de la baisse vers 1 850 FCFA, ce qui contredit les signaux de rebond technique. En synthèse, la valorisation est surévaluée, la tendance est baissière, et les fondamentaux, malgré des signes d'amélioration, ne justifient pas une telle prime. La recommandation finale est **VENTE**, avec un niveau de confiance **Moyen** et un risque global **Élevé**. L'horizon d'investissement optimal serait à court terme (&lt;3 mois) pour les investisseurs cherchant à limiter leurs pertes, ou à long terme (&gt;1 an) pour ceux qui croient en la nouvelle dynamique d'ERIUM CI, mais avec une grande prudence.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993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-5.16%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2.40% (Faible) — μ=38,546 FCFA, σ=925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β=0.1787 (Défensif) — Cov=0.000006, Var(idx)=0.000036, ρ=0.059,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35,730</w:t>
            </w:r>
          </w:p>
        </w:tc>
        <w:tc>
          <w:tcPr>
            <w:tcW w:type="dxa" w:w="1440"/>
            <w:shd w:fill="FAFAFA" w:val="clear"/>
          </w:tcPr>
          <w:p>
            <w:r>
              <w:rPr>
                <w:b/>
                <w:sz w:val="17"/>
              </w:rPr>
              <w:t>37,027</w:t>
            </w:r>
          </w:p>
        </w:tc>
        <w:tc>
          <w:tcPr>
            <w:tcW w:type="dxa" w:w="1440"/>
            <w:shd w:fill="FAFAFA" w:val="clear"/>
          </w:tcPr>
          <w:p>
            <w:r>
              <w:rPr>
                <w:sz w:val="17"/>
              </w:rPr>
              <w:t>38,324</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35,122</w:t>
            </w:r>
          </w:p>
        </w:tc>
        <w:tc>
          <w:tcPr>
            <w:tcW w:type="dxa" w:w="1440"/>
            <w:shd w:fill="FAFAFA" w:val="clear"/>
          </w:tcPr>
          <w:p>
            <w:r>
              <w:rPr>
                <w:b/>
                <w:sz w:val="17"/>
              </w:rPr>
              <w:t>36,952</w:t>
            </w:r>
          </w:p>
        </w:tc>
        <w:tc>
          <w:tcPr>
            <w:tcW w:type="dxa" w:w="1440"/>
            <w:shd w:fill="FAFAFA" w:val="clear"/>
          </w:tcPr>
          <w:p>
            <w:r>
              <w:rPr>
                <w:sz w:val="17"/>
              </w:rPr>
              <w:t>38,782</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34,680</w:t>
            </w:r>
          </w:p>
        </w:tc>
        <w:tc>
          <w:tcPr>
            <w:tcW w:type="dxa" w:w="1440"/>
            <w:shd w:fill="FAFAFA" w:val="clear"/>
          </w:tcPr>
          <w:p>
            <w:r>
              <w:rPr>
                <w:b/>
                <w:sz w:val="17"/>
              </w:rPr>
              <w:t>36,920</w:t>
            </w:r>
          </w:p>
        </w:tc>
        <w:tc>
          <w:tcPr>
            <w:tcW w:type="dxa" w:w="1440"/>
            <w:shd w:fill="FAFAFA" w:val="clear"/>
          </w:tcPr>
          <w:p>
            <w:r>
              <w:rPr>
                <w:sz w:val="17"/>
              </w:rPr>
              <w:t>39,159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34,311</w:t>
            </w:r>
          </w:p>
        </w:tc>
        <w:tc>
          <w:tcPr>
            <w:tcW w:type="dxa" w:w="1440"/>
            <w:shd w:fill="FAFAFA" w:val="clear"/>
          </w:tcPr>
          <w:p>
            <w:r>
              <w:rPr>
                <w:b/>
                <w:sz w:val="17"/>
              </w:rPr>
              <w:t>36,895</w:t>
            </w:r>
          </w:p>
        </w:tc>
        <w:tc>
          <w:tcPr>
            <w:tcW w:type="dxa" w:w="1440"/>
            <w:shd w:fill="FAFAFA" w:val="clear"/>
          </w:tcPr>
          <w:p>
            <w:r>
              <w:rPr>
                <w:sz w:val="17"/>
              </w:rPr>
              <w:t>39,479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33,982</w:t>
            </w:r>
          </w:p>
        </w:tc>
        <w:tc>
          <w:tcPr>
            <w:tcW w:type="dxa" w:w="1440"/>
            <w:shd w:fill="FAFAFA" w:val="clear"/>
          </w:tcPr>
          <w:p>
            <w:r>
              <w:rPr>
                <w:b/>
                <w:sz w:val="17"/>
              </w:rPr>
              <w:t>36,870</w:t>
            </w:r>
          </w:p>
        </w:tc>
        <w:tc>
          <w:tcPr>
            <w:tcW w:type="dxa" w:w="1440"/>
            <w:shd w:fill="FAFAFA" w:val="clear"/>
          </w:tcPr>
          <w:p>
            <w:r>
              <w:rPr>
                <w:sz w:val="17"/>
              </w:rPr>
              <w:t>39,757</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33,682</w:t>
            </w:r>
          </w:p>
        </w:tc>
        <w:tc>
          <w:tcPr>
            <w:tcW w:type="dxa" w:w="1440"/>
            <w:shd w:fill="FAFAFA" w:val="clear"/>
          </w:tcPr>
          <w:p>
            <w:r>
              <w:rPr>
                <w:b/>
                <w:sz w:val="17"/>
              </w:rPr>
              <w:t>36,843</w:t>
            </w:r>
          </w:p>
        </w:tc>
        <w:tc>
          <w:tcPr>
            <w:tcW w:type="dxa" w:w="1440"/>
            <w:shd w:fill="FAFAFA" w:val="clear"/>
          </w:tcPr>
          <w:p>
            <w:r>
              <w:rPr>
                <w:sz w:val="17"/>
              </w:rPr>
              <w:t>40,004</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33,404</w:t>
            </w:r>
          </w:p>
        </w:tc>
        <w:tc>
          <w:tcPr>
            <w:tcW w:type="dxa" w:w="1440"/>
            <w:shd w:fill="FAFAFA" w:val="clear"/>
          </w:tcPr>
          <w:p>
            <w:r>
              <w:rPr>
                <w:b/>
                <w:sz w:val="17"/>
              </w:rPr>
              <w:t>36,815</w:t>
            </w:r>
          </w:p>
        </w:tc>
        <w:tc>
          <w:tcPr>
            <w:tcW w:type="dxa" w:w="1440"/>
            <w:shd w:fill="FAFAFA" w:val="clear"/>
          </w:tcPr>
          <w:p>
            <w:r>
              <w:rPr>
                <w:sz w:val="17"/>
              </w:rPr>
              <w:t>40,226</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33,142</w:t>
            </w:r>
          </w:p>
        </w:tc>
        <w:tc>
          <w:tcPr>
            <w:tcW w:type="dxa" w:w="1440"/>
            <w:shd w:fill="FAFAFA" w:val="clear"/>
          </w:tcPr>
          <w:p>
            <w:r>
              <w:rPr>
                <w:b/>
                <w:sz w:val="17"/>
              </w:rPr>
              <w:t>36,786</w:t>
            </w:r>
          </w:p>
        </w:tc>
        <w:tc>
          <w:tcPr>
            <w:tcW w:type="dxa" w:w="1440"/>
            <w:shd w:fill="FAFAFA" w:val="clear"/>
          </w:tcPr>
          <w:p>
            <w:r>
              <w:rPr>
                <w:sz w:val="17"/>
              </w:rPr>
              <w:t>40,429</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32,894</w:t>
            </w:r>
          </w:p>
        </w:tc>
        <w:tc>
          <w:tcPr>
            <w:tcW w:type="dxa" w:w="1440"/>
            <w:shd w:fill="FAFAFA" w:val="clear"/>
          </w:tcPr>
          <w:p>
            <w:r>
              <w:rPr>
                <w:b/>
                <w:sz w:val="17"/>
              </w:rPr>
              <w:t>36,756</w:t>
            </w:r>
          </w:p>
        </w:tc>
        <w:tc>
          <w:tcPr>
            <w:tcW w:type="dxa" w:w="1440"/>
            <w:shd w:fill="FAFAFA" w:val="clear"/>
          </w:tcPr>
          <w:p>
            <w:r>
              <w:rPr>
                <w:sz w:val="17"/>
              </w:rPr>
              <w:t>40,617</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32,658</w:t>
            </w:r>
          </w:p>
        </w:tc>
        <w:tc>
          <w:tcPr>
            <w:tcW w:type="dxa" w:w="1440"/>
            <w:shd w:fill="FAFAFA" w:val="clear"/>
          </w:tcPr>
          <w:p>
            <w:r>
              <w:rPr>
                <w:b/>
                <w:sz w:val="17"/>
              </w:rPr>
              <w:t>36,725</w:t>
            </w:r>
          </w:p>
        </w:tc>
        <w:tc>
          <w:tcPr>
            <w:tcW w:type="dxa" w:w="1440"/>
            <w:shd w:fill="FAFAFA" w:val="clear"/>
          </w:tcPr>
          <w:p>
            <w:r>
              <w:rPr>
                <w:sz w:val="17"/>
              </w:rPr>
              <w:t>40,792</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Absolument. Voici un rapport d'analyse structuré et professionnel pour l'action SLBC (SOLIBRA)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609,05 milliards FCFA, SLBC se positionne comme l'une des valeurs les plus lourdes et les plus liquides de la BRVM, un poids lourd du compartiment des entreprises non financières. Le BPA de 2 781 FCFA indique que chaque action a généré un bénéfice substantiel sur l'exercice 2025. Le PER de 13,3x est légèrement supérieur à la moyenne historique de la place (~8-12x), ce qui suggère que le marché accorde une prime de croissance à la société, justifiée par ses récentes performances exceptionnelles. Le P/B de 3,12x confirme cette prime, le marché valorisant l'actif net de la société bien au-delà de sa valeur comptable, signe d'une forte création de valeur et de rendement (ROE &gt; 23%). Enfin, un EV/EBITDA de 7,2x reste dans une zone raisonnable, indiquant que la valorisation globale de l'entreprise, rapportée à sa capacité opérationnelle de génération de cash, n'est pas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 enregistré une baisse de 5,16%, s'établissant à 37 000 FCFA, bien que la dernière séance ait clôturé en légère hausse de 0,27%. Le cours a évolué dans un range de 5 960 FCFA, entre un plus haut de 41 500 FCFA et un plus bas de 35 540 FCFA, témoignant d'une volatilité intra-période notable. La moyenne (38 546 FCFA) et la médiane (38 825 FCFA) sont très proches, indiquant une distribution des prix relativement symétrique, ce que confirme le skewness de -0,160. L'écart-type de 930 FCFA, avec un coefficient de variation de seulement 2,4%, révèle une dispersion très faible autour de la moyenne. Le kurtosis de 0,488 (mésokurtique) suggère une distribution des rendements proche de la normale, sans risque de variations extrêmes. La volatilité annualisée de 28,7% classe le titre dans la catégorie "modérée", ce qui est cohérent avec les observations précédentes.</w:t>
      </w:r>
    </w:p>
    <w:p>
      <w:pPr>
        <w:spacing w:after="120" w:line="276" w:lineRule="auto"/>
      </w:pPr>
      <w:r>
        <w:t>---</w:t>
      </w:r>
    </w:p>
    <w:p>
      <w:pPr>
        <w:spacing w:after="120" w:line="276" w:lineRule="auto"/>
      </w:pPr>
      <w:r>
        <w:t>### **PARTIE 2 : ANALYSE TECHNIQUE DÉTAILLÉE**</w:t>
      </w:r>
    </w:p>
    <w:p>
      <w:pPr>
        <w:spacing w:after="120" w:line="276" w:lineRule="auto"/>
      </w:pPr>
      <w:r>
        <w:t>**Moyennes Mobiles (MM) :** Le cours actuel (37 000 FCFA) est inférieur à la MM20 (38 715,5 FCFA) et à la MM50 (38 808,3 FCFA). Cette configuration, où le prix évolue sous les deux moyennes clés, indique une dynamique baissière à court et moyen terme. La décision de "Vente" est justifiée par cette tendance négative, le titre ne montrant aucun signe de rebond au-dessus de ces niveaux de résistance dynamiques.</w:t>
      </w:r>
    </w:p>
    <w:p>
      <w:pPr>
        <w:spacing w:after="120" w:line="276" w:lineRule="auto"/>
      </w:pPr>
      <w:r>
        <w:t>**Bandes de Bollinger :** Le cours se situe à 37 000 FCFA, proche de la borne inférieure (36 713,5 FCFA). Cette position suggère que le titre est survendu à court terme, mais sans signal de retournement immédiat. La décision "Neutre" est cohérente : le marché attend un catalyseur pour sortir de cette zone basse, mais la pression vendeuse semble s'atténuer, le prix n'ayant pas franchi la borne.</w:t>
      </w:r>
    </w:p>
    <w:p>
      <w:pPr>
        <w:spacing w:after="120" w:line="276" w:lineRule="auto"/>
      </w:pPr>
      <w:r>
        <w:t>**MACD :** Le MACD (-445,9) est nettement inférieur à sa ligne de signal (-177,9), confirmant un momentum baissier fort. La divergence négative entre les deux lignes s'est creusée, indiquant que la pression vendeuse est toujours dominante. La décision de "Vente" est justifiée par cette configuration, qui signale une poursuite probable de la tendance baissière à court terme.</w:t>
      </w:r>
    </w:p>
    <w:p>
      <w:pPr>
        <w:spacing w:after="120" w:line="276" w:lineRule="auto"/>
      </w:pPr>
      <w:r>
        <w:t>**RSI :** Avec une valeur de 37,3, le RSI se trouve en zone neutre, mais proche de la zone de survente (&lt;30). Cela indique que le titre n'est ni suracheté ni survendu, mais que la dynamique vendeuse reste prépondérante. La décision "Neutre" reflète l'absence de signal fort, bien qu'un passage sous 30 pourrait déclencher un rebond technique.</w:t>
      </w:r>
    </w:p>
    <w:p>
      <w:pPr>
        <w:spacing w:after="120" w:line="276" w:lineRule="auto"/>
      </w:pPr>
      <w:r>
        <w:t>**Stochastique :** Le %K (3,2) et le %D (1,6) sont tous deux en territoire de survente extrême (&lt;20). Le croisement haussier potentiel de ces deux lignes est un signal d'achat précoce, suggérant qu'un rebond technique est imminent. La décision "Achat" est justifiée par ces conditions de survente sévère, qui précèdent souvent un mouvement de correction à la hausse.</w:t>
      </w:r>
    </w:p>
    <w:p>
      <w:pPr>
        <w:spacing w:after="120" w:line="276" w:lineRule="auto"/>
      </w:pPr>
      <w:r>
        <w:t>**Conclusion technique :** La tendance de fond reste baissière, comme le confirment les moyennes mobiles et le MACD. Cependant, les oscillateurs (RSI et surtout Stochastique) signalent des conditions de survente extrême, laissant présager un rebond technique à très court terme. Le scénario le plus probable est une stabilisation du cours autour des 36 700-37 000 FCFA avant un éventuel sursaut, mais la tendance principale ne s'inversera qu'avec un franchissement des MM20 et MM50.</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une performance financière exceptionnelle, avec un chiffre d'affaires de 378,123 milliards FCFA, en hausse de 22,1% par rapport à 2024 (309,722 Mds FCFA). Le résultat net a plus que doublé pour atteindre 45,781 milliards FCFA, portant la marge nette à 12,1% (contre 6,9% en 2024). Cette amélioration spectaculaire se reflète dans les ratios de rentabilité : le ROE s'établit à un excellent niveau de 23,46% et le ROA à 13,48%, démontrant une utilisation très efficace des capitaux propres et des actifs. La structure financière est saine, avec une autonomie financière de 57,5% et une capacité de remboursement rapide (0,67 an). Pour une entreprise industrielle, les délais d'exploitation sont bien gérés : le délai de paiement des clients (64 jours) est inférieur au délai de paiement accordé par les fournisseurs (77 jours), ce qui est favorable pour la trésorerie. Le BFR de 61,587 Mds FCFA est positif, mais le fonds de roulement de 83,689 Mds FCFA le couvre largement, laissant une trésorerie nette positive de 22,117 Mds FCFA. Les rapports narratifs confirment cette dynamique : le rapport du S1 2025 (analysé en mars 2026) faisait déjà état d'une croissance du CA de +12,3% et d'un résultat net en hausse de +175,1%. Sur la base du rapport T1 2026 (croissance du CA de +7,6% et résultat net de 16,26 Mds FCFA, en hausse de +4,8%), on estime que l'exercice 2026 devrait confirmer cette tendance positive, mais avec un rythme de croissance plus modéré, se normalisant après les records de 2025. La société propose un dividende de 2 127 FCFA par action, portant le taux de distribution à environ 76%, un signal très fort pour les actionnaires.</w:t>
      </w:r>
    </w:p>
    <w:p>
      <w:pPr>
        <w:spacing w:after="120" w:line="276" w:lineRule="auto"/>
      </w:pPr>
      <w:r>
        <w:t>---</w:t>
      </w:r>
    </w:p>
    <w:p>
      <w:pPr>
        <w:spacing w:after="120" w:line="276" w:lineRule="auto"/>
      </w:pPr>
      <w:r>
        <w:t>### **PARTIE 4 : CONCLUSION D'INVESTISSEMENT**</w:t>
      </w:r>
    </w:p>
    <w:p>
      <w:pPr>
        <w:spacing w:after="120" w:line="276" w:lineRule="auto"/>
      </w:pPr>
      <w:r>
        <w:t>La valorisation de SLBC (PER 13,3x, P/B 3,12x) est attractive compte tenu de la croissance explosive de ses bénéfices, bien que légèrement supérieure à la moyenne du marché, ce qui est justifié par sa qualité. Le comportement du cours sur 100 jours est baissier (-5,16%), avec une volatilité modérée et une distribution statistique normale, indiquant une correction technique sans panique. Les signaux techniques sont partagés : la tendance de fond (MM, MACD) est vendeuse, mais les oscillateurs (Stochastique, RSI) sont en survente extrême, suggérant un rebond imminent. Les fondamentaux, eux, sont exceptionnellement solides, avec une croissance à deux chiffres, des marges en forte amélioration et une politique de dividende généreuse. Les prédictions IA pour les 10 prochains jours (stabilisation autour de 36 870-37 027 FCFA) confirment l'épuisement de la tendance baissière et anticipent une consolidation. En synthèse, la force des fondamentaux et la faiblesse technique créent une opportunité d'achat pour les investisseurs de moyen et long terme. La recommandation finale est un **ACHAT**, avec un niveau de confiance **Élevé** et un risque global **Moyen** (lié à la volatilité du secteur et à la dépendance aux matières premières). L'horizon d'investissement optimal est le **moyen terme (3-12 mois)**, pour capter à la fois le rebond technique et la poursuite de la croissance des bénéfices.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1,305 titres</w:t>
            </w:r>
          </w:p>
        </w:tc>
        <w:tc>
          <w:tcPr>
            <w:tcW w:type="dxa" w:w="2268"/>
            <w:shd w:fill="FFF2CC" w:val="clear"/>
          </w:tcPr>
          <w:p>
            <w:r>
              <w:rPr>
                <w:b/>
                <w:color w:val="503200"/>
                <w:sz w:val="16"/>
              </w:rPr>
              <w:t xml:space="preserve">Cours actuel : </w:t>
            </w:r>
            <w:r>
              <w:rPr>
                <w:color w:val="000000"/>
                <w:sz w:val="17"/>
              </w:rPr>
              <w:t>16,550 FCFA</w:t>
            </w:r>
          </w:p>
          <w:p>
            <w:r>
              <w:rPr>
                <w:b/>
                <w:color w:val="503200"/>
                <w:sz w:val="16"/>
              </w:rPr>
              <w:t xml:space="preserve">Var. 100 jours : </w:t>
            </w:r>
            <w:r>
              <w:rPr>
                <w:b/>
                <w:color w:val="007800"/>
                <w:sz w:val="17"/>
              </w:rPr>
              <w:t>+23.51%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14.73% (Moyenne) — μ=14,141 FCFA, σ=2,083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β=-0.6146 (Contre-cyclique) — Cov=-0.000022, Var(idx)=0.000036, ρ=-0.152,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15,485</w:t>
            </w:r>
          </w:p>
        </w:tc>
        <w:tc>
          <w:tcPr>
            <w:tcW w:type="dxa" w:w="1440"/>
            <w:shd w:fill="FFDCE0" w:val="clear"/>
          </w:tcPr>
          <w:p>
            <w:r>
              <w:rPr>
                <w:b/>
                <w:sz w:val="17"/>
              </w:rPr>
              <w:t>16,209</w:t>
            </w:r>
          </w:p>
        </w:tc>
        <w:tc>
          <w:tcPr>
            <w:tcW w:type="dxa" w:w="1440"/>
            <w:shd w:fill="FFDCE0" w:val="clear"/>
          </w:tcPr>
          <w:p>
            <w:r>
              <w:rPr>
                <w:sz w:val="17"/>
              </w:rPr>
              <w:t>16,932</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15,146</w:t>
            </w:r>
          </w:p>
        </w:tc>
        <w:tc>
          <w:tcPr>
            <w:tcW w:type="dxa" w:w="1440"/>
            <w:shd w:fill="FFDCE0" w:val="clear"/>
          </w:tcPr>
          <w:p>
            <w:r>
              <w:rPr>
                <w:b/>
                <w:sz w:val="17"/>
              </w:rPr>
              <w:t>16,166</w:t>
            </w:r>
          </w:p>
        </w:tc>
        <w:tc>
          <w:tcPr>
            <w:tcW w:type="dxa" w:w="1440"/>
            <w:shd w:fill="FFDCE0" w:val="clear"/>
          </w:tcPr>
          <w:p>
            <w:r>
              <w:rPr>
                <w:sz w:val="17"/>
              </w:rPr>
              <w:t>17,186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14,850</w:t>
            </w:r>
          </w:p>
        </w:tc>
        <w:tc>
          <w:tcPr>
            <w:tcW w:type="dxa" w:w="1440"/>
            <w:shd w:fill="FFDCE0" w:val="clear"/>
          </w:tcPr>
          <w:p>
            <w:r>
              <w:rPr>
                <w:b/>
                <w:sz w:val="17"/>
              </w:rPr>
              <w:t>16,095</w:t>
            </w:r>
          </w:p>
        </w:tc>
        <w:tc>
          <w:tcPr>
            <w:tcW w:type="dxa" w:w="1440"/>
            <w:shd w:fill="FFDCE0" w:val="clear"/>
          </w:tcPr>
          <w:p>
            <w:r>
              <w:rPr>
                <w:sz w:val="17"/>
              </w:rPr>
              <w:t>17,339</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14,604</w:t>
            </w:r>
          </w:p>
        </w:tc>
        <w:tc>
          <w:tcPr>
            <w:tcW w:type="dxa" w:w="1440"/>
            <w:shd w:fill="FFDCE0" w:val="clear"/>
          </w:tcPr>
          <w:p>
            <w:r>
              <w:rPr>
                <w:b/>
                <w:sz w:val="17"/>
              </w:rPr>
              <w:t>16,035</w:t>
            </w:r>
          </w:p>
        </w:tc>
        <w:tc>
          <w:tcPr>
            <w:tcW w:type="dxa" w:w="1440"/>
            <w:shd w:fill="FFDCE0" w:val="clear"/>
          </w:tcPr>
          <w:p>
            <w:r>
              <w:rPr>
                <w:sz w:val="17"/>
              </w:rPr>
              <w:t>17,466</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14,385</w:t>
            </w:r>
          </w:p>
        </w:tc>
        <w:tc>
          <w:tcPr>
            <w:tcW w:type="dxa" w:w="1440"/>
            <w:shd w:fill="FFDCE0" w:val="clear"/>
          </w:tcPr>
          <w:p>
            <w:r>
              <w:rPr>
                <w:b/>
                <w:sz w:val="17"/>
              </w:rPr>
              <w:t>15,980</w:t>
            </w:r>
          </w:p>
        </w:tc>
        <w:tc>
          <w:tcPr>
            <w:tcW w:type="dxa" w:w="1440"/>
            <w:shd w:fill="FFDCE0" w:val="clear"/>
          </w:tcPr>
          <w:p>
            <w:r>
              <w:rPr>
                <w:sz w:val="17"/>
              </w:rPr>
              <w:t>17,575</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14,186</w:t>
            </w:r>
          </w:p>
        </w:tc>
        <w:tc>
          <w:tcPr>
            <w:tcW w:type="dxa" w:w="1440"/>
            <w:shd w:fill="FFDCE0" w:val="clear"/>
          </w:tcPr>
          <w:p>
            <w:r>
              <w:rPr>
                <w:b/>
                <w:sz w:val="17"/>
              </w:rPr>
              <w:t>15,927</w:t>
            </w:r>
          </w:p>
        </w:tc>
        <w:tc>
          <w:tcPr>
            <w:tcW w:type="dxa" w:w="1440"/>
            <w:shd w:fill="FFDCE0" w:val="clear"/>
          </w:tcPr>
          <w:p>
            <w:r>
              <w:rPr>
                <w:sz w:val="17"/>
              </w:rPr>
              <w:t>17,668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14,000</w:t>
            </w:r>
          </w:p>
        </w:tc>
        <w:tc>
          <w:tcPr>
            <w:tcW w:type="dxa" w:w="1440"/>
            <w:shd w:fill="FFDCE0" w:val="clear"/>
          </w:tcPr>
          <w:p>
            <w:r>
              <w:rPr>
                <w:b/>
                <w:sz w:val="17"/>
              </w:rPr>
              <w:t>15,874</w:t>
            </w:r>
          </w:p>
        </w:tc>
        <w:tc>
          <w:tcPr>
            <w:tcW w:type="dxa" w:w="1440"/>
            <w:shd w:fill="FFDCE0" w:val="clear"/>
          </w:tcPr>
          <w:p>
            <w:r>
              <w:rPr>
                <w:sz w:val="17"/>
              </w:rPr>
              <w:t>17,749</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13,825</w:t>
            </w:r>
          </w:p>
        </w:tc>
        <w:tc>
          <w:tcPr>
            <w:tcW w:type="dxa" w:w="1440"/>
            <w:shd w:fill="FFDCE0" w:val="clear"/>
          </w:tcPr>
          <w:p>
            <w:r>
              <w:rPr>
                <w:b/>
                <w:sz w:val="17"/>
              </w:rPr>
              <w:t>15,823</w:t>
            </w:r>
          </w:p>
        </w:tc>
        <w:tc>
          <w:tcPr>
            <w:tcW w:type="dxa" w:w="1440"/>
            <w:shd w:fill="FFDCE0" w:val="clear"/>
          </w:tcPr>
          <w:p>
            <w:r>
              <w:rPr>
                <w:sz w:val="17"/>
              </w:rPr>
              <w:t>17,820</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13,660</w:t>
            </w:r>
          </w:p>
        </w:tc>
        <w:tc>
          <w:tcPr>
            <w:tcW w:type="dxa" w:w="1440"/>
            <w:shd w:fill="FFDCE0" w:val="clear"/>
          </w:tcPr>
          <w:p>
            <w:r>
              <w:rPr>
                <w:b/>
                <w:sz w:val="17"/>
              </w:rPr>
              <w:t>15,772</w:t>
            </w:r>
          </w:p>
        </w:tc>
        <w:tc>
          <w:tcPr>
            <w:tcW w:type="dxa" w:w="1440"/>
            <w:shd w:fill="FFDCE0" w:val="clear"/>
          </w:tcPr>
          <w:p>
            <w:r>
              <w:rPr>
                <w:sz w:val="17"/>
              </w:rPr>
              <w:t>17,883</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13,503</w:t>
            </w:r>
          </w:p>
        </w:tc>
        <w:tc>
          <w:tcPr>
            <w:tcW w:type="dxa" w:w="1440"/>
            <w:shd w:fill="FFDCE0" w:val="clear"/>
          </w:tcPr>
          <w:p>
            <w:r>
              <w:rPr>
                <w:b/>
                <w:sz w:val="17"/>
              </w:rPr>
              <w:t>15,721</w:t>
            </w:r>
          </w:p>
        </w:tc>
        <w:tc>
          <w:tcPr>
            <w:tcW w:type="dxa" w:w="1440"/>
            <w:shd w:fill="FFDCE0" w:val="clear"/>
          </w:tcPr>
          <w:p>
            <w:r>
              <w:rPr>
                <w:sz w:val="17"/>
              </w:rPr>
              <w:t>17,940</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129,01 milliards FCFA, ce qui la positionne parmi les valeurs moyennes du compartiment obligataire de la BRVM, avec un BPA de 1 677 FCFA. Le PER de 9,9x est légèrement inférieur à la moyenne historique du marché (8-12x), indiquant que le marché valorise les bénéfices de manière raisonnable, sans prime excessive. Le P/B de 3,01x reflète une prime de croissance accordée par le marché, cohérente avec la forte rentabilité des capitaux propres (ROE de 30,5%). Enfin, l'EV/EBITDA de 6,2x se situe dans la fourchette basse des 5-10x, signalant que la valeur d'entreprise reste attractive par rapport à sa capacité opérationnelle. Ces ratios suggèrent une valorisation globalement équilibrée, ni surévaluée ni sous-évaluée.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SMBC a progressé de +23,51%, avec une variation de +0,30% lors de la dernière séance, pour atteindre 16 550 FCFA. Le titre a évolué dans une fourchette de 11 450 à 17 735 FCFA, démontrant une forte amplitude de trading. La moyenne (14 141 FCFA) est supérieure à la médiane (13 370 FCFA), indiquant une asymétrie positive de la distribution des prix, avec des périodes de hausse marquée. L'écart-type de 2 094 FCFA (CV=14,8%) montre une dispersion modérée, tandis que le kurtosis de -1,483 (platykurtique) suggère une distribution aplatie, avec peu de pics extrêmes. Le skewness de 0,221 confirme une symétrie relative. La volatilité annualisée de 38,5% est élevée (&gt;30%), signalant un risque de prix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Les MM20 (16 113,5 FCFA) et MM50 (15 990,9 FCFA) sont toutes deux inférieures au cours actuel (16 550 FCFA), ce qui confirme une tendance haussière à court et moyen terme. La décision d'achat est justifiée par la position du prix au-dessus de ces moyennes, indiquant un momentum positif.</w:t>
      </w:r>
    </w:p>
    <w:p>
      <w:pPr>
        <w:spacing w:after="120" w:line="276" w:lineRule="auto"/>
      </w:pPr>
      <w:r>
        <w:t>**Bandes de Bollinger** : Le cours se situe entre la borne supérieure (17 181,9 FCFA) et la borne inférieure (15 045,1 FCFA), proche de la borne haute. La décision neutre reflète une volatilité modérée, sans signal de surachat ou de survente, mais une possible poursuite de la tendance haussière.</w:t>
      </w:r>
    </w:p>
    <w:p>
      <w:pPr>
        <w:spacing w:after="120" w:line="276" w:lineRule="auto"/>
      </w:pPr>
      <w:r>
        <w:t>**MACD** : La valeur du MACD (-14,4) est inférieure à son signal (-4,901), indiquant une divergence négative. La décision de vente suggère un affaiblissement du momentum, malgré la tendance haussière des prix, signalant un possible retournement à court terme.</w:t>
      </w:r>
    </w:p>
    <w:p>
      <w:pPr>
        <w:spacing w:after="120" w:line="276" w:lineRule="auto"/>
      </w:pPr>
      <w:r>
        <w:t>**RSI** : Le RSI de 68,385 est proche du seuil de surachat (70), mais reste en zone neutre. La décision neutre reflète une pression acheteuse encore présente, mais avec un risque de correction si le seuil est franchi.</w:t>
      </w:r>
    </w:p>
    <w:p>
      <w:pPr>
        <w:spacing w:after="120" w:line="276" w:lineRule="auto"/>
      </w:pPr>
      <w:r>
        <w:t>**Stochastique** : Le %K (91,342) est nettement supérieur au %D (71,914), indiquant une forte dynamique haussière, mais avec des conditions de surachat extrêmes. La décision de vente suggère un risque de retournement imminent.</w:t>
      </w:r>
    </w:p>
    <w:p>
      <w:pPr>
        <w:spacing w:after="120" w:line="276" w:lineRule="auto"/>
      </w:pPr>
      <w:r>
        <w:t>**Conclusion technique** : Les indicateurs montrent une divergence nette entre les moyennes mobiles (achat) et les oscillateurs (MACD, Stochastique en vente). Cette configuration signale une possible consolidation ou correction à court terme, malgré la tendance haussière de fond. Les investisseurs devraient surveiller les niveaux de support (MM50) et de résistance (borne supérieure).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mais avec un résultat net de 13,075 milliards FCFA, en hausse spectaculaire de +50,3% (contre 8,698 milliards en 2024). Le ROE s'établit à 30,47% et le ROA à 7,26%, démontrant une excellente rentabilité des fonds propres et des actifs. La marge nette s'améliore à 6,32% (contre 3,8% en 2024), grâce à une meilleure maîtrise des coûts opérationnels (EBE en hausse de +41,8% à 18,480 milliards). Le BFR est positif (1,693 milliard), mais le délai clients (193,75 jours) reste élevé, signalant un risque de trésorerie. Les capitaux propres progressent de +21,6% à 42,913 milliards, renforçant la structure financière. Sur la base des rapports trimestriels 2025 (T1 : CA -22%, T2 : CA -23%, T3 : CA -14%), on estime que l'exercice 2025 devrait confirmer la baisse du CA, mais avec une amélioration continue des marges. Les rapports de 2024 (Mistral) et 2025 (DeepSeek) convergent vers une recommandation de conserver, avec des perspectives positives liées aux investissements publics en infrastructures.</w:t>
      </w:r>
    </w:p>
    <w:p>
      <w:pPr>
        <w:spacing w:after="120" w:line="276" w:lineRule="auto" w:before="240"/>
      </w:pPr>
      <w:r>
        <w:rPr>
          <w:b/>
          <w:color w:val="003366"/>
          <w:sz w:val="24"/>
        </w:rPr>
        <w:t>**PARTIE 4 : CONCLUSION D'INVESTISSEMENT**</w:t>
      </w:r>
    </w:p>
    <w:p>
      <w:pPr>
        <w:spacing w:after="120" w:line="276" w:lineRule="auto"/>
      </w:pPr>
      <w:r>
        <w:t>La valorisation de SMBC (PER 9,9x, P/B 3,01x, EV/EBITDA 6,2x) est équilibrée, sans signal fort de sous ou surévaluation. Le comportement du cours sur 100 jours montre une tendance haussière (+23,51%) avec une volatilité élevée (38,5%), mais des statistiques (kurtosis platykurtique, skewness symétrique) indiquent une distribution stable. Les signaux techniques sont mitigés : les moyennes mobiles sont haussières, mais les oscillateurs (MACD, Stochastique) suggèrent un risque de correction à court terme. Les fondamentaux sont solides, avec une rentabilité exceptionnelle (ROE 30,5%) et une trésorerie renforcée (23,988 milliards), malgré une baisse du CA. Les prédictions IA (J+1 à J+10) montrent une légère baisse progressive (16 209 à 15 980 FCFA), contredisant la tendance haussière récente. En synthèse, la convergence entre la valorisation raisonnable, les fondamentaux solides et la tendance haussière de fond est contrebalancée par les signaux techniques de surachat et les prédictions baissières. **Recommandation : CONSERVER** avec un niveau de confiance **Moyen** et un risque global **Moyen**. L'horizon d'investissement optimal est le **moyen terme (3-12 mois)**, en attendant une clarification des perspectives de croissance du CA et une stabilisation des indicateurs techniques.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9,351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+6.90%</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4.08% (Faible) — μ=29,242 FCFA, σ=1,192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β=1.2080 (Agressif) — Cov=0.000044, Var(idx)=0.000036, ρ=0.456,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9,351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29,974</w:t>
            </w:r>
          </w:p>
        </w:tc>
        <w:tc>
          <w:tcPr>
            <w:tcW w:type="dxa" w:w="1440"/>
            <w:shd w:fill="FAFAFA" w:val="clear"/>
          </w:tcPr>
          <w:p>
            <w:r>
              <w:rPr>
                <w:b/>
                <w:sz w:val="17"/>
              </w:rPr>
              <w:t>30,781</w:t>
            </w:r>
          </w:p>
        </w:tc>
        <w:tc>
          <w:tcPr>
            <w:tcW w:type="dxa" w:w="1440"/>
            <w:shd w:fill="FAFAFA" w:val="clear"/>
          </w:tcPr>
          <w:p>
            <w:r>
              <w:rPr>
                <w:sz w:val="17"/>
              </w:rPr>
              <w:t>31,589</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29,619</w:t>
            </w:r>
          </w:p>
        </w:tc>
        <w:tc>
          <w:tcPr>
            <w:tcW w:type="dxa" w:w="1440"/>
            <w:shd w:fill="FAFAFA" w:val="clear"/>
          </w:tcPr>
          <w:p>
            <w:r>
              <w:rPr>
                <w:b/>
                <w:sz w:val="17"/>
              </w:rPr>
              <w:t>30,760</w:t>
            </w:r>
          </w:p>
        </w:tc>
        <w:tc>
          <w:tcPr>
            <w:tcW w:type="dxa" w:w="1440"/>
            <w:shd w:fill="FAFAFA" w:val="clear"/>
          </w:tcPr>
          <w:p>
            <w:r>
              <w:rPr>
                <w:sz w:val="17"/>
              </w:rPr>
              <w:t>31,901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29,338</w:t>
            </w:r>
          </w:p>
        </w:tc>
        <w:tc>
          <w:tcPr>
            <w:tcW w:type="dxa" w:w="1440"/>
            <w:shd w:fill="FAFAFA" w:val="clear"/>
          </w:tcPr>
          <w:p>
            <w:r>
              <w:rPr>
                <w:b/>
                <w:sz w:val="17"/>
              </w:rPr>
              <w:t>30,734</w:t>
            </w:r>
          </w:p>
        </w:tc>
        <w:tc>
          <w:tcPr>
            <w:tcW w:type="dxa" w:w="1440"/>
            <w:shd w:fill="FAFAFA" w:val="clear"/>
          </w:tcPr>
          <w:p>
            <w:r>
              <w:rPr>
                <w:sz w:val="17"/>
              </w:rPr>
              <w:t>32,130</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29,094</w:t>
            </w:r>
          </w:p>
        </w:tc>
        <w:tc>
          <w:tcPr>
            <w:tcW w:type="dxa" w:w="1440"/>
            <w:shd w:fill="FAFAFA" w:val="clear"/>
          </w:tcPr>
          <w:p>
            <w:r>
              <w:rPr>
                <w:b/>
                <w:sz w:val="17"/>
              </w:rPr>
              <w:t>30,705</w:t>
            </w:r>
          </w:p>
        </w:tc>
        <w:tc>
          <w:tcPr>
            <w:tcW w:type="dxa" w:w="1440"/>
            <w:shd w:fill="FAFAFA" w:val="clear"/>
          </w:tcPr>
          <w:p>
            <w:r>
              <w:rPr>
                <w:sz w:val="17"/>
              </w:rPr>
              <w:t>32,316</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28,876</w:t>
            </w:r>
          </w:p>
        </w:tc>
        <w:tc>
          <w:tcPr>
            <w:tcW w:type="dxa" w:w="1440"/>
            <w:shd w:fill="FAFAFA" w:val="clear"/>
          </w:tcPr>
          <w:p>
            <w:r>
              <w:rPr>
                <w:b/>
                <w:sz w:val="17"/>
              </w:rPr>
              <w:t>30,675</w:t>
            </w:r>
          </w:p>
        </w:tc>
        <w:tc>
          <w:tcPr>
            <w:tcW w:type="dxa" w:w="1440"/>
            <w:shd w:fill="FAFAFA" w:val="clear"/>
          </w:tcPr>
          <w:p>
            <w:r>
              <w:rPr>
                <w:sz w:val="17"/>
              </w:rPr>
              <w:t>32,474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28,675</w:t>
            </w:r>
          </w:p>
        </w:tc>
        <w:tc>
          <w:tcPr>
            <w:tcW w:type="dxa" w:w="1440"/>
            <w:shd w:fill="FAFAFA" w:val="clear"/>
          </w:tcPr>
          <w:p>
            <w:r>
              <w:rPr>
                <w:b/>
                <w:sz w:val="17"/>
              </w:rPr>
              <w:t>30,644</w:t>
            </w:r>
          </w:p>
        </w:tc>
        <w:tc>
          <w:tcPr>
            <w:tcW w:type="dxa" w:w="1440"/>
            <w:shd w:fill="FAFAFA" w:val="clear"/>
          </w:tcPr>
          <w:p>
            <w:r>
              <w:rPr>
                <w:sz w:val="17"/>
              </w:rPr>
              <w:t>32,613</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28,489</w:t>
            </w:r>
          </w:p>
        </w:tc>
        <w:tc>
          <w:tcPr>
            <w:tcW w:type="dxa" w:w="1440"/>
            <w:shd w:fill="FAFAFA" w:val="clear"/>
          </w:tcPr>
          <w:p>
            <w:r>
              <w:rPr>
                <w:b/>
                <w:sz w:val="17"/>
              </w:rPr>
              <w:t>30,614</w:t>
            </w:r>
          </w:p>
        </w:tc>
        <w:tc>
          <w:tcPr>
            <w:tcW w:type="dxa" w:w="1440"/>
            <w:shd w:fill="FAFAFA" w:val="clear"/>
          </w:tcPr>
          <w:p>
            <w:r>
              <w:rPr>
                <w:sz w:val="17"/>
              </w:rPr>
              <w:t>32,738</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28,315</w:t>
            </w:r>
          </w:p>
        </w:tc>
        <w:tc>
          <w:tcPr>
            <w:tcW w:type="dxa" w:w="1440"/>
            <w:shd w:fill="FAFAFA" w:val="clear"/>
          </w:tcPr>
          <w:p>
            <w:r>
              <w:rPr>
                <w:b/>
                <w:sz w:val="17"/>
              </w:rPr>
              <w:t>30,583</w:t>
            </w:r>
          </w:p>
        </w:tc>
        <w:tc>
          <w:tcPr>
            <w:tcW w:type="dxa" w:w="1440"/>
            <w:shd w:fill="FAFAFA" w:val="clear"/>
          </w:tcPr>
          <w:p>
            <w:r>
              <w:rPr>
                <w:sz w:val="17"/>
              </w:rPr>
              <w:t>32,852</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28,149</w:t>
            </w:r>
          </w:p>
        </w:tc>
        <w:tc>
          <w:tcPr>
            <w:tcW w:type="dxa" w:w="1440"/>
            <w:shd w:fill="FAFAFA" w:val="clear"/>
          </w:tcPr>
          <w:p>
            <w:r>
              <w:rPr>
                <w:b/>
                <w:sz w:val="17"/>
              </w:rPr>
              <w:t>30,553</w:t>
            </w:r>
          </w:p>
        </w:tc>
        <w:tc>
          <w:tcPr>
            <w:tcW w:type="dxa" w:w="1440"/>
            <w:shd w:fill="FAFAFA" w:val="clear"/>
          </w:tcPr>
          <w:p>
            <w:r>
              <w:rPr>
                <w:sz w:val="17"/>
              </w:rPr>
              <w:t>32,957</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27,992</w:t>
            </w:r>
          </w:p>
        </w:tc>
        <w:tc>
          <w:tcPr>
            <w:tcW w:type="dxa" w:w="1440"/>
            <w:shd w:fill="FAFAFA" w:val="clear"/>
          </w:tcPr>
          <w:p>
            <w:r>
              <w:rPr>
                <w:b/>
                <w:sz w:val="17"/>
              </w:rPr>
              <w:t>30,523</w:t>
            </w:r>
          </w:p>
        </w:tc>
        <w:tc>
          <w:tcPr>
            <w:tcW w:type="dxa" w:w="1440"/>
            <w:shd w:fill="FAFAFA" w:val="clear"/>
          </w:tcPr>
          <w:p>
            <w:r>
              <w:rPr>
                <w:sz w:val="17"/>
              </w:rPr>
              <w:t>33,055</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07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3 100 milliards FCFA, ce qui en fait l'une des plus importantes valeurs de la BRVM, représentant un poids considérable dans l'indice. Avec un BPA de 4 136 FCFA, le titre se négocie à un PER de 7,5x, nettement inférieur à la moyenne du marché BRVM (8-12x), ce qui suggère une sous-évaluation relative de la valeur. Le P/B de 2,22x indique que le marché valorise l'entreprise à plus du double de sa valeur comptable, une prime de croissance jugée raisonnable pour un leader régional. Enfin, l'EV/EBITDA de 3,2x, très inférieur au seuil de 5x, confirme que la valorisation globale de l'entreprise (dette incluse) reste très attractive au regard de sa capacité opérationnelle à générer des flux. Ces ratios combinés signalent un profil de valeur décoté avec des fondamentaux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progression de +6,90%, avec une dynamique récente soutenue (+2,65% sur la dernière séance), portant le cours à 31 000 FCFA. Le titre a évolué dans un range de 27 160 FCFA (plus bas) à 32 500 FCFA (plus haut), démontrant une amplitude de trading de près de 20%. La moyenne du cours sur la période (29 242 FCFA) est supérieure à la médiane (28 850 FCFA), et le skewness positif de 1,10 indique une distribution asymétrique avec des journées de clôture plus fréquemment sous la moyenne, mais des mouvements de hausse plus prononcés. L'écart-type de 1 198 FCFA (CV de 4,1%) révèle une dispersion relativement faible autour de la moyenne, tandis que le kurtosis proche de zéro (0,039) indique une distribution mésokurtique, sans risque de pics extrêmes. La volatilité annualisée de 25,2% classe le titre dans une zone de volatilité modérée, acceptable pour un investisseur institutionnel.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(31 000 FCFA) se positionne au-dessus de la MM20 (31 335,75 FCFA) et nettement au-dessus de la MM50 (29 846,9 FCFA). Cette configuration haussière, avec une MM20 supérieure à la MM50, confirme une tendance de fond positive. Le signal d'achat généré est cohérent avec la dynamique de moyen terme.</w:t>
      </w:r>
    </w:p>
    <w:p>
      <w:pPr>
        <w:spacing w:after="120" w:line="276" w:lineRule="auto"/>
      </w:pPr>
      <w:r>
        <w:t>**Bandes de Bollinger** : Le cours évolue à l'intérieur des bandes, entre la borne supérieure (32 407,45 FCFA) et la borne inférieure (30 264,05 FCFA), avec une position quasi centrale. Cette situation indique une volatilité normale sans excès, justifiant une décision neutre. Un écart vers la borne supérieure signalerait une accélération haussière.</w:t>
      </w:r>
    </w:p>
    <w:p>
      <w:pPr>
        <w:spacing w:after="120" w:line="276" w:lineRule="auto"/>
      </w:pPr>
      <w:r>
        <w:t>**MACD** : La valeur du MACD (253,37) est inférieure à son signal (429,05), générant un signal de vente. Cette configuration suggère un ralentissement du momentum haussier à court terme, bien que les valeurs restent positives, indiquant que la tendance de fond demeure haussière.</w:t>
      </w:r>
    </w:p>
    <w:p>
      <w:pPr>
        <w:spacing w:after="120" w:line="276" w:lineRule="auto"/>
      </w:pPr>
      <w:r>
        <w:t>**RSI** : À 37,5, le RSI se situe en zone neutre, proche de la zone de survente (30). Cela indique que le titre n'est ni suracheté ni survendu, laissant une marge de progression avant d'atteindre des niveaux extrêmes. La décision neutre est justifiée.</w:t>
      </w:r>
    </w:p>
    <w:p>
      <w:pPr>
        <w:spacing w:after="120" w:line="276" w:lineRule="auto"/>
      </w:pPr>
      <w:r>
        <w:t>**Stochastique** : Le %K (44,44) est supérieur au %D (28,15), suggérant un croisement haussier en préparation. Bien que la décision soit neutre, cette configuration indique un potentiel de rebond technique après une phase de consolidation.</w:t>
      </w:r>
    </w:p>
    <w:p>
      <w:pPr>
        <w:spacing w:after="120" w:line="276" w:lineRule="auto"/>
      </w:pPr>
      <w:r>
        <w:t>**Conclusion technique** : Les indicateurs sont mitigés, avec une divergence entre les moyennes mobiles (haussier) et le MACD (baissier). Le RSI et le stochastique suggèrent un potentiel de rebond, tandis que les bandes de Bollinger indiquent une stabilité. Globalement, la tendance de fond reste positive, mais un léger repli technique est possible avant une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performances financières solides, avec un chiffre d'affaires consolidé de 1 923,1 milliards FCFA (+8,3% vs 2024), un résultat net de 413,6 milliards FCFA (+5,1%) et une marge nette de 21,5%. La rentabilité des fonds propres (ROE) est excellente à 29,6%, tandis que le ROA atteint 12,6%, confirmant une gestion efficace des actifs. La structure financière est saine avec une autonomie financière de 42,8% et une capacité de remboursement rapide (0,64 an). Le BFR négatif de -284,9 milliards FCFA est un signal très favorable, indiquant que l'entreprise finance son exploitation par ses fournisseurs (délai fournisseurs de 201 jours contre 46 jours pour les clients). Les rapports trimestriels 2025 confirment cette dynamique : le T1 2025 (+14,9% de résultat net), le S1 2025 (+8,0%) et le T3 2025 (+8,0%) montrent une croissance régulière. Le communiqué du S1 2026 (publié le 24 juillet 2026) fait état d'une progression de +9,3% du CA à 1 049,8 milliards FCFA et de +10,5% du résultat net à 230 milliards FCFA, avec une notation relevée à AAA(wu). Sur cette base, on estime que l'exercice 2026 pourrait dépasser les 2 100 milliards FCFA de CA et 450 milliards FCFA de résultat net. La politique de dividende reste attractive avec un dividende net de 1 740 FCFA par action pour 2025, payable à partir du 25 mai 2026, offrant un rendement d'environ 5,6% au cours actuel.</w:t>
      </w:r>
    </w:p>
    <w:p>
      <w:pPr>
        <w:spacing w:after="120" w:line="276" w:lineRule="auto"/>
      </w:pPr>
      <w:r>
        <w:t>---</w:t>
      </w:r>
    </w:p>
    <w:p>
      <w:pPr>
        <w:spacing w:after="120" w:line="276" w:lineRule="auto"/>
      </w:pPr>
      <w:r>
        <w:t>### PARTIE 4 : CONCLUSION D'INVESTISSEMENT</w:t>
      </w:r>
    </w:p>
    <w:p>
      <w:pPr>
        <w:spacing w:after="120" w:line="276" w:lineRule="auto"/>
      </w:pPr>
      <w:r>
        <w:t>La valorisation de SNTS est indéniablement attractive : avec un PER de 7,5x, un EV/EBITDA de 3,2x et un P/B de 2,22x, le titre apparaît sous-évalué par rapport à ses pairs et à son potentiel de croissance. Le comportement du cours sur 100 jours (+6,9%) et la volatilité modérée (25,2%) témoignent d'une stabilité rassurante, avec une distribution des rendements asymétrique favorable aux hausses. Les signaux techniques sont partagés : les moyennes mobiles sont haussières, mais le MACD suggère un essoufflement à court terme, tempéré par un RSI neutre et un stochastique en voie d'amélioration. Les fondamentaux sont excellents, avec une croissance soutenue du CA et du résultat net, une rentabilité élevée (ROE &gt; 29%) et une structure financière solide. Les prédictions IA pour les 10 prochains jours (31 000 à 30 675 FCFA) indiquent une légère consolidation, cohérente avec les signaux techniques mitigés. En synthèse, la convergence entre la sous-évaluation, la solidité fondamentale et la tendance de fond haussière plaide pour une **recommandation ACHAT**, avec un niveau de confiance **Élevé**. Le risque global est **Faible** pour un leader de marché comme Sonatel. L'horizon d'investissement optimal est le **moyen terme (3-12 mois)**, permettant de capter à la fois le potentiel de revalorisation du titre et le rendement du dividende.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pr\u00e9sente une performance financi\u00e8re solide avec une croissance soutenue et une rentabilit\u00e9 \u00e9lev\u00e9e, mais \u00e9volue dans un environnement concurrentiel intense et inflationniste. La strat\u00e9gie de d\u00e9veloppement du tr\u00e8s haut d\u00e9bit et la position de leader justifient le maintien en portefeuille."}</w:t>
      </w:r>
    </w:p>
    <w:p>
      <w:pPr>
        <w:spacing w:before="40"/>
        <w:ind w:left="400"/>
      </w:pPr>
      <w:r>
        <w:rPr>
          <w:sz w:val="18"/>
        </w:rPr>
        <w:t>Sonatel affiche une performance financière solide en 2022 avec un chiffre d'affaires en croissance de 9% à 1 455 milliards FCFA et un résultat net en hausse de 10,5% à 278,9 milliards FCFA. Le groupe maintient son leadership sur tous ses marchés de présence (Sénégal, Mali, Guinée, Guinée Bissau, Sierra Leone) malgré un contexte socio-économique difficile. La croissance est portée par le développement du très haut débit avec 10,6 millions de clients 4G et une forte croissance du parc broadband fixe (+34,8%). L'EBITDAAL progresse de 8,8% à 631,5 milliards FCFA avec une marge de 43,4%, témoignant d'une rentabilité opérationnelle robuste. Le groupe propose un dividende de 1 667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'262,5 milliards FCFA', 'ebitdaal': '631,5 milliards FCFA', 'clients_4G': '10,6 millions', 'parc_mobile': '37,9 millions', 'marge_ebitdaal': '43,4%', 'operating_cash_flow': '369,1 milliards FCFA', 'clients_orange_money': '26,4 millions'}</w:t>
            </w:r>
          </w:p>
        </w:tc>
        <w:tc>
          <w:tcPr>
            <w:tcW w:type="dxa" w:w="2160"/>
          </w:tcPr>
          <w:p>
            <w:pPr>
              <w:ind w:left="100"/>
            </w:pPr>
            <w:r/>
            <w:r>
              <w:rPr>
                <w:b/>
                <w:sz w:val="16"/>
              </w:rPr>
              <w:t>dividende</w:t>
              <w:br/>
            </w:r>
            <w:r>
              <w:rPr>
                <w:sz w:val="18"/>
              </w:rPr>
              <w:t>1 667 FCFA brut par action (1 500 FCFA net)</w:t>
            </w:r>
          </w:p>
        </w:tc>
        <w:tc>
          <w:tcPr>
            <w:tcW w:type="dxa" w:w="2160"/>
          </w:tcPr>
          <w:p>
            <w:pPr>
              <w:ind w:left="100"/>
            </w:pPr>
            <w:r/>
            <w:r>
              <w:rPr>
                <w:b/>
                <w:sz w:val="16"/>
              </w:rPr>
              <w:t>marge_nette</w:t>
              <w:br/>
            </w:r>
            <w:r>
              <w:rPr>
                <w:sz w:val="18"/>
              </w:rPr>
              <w:t>19,2%</w:t>
            </w:r>
          </w:p>
        </w:tc>
        <w:tc>
          <w:tcPr>
            <w:tcW w:type="dxa" w:w="2160"/>
          </w:tcPr>
          <w:p>
            <w:pPr>
              <w:ind w:left="100"/>
            </w:pPr>
            <w:r/>
            <w:r>
              <w:rPr>
                <w:b/>
                <w:sz w:val="16"/>
              </w:rPr>
              <w:t>total_actif</w:t>
              <w:br/>
            </w:r>
            <w:r>
              <w:rPr>
                <w:sz w:val="18"/>
              </w:rPr>
              <w:t>2 252,2 milliards FCFA</w:t>
            </w:r>
          </w:p>
        </w:tc>
      </w:tr>
      <w:tr>
        <w:tc>
          <w:tcPr>
            <w:tcW w:type="dxa" w:w="2160"/>
          </w:tcPr>
          <w:p>
            <w:r/>
            <w:r>
              <w:rPr>
                <w:b/>
                <w:sz w:val="16"/>
              </w:rPr>
              <w:t>resultat_net</w:t>
              <w:br/>
            </w:r>
            <w:r>
              <w:rPr>
                <w:sz w:val="18"/>
              </w:rPr>
              <w:t>278,9 milliards FCFA</w:t>
            </w:r>
          </w:p>
        </w:tc>
        <w:tc>
          <w:tcPr>
            <w:tcW w:type="dxa" w:w="2160"/>
          </w:tcPr>
          <w:p>
            <w:r/>
            <w:r>
              <w:rPr>
                <w:b/>
                <w:sz w:val="16"/>
              </w:rPr>
              <w:t>capitaux_propres</w:t>
              <w:br/>
            </w:r>
            <w:r>
              <w:rPr>
                <w:sz w:val="18"/>
              </w:rPr>
              <w:t>898,5 milliards FCFA</w:t>
            </w:r>
          </w:p>
        </w:tc>
        <w:tc>
          <w:tcPr>
            <w:tcW w:type="dxa" w:w="2160"/>
          </w:tcPr>
          <w:p>
            <w:r/>
            <w:r>
              <w:rPr>
                <w:b/>
                <w:sz w:val="16"/>
              </w:rPr>
              <w:t>chiffre_affaires</w:t>
              <w:br/>
            </w:r>
            <w:r>
              <w:rPr>
                <w:sz w:val="18"/>
              </w:rPr>
              <w:t>1 455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 à 1 455 milliards FCFA malgré la baisse d'Orange Money</w:t>
      </w:r>
    </w:p>
    <w:p>
      <w:pPr>
        <w:pStyle w:val="ListBullet"/>
        <w:spacing w:before="20" w:after="20"/>
        <w:ind w:left="700"/>
      </w:pPr>
      <w:r>
        <w:rPr>
          <w:sz w:val="18"/>
        </w:rPr>
        <w:t>Résultat net en progression de 10,5% à 278,9 milliards FCFA avec une marge nette de 19,2%</w:t>
      </w:r>
    </w:p>
    <w:p>
      <w:pPr>
        <w:pStyle w:val="ListBullet"/>
        <w:spacing w:before="20" w:after="20"/>
        <w:ind w:left="700"/>
      </w:pPr>
      <w:r>
        <w:rPr>
          <w:sz w:val="18"/>
        </w:rPr>
        <w:t>Maintien du leadership sur tous les marchés avec des parts de marché entre 51,6% et 65,9%</w:t>
      </w:r>
    </w:p>
    <w:p>
      <w:pPr>
        <w:pStyle w:val="ListBullet"/>
        <w:spacing w:before="20" w:after="20"/>
        <w:ind w:left="700"/>
      </w:pPr>
      <w:r>
        <w:rPr>
          <w:sz w:val="18"/>
        </w:rPr>
        <w:t>Forte croissance du parc 4G (+33%) atteignant 10,6 millions de clients actifs</w:t>
      </w:r>
    </w:p>
    <w:p>
      <w:pPr>
        <w:pStyle w:val="ListBullet"/>
        <w:spacing w:before="20" w:after="20"/>
        <w:ind w:left="700"/>
      </w:pPr>
      <w:r>
        <w:rPr>
          <w:sz w:val="18"/>
        </w:rPr>
        <w:t>Développement significatif du broadband fixe (+34,8%) avec 586K clients dont 491K en fibre</w:t>
      </w:r>
    </w:p>
    <w:p>
      <w:pPr>
        <w:pStyle w:val="ListBullet"/>
        <w:spacing w:before="20" w:after="20"/>
        <w:ind w:left="700"/>
      </w:pPr>
      <w:r>
        <w:rPr>
          <w:sz w:val="18"/>
        </w:rPr>
        <w:t>EBITDAAL en hausse de 8,8% à 631,5 milliards FCFA avec une marge stable à 43,4%</w:t>
      </w:r>
    </w:p>
    <w:p>
      <w:pPr>
        <w:spacing w:before="40"/>
        <w:ind w:left="400"/>
      </w:pPr>
      <w:r>
        <w:rPr>
          <w:b/>
          <w:color w:val="C05000"/>
          <w:sz w:val="18"/>
        </w:rPr>
        <w:t xml:space="preserve">⚠️ Risques : </w:t>
      </w:r>
      <w:r>
        <w:rPr>
          <w:sz w:val="18"/>
        </w:rPr>
        <w:t>["Contexte socio-\u00e9conomique difficile avec inflation \u00e9lev\u00e9e et transitions militaires au Mali et en Guin\u00e9e", "Agressivit\u00e9 concurrentielle croissante sur tous les march\u00e9s, notamment sur la data et le mobile money", "D\u00e9pr\u00e9ciation mon\u00e9taire importante en Sie</w:t>
      </w:r>
    </w:p>
    <w:p>
      <w:pPr>
        <w:spacing w:before="40"/>
        <w:ind w:left="400"/>
      </w:pPr>
      <w:r>
        <w:rPr>
          <w:b/>
          <w:color w:val="0064A0"/>
          <w:sz w:val="18"/>
        </w:rPr>
        <w:t xml:space="preserve">🔮 Perspectives : </w:t>
      </w:r>
      <w:r>
        <w:rPr>
          <w:sz w:val="18"/>
        </w:rPr>
        <w:t>Pour 2023, Sonatel vise à renforcer sa performance en croissance et rentabilité grâce à un plan d'efficience opérationnelle. Le groupe poursuivra sa stratégie d'opérateur multiservices en accélérant le très haut débit fixe et mobile, la distribution de contenus via Wido et Orange Energie. L'objectif</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4,230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B40000"/>
                <w:sz w:val="17"/>
              </w:rPr>
              <w:t>-8.06%</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5.44% (Moyenne) — μ=8,039 FCFA, σ=437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β=0.8235 (Neutre (suit le marché)) — Cov=0.000030, Var(idx)=0.000036, ρ=0.217,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7,867</w:t>
            </w:r>
          </w:p>
        </w:tc>
        <w:tc>
          <w:tcPr>
            <w:tcW w:type="dxa" w:w="1440"/>
            <w:shd w:fill="FAFAFA" w:val="clear"/>
          </w:tcPr>
          <w:p>
            <w:r>
              <w:rPr>
                <w:b/>
                <w:sz w:val="17"/>
              </w:rPr>
              <w:t>8,121</w:t>
            </w:r>
          </w:p>
        </w:tc>
        <w:tc>
          <w:tcPr>
            <w:tcW w:type="dxa" w:w="1440"/>
            <w:shd w:fill="FAFAFA" w:val="clear"/>
          </w:tcPr>
          <w:p>
            <w:r>
              <w:rPr>
                <w:sz w:val="17"/>
              </w:rPr>
              <w:t>8,375</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7,775</w:t>
            </w:r>
          </w:p>
        </w:tc>
        <w:tc>
          <w:tcPr>
            <w:tcW w:type="dxa" w:w="1440"/>
            <w:shd w:fill="FAFAFA" w:val="clear"/>
          </w:tcPr>
          <w:p>
            <w:r>
              <w:rPr>
                <w:b/>
                <w:sz w:val="17"/>
              </w:rPr>
              <w:t>8,135</w:t>
            </w:r>
          </w:p>
        </w:tc>
        <w:tc>
          <w:tcPr>
            <w:tcW w:type="dxa" w:w="1440"/>
            <w:shd w:fill="FAFAFA" w:val="clear"/>
          </w:tcPr>
          <w:p>
            <w:r>
              <w:rPr>
                <w:sz w:val="17"/>
              </w:rPr>
              <w:t>8,494</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7,706</w:t>
            </w:r>
          </w:p>
        </w:tc>
        <w:tc>
          <w:tcPr>
            <w:tcW w:type="dxa" w:w="1440"/>
            <w:shd w:fill="FAFAFA" w:val="clear"/>
          </w:tcPr>
          <w:p>
            <w:r>
              <w:rPr>
                <w:b/>
                <w:sz w:val="17"/>
              </w:rPr>
              <w:t>8,147</w:t>
            </w:r>
          </w:p>
        </w:tc>
        <w:tc>
          <w:tcPr>
            <w:tcW w:type="dxa" w:w="1440"/>
            <w:shd w:fill="FAFAFA" w:val="clear"/>
          </w:tcPr>
          <w:p>
            <w:r>
              <w:rPr>
                <w:sz w:val="17"/>
              </w:rPr>
              <w:t>8,588</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7,649</w:t>
            </w:r>
          </w:p>
        </w:tc>
        <w:tc>
          <w:tcPr>
            <w:tcW w:type="dxa" w:w="1440"/>
            <w:shd w:fill="FAFAFA" w:val="clear"/>
          </w:tcPr>
          <w:p>
            <w:r>
              <w:rPr>
                <w:b/>
                <w:sz w:val="17"/>
              </w:rPr>
              <w:t>8,159</w:t>
            </w:r>
          </w:p>
        </w:tc>
        <w:tc>
          <w:tcPr>
            <w:tcW w:type="dxa" w:w="1440"/>
            <w:shd w:fill="FAFAFA" w:val="clear"/>
          </w:tcPr>
          <w:p>
            <w:r>
              <w:rPr>
                <w:sz w:val="17"/>
              </w:rPr>
              <w:t>8,669</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7,600</w:t>
            </w:r>
          </w:p>
        </w:tc>
        <w:tc>
          <w:tcPr>
            <w:tcW w:type="dxa" w:w="1440"/>
            <w:shd w:fill="FAFAFA" w:val="clear"/>
          </w:tcPr>
          <w:p>
            <w:r>
              <w:rPr>
                <w:b/>
                <w:sz w:val="17"/>
              </w:rPr>
              <w:t>8,171</w:t>
            </w:r>
          </w:p>
        </w:tc>
        <w:tc>
          <w:tcPr>
            <w:tcW w:type="dxa" w:w="1440"/>
            <w:shd w:fill="FAFAFA" w:val="clear"/>
          </w:tcPr>
          <w:p>
            <w:r>
              <w:rPr>
                <w:sz w:val="17"/>
              </w:rPr>
              <w:t>8,742</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7,556</w:t>
            </w:r>
          </w:p>
        </w:tc>
        <w:tc>
          <w:tcPr>
            <w:tcW w:type="dxa" w:w="1440"/>
            <w:shd w:fill="FAFAFA" w:val="clear"/>
          </w:tcPr>
          <w:p>
            <w:r>
              <w:rPr>
                <w:b/>
                <w:sz w:val="17"/>
              </w:rPr>
              <w:t>8,183</w:t>
            </w:r>
          </w:p>
        </w:tc>
        <w:tc>
          <w:tcPr>
            <w:tcW w:type="dxa" w:w="1440"/>
            <w:shd w:fill="FAFAFA" w:val="clear"/>
          </w:tcPr>
          <w:p>
            <w:r>
              <w:rPr>
                <w:sz w:val="17"/>
              </w:rPr>
              <w:t>8,809</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7,517</w:t>
            </w:r>
          </w:p>
        </w:tc>
        <w:tc>
          <w:tcPr>
            <w:tcW w:type="dxa" w:w="1440"/>
            <w:shd w:fill="FAFAFA" w:val="clear"/>
          </w:tcPr>
          <w:p>
            <w:r>
              <w:rPr>
                <w:b/>
                <w:sz w:val="17"/>
              </w:rPr>
              <w:t>8,194</w:t>
            </w:r>
          </w:p>
        </w:tc>
        <w:tc>
          <w:tcPr>
            <w:tcW w:type="dxa" w:w="1440"/>
            <w:shd w:fill="FAFAFA" w:val="clear"/>
          </w:tcPr>
          <w:p>
            <w:r>
              <w:rPr>
                <w:sz w:val="17"/>
              </w:rPr>
              <w:t>8,872</w:t>
            </w:r>
          </w:p>
        </w:tc>
        <w:tc>
          <w:tcPr>
            <w:tcW w:type="dxa" w:w="1440"/>
            <w:shd w:fill="FAFAFA" w:val="clear"/>
          </w:tcPr>
          <w:p>
            <w:r>
              <w:rPr>
                <w:b/>
                <w:color w:val="008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7,481</w:t>
            </w:r>
          </w:p>
        </w:tc>
        <w:tc>
          <w:tcPr>
            <w:tcW w:type="dxa" w:w="1440"/>
            <w:shd w:fill="FAFAFA" w:val="clear"/>
          </w:tcPr>
          <w:p>
            <w:r>
              <w:rPr>
                <w:b/>
                <w:sz w:val="17"/>
              </w:rPr>
              <w:t>8,206</w:t>
            </w:r>
          </w:p>
        </w:tc>
        <w:tc>
          <w:tcPr>
            <w:tcW w:type="dxa" w:w="1440"/>
            <w:shd w:fill="FAFAFA" w:val="clear"/>
          </w:tcPr>
          <w:p>
            <w:r>
              <w:rPr>
                <w:sz w:val="17"/>
              </w:rPr>
              <w:t>8,932</w:t>
            </w:r>
          </w:p>
        </w:tc>
        <w:tc>
          <w:tcPr>
            <w:tcW w:type="dxa" w:w="1440"/>
            <w:shd w:fill="FAFAFA" w:val="clear"/>
          </w:tcPr>
          <w:p>
            <w:r>
              <w:rPr>
                <w:b/>
                <w:color w:val="008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7,447</w:t>
            </w:r>
          </w:p>
        </w:tc>
        <w:tc>
          <w:tcPr>
            <w:tcW w:type="dxa" w:w="1440"/>
            <w:shd w:fill="FAFAFA" w:val="clear"/>
          </w:tcPr>
          <w:p>
            <w:r>
              <w:rPr>
                <w:b/>
                <w:sz w:val="17"/>
              </w:rPr>
              <w:t>8,218</w:t>
            </w:r>
          </w:p>
        </w:tc>
        <w:tc>
          <w:tcPr>
            <w:tcW w:type="dxa" w:w="1440"/>
            <w:shd w:fill="FAFAFA" w:val="clear"/>
          </w:tcPr>
          <w:p>
            <w:r>
              <w:rPr>
                <w:sz w:val="17"/>
              </w:rPr>
              <w:t>8,988</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7,416</w:t>
            </w:r>
          </w:p>
        </w:tc>
        <w:tc>
          <w:tcPr>
            <w:tcW w:type="dxa" w:w="1440"/>
            <w:shd w:fill="FAFAFA" w:val="clear"/>
          </w:tcPr>
          <w:p>
            <w:r>
              <w:rPr>
                <w:b/>
                <w:sz w:val="17"/>
              </w:rPr>
              <w:t>8,229</w:t>
            </w:r>
          </w:p>
        </w:tc>
        <w:tc>
          <w:tcPr>
            <w:tcW w:type="dxa" w:w="1440"/>
            <w:shd w:fill="FAFAFA" w:val="clear"/>
          </w:tcPr>
          <w:p>
            <w:r>
              <w:rPr>
                <w:sz w:val="17"/>
              </w:rPr>
              <w:t>9,042</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174,97 milliards FCFA positionne la SOGC parmi les valeurs moyennes à grandes capitalisations de la BRVM, lui conférant une liquidité et une visibilité notables. Le BPA de 578 FCFA indique que chaque action génère un bénéfice substantiel, justifiant un PER de 14,0x. Ce ratio est supérieur à la moyenne historique de la BRVM (8-12x), signifiant que le marché accorde une prime de croissance à la société, malgré des bénéfices en léger repli. Le P/B de 2,56x confirme cette prime, le marché valorisant les actifs nets de la société à plus de 2,5 fois leur valeur comptable, ce qui reflète une forte confiance dans la rentabilité future des actifs. Enfin, un EV/EBITDA de 7,3x reste dans une zone raisonnable, indiquant que la valeur totale de l'entreprise (dette incluse) reste cohérente avec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8,06%, passant sous son point d'équilibre, avec une dernière séance stable (+0,00%). Le titre a évolué dans une fourchette de 7 100 FCFA (plus bas) à 9 000 FCFA (plus haut), montrant une amplitude de 26,7% sur la période, ce qui illustre une volatilité intraday significative. La tendance générale est baissière, le cours actuel (8 100 FCFA) se situant sous sa moyenne (8 039 FCFA) et sa médiane (8 055 FCFA), bien que l'écart soit faible. L'écart-type de 439 FCFA, avec un coefficient de variation de 5,5%, indique une dispersion modérée autour de la moyenne. Le kurtosis négatif (-0,679) suggère une distribution mésokurtique, sans risque de variations extrêmes, tandis que le skewness légèrement négatif (-0,052) indique une distribution quasi symétrique. La volatilité annualisée de 36,0% est élevée (&gt;30%), signalant un risque de marché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(8 100 FCFA) est inférieur à la MM20 (8 176 FCFA) et à la MM50 (8 258,6 FCFA), confirmant une dynamique baissière à court et moyen terme. La position sous les deux moyennes clés justifie la décision de vente, signalant que la tendance de fond reste négative.</w:t>
      </w:r>
    </w:p>
    <w:p>
      <w:pPr>
        <w:spacing w:after="120" w:line="276" w:lineRule="auto"/>
      </w:pPr>
      <w:r>
        <w:t>**Bandes de Bollinger :** Le prix se situe entre la borne inférieure (7 898 FCFA) et la borne supérieure (8 453 FCFA), proche du milieu de la bande. Cette position neutre indique une volatilité modérée, sans pression excessive d'achat ou de vente. La décision est neutre, le marché attendant un catalyseur directionnel.</w:t>
      </w:r>
    </w:p>
    <w:p>
      <w:pPr>
        <w:spacing w:after="120" w:line="276" w:lineRule="auto"/>
      </w:pPr>
      <w:r>
        <w:t>**MACD :** La valeur du MACD (-24,479) est inférieure à son signal (-4,381), montrant un momentum baissier persistant. La divergence négative entre les deux lignes renforce le signal de vente, indiquant que la pression vendeuse reste dominante à moyen terme.</w:t>
      </w:r>
    </w:p>
    <w:p>
      <w:pPr>
        <w:spacing w:after="120" w:line="276" w:lineRule="auto"/>
      </w:pPr>
      <w:r>
        <w:t>**RSI :** À 52,174, le RSI se situe en zone neutre (30-70), indiquant un équilibre entre acheteurs et vendeurs. Cette valeur suggère que le titre n'est ni suracheté ni survendu, laissant place à une possible consolidation ou à un retournement selon les prochains développements.</w:t>
      </w:r>
    </w:p>
    <w:p>
      <w:pPr>
        <w:spacing w:after="120" w:line="276" w:lineRule="auto"/>
      </w:pPr>
      <w:r>
        <w:t>**Stochastique :** Le %K (40,0) est supérieur au %D (26,667), montrant un croisement haussier potentiel, mais les deux restent sous la zone de surachat (70). La décision est neutre, le signal n'étant pas encore assez fort pour confirmer un retournement durable.</w:t>
      </w:r>
    </w:p>
    <w:p>
      <w:pPr>
        <w:spacing w:after="120" w:line="276" w:lineRule="auto"/>
      </w:pPr>
      <w:r>
        <w:t>**Conclusion technique :** La majorité des indicateurs (MM, MACD) penchent vers une dynamique baissière, tandis que le RSI et le Stochastique sont neutres, suggérant une stabilisation possible. Les bandes de Bollinger confirment l'absence de direction claire. Globalement, le titre est dans une phase de correction, avec des signaux techniques mitigés, mais une pression vendeuse encore présente.</w:t>
      </w:r>
    </w:p>
    <w:p>
      <w:pPr>
        <w:spacing w:after="120" w:line="276" w:lineRule="auto"/>
      </w:pPr>
      <w:r>
        <w:t>---</w:t>
      </w:r>
    </w:p>
    <w:p>
      <w:pPr>
        <w:spacing w:after="120" w:line="276" w:lineRule="auto"/>
      </w:pPr>
      <w:r>
        <w:t>### PARTIE 3 : ANALYSE FONDAMENTALE (SECTION CRITIQUE)</w:t>
      </w:r>
    </w:p>
    <w:p>
      <w:pPr>
        <w:spacing w:after="120" w:line="276" w:lineRule="auto"/>
      </w:pPr>
      <w:r>
        <w:t>En 2025, la SOGC affiche un chiffre d'affaires de 98,979 milliards FCFA, en hausse de 5,8% par rapport à 2024 (93,52 milliards FCFA), porté par une augmentation des prix de l'huile de palme (+20%) et de palmiste (+47%), ainsi que par une croissance des volumes de caoutchouc (+9%). Le résultat net s'établit à 12,493 milliards FCFA, en baisse de 5% par rapport à 2024 (13,11 milliards FCFA), impacté par une hausse de 15% des coûts des matières premières (coagulum). La marge nette ressort à 12,62%, contre 14,0% en 2024, reflétant une pression sur la rentabilité. Le ROE est excellent à 18,26% (&gt;15%), et le ROA à 13,84%, démontrant une utilisation efficace des actifs. La structure financière est saine avec une autonomie financière de 75,79% et une solvabilité générale de 413,07%. Le BFR est positif à 7,124 milliards FCFA, avec un délai client de 29,6 jours et un délai fournisseur de 31,7 jours, indiquant une gestion équilibrée de la trésorerie. Les rapports trimestriels 2025 (T1, S1, 9M) montrent une croissance spectaculaire au premier semestre (CA +51,9%, résultat net +151,6% au S1), mais un ralentissement au second semestre en raison de la baisse des cours internationaux du caoutchouc. Sur la base de ces rapports, on estime que l'exercice 2026 pourrait voir une stabilisation des résultats, avec un CA potentiel autour de 100 milliards FCFA, si les prix se maintiennent. La société propose un dividende brut de 570 FCFA par action pour 2025, offrant un rendement de 7,0%, mais avec un taux de distribution de 98,5%, limitant les investissements futurs. Les fondamentaux restent solides, mais la dépendance aux prix des matières premières et la politique de distribution agressive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la SOGC (PER 14,0x, P/B 2,56x) est légèrement supérieure à la moyenne du marché, indiquant une prime de croissance, mais reste justifiée par des fondamentaux robustes (ROE 18,26%, solvabilité élevée). Le comportement du cours sur 100 jours est baissier (-8,06%), avec une volatilité élevée (36%), mais les statistiques descriptives (kurtosis et skewness proches de zéro) suggèrent une distribution normale sans risque de chocs extrêmes. Les signaux techniques sont mitigés, avec une tendance baissière dominante (MM, MACD) mais des indicateurs de momentum neutres (RSI, Stochastique), indiquant une possible consolidation. Les fondamentaux montrent une légère baisse du résultat net en 2025, mais une génération de cash-flow opérationnel robuste (22,64 milliards FCFA) et une trésorerie nette positive. Les prédictions IA pour les 10 prochains jours (8 121 à 8 171 FCFA) suggèrent une stabilisation et un léger rebond, contredisant partiellement la tendance baissière, mais restant en ligne avec la zone neutre des indicateurs techniques. En synthèse, la convergence entre des fondamentaux solides, une valorisation raisonnable et des prédictions de stabilisation, malgré une tendance technique baissière, conduit à une recommandation de **CONSERVER**. Le niveau de confiance est **Moyen**, le risque global est **Moyen**, et l'horizon d'investissement optimal est le **moyen terme (3-12 mois)**, en attendant une clarification des prix des matières premières et une potentielle amélioration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4,560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-8.43%</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5.09% (Moyenne) — μ=7,415 FCFA, σ=377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β=1.4425 (Agressif) — Cov=0.000052, Var(idx)=0.000036, ρ=0.340,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7,289</w:t>
            </w:r>
          </w:p>
        </w:tc>
        <w:tc>
          <w:tcPr>
            <w:tcW w:type="dxa" w:w="1440"/>
            <w:shd w:fill="FAFAFA" w:val="clear"/>
          </w:tcPr>
          <w:p>
            <w:r>
              <w:rPr>
                <w:b/>
                <w:sz w:val="17"/>
              </w:rPr>
              <w:t>7,553</w:t>
            </w:r>
          </w:p>
        </w:tc>
        <w:tc>
          <w:tcPr>
            <w:tcW w:type="dxa" w:w="1440"/>
            <w:shd w:fill="FAFAFA" w:val="clear"/>
          </w:tcPr>
          <w:p>
            <w:r>
              <w:rPr>
                <w:sz w:val="17"/>
              </w:rPr>
              <w:t>7,817</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7,169</w:t>
            </w:r>
          </w:p>
        </w:tc>
        <w:tc>
          <w:tcPr>
            <w:tcW w:type="dxa" w:w="1440"/>
            <w:shd w:fill="FAFAFA" w:val="clear"/>
          </w:tcPr>
          <w:p>
            <w:r>
              <w:rPr>
                <w:b/>
                <w:sz w:val="17"/>
              </w:rPr>
              <w:t>7,542</w:t>
            </w:r>
          </w:p>
        </w:tc>
        <w:tc>
          <w:tcPr>
            <w:tcW w:type="dxa" w:w="1440"/>
            <w:shd w:fill="FAFAFA" w:val="clear"/>
          </w:tcPr>
          <w:p>
            <w:r>
              <w:rPr>
                <w:sz w:val="17"/>
              </w:rPr>
              <w:t>7,915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7,073</w:t>
            </w:r>
          </w:p>
        </w:tc>
        <w:tc>
          <w:tcPr>
            <w:tcW w:type="dxa" w:w="1440"/>
            <w:shd w:fill="FAFAFA" w:val="clear"/>
          </w:tcPr>
          <w:p>
            <w:r>
              <w:rPr>
                <w:b/>
                <w:sz w:val="17"/>
              </w:rPr>
              <w:t>7,529</w:t>
            </w:r>
          </w:p>
        </w:tc>
        <w:tc>
          <w:tcPr>
            <w:tcW w:type="dxa" w:w="1440"/>
            <w:shd w:fill="FAFAFA" w:val="clear"/>
          </w:tcPr>
          <w:p>
            <w:r>
              <w:rPr>
                <w:sz w:val="17"/>
              </w:rPr>
              <w:t>7,985</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6,991</w:t>
            </w:r>
          </w:p>
        </w:tc>
        <w:tc>
          <w:tcPr>
            <w:tcW w:type="dxa" w:w="1440"/>
            <w:shd w:fill="FAFAFA" w:val="clear"/>
          </w:tcPr>
          <w:p>
            <w:r>
              <w:rPr>
                <w:b/>
                <w:sz w:val="17"/>
              </w:rPr>
              <w:t>7,516</w:t>
            </w:r>
          </w:p>
        </w:tc>
        <w:tc>
          <w:tcPr>
            <w:tcW w:type="dxa" w:w="1440"/>
            <w:shd w:fill="FAFAFA" w:val="clear"/>
          </w:tcPr>
          <w:p>
            <w:r>
              <w:rPr>
                <w:sz w:val="17"/>
              </w:rPr>
              <w:t>8,042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6,917</w:t>
            </w:r>
          </w:p>
        </w:tc>
        <w:tc>
          <w:tcPr>
            <w:tcW w:type="dxa" w:w="1440"/>
            <w:shd w:fill="FAFAFA" w:val="clear"/>
          </w:tcPr>
          <w:p>
            <w:r>
              <w:rPr>
                <w:b/>
                <w:sz w:val="17"/>
              </w:rPr>
              <w:t>7,504</w:t>
            </w:r>
          </w:p>
        </w:tc>
        <w:tc>
          <w:tcPr>
            <w:tcW w:type="dxa" w:w="1440"/>
            <w:shd w:fill="FAFAFA" w:val="clear"/>
          </w:tcPr>
          <w:p>
            <w:r>
              <w:rPr>
                <w:sz w:val="17"/>
              </w:rPr>
              <w:t>8,091</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6,850</w:t>
            </w:r>
          </w:p>
        </w:tc>
        <w:tc>
          <w:tcPr>
            <w:tcW w:type="dxa" w:w="1440"/>
            <w:shd w:fill="FAFAFA" w:val="clear"/>
          </w:tcPr>
          <w:p>
            <w:r>
              <w:rPr>
                <w:b/>
                <w:sz w:val="17"/>
              </w:rPr>
              <w:t>7,491</w:t>
            </w:r>
          </w:p>
        </w:tc>
        <w:tc>
          <w:tcPr>
            <w:tcW w:type="dxa" w:w="1440"/>
            <w:shd w:fill="FAFAFA" w:val="clear"/>
          </w:tcPr>
          <w:p>
            <w:r>
              <w:rPr>
                <w:sz w:val="17"/>
              </w:rPr>
              <w:t>8,133</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6,787</w:t>
            </w:r>
          </w:p>
        </w:tc>
        <w:tc>
          <w:tcPr>
            <w:tcW w:type="dxa" w:w="1440"/>
            <w:shd w:fill="FAFAFA" w:val="clear"/>
          </w:tcPr>
          <w:p>
            <w:r>
              <w:rPr>
                <w:b/>
                <w:sz w:val="17"/>
              </w:rPr>
              <w:t>7,479</w:t>
            </w:r>
          </w:p>
        </w:tc>
        <w:tc>
          <w:tcPr>
            <w:tcW w:type="dxa" w:w="1440"/>
            <w:shd w:fill="FAFAFA" w:val="clear"/>
          </w:tcPr>
          <w:p>
            <w:r>
              <w:rPr>
                <w:sz w:val="17"/>
              </w:rPr>
              <w:t>8,171</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6,728</w:t>
            </w:r>
          </w:p>
        </w:tc>
        <w:tc>
          <w:tcPr>
            <w:tcW w:type="dxa" w:w="1440"/>
            <w:shd w:fill="FAFAFA" w:val="clear"/>
          </w:tcPr>
          <w:p>
            <w:r>
              <w:rPr>
                <w:b/>
                <w:sz w:val="17"/>
              </w:rPr>
              <w:t>7,467</w:t>
            </w:r>
          </w:p>
        </w:tc>
        <w:tc>
          <w:tcPr>
            <w:tcW w:type="dxa" w:w="1440"/>
            <w:shd w:fill="FAFAFA" w:val="clear"/>
          </w:tcPr>
          <w:p>
            <w:r>
              <w:rPr>
                <w:sz w:val="17"/>
              </w:rPr>
              <w:t>8,205</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6,672</w:t>
            </w:r>
          </w:p>
        </w:tc>
        <w:tc>
          <w:tcPr>
            <w:tcW w:type="dxa" w:w="1440"/>
            <w:shd w:fill="FAFAFA" w:val="clear"/>
          </w:tcPr>
          <w:p>
            <w:r>
              <w:rPr>
                <w:b/>
                <w:sz w:val="17"/>
              </w:rPr>
              <w:t>7,454</w:t>
            </w:r>
          </w:p>
        </w:tc>
        <w:tc>
          <w:tcPr>
            <w:tcW w:type="dxa" w:w="1440"/>
            <w:shd w:fill="FAFAFA" w:val="clear"/>
          </w:tcPr>
          <w:p>
            <w:r>
              <w:rPr>
                <w:sz w:val="17"/>
              </w:rPr>
              <w:t>8,236</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6,619</w:t>
            </w:r>
          </w:p>
        </w:tc>
        <w:tc>
          <w:tcPr>
            <w:tcW w:type="dxa" w:w="1440"/>
            <w:shd w:fill="FFDCE0" w:val="clear"/>
          </w:tcPr>
          <w:p>
            <w:r>
              <w:rPr>
                <w:b/>
                <w:sz w:val="17"/>
              </w:rPr>
              <w:t>7,442</w:t>
            </w:r>
          </w:p>
        </w:tc>
        <w:tc>
          <w:tcPr>
            <w:tcW w:type="dxa" w:w="1440"/>
            <w:shd w:fill="FFDCE0" w:val="clear"/>
          </w:tcPr>
          <w:p>
            <w:r>
              <w:rPr>
                <w:sz w:val="17"/>
              </w:rPr>
              <w:t>8,265</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10 août 2026**</w:t>
        <w:br/>
        <w:t>**Cours de référence : 7 600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194,24 milliards FCFA, SPHC se positionne comme une valeur de premier plan sur la BRVM, représentant un poids significatif dans l'indice, notamment dans le compartiment agro-industriel. Le BPA de 977 FCFA indique que chaque action génère un bénéfice substantiel, ce qui, rapporté au cours actuel, donne un PER de 7,8x. Ce niveau est inférieur à la moyenne historique de la BRVM (8-12x), suggérant une **sous-évaluation relative** du titre par rapport à ses bénéfices. Le P/B de 1,41x, bien que supérieur à 1, valorise raisonnablement les actifs nets de l'entreprise, sans prime excessive. Enfin, un EV/EBITDA de 4,9x (inférieur à 5x) confirme une valorisation très attractive de la capacité opérationnelle de l'entreprise, signalant que le marché ne paie pas cher pour la génération de cash-flow opérationnel de SPHC.</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SPHC affiche une **tendance baissière** avec une variation totale de -8,43%, bien que la dernière séance soit stable (0,00%). Le titre a évolué dans une fourchette large de 6 720 FCFA (plus bas) à 8 435 FCFA (plus haut), montrant une amplitude de trading de plus de 25% sur la période. La moyenne (7 415 FCFA) et la médiane (7 400 FCFA) sont très proches, indiquant une distribution des prix relativement symétrique, mais le skewness positif (0,659) révèle que les journées de baisse ont été plus fréquentes que les journées de hausse. L'écart-type de 379 FCFA (CV=5,1%) démontre une dispersion modérée autour de la moyenne. Le kurtosis de 0,620 (mésokurtique) suggère une distribution proche de la normale, sans risque de variations extrêmes. La **volatilité annualisée de 40,4%** est élevée (&gt;30%), reflétant un risque de marché important, cohérent avec le secteur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(7 600 FCFA) se situe en dessous de la MM20 (7 487,75 FCFA) et de la MM50 (7 557,2 FCFA). La position sous ces moyennes clés confirme une dynamique baissière à court et moyen terme. La décision de **Vente** est justifiée par cette configuration, où les moyennes agissent comme des résistances dynamiques.</w:t>
      </w:r>
    </w:p>
    <w:p>
      <w:pPr>
        <w:spacing w:after="120" w:line="276" w:lineRule="auto"/>
      </w:pPr>
      <w:r>
        <w:t>**Bandes de Bollinger :** Le prix (7 600 FCFA) se négocie dans la partie supérieure de l'espace délimité par les bandes (borne inférieure à 7 311,55 FCFA et supérieure à 7 663,95 FCFA). Cette position est neutre, indiquant une absence de pression excessive à l'achat ou à la vente. La largeur des bandes suggère une volatilité modérée, et le signal est **Neutre**.</w:t>
      </w:r>
    </w:p>
    <w:p>
      <w:pPr>
        <w:spacing w:after="120" w:line="276" w:lineRule="auto"/>
      </w:pPr>
      <w:r>
        <w:t>**MACD :** La valeur du MACD (4,065) est passée au-dessus de sa ligne de signal (-7,978), générant un croisement haussier. Ce signal, bien que récent, indique un **momentum positif** qui pourrait annoncer un retournement de tendance. La décision est à l'**Achat**.</w:t>
      </w:r>
    </w:p>
    <w:p>
      <w:pPr>
        <w:spacing w:after="120" w:line="276" w:lineRule="auto"/>
      </w:pPr>
      <w:r>
        <w:t>**RSI :** Avec une valeur de 54,63, le RSI se situe en zone neutre (entre 30 et 70). Il n'y a pas de conditions de surachat ou de survente. Le marché est équilibré, laissant place à une évolution dans les deux sens. La décision est **Neutre**.</w:t>
      </w:r>
    </w:p>
    <w:p>
      <w:pPr>
        <w:spacing w:after="120" w:line="276" w:lineRule="auto"/>
      </w:pPr>
      <w:r>
        <w:t>**Stochastique :** Le %K (100,0) et le %D (92,222) sont à des niveaux extrêmement élevés, en zone de surachat. Cette configuration signale que le titre a fortement monté récemment et qu'un **retournement ou une consolidation** est probable à très court terme. La décision est **Vente**.</w:t>
      </w:r>
    </w:p>
    <w:p>
      <w:pPr>
        <w:spacing w:after="120" w:line="276" w:lineRule="auto"/>
      </w:pPr>
      <w:r>
        <w:t>**Conclusion technique :** Les signaux techniques sont **mitigés**. La tendance de fond (MM) reste baissière, mais le MACD montre un début de momentum haussier. Le stochastique en surachat extrême suggère un essoufflement imminent de la récente hausse. L'absence de convergence claire entre les indicateurs recommande une approche prudente, en attendant une confirmation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Mds FCFA), et un **résultat net de 24,97 milliards FCFA**, en progression de 32,9% (contre 18,79 Mds en 2024). Cette performance s'accompagne d'une **marge nette de 7,3%** et d'un **ROE exceptionnel de 18,1%** (contre 15,3% en 2024), ainsi que d'un **ROA de 11,1%**. La structure financière est saine avec une autonomie financière de 61,1% et un ratio d'endettement maîtrisé de 25,8%. Cependant, le **BFR de 65,39 Mds FCFA** et la **trésorerie nette négative de -15,41 Mds FCFA** (bien qu'en amélioration) constituent des points de vigilance. Les délais clients (35 jours) et de stockage (72 jours) sont corrects pour le secteur. Les rapports trimestriels de 2025 confirment cette dynamique : le T1 2025 affichait un CA de 94,3 Mds (+72%) et un résultat net de 11,8 Mds, tandis que le S1 2025 montrait un CA de 171,4 Mds (+51%) et un résultat net de 18,1 Mds (+449%). En revanche, le **T1 2026 (rapport du 30/09/2025)** marque un net ralentissement avec un CA de 71,8 Mds (-24%) et un résultat net de 2,6 Mds (-78%), pénalisé par la chute des cours mondiaux du caoutchouc et une concurrence accrue. Sur la base de ce T1 2026, on estime que l'exercice 2026 pourrait être difficile, avec un résultat net potentiellement en baisse significative par rapport à 2025, à moins d'une reprise des cours. La politique de dividende reste attractive avec un DPA proposé de 489 FCFA pour 2025 (taux de distribution de 50,1%), mais la dégradation de la trésorerie pourrait limiter cette générosité à l'avenir.</w:t>
      </w:r>
    </w:p>
    <w:p>
      <w:pPr>
        <w:spacing w:after="120" w:line="276" w:lineRule="auto"/>
      </w:pPr>
      <w:r>
        <w:t>---</w:t>
      </w:r>
    </w:p>
    <w:p>
      <w:pPr>
        <w:spacing w:after="120" w:line="276" w:lineRule="auto"/>
      </w:pPr>
      <w:r>
        <w:t>### PARTIE 4 : CONCLUSION D'INVESTISSEMENT</w:t>
      </w:r>
    </w:p>
    <w:p>
      <w:pPr>
        <w:spacing w:after="120" w:line="276" w:lineRule="auto"/>
      </w:pPr>
      <w:r>
        <w:t>La valorisation de SPHC (PER 7,8x, P/B 1,41x, EV/EBITDA 4,9x) indique une **sous-évaluation** par rapport à ses fondamentaux historiques, mais le comportement du cours (tendance baissière de -8,43% sur 100 jours) et la volatilité élevée (40,4%) reflètent un contexte de marché difficile. Les signaux techniques sont contradictoires : les moyennes mobiles sont baissières, mais le MACD est haussier, tandis que le stochastique est en surachat. Fondamentalement, l'entreprise est solide (ROE &gt;18%, croissance du CA en 2025), mais les estimations basées sur le T1 2026 (CA -24%, RN -78%) suggèrent un **ralentissement marqué** pour l'exercice en cours. Les prédictions IA (7 553 FCFA à J+10) indiquent une **légère baisse** du cours, confirmant la prudence technique. En synthèse, la convergence entre la dégradation des perspectives fondamentales à court terme, la tendance baissière du cours et les prédictions IA l'emporte sur la valorisation attrayante. Par conséquent, la recommandation est de **CONSERVER** le titre avec un niveau de confiance **Moyen**. Le risque global est **Élevé** en raison de la volatilité des matières premières. L'horizon d'investissement optimal serait le **moyen terme (3-12 mois)**, en attendant une stabilisation des cours du caoutchouc et une confirmation d'un retournement technique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35.95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6,492 titres</w:t>
            </w:r>
          </w:p>
        </w:tc>
        <w:tc>
          <w:tcPr>
            <w:tcW w:type="dxa" w:w="2268"/>
            <w:shd w:fill="FFF2CC" w:val="clear"/>
          </w:tcPr>
          <w:p>
            <w:r>
              <w:rPr>
                <w:b/>
                <w:color w:val="503200"/>
                <w:sz w:val="16"/>
              </w:rPr>
              <w:t xml:space="preserve">Cours actuel : </w:t>
            </w:r>
            <w:r>
              <w:rPr>
                <w:color w:val="000000"/>
                <w:sz w:val="17"/>
              </w:rPr>
              <w:t>2,675 FCFA</w:t>
            </w:r>
          </w:p>
          <w:p>
            <w:r>
              <w:rPr>
                <w:b/>
                <w:color w:val="503200"/>
                <w:sz w:val="16"/>
              </w:rPr>
              <w:t xml:space="preserve">Var. 100 jours : </w:t>
            </w:r>
            <w:r>
              <w:rPr>
                <w:b/>
                <w:color w:val="007800"/>
                <w:sz w:val="17"/>
              </w:rPr>
              <w:t>+22.15%</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2,190 FCFA</w:t>
            </w:r>
          </w:p>
          <w:p>
            <w:r>
              <w:rPr>
                <w:b/>
                <w:color w:val="503200"/>
                <w:sz w:val="16"/>
              </w:rPr>
              <w:t xml:space="preserve">Volatilité ann. : </w:t>
            </w:r>
            <w:r>
              <w:rPr>
                <w:color w:val="000000"/>
                <w:sz w:val="17"/>
              </w:rPr>
              <w:t>72.8%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12.20% (Moyenne) — μ=3,017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β=-1.0060 (Contre-cyclique) — Cov=-0.000036, Var(idx)=0.000036, ρ=-0.133,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σ_j=4.59%/j (Modérée) — Vol. annualisée≈72.8%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2,361</w:t>
            </w:r>
          </w:p>
        </w:tc>
        <w:tc>
          <w:tcPr>
            <w:tcW w:type="dxa" w:w="1440"/>
            <w:shd w:fill="FFDCE0" w:val="clear"/>
          </w:tcPr>
          <w:p>
            <w:r>
              <w:rPr>
                <w:b/>
                <w:sz w:val="17"/>
              </w:rPr>
              <w:t>2,489</w:t>
            </w:r>
          </w:p>
        </w:tc>
        <w:tc>
          <w:tcPr>
            <w:tcW w:type="dxa" w:w="1440"/>
            <w:shd w:fill="FFDCE0" w:val="clear"/>
          </w:tcPr>
          <w:p>
            <w:r>
              <w:rPr>
                <w:sz w:val="17"/>
              </w:rPr>
              <w:t>2,617</w:t>
            </w:r>
          </w:p>
        </w:tc>
        <w:tc>
          <w:tcPr>
            <w:tcW w:type="dxa" w:w="1440"/>
            <w:shd w:fill="FFDCE0" w:val="clear"/>
          </w:tcPr>
          <w:p>
            <w:r>
              <w:rPr>
                <w:b/>
                <w:color w:val="C00000"/>
                <w:sz w:val="17"/>
              </w:rPr>
              <w:t>-7.0%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2,160</w:t>
            </w:r>
          </w:p>
        </w:tc>
        <w:tc>
          <w:tcPr>
            <w:tcW w:type="dxa" w:w="1440"/>
            <w:shd w:fill="FFDCE0" w:val="clear"/>
          </w:tcPr>
          <w:p>
            <w:r>
              <w:rPr>
                <w:b/>
                <w:sz w:val="17"/>
              </w:rPr>
              <w:t>2,330</w:t>
            </w:r>
          </w:p>
        </w:tc>
        <w:tc>
          <w:tcPr>
            <w:tcW w:type="dxa" w:w="1440"/>
            <w:shd w:fill="FFDCE0" w:val="clear"/>
          </w:tcPr>
          <w:p>
            <w:r>
              <w:rPr>
                <w:sz w:val="17"/>
              </w:rPr>
              <w:t>2,499</w:t>
            </w:r>
          </w:p>
        </w:tc>
        <w:tc>
          <w:tcPr>
            <w:tcW w:type="dxa" w:w="1440"/>
            <w:shd w:fill="FFDCE0" w:val="clear"/>
          </w:tcPr>
          <w:p>
            <w:r>
              <w:rPr>
                <w:b/>
                <w:color w:val="C00000"/>
                <w:sz w:val="17"/>
              </w:rPr>
              <w:t>-12.9%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1,978</w:t>
            </w:r>
          </w:p>
        </w:tc>
        <w:tc>
          <w:tcPr>
            <w:tcW w:type="dxa" w:w="1440"/>
            <w:shd w:fill="FFDCE0" w:val="clear"/>
          </w:tcPr>
          <w:p>
            <w:r>
              <w:rPr>
                <w:b/>
                <w:sz w:val="17"/>
              </w:rPr>
              <w:t>2,171</w:t>
            </w:r>
          </w:p>
        </w:tc>
        <w:tc>
          <w:tcPr>
            <w:tcW w:type="dxa" w:w="1440"/>
            <w:shd w:fill="FFDCE0" w:val="clear"/>
          </w:tcPr>
          <w:p>
            <w:r>
              <w:rPr>
                <w:sz w:val="17"/>
              </w:rPr>
              <w:t>2,365</w:t>
            </w:r>
          </w:p>
        </w:tc>
        <w:tc>
          <w:tcPr>
            <w:tcW w:type="dxa" w:w="1440"/>
            <w:shd w:fill="FFDCE0" w:val="clear"/>
          </w:tcPr>
          <w:p>
            <w:r>
              <w:rPr>
                <w:b/>
                <w:color w:val="C00000"/>
                <w:sz w:val="17"/>
              </w:rPr>
              <w:t>-18.8%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1,824</w:t>
            </w:r>
          </w:p>
        </w:tc>
        <w:tc>
          <w:tcPr>
            <w:tcW w:type="dxa" w:w="1440"/>
            <w:shd w:fill="FFDCE0" w:val="clear"/>
          </w:tcPr>
          <w:p>
            <w:r>
              <w:rPr>
                <w:b/>
                <w:sz w:val="17"/>
              </w:rPr>
              <w:t>2,033</w:t>
            </w:r>
          </w:p>
        </w:tc>
        <w:tc>
          <w:tcPr>
            <w:tcW w:type="dxa" w:w="1440"/>
            <w:shd w:fill="FFDCE0" w:val="clear"/>
          </w:tcPr>
          <w:p>
            <w:r>
              <w:rPr>
                <w:sz w:val="17"/>
              </w:rPr>
              <w:t>2,242</w:t>
            </w:r>
          </w:p>
        </w:tc>
        <w:tc>
          <w:tcPr>
            <w:tcW w:type="dxa" w:w="1440"/>
            <w:shd w:fill="FFDCE0" w:val="clear"/>
          </w:tcPr>
          <w:p>
            <w:r>
              <w:rPr>
                <w:b/>
                <w:color w:val="C00000"/>
                <w:sz w:val="17"/>
              </w:rPr>
              <w:t>-24.0%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1,698</w:t>
            </w:r>
          </w:p>
        </w:tc>
        <w:tc>
          <w:tcPr>
            <w:tcW w:type="dxa" w:w="1440"/>
            <w:shd w:fill="FFDCE0" w:val="clear"/>
          </w:tcPr>
          <w:p>
            <w:r>
              <w:rPr>
                <w:b/>
                <w:sz w:val="17"/>
              </w:rPr>
              <w:t>1,919</w:t>
            </w:r>
          </w:p>
        </w:tc>
        <w:tc>
          <w:tcPr>
            <w:tcW w:type="dxa" w:w="1440"/>
            <w:shd w:fill="FFDCE0" w:val="clear"/>
          </w:tcPr>
          <w:p>
            <w:r>
              <w:rPr>
                <w:sz w:val="17"/>
              </w:rPr>
              <w:t>2,140</w:t>
            </w:r>
          </w:p>
        </w:tc>
        <w:tc>
          <w:tcPr>
            <w:tcW w:type="dxa" w:w="1440"/>
            <w:shd w:fill="FFDCE0" w:val="clear"/>
          </w:tcPr>
          <w:p>
            <w:r>
              <w:rPr>
                <w:b/>
                <w:color w:val="C00000"/>
                <w:sz w:val="17"/>
              </w:rPr>
              <w:t>-28.3%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1,596</w:t>
            </w:r>
          </w:p>
        </w:tc>
        <w:tc>
          <w:tcPr>
            <w:tcW w:type="dxa" w:w="1440"/>
            <w:shd w:fill="FFDCE0" w:val="clear"/>
          </w:tcPr>
          <w:p>
            <w:r>
              <w:rPr>
                <w:b/>
                <w:sz w:val="17"/>
              </w:rPr>
              <w:t>1,827</w:t>
            </w:r>
          </w:p>
        </w:tc>
        <w:tc>
          <w:tcPr>
            <w:tcW w:type="dxa" w:w="1440"/>
            <w:shd w:fill="FFDCE0" w:val="clear"/>
          </w:tcPr>
          <w:p>
            <w:r>
              <w:rPr>
                <w:sz w:val="17"/>
              </w:rPr>
              <w:t>2,057</w:t>
            </w:r>
          </w:p>
        </w:tc>
        <w:tc>
          <w:tcPr>
            <w:tcW w:type="dxa" w:w="1440"/>
            <w:shd w:fill="FFDCE0" w:val="clear"/>
          </w:tcPr>
          <w:p>
            <w:r>
              <w:rPr>
                <w:b/>
                <w:color w:val="C00000"/>
                <w:sz w:val="17"/>
              </w:rPr>
              <w:t>-31.7%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1,514</w:t>
            </w:r>
          </w:p>
        </w:tc>
        <w:tc>
          <w:tcPr>
            <w:tcW w:type="dxa" w:w="1440"/>
            <w:shd w:fill="FFDCE0" w:val="clear"/>
          </w:tcPr>
          <w:p>
            <w:r>
              <w:rPr>
                <w:b/>
                <w:sz w:val="17"/>
              </w:rPr>
              <w:t>1,752</w:t>
            </w:r>
          </w:p>
        </w:tc>
        <w:tc>
          <w:tcPr>
            <w:tcW w:type="dxa" w:w="1440"/>
            <w:shd w:fill="FFDCE0" w:val="clear"/>
          </w:tcPr>
          <w:p>
            <w:r>
              <w:rPr>
                <w:sz w:val="17"/>
              </w:rPr>
              <w:t>1,991</w:t>
            </w:r>
          </w:p>
        </w:tc>
        <w:tc>
          <w:tcPr>
            <w:tcW w:type="dxa" w:w="1440"/>
            <w:shd w:fill="FFDCE0" w:val="clear"/>
          </w:tcPr>
          <w:p>
            <w:r>
              <w:rPr>
                <w:b/>
                <w:color w:val="C00000"/>
                <w:sz w:val="17"/>
              </w:rPr>
              <w:t>-34.5%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1,445</w:t>
            </w:r>
          </w:p>
        </w:tc>
        <w:tc>
          <w:tcPr>
            <w:tcW w:type="dxa" w:w="1440"/>
            <w:shd w:fill="FFDCE0" w:val="clear"/>
          </w:tcPr>
          <w:p>
            <w:r>
              <w:rPr>
                <w:b/>
                <w:sz w:val="17"/>
              </w:rPr>
              <w:t>1,692</w:t>
            </w:r>
          </w:p>
        </w:tc>
        <w:tc>
          <w:tcPr>
            <w:tcW w:type="dxa" w:w="1440"/>
            <w:shd w:fill="FFDCE0" w:val="clear"/>
          </w:tcPr>
          <w:p>
            <w:r>
              <w:rPr>
                <w:sz w:val="17"/>
              </w:rPr>
              <w:t>1,938</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1,387</w:t>
            </w:r>
          </w:p>
        </w:tc>
        <w:tc>
          <w:tcPr>
            <w:tcW w:type="dxa" w:w="1440"/>
            <w:shd w:fill="FFDCE0" w:val="clear"/>
          </w:tcPr>
          <w:p>
            <w:r>
              <w:rPr>
                <w:b/>
                <w:sz w:val="17"/>
              </w:rPr>
              <w:t>1,641</w:t>
            </w:r>
          </w:p>
        </w:tc>
        <w:tc>
          <w:tcPr>
            <w:tcW w:type="dxa" w:w="1440"/>
            <w:shd w:fill="FFDCE0" w:val="clear"/>
          </w:tcPr>
          <w:p>
            <w:r>
              <w:rPr>
                <w:sz w:val="17"/>
              </w:rPr>
              <w:t>1,894</w:t>
            </w:r>
          </w:p>
        </w:tc>
        <w:tc>
          <w:tcPr>
            <w:tcW w:type="dxa" w:w="1440"/>
            <w:shd w:fill="FFDCE0" w:val="clear"/>
          </w:tcPr>
          <w:p>
            <w:r>
              <w:rPr>
                <w:b/>
                <w:color w:val="C00000"/>
                <w:sz w:val="17"/>
              </w:rPr>
              <w:t>-38.7%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1,337</w:t>
            </w:r>
          </w:p>
        </w:tc>
        <w:tc>
          <w:tcPr>
            <w:tcW w:type="dxa" w:w="1440"/>
            <w:shd w:fill="FFDCE0" w:val="clear"/>
          </w:tcPr>
          <w:p>
            <w:r>
              <w:rPr>
                <w:b/>
                <w:sz w:val="17"/>
              </w:rPr>
              <w:t>1,597</w:t>
            </w:r>
          </w:p>
        </w:tc>
        <w:tc>
          <w:tcPr>
            <w:tcW w:type="dxa" w:w="1440"/>
            <w:shd w:fill="FFDCE0" w:val="clear"/>
          </w:tcPr>
          <w:p>
            <w:r>
              <w:rPr>
                <w:sz w:val="17"/>
              </w:rPr>
              <w:t>1,857</w:t>
            </w:r>
          </w:p>
        </w:tc>
        <w:tc>
          <w:tcPr>
            <w:tcW w:type="dxa" w:w="1440"/>
            <w:shd w:fill="FFDCE0" w:val="clear"/>
          </w:tcPr>
          <w:p>
            <w:r>
              <w:rPr>
                <w:b/>
                <w:color w:val="C00000"/>
                <w:sz w:val="17"/>
              </w:rPr>
              <w:t>-40.3%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 10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35,95 milliards FCFA, un niveau relativement modeste sur la BRVM, reflétant une société de taille moyenne dans le secteur du BTP. Le BPA est négatif à -7 FCFA, ce qui signifie que chaque action détruite de la valeur pour l'actionnaire sur la base des résultats 2025. Le PER de -372,3x est logiquement négatif, indiquant que les investisseurs ne peuvent pas se baser sur les bénéfices pour justifier le cours actuel ; ce ratio est une aberration mathématique en période de pertes. Le P/B de 100,78x est extrêmement élevé, signifiant que le marché valorise l'actif net de la société à plus de 100 fois sa valeur comptable, ce qui est une prime exorbitante et injustifiée au regard des fondamentaux. Enfin, l'absence de données sur l'EV/EBITDA s'explique par un EBITDA négatif, rendant ce ratio non pertinent. En somme, la valorisation actuelle est purement spéculative et ne repose sur aucune réalité économique tangible.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+22,15%, mais une baisse de -0,56% lors de la dernière séance, suggérant un essoufflement récent. Le cours a évolué dans une fourchette très large, entre un plus bas de 2 190 FCFA et un plus haut de 3 895 FCFA, illustrant une volatilité extrême. La moyenne du cours (3 017 FCFA) est supérieure à la médiane (2 990 FCFA), indiquant une distribution légèrement asymétrique à gauche, mais le skewness proche de zéro (0,055) confirme une symétrie globale. L'écart-type de 370 FCFA (CV = 12,3%) montre une dispersion modérée autour de la moyenne. Le kurtosis négatif (-0,620) indique une distribution mésokurtique, avec un risque de variations extrêmes plus faible que la normale. La volatilité annualisée de 72,8% est extrêmement élevée, classant STAC comme un actif à très haut risque,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(2 675 FCFA) est inférieur à la MM20 (2 954,5 FCFA) et à la MM50 (3 169,1 FCFA), confirmant une tendance baissière de court et moyen terme. La configuration des MM, avec le cours sous les deux moyennes, génère un signal de vente clair, indiquant que la dynamique baissière est toujours en place.</w:t>
      </w:r>
    </w:p>
    <w:p>
      <w:pPr>
        <w:spacing w:after="120" w:line="276" w:lineRule="auto"/>
      </w:pPr>
      <w:r>
        <w:t>**Bandes de Bollinger :** Le cours se situe près de la borne inférieure (2 552,98 FCFA), à 2 675 FCFA, ce qui indique que le titre est proche de la zone de survente. La largeur des bandes (borne supérieure à 3 356 FCFA) reflète une volatilité élevée. La décision est neutre, mais le positionnement proche de la borne inférieure pourrait suggérer un rebond technique à court terme.</w:t>
      </w:r>
    </w:p>
    <w:p>
      <w:pPr>
        <w:spacing w:after="120" w:line="276" w:lineRule="auto"/>
      </w:pPr>
      <w:r>
        <w:t>**MACD :** Le MACD (-143,76) est inférieur à son signal (-121,28), tous deux en territoire négatif. Cette configuration baissière indique un momentum négatif persistant. La décision de vente est justifiée, car la dynamique de prix reste résolument orientée à la baisse, sans signe de retournement imminent.</w:t>
      </w:r>
    </w:p>
    <w:p>
      <w:pPr>
        <w:spacing w:after="120" w:line="276" w:lineRule="auto"/>
      </w:pPr>
      <w:r>
        <w:t>**RSI :** Le RSI à 27,83 est en zone de survente (&lt;30). Cela suggère que le titre est techniquement survendu et pourrait connaître un rebond correctif à court terme. Cependant, dans une tendance baissière forte, le RSI peut rester en survente pendant une période prolongée. La décision d'achat est donc à considérer avec prudence.</w:t>
      </w:r>
    </w:p>
    <w:p>
      <w:pPr>
        <w:spacing w:after="120" w:line="276" w:lineRule="auto"/>
      </w:pPr>
      <w:r>
        <w:t>**Stochastique :** Le %K (0,0) et le %D (8,41) sont tous deux en territoire de survente extrême, avec un %K sous le %D. Ce croisement baissier en zone de survente indique une faiblesse persistante, mais renforce également le potentiel d'un rebond technique. La décision d'achat est émise, mais elle doit être interprétée comme un signal de retournement potentiel, non confirmé.</w:t>
      </w:r>
    </w:p>
    <w:p>
      <w:pPr>
        <w:spacing w:after="120" w:line="276" w:lineRule="auto"/>
      </w:pPr>
      <w:r>
        <w:t>**Conclusion technique :** Les indicateurs de tendance (MM, MACD) sont baissiers, tandis que les oscillateurs (RSI, Stochastique) signalent une survente extrême. Cette divergence suggère qu'un rebond technique est possible, mais qu'il serait probablement temporaire dans une tendance baissière dominante. La prudence est de mise, et tout achat serait spéculatif.</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critique pour STAC. Le chiffre d'affaires s'établit à 3,878 milliards FCFA, mais la société enregistre une perte nette de -96,56 millions FCFA, avec un ROE de -27,07% et un ROA de -1,77%, tous deux négatifs. La marge opérationnelle est profondément déficitaire à -19,90%, et l'EBE est négatif à -650 millions FCFA, indiquant une incapacité à couvrir les charges fixes. Le BFR est négatif à -930 millions FCFA, ce qui est un point positif (favorable), mais la structure financière est fragile avec une autonomie financière de seulement 6,55% et un ratio d'endettement de 93,45%. Les rapports trimestriels de 2025 montrent une amélioration de l'activité : le CA du S1 2025 a bondi de +290% à 2 271 millions FCFA, et le cumul sur 9 mois atteint 3 456 millions FCFA (+176%), porté par le chantier de l'aéroport d'Abidjan. Cependant, la perte nette sur 9 mois reste de -477 millions FCFA, bien que la perte d'exploitation se soit réduite de moitié (-456 millions vs -921 millions). Sur la base de ces tendances, on estime que l'exercice 2026 pourrait voir un CA annuel proche de 4 milliards FCFA, mais la rentabilité opérationnelle positive reste lointaine. Les rapports historiques (2020-2021) montrent que la société était très rentable (marge nette de 14,6% en 2020), mais la chute a été brutale depuis 2023. La recommandation fondamentale est une **VENTE**, en raison de la persistance des pertes, de la dépendance à un seul projet et de la structure de coûts inadaptée.</w:t>
      </w:r>
    </w:p>
    <w:p>
      <w:pPr>
        <w:spacing w:after="120" w:line="276" w:lineRule="auto"/>
      </w:pPr>
      <w:r>
        <w:t>---</w:t>
      </w:r>
    </w:p>
    <w:p>
      <w:pPr>
        <w:spacing w:after="120" w:line="276" w:lineRule="auto"/>
      </w:pPr>
      <w:r>
        <w:t>### PARTIE 4 : CONCLUSION D'INVESTISSEMENT</w:t>
      </w:r>
    </w:p>
    <w:p>
      <w:pPr>
        <w:spacing w:after="120" w:line="276" w:lineRule="auto"/>
      </w:pPr>
      <w:r>
        <w:t>La valorisation boursière de STAC est en totale déconnexion avec ses fondamentaux, avec un P/B de 100x et un PER négatif, indiquant une surévaluation massive. Le comportement du cours, bien que positif sur 100 jours (+22%), montre une volatilité extrême (72,8%) et une tendance récente à la baisse, avec des statistiques (kurtosis, skewness) suggérant un risque de krach. Les signaux techniques sont majoritairement baissiers (MM, MACD), malgré des conditions de survente (RSI, Stochastique) qui pourraient induire un rebond temporaire. Les fondamentaux sont très dégradés : pertes récurrentes, ROE négatif, et dépendance à un seul contrat. Les prédictions IA pour les 10 prochains jours (chute de 2 489 à 1 919 FCFA) confirment cette trajectoire baissière et contredisent tout espoir de rebond durable. En synthèse, tous les signaux convergent vers une poursuite de la baisse. La recommandation finale est **VENTE FORTE**, avec un niveau de confiance **Élevé**, un risque global **Élevé**, et un horizon d'investissement à **court terme (&lt;3 mois)** pour les investisseurs cherchant à limiter leurs pertes.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448.52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3,302 titres</w:t>
            </w:r>
          </w:p>
        </w:tc>
        <w:tc>
          <w:tcPr>
            <w:tcW w:type="dxa" w:w="2268"/>
            <w:shd w:fill="FFF2CC" w:val="clear"/>
          </w:tcPr>
          <w:p>
            <w:r>
              <w:rPr>
                <w:b/>
                <w:color w:val="503200"/>
                <w:sz w:val="16"/>
              </w:rPr>
              <w:t xml:space="preserve">Cours actuel : </w:t>
            </w:r>
            <w:r>
              <w:rPr>
                <w:color w:val="000000"/>
                <w:sz w:val="17"/>
              </w:rPr>
              <w:t>24,980 FCFA</w:t>
            </w:r>
          </w:p>
          <w:p>
            <w:r>
              <w:rPr>
                <w:b/>
                <w:color w:val="503200"/>
                <w:sz w:val="16"/>
              </w:rPr>
              <w:t xml:space="preserve">Var. 100 jours : </w:t>
            </w:r>
            <w:r>
              <w:rPr>
                <w:b/>
                <w:color w:val="007800"/>
                <w:sz w:val="17"/>
              </w:rPr>
              <w:t>+15.65%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μ=22,104 FCFA, σ=1,327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β=0.2850 (Défensif) — Cov=0.000010, Var(idx)=0.000036, ρ=0.095,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24,121</w:t>
            </w:r>
          </w:p>
        </w:tc>
        <w:tc>
          <w:tcPr>
            <w:tcW w:type="dxa" w:w="1440"/>
            <w:shd w:fill="FAFAFA" w:val="clear"/>
          </w:tcPr>
          <w:p>
            <w:r>
              <w:rPr>
                <w:b/>
                <w:sz w:val="17"/>
              </w:rPr>
              <w:t>25,178</w:t>
            </w:r>
          </w:p>
        </w:tc>
        <w:tc>
          <w:tcPr>
            <w:tcW w:type="dxa" w:w="1440"/>
            <w:shd w:fill="FAFAFA" w:val="clear"/>
          </w:tcPr>
          <w:p>
            <w:r>
              <w:rPr>
                <w:sz w:val="17"/>
              </w:rPr>
              <w:t>26,236</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23,914</w:t>
            </w:r>
          </w:p>
        </w:tc>
        <w:tc>
          <w:tcPr>
            <w:tcW w:type="dxa" w:w="1440"/>
            <w:shd w:fill="FAFAFA" w:val="clear"/>
          </w:tcPr>
          <w:p>
            <w:r>
              <w:rPr>
                <w:b/>
                <w:sz w:val="17"/>
              </w:rPr>
              <w:t>25,424</w:t>
            </w:r>
          </w:p>
        </w:tc>
        <w:tc>
          <w:tcPr>
            <w:tcW w:type="dxa" w:w="1440"/>
            <w:shd w:fill="FAFAFA" w:val="clear"/>
          </w:tcPr>
          <w:p>
            <w:r>
              <w:rPr>
                <w:sz w:val="17"/>
              </w:rPr>
              <w:t>26,934</w:t>
            </w:r>
          </w:p>
        </w:tc>
        <w:tc>
          <w:tcPr>
            <w:tcW w:type="dxa" w:w="1440"/>
            <w:shd w:fill="FAFAFA" w:val="clear"/>
          </w:tcPr>
          <w:p>
            <w:r>
              <w:rPr>
                <w:b/>
                <w:color w:val="008000"/>
                <w:sz w:val="17"/>
              </w:rPr>
              <w:t>+1.8%</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23,799</w:t>
            </w:r>
          </w:p>
        </w:tc>
        <w:tc>
          <w:tcPr>
            <w:tcW w:type="dxa" w:w="1440"/>
            <w:shd w:fill="C6EFCE" w:val="clear"/>
          </w:tcPr>
          <w:p>
            <w:r>
              <w:rPr>
                <w:b/>
                <w:sz w:val="17"/>
              </w:rPr>
              <w:t>25,666</w:t>
            </w:r>
          </w:p>
        </w:tc>
        <w:tc>
          <w:tcPr>
            <w:tcW w:type="dxa" w:w="1440"/>
            <w:shd w:fill="C6EFCE" w:val="clear"/>
          </w:tcPr>
          <w:p>
            <w:r>
              <w:rPr>
                <w:sz w:val="17"/>
              </w:rPr>
              <w:t>27,533</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23,720</w:t>
            </w:r>
          </w:p>
        </w:tc>
        <w:tc>
          <w:tcPr>
            <w:tcW w:type="dxa" w:w="1440"/>
            <w:shd w:fill="C6EFCE" w:val="clear"/>
          </w:tcPr>
          <w:p>
            <w:r>
              <w:rPr>
                <w:b/>
                <w:sz w:val="17"/>
              </w:rPr>
              <w:t>25,895</w:t>
            </w:r>
          </w:p>
        </w:tc>
        <w:tc>
          <w:tcPr>
            <w:tcW w:type="dxa" w:w="1440"/>
            <w:shd w:fill="C6EFCE" w:val="clear"/>
          </w:tcPr>
          <w:p>
            <w:r>
              <w:rPr>
                <w:sz w:val="17"/>
              </w:rPr>
              <w:t>28,071</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23,678</w:t>
            </w:r>
          </w:p>
        </w:tc>
        <w:tc>
          <w:tcPr>
            <w:tcW w:type="dxa" w:w="1440"/>
            <w:shd w:fill="C6EFCE" w:val="clear"/>
          </w:tcPr>
          <w:p>
            <w:r>
              <w:rPr>
                <w:b/>
                <w:sz w:val="17"/>
              </w:rPr>
              <w:t>26,132</w:t>
            </w:r>
          </w:p>
        </w:tc>
        <w:tc>
          <w:tcPr>
            <w:tcW w:type="dxa" w:w="1440"/>
            <w:shd w:fill="C6EFCE" w:val="clear"/>
          </w:tcPr>
          <w:p>
            <w:r>
              <w:rPr>
                <w:sz w:val="17"/>
              </w:rPr>
              <w:t>28,586</w:t>
            </w:r>
          </w:p>
        </w:tc>
        <w:tc>
          <w:tcPr>
            <w:tcW w:type="dxa" w:w="1440"/>
            <w:shd w:fill="C6EFCE" w:val="clear"/>
          </w:tcPr>
          <w:p>
            <w:r>
              <w:rPr>
                <w:b/>
                <w:color w:val="008000"/>
                <w:sz w:val="17"/>
              </w:rPr>
              <w:t>+4.6%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23,649</w:t>
            </w:r>
          </w:p>
        </w:tc>
        <w:tc>
          <w:tcPr>
            <w:tcW w:type="dxa" w:w="1440"/>
            <w:shd w:fill="C6EFCE" w:val="clear"/>
          </w:tcPr>
          <w:p>
            <w:r>
              <w:rPr>
                <w:b/>
                <w:sz w:val="17"/>
              </w:rPr>
              <w:t>26,361</w:t>
            </w:r>
          </w:p>
        </w:tc>
        <w:tc>
          <w:tcPr>
            <w:tcW w:type="dxa" w:w="1440"/>
            <w:shd w:fill="C6EFCE" w:val="clear"/>
          </w:tcPr>
          <w:p>
            <w:r>
              <w:rPr>
                <w:sz w:val="17"/>
              </w:rPr>
              <w:t>29,073</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23,644</w:t>
            </w:r>
          </w:p>
        </w:tc>
        <w:tc>
          <w:tcPr>
            <w:tcW w:type="dxa" w:w="1440"/>
            <w:shd w:fill="C6EFCE" w:val="clear"/>
          </w:tcPr>
          <w:p>
            <w:r>
              <w:rPr>
                <w:b/>
                <w:sz w:val="17"/>
              </w:rPr>
              <w:t>26,600</w:t>
            </w:r>
          </w:p>
        </w:tc>
        <w:tc>
          <w:tcPr>
            <w:tcW w:type="dxa" w:w="1440"/>
            <w:shd w:fill="C6EFCE" w:val="clear"/>
          </w:tcPr>
          <w:p>
            <w:r>
              <w:rPr>
                <w:sz w:val="17"/>
              </w:rPr>
              <w:t>29,555</w:t>
            </w:r>
          </w:p>
        </w:tc>
        <w:tc>
          <w:tcPr>
            <w:tcW w:type="dxa" w:w="1440"/>
            <w:shd w:fill="C6EFCE" w:val="clear"/>
          </w:tcPr>
          <w:p>
            <w:r>
              <w:rPr>
                <w:b/>
                <w:color w:val="008000"/>
                <w:sz w:val="17"/>
              </w:rPr>
              <w:t>+6.5%</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23,644</w:t>
            </w:r>
          </w:p>
        </w:tc>
        <w:tc>
          <w:tcPr>
            <w:tcW w:type="dxa" w:w="1440"/>
            <w:shd w:fill="C6EFCE" w:val="clear"/>
          </w:tcPr>
          <w:p>
            <w:r>
              <w:rPr>
                <w:b/>
                <w:sz w:val="17"/>
              </w:rPr>
              <w:t>26,831</w:t>
            </w:r>
          </w:p>
        </w:tc>
        <w:tc>
          <w:tcPr>
            <w:tcW w:type="dxa" w:w="1440"/>
            <w:shd w:fill="C6EFCE" w:val="clear"/>
          </w:tcPr>
          <w:p>
            <w:r>
              <w:rPr>
                <w:sz w:val="17"/>
              </w:rPr>
              <w:t>30,018</w:t>
            </w:r>
          </w:p>
        </w:tc>
        <w:tc>
          <w:tcPr>
            <w:tcW w:type="dxa" w:w="1440"/>
            <w:shd w:fill="C6EFCE" w:val="clear"/>
          </w:tcPr>
          <w:p>
            <w:r>
              <w:rPr>
                <w:b/>
                <w:color w:val="008000"/>
                <w:sz w:val="17"/>
              </w:rPr>
              <w:t>+7.4%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23,647</w:t>
            </w:r>
          </w:p>
        </w:tc>
        <w:tc>
          <w:tcPr>
            <w:tcW w:type="dxa" w:w="1440"/>
            <w:shd w:fill="C6EFCE" w:val="clear"/>
          </w:tcPr>
          <w:p>
            <w:r>
              <w:rPr>
                <w:b/>
                <w:sz w:val="17"/>
              </w:rPr>
              <w:t>27,056</w:t>
            </w:r>
          </w:p>
        </w:tc>
        <w:tc>
          <w:tcPr>
            <w:tcW w:type="dxa" w:w="1440"/>
            <w:shd w:fill="C6EFCE" w:val="clear"/>
          </w:tcPr>
          <w:p>
            <w:r>
              <w:rPr>
                <w:sz w:val="17"/>
              </w:rPr>
              <w:t>30,465</w:t>
            </w:r>
          </w:p>
        </w:tc>
        <w:tc>
          <w:tcPr>
            <w:tcW w:type="dxa" w:w="1440"/>
            <w:shd w:fill="C6EFCE" w:val="clear"/>
          </w:tcPr>
          <w:p>
            <w:r>
              <w:rPr>
                <w:b/>
                <w:color w:val="008000"/>
                <w:sz w:val="17"/>
              </w:rPr>
              <w:t>+8.3%</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23,652</w:t>
            </w:r>
          </w:p>
        </w:tc>
        <w:tc>
          <w:tcPr>
            <w:tcW w:type="dxa" w:w="1440"/>
            <w:shd w:fill="C6EFCE" w:val="clear"/>
          </w:tcPr>
          <w:p>
            <w:r>
              <w:rPr>
                <w:b/>
                <w:sz w:val="17"/>
              </w:rPr>
              <w:t>27,275</w:t>
            </w:r>
          </w:p>
        </w:tc>
        <w:tc>
          <w:tcPr>
            <w:tcW w:type="dxa" w:w="1440"/>
            <w:shd w:fill="C6EFCE" w:val="clear"/>
          </w:tcPr>
          <w:p>
            <w:r>
              <w:rPr>
                <w:sz w:val="17"/>
              </w:rPr>
              <w:t>30,897</w:t>
            </w:r>
          </w:p>
        </w:tc>
        <w:tc>
          <w:tcPr>
            <w:tcW w:type="dxa" w:w="1440"/>
            <w:shd w:fill="C6EFCE" w:val="clear"/>
          </w:tcPr>
          <w:p>
            <w:r>
              <w:rPr>
                <w:b/>
                <w:color w:val="008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448,52 milliards FCFA positionne STBC comme une valeur de premier plan sur la BRVM, reflétant sa position dominante sur le marché ivoirien du tabac. Avec un BPA de 2 014 FCFA, chaque action génère un bénéfice substantiel, justifiant un PER de 12,4x, légèrement au-dessus de la moyenne historique de la BRVM (8-12x), ce qui indique une valorisation raisonnable mais non bradée. Le P/B de 9,89x est particulièrement élevé, signalant que le marché valorise fortement les actifs nets de l'entreprise, une prime qui s'explique par une rentabilité exceptionnelle. Enfin, l'EV/EBITDA de 9,0x, dans la fourchette des 5-10x, confirme une évaluation cohérente avec la capacité opérationnelle de l'entreprise, malgré une prime apparente sur les actifs comptables.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 enregistré une progression remarquable de +15,65%, avec une dernière séance quasi stable (-0,08%), témoignant d'une dynamique haussière soutenue. Le cours a évolué dans une fourchette de 19 705 FCFA (plus bas) à 25 000 FCFA (plus haut), démontrant une amplitude de trading significative. La moyenne (22 104 FCFA) est supérieure à la médiane (21 830 FCFA), indiquant une asymétrie positive avec quelques fortes journées de hausse. L'écart-type de 1 334 FCFA (CV=6,0%) révèle une dispersion modérée, tandis que le kurtosis de -0,655 (mésokurtique) suggère une distribution proche de la normale, sans risque de pics extrêmes. Le skewness de 0,604 confirme l'asymétrie positive, avec plus de journées sous la moyenne. La volatilité annualisée de 28,6% classe le titre dans la catégorie modérée (15-30%), indiquant un risque mesurable mais non excessif.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(24 980 FCFA) se situe nettement au-dessus des MM20 (23 620 FCFA) et MM50 (23 099 FCFA), avec un écart croissant qui confirme une tendance haussière solide. La configuration des MM, avec la MM20 au-dessus de la MM50, valide la dynamique positive et justifie la décision d'achat, indiquant un momentum favorable à moyen terme.</w:t>
      </w:r>
    </w:p>
    <w:p>
      <w:pPr>
        <w:spacing w:after="120" w:line="276" w:lineRule="auto"/>
      </w:pPr>
      <w:r>
        <w:t>**Bandes de Bollinger** : Le prix évolue à 24 980 FCFA, proche de la borne supérieure (24 995 FCFA), signalant une pression acheteuse intense. La largeur des bandes (2 750 FCFA) reflète une volatilité modérée, et le fait que le cours teste la borne supérieure sans la dépasser suggère une consolidation possible. La décision "Neutre" est appropriée, car le titre est en zone de surachat technique sans signal de retournement clair.</w:t>
      </w:r>
    </w:p>
    <w:p>
      <w:pPr>
        <w:spacing w:after="120" w:line="276" w:lineRule="auto"/>
      </w:pPr>
      <w:r>
        <w:t>**MACD** : Le MACD (316,4) est nettement au-dessus de son signal (183,8), avec un écart positif croissant qui confirme un momentum haussier robuste. Cette divergence positive indique que la dynamique d'achat s'intensifie, justifiant la décision d'achat. La tendance haussière du MACD est cohérente avec la progression du cours sur la période.</w:t>
      </w:r>
    </w:p>
    <w:p>
      <w:pPr>
        <w:spacing w:after="120" w:line="276" w:lineRule="auto"/>
      </w:pPr>
      <w:r>
        <w:t>**RSI** : À 68,2, le RSI se situe en zone neutre-haute, proche du seuil de surachat (70). Cette valeur indique une pression acheteuse soutenue mais pas encore excessive, laissant une marge de progression avant un éventuel retournement. La décision "Neutre" est justifiée, car le RSI n'a pas encore atteint le niveau critique de surachat.</w:t>
      </w:r>
    </w:p>
    <w:p>
      <w:pPr>
        <w:spacing w:after="120" w:line="276" w:lineRule="auto"/>
      </w:pPr>
      <w:r>
        <w:t>**Stochastique** : Le %K (99,0) et le %D (99,7) sont à des niveaux extrêmement élevés, signalant une condition de surachat sévère. Cette configuration, avec les deux lignes au-dessus de 95, indique que le titre est techniquement surétendu et qu'un repli technique est probable à court terme. La décision "Vente" est cohérente avec cette lecture.</w:t>
      </w:r>
    </w:p>
    <w:p>
      <w:pPr>
        <w:spacing w:after="120" w:line="276" w:lineRule="auto"/>
      </w:pPr>
      <w:r>
        <w:t>**Conclusion technique** : Les indicateurs de tendance (MM, MACD) sont résolument haussiers, mais les oscillateurs (RSI, Stochastique) signalent des conditions de surachat extrême. Cette divergence suggère que la tendance de fond reste positive, mais qu'un repli technique de court terme est probable avant la poursuite de la hausse. Les investisseurs devraient surveiller un éventuel retour vers les 24 000 FCFA comme point d'entrée potentiel.</w:t>
      </w:r>
    </w:p>
    <w:p>
      <w:pPr>
        <w:spacing w:after="120" w:line="276" w:lineRule="auto"/>
      </w:pPr>
      <w:r>
        <w:t>---</w:t>
      </w:r>
    </w:p>
    <w:p>
      <w:pPr>
        <w:spacing w:after="120" w:line="276" w:lineRule="auto"/>
      </w:pPr>
      <w:r>
        <w:t>### PARTIE 3 : ANALYSE FONDAMENTALE (SECTION CRITIQUE)</w:t>
      </w:r>
    </w:p>
    <w:p>
      <w:pPr>
        <w:spacing w:after="120" w:line="276" w:lineRule="auto"/>
      </w:pPr>
      <w:r>
        <w:t>En 2025, STBC (SITAB) affiche des données financières solides avec un chiffre d'affaires de 268,537 milliards FCFA, en croissance de +25,3% par rapport à 2024, et un résultat net de 36,158 milliards FCFA. La marge nette s'établit à 13,46%, tandis que le ROE atteint un niveau exceptionnel de 79,75% et le ROA de 48,09%, démontrant une utilisation très efficace des capitaux propres et des actifs. En tant qu'entreprise non bancaire, l'analyse se concentre sur les délais clients (42,57 jours, un niveau modéré) et le BFR de 5,639 milliards FCFA, qui reste positif mais gérable. L'entreprise présente une structure financière saine avec une autonomie financière de 60,3%, une solvabilité générale de 251,9% et une liquidité générale de 225%, sans endettement financier significatif. Les rapports trimestriels 2025 (T1 : CA +34,7%, résultat net +146% ; S1 : CA +41,8%, résultat net +87,3% ; T3 : CA +19%, résultat net +9%) montrent une croissance soutenue, mais le T4 2025 révèle une dégradation marquée avec un résultat net en baisse de -74%, principalement due à la hausse des droits d'accises (de 49% à 70%). Le rapport annuel 2025 (daté du 26/06/2026) confirme cette tendance contrastée : CA en hausse de 24,1% mais résultat net en baisse de 18,1%, avec une marge nette passant de 20,4% à 13,5%. La politique de dividende reste très généreuse avec un taux de distribution de 105%, ce qui soulève des questions de soutenabilité. Le rapport T1 2026 (daté de 2026) montre un redressement des volumes (+10%) et une croissance du CA de +12% à 68,8 milliards FCFA, mais avec un résultat net stable à 9,3 milliards FCFA. Sur la base de ces éléments, la recommandation fondamentale est de conserver le titre, car la société maintient une rentabilité solide et une position dominante, mais doit faire face à une pression fiscale croissante et à une dégradation de ses marges.</w:t>
      </w:r>
    </w:p>
    <w:p>
      <w:pPr>
        <w:spacing w:after="120" w:line="276" w:lineRule="auto"/>
      </w:pPr>
      <w:r>
        <w:t>---</w:t>
      </w:r>
    </w:p>
    <w:p>
      <w:pPr>
        <w:spacing w:after="120" w:line="276" w:lineRule="auto"/>
      </w:pPr>
      <w:r>
        <w:t>### PARTIE 4 : CONCLUSION D'INVESTISSEMENT</w:t>
      </w:r>
    </w:p>
    <w:p>
      <w:pPr>
        <w:spacing w:after="120" w:line="276" w:lineRule="auto"/>
      </w:pPr>
      <w:r>
        <w:t>La valorisation actuelle (PER 12,4x, P/B 9,89x, EV/EBITDA 9,0x) indique que le marché reconnaît la qualité de l'entreprise mais n'offre pas de décote significative, avec une prime sur les actifs qui reflète la rentabilité exceptionnelle. Le comportement du cours (+15,65% sur 100 jours) montre une tendance haussière solide, avec une volatilité modérée (28,6%) et une distribution statistique saine, bien que le skewness positif suggère une possible consolidation. Les signaux techniques sont partagés : les indicateurs de tendance (MM, MACD) sont positifs, mais les oscillateurs (RSI à 68,2, Stochastique à 99) signalent un surachat extrême, suggérant un repli technique imminent. Les fondamentaux restent solides avec un ROE de 79,75%, mais la pression fiscale et la dégradation des marges en 2025 (marge nette en baisse de 20,4% à 13,5%) constituent des signaux d'alerte. Les prédictions IA (25 178 à 26 132 FCFA sur 10 jours) confirment une poursuite haussière à court terme, mais cette trajectoire pourrait être contrariée par un repli technique. La recommandation finale est **CONSERVER**, avec un niveau de confiance **Moyen** et un risque global **Moyen**. L'horizon d'investissement optimal est le **moyen terme (3-12 mois)**, en attendant de voir si la direction parvient à stabiliser les marges et à gérer la pression fiscale. Les investisseurs devraient surveiller les résultats du S1 2026 et la capacité de l'entreprise à maintenir sa politique de dividende généreuse.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(+95% de r\u00e9sultat net) et la position dominante sur le march\u00e9 justifient un investissement. La trajectoire de croissance soutenue depuis 3 ans et les perspectives optimistes pour 2022 renforcent l'attractivit\u00e9."}</w:t>
      </w:r>
    </w:p>
    <w:p>
      <w:pPr>
        <w:spacing w:before="40"/>
        <w:ind w:left="400"/>
      </w:pPr>
      <w:r>
        <w:rPr>
          <w:sz w:val="18"/>
        </w:rPr>
        <w:t>SITAB S.A, leader du marché du tabac en Côte d'Ivoire avec 83% de part de marché, affiche des résultats exceptionnels au premier semestre 2022. Le chiffre d'affaires progresse de 10,9% à 72,7 milliards FCFA, soutenu par une croissance des volumes de 8,5%. Le résultat d'exploitation bondit de 49% à 7,2 milliards FCFA grâce à l'effet volume et à l'optimisation des charges. Le résultat net double quasiment (+95%) à 7,3 milliards FCFA, dopé par des dividendes de filiales de 1,9 milliard FCFA. La direction anticipe de bons résultats pour l'ensemble de l'exercice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'83%', 'volumes_vente': "3,234 milliards d'unités", 'capital_social': '4,49 milliards FCFA', 'resultat_financier': '1,94 milliards FCFA', 'resultat_exploitation': '7,22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7,27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Position dominante avec 83% de part de marché du tabac consolidée</w:t>
      </w:r>
    </w:p>
    <w:p>
      <w:pPr>
        <w:pStyle w:val="ListBullet"/>
        <w:spacing w:before="20" w:after="20"/>
        <w:ind w:left="700"/>
      </w:pPr>
      <w:r>
        <w:rPr>
          <w:sz w:val="18"/>
        </w:rPr>
        <w:t>Croissance soutenue des volumes de vente de 8,5% sur un an</w:t>
      </w:r>
    </w:p>
    <w:p>
      <w:pPr>
        <w:pStyle w:val="ListBullet"/>
        <w:spacing w:before="20" w:after="20"/>
        <w:ind w:left="700"/>
      </w:pPr>
      <w:r>
        <w:rPr>
          <w:sz w:val="18"/>
        </w:rPr>
        <w:t>Progression remarquable du chiffre d'affaires de 10,9% à 72,7 milliards FCFA</w:t>
      </w:r>
    </w:p>
    <w:p>
      <w:pPr>
        <w:pStyle w:val="ListBullet"/>
        <w:spacing w:before="20" w:after="20"/>
        <w:ind w:left="700"/>
      </w:pPr>
      <w:r>
        <w:rPr>
          <w:sz w:val="18"/>
        </w:rPr>
        <w:t>Explosion du résultat d'exploitation (+49%) grâce à l'optimisation des charges</w:t>
      </w:r>
    </w:p>
    <w:p>
      <w:pPr>
        <w:pStyle w:val="ListBullet"/>
        <w:spacing w:before="20" w:after="20"/>
        <w:ind w:left="700"/>
      </w:pPr>
      <w:r>
        <w:rPr>
          <w:sz w:val="18"/>
        </w:rPr>
        <w:t>Résultat financier multiplié par 96 à 1,9 milliard FCFA (dividendes de filiales)</w:t>
      </w:r>
    </w:p>
    <w:p>
      <w:pPr>
        <w:pStyle w:val="ListBullet"/>
        <w:spacing w:before="20" w:after="20"/>
        <w:ind w:left="700"/>
      </w:pPr>
      <w:r>
        <w:rPr>
          <w:sz w:val="18"/>
        </w:rPr>
        <w:t>Quasi-doublement du résultat net (+95%) à 7,3 milliards FCFA</w:t>
      </w:r>
    </w:p>
    <w:p>
      <w:pPr>
        <w:spacing w:before="40"/>
        <w:ind w:left="400"/>
      </w:pPr>
      <w:r>
        <w:rPr>
          <w:b/>
          <w:color w:val="C05000"/>
          <w:sz w:val="18"/>
        </w:rPr>
        <w:t xml:space="preserve">⚠️ Risques : </w:t>
      </w:r>
      <w:r>
        <w:rPr>
          <w:sz w:val="18"/>
        </w:rPr>
        <w:t>["Secteur du tabac soumis \u00e0 une r\u00e9glementation de plus en plus stricte", "D\u00e9pendance forte au march\u00e9 ivoirien et \u00e0 un secteur concentr\u00e9", "Comptes semestriels non audit\u00e9s par les commissaires aux comptes"]</w:t>
      </w:r>
    </w:p>
    <w:p>
      <w:pPr>
        <w:spacing w:before="40"/>
        <w:ind w:left="400"/>
      </w:pPr>
      <w:r>
        <w:rPr>
          <w:b/>
          <w:color w:val="0064A0"/>
          <w:sz w:val="18"/>
        </w:rPr>
        <w:t xml:space="preserve">🔮 Perspectives : </w:t>
      </w:r>
      <w:r>
        <w:rPr>
          <w:sz w:val="18"/>
        </w:rPr>
        <w:t>La direction se montre confiante pour la clôture 2022 sur la base des excellents résultats semestriels. La tendance de croissance soutenue des volumes et l'optimisation continue des charges laissent présager de bons résultats annuels. Le renforcement de la position de leader et l'amélioration du mix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"Soci\u00e9t\u00e9 d\u00e9fensive avec une rentabilit\u00e9 stable et une politique de dividendes attractive, id\u00e9ale pour les investisseurs recherchant des revenus r\u00e9guliers. Les fondamentaux solides et la g\u00e9n\u00e9ration de cash-flow soutiennent la valorisation actuelle."}</w:t>
      </w:r>
    </w:p>
    <w:p>
      <w:pPr>
        <w:spacing w:before="40"/>
        <w:ind w:left="400"/>
      </w:pPr>
      <w:r>
        <w:rPr>
          <w:sz w:val="18"/>
        </w:rPr>
        <w:t>SITAB (Société Ivoirienne des Tabacs) affiche une solide performance financière en 2022 avec un chiffre d'affaires de 151,2 milliards FCFA et un bénéfice net en hausse de 16% à 11,2 milliards FCFA. La société maintient une rentabilité élevée avec une marge nette de 7,4% et génère une forte capacité d'autofinancement de 11,3 milliards FCFA. Le bilan présente une structure financière saine avec des capitaux propres solides de 8,0 milliards FCFA et une trésorerie nette positive de 6,7 milliards FCFA. La société a distribué 8,6 milliards FCFA de dividendes, témoignant de sa politique de rémunération généreuse des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'14,8 milliards FCFA', 'tresorerie_nette': '6,7 milliards FCFA', 'capacite_autofinancement': '11,3 milliards FCFA', 'excedent_brut_exploitation': '12,6 milliards FCFA'}</w:t>
            </w:r>
          </w:p>
        </w:tc>
        <w:tc>
          <w:tcPr>
            <w:tcW w:type="dxa" w:w="2160"/>
          </w:tcPr>
          <w:p>
            <w:pPr>
              <w:ind w:left="100"/>
            </w:pPr>
            <w:r/>
            <w:r>
              <w:rPr>
                <w:b/>
                <w:sz w:val="16"/>
              </w:rPr>
              <w:t>dividende</w:t>
              <w:br/>
            </w:r>
            <w:r>
              <w:rPr>
                <w:sz w:val="18"/>
              </w:rPr>
              <w:t>8,6 milliards FCFA distribués</w:t>
            </w:r>
          </w:p>
        </w:tc>
        <w:tc>
          <w:tcPr>
            <w:tcW w:type="dxa" w:w="2160"/>
          </w:tcPr>
          <w:p>
            <w:pPr>
              <w:ind w:left="100"/>
            </w:pPr>
            <w:r/>
            <w:r>
              <w:rPr>
                <w:b/>
                <w:sz w:val="16"/>
              </w:rPr>
              <w:t>marge_nette</w:t>
              <w:br/>
            </w:r>
            <w:r>
              <w:rPr>
                <w:sz w:val="18"/>
              </w:rPr>
              <w:t>7,4%</w:t>
            </w:r>
          </w:p>
        </w:tc>
        <w:tc>
          <w:tcPr>
            <w:tcW w:type="dxa" w:w="2160"/>
          </w:tcPr>
          <w:p>
            <w:pPr>
              <w:ind w:left="100"/>
            </w:pPr>
            <w:r/>
            <w:r>
              <w:rPr>
                <w:b/>
                <w:sz w:val="16"/>
              </w:rPr>
              <w:t>total_actif</w:t>
              <w:br/>
            </w:r>
            <w:r>
              <w:rPr>
                <w:sz w:val="18"/>
              </w:rPr>
              <w:t>27,3 milliards FCFA</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8,0 milliards FCFA</w:t>
            </w:r>
          </w:p>
        </w:tc>
        <w:tc>
          <w:tcPr>
            <w:tcW w:type="dxa" w:w="2160"/>
          </w:tcPr>
          <w:p>
            <w:r/>
            <w:r>
              <w:rPr>
                <w:b/>
                <w:sz w:val="16"/>
              </w:rPr>
              <w:t>chiffre_affaires</w:t>
              <w:br/>
            </w:r>
            <w:r>
              <w:rPr>
                <w:sz w:val="18"/>
              </w:rPr>
              <w:t>151,2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151,2 milliards FCFA en 2022</w:t>
      </w:r>
    </w:p>
    <w:p>
      <w:pPr>
        <w:pStyle w:val="ListBullet"/>
        <w:spacing w:before="20" w:after="20"/>
        <w:ind w:left="700"/>
      </w:pPr>
      <w:r>
        <w:rPr>
          <w:sz w:val="18"/>
        </w:rPr>
        <w:t>Progression du bénéfice net de 16,1% à 11,2 milliards FCFA</w:t>
      </w:r>
    </w:p>
    <w:p>
      <w:pPr>
        <w:pStyle w:val="ListBullet"/>
        <w:spacing w:before="20" w:after="20"/>
        <w:ind w:left="700"/>
      </w:pPr>
      <w:r>
        <w:rPr>
          <w:sz w:val="18"/>
        </w:rPr>
        <w:t>Marge nette solide de 7,4% confirmant l'efficacité opérationnelle</w:t>
      </w:r>
    </w:p>
    <w:p>
      <w:pPr>
        <w:pStyle w:val="ListBullet"/>
        <w:spacing w:before="20" w:after="20"/>
        <w:ind w:left="700"/>
      </w:pPr>
      <w:r>
        <w:rPr>
          <w:sz w:val="18"/>
        </w:rPr>
        <w:t>Distribution de dividendes de 8,6 milliards FCFA maintenue au niveau élevé</w:t>
      </w:r>
    </w:p>
    <w:p>
      <w:pPr>
        <w:pStyle w:val="ListBullet"/>
        <w:spacing w:before="20" w:after="20"/>
        <w:ind w:left="700"/>
      </w:pPr>
      <w:r>
        <w:rPr>
          <w:sz w:val="18"/>
        </w:rPr>
        <w:t>Forte capacité d'autofinancement de 11,3 milliards FCFA (+13,4%)</w:t>
      </w:r>
    </w:p>
    <w:p>
      <w:pPr>
        <w:pStyle w:val="ListBullet"/>
        <w:spacing w:before="20" w:after="20"/>
        <w:ind w:left="700"/>
      </w:pPr>
      <w:r>
        <w:rPr>
          <w:sz w:val="18"/>
        </w:rPr>
        <w:t>Réduction significative du BFR de 3,8 milliards FCFA améliorant la trésorerie</w:t>
      </w:r>
    </w:p>
    <w:p>
      <w:pPr>
        <w:spacing w:before="40"/>
        <w:ind w:left="400"/>
      </w:pPr>
      <w:r>
        <w:rPr>
          <w:b/>
          <w:color w:val="C05000"/>
          <w:sz w:val="18"/>
        </w:rPr>
        <w:t xml:space="preserve">⚠️ Risques : </w:t>
      </w:r>
      <w:r>
        <w:rPr>
          <w:sz w:val="18"/>
        </w:rPr>
        <w:t>["Exposition aux r\u00e9glementations sanitaires et fiscales croissantes sur le secteur du tabac", "D\u00e9pendance aux importations de mati\u00e8res premi\u00e8res soumises aux fluctuations de change", "\u00c9volution d\u00e9favorable des habitudes de consommation et sensibilisation aux risques san</w:t>
      </w:r>
    </w:p>
    <w:p>
      <w:pPr>
        <w:spacing w:before="40"/>
        <w:ind w:left="400"/>
      </w:pPr>
      <w:r>
        <w:rPr>
          <w:b/>
          <w:color w:val="0064A0"/>
          <w:sz w:val="18"/>
        </w:rPr>
        <w:t xml:space="preserve">🔮 Perspectives : </w:t>
      </w:r>
      <w:r>
        <w:rPr>
          <w:sz w:val="18"/>
        </w:rPr>
        <w:t>SITAB devrait maintenir sa performance solide en 2023 grâce à son positionnement dominant sur le marché ivoirien et sa capacité à répercuter les hausses de coûts. La société pourrait continuer sa politique de dividendes généreuse tout en préservant ses marges opérationnelles élevées.</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176.61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8,997 titres</w:t>
            </w:r>
          </w:p>
        </w:tc>
        <w:tc>
          <w:tcPr>
            <w:tcW w:type="dxa" w:w="2268"/>
            <w:shd w:fill="FFF2CC" w:val="clear"/>
          </w:tcPr>
          <w:p>
            <w:r>
              <w:rPr>
                <w:b/>
                <w:color w:val="503200"/>
                <w:sz w:val="16"/>
              </w:rPr>
              <w:t xml:space="preserve">Cours actuel : </w:t>
            </w:r>
            <w:r>
              <w:rPr>
                <w:color w:val="000000"/>
                <w:sz w:val="17"/>
              </w:rPr>
              <w:t>2,805 FCFA</w:t>
            </w:r>
          </w:p>
          <w:p>
            <w:r>
              <w:rPr>
                <w:b/>
                <w:color w:val="503200"/>
                <w:sz w:val="16"/>
              </w:rPr>
              <w:t xml:space="preserve">Var. 100 jours : </w:t>
            </w:r>
            <w:r>
              <w:rPr>
                <w:b/>
                <w:color w:val="B40000"/>
                <w:sz w:val="17"/>
              </w:rPr>
              <w:t>-1.58%</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3.27% (Faible) — μ=2,848 FCFA, σ=93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β=-0.1988 (Contre-cyclique) — Cov=-0.000007, Var(idx)=0.000036, ρ=-0.047,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8,997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2,670</w:t>
            </w:r>
          </w:p>
        </w:tc>
        <w:tc>
          <w:tcPr>
            <w:tcW w:type="dxa" w:w="1440"/>
            <w:shd w:fill="FAFAFA" w:val="clear"/>
          </w:tcPr>
          <w:p>
            <w:r>
              <w:rPr>
                <w:b/>
                <w:sz w:val="17"/>
              </w:rPr>
              <w:t>2,820</w:t>
            </w:r>
          </w:p>
        </w:tc>
        <w:tc>
          <w:tcPr>
            <w:tcW w:type="dxa" w:w="1440"/>
            <w:shd w:fill="FAFAFA" w:val="clear"/>
          </w:tcPr>
          <w:p>
            <w:r>
              <w:rPr>
                <w:sz w:val="17"/>
              </w:rPr>
              <w:t>2,970</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2,601</w:t>
            </w:r>
          </w:p>
        </w:tc>
        <w:tc>
          <w:tcPr>
            <w:tcW w:type="dxa" w:w="1440"/>
            <w:shd w:fill="FAFAFA" w:val="clear"/>
          </w:tcPr>
          <w:p>
            <w:r>
              <w:rPr>
                <w:b/>
                <w:sz w:val="17"/>
              </w:rPr>
              <w:t>2,813</w:t>
            </w:r>
          </w:p>
        </w:tc>
        <w:tc>
          <w:tcPr>
            <w:tcW w:type="dxa" w:w="1440"/>
            <w:shd w:fill="FAFAFA" w:val="clear"/>
          </w:tcPr>
          <w:p>
            <w:r>
              <w:rPr>
                <w:sz w:val="17"/>
              </w:rPr>
              <w:t>3,024</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2,554</w:t>
            </w:r>
          </w:p>
        </w:tc>
        <w:tc>
          <w:tcPr>
            <w:tcW w:type="dxa" w:w="1440"/>
            <w:shd w:fill="FAFAFA" w:val="clear"/>
          </w:tcPr>
          <w:p>
            <w:r>
              <w:rPr>
                <w:b/>
                <w:sz w:val="17"/>
              </w:rPr>
              <w:t>2,813</w:t>
            </w:r>
          </w:p>
        </w:tc>
        <w:tc>
          <w:tcPr>
            <w:tcW w:type="dxa" w:w="1440"/>
            <w:shd w:fill="FAFAFA" w:val="clear"/>
          </w:tcPr>
          <w:p>
            <w:r>
              <w:rPr>
                <w:sz w:val="17"/>
              </w:rPr>
              <w:t>3,072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2,512</w:t>
            </w:r>
          </w:p>
        </w:tc>
        <w:tc>
          <w:tcPr>
            <w:tcW w:type="dxa" w:w="1440"/>
            <w:shd w:fill="FAFAFA" w:val="clear"/>
          </w:tcPr>
          <w:p>
            <w:r>
              <w:rPr>
                <w:b/>
                <w:sz w:val="17"/>
              </w:rPr>
              <w:t>2,811</w:t>
            </w:r>
          </w:p>
        </w:tc>
        <w:tc>
          <w:tcPr>
            <w:tcW w:type="dxa" w:w="1440"/>
            <w:shd w:fill="FAFAFA" w:val="clear"/>
          </w:tcPr>
          <w:p>
            <w:r>
              <w:rPr>
                <w:sz w:val="17"/>
              </w:rPr>
              <w:t>3,111</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2,474</w:t>
            </w:r>
          </w:p>
        </w:tc>
        <w:tc>
          <w:tcPr>
            <w:tcW w:type="dxa" w:w="1440"/>
            <w:shd w:fill="FAFAFA" w:val="clear"/>
          </w:tcPr>
          <w:p>
            <w:r>
              <w:rPr>
                <w:b/>
                <w:sz w:val="17"/>
              </w:rPr>
              <w:t>2,808</w:t>
            </w:r>
          </w:p>
        </w:tc>
        <w:tc>
          <w:tcPr>
            <w:tcW w:type="dxa" w:w="1440"/>
            <w:shd w:fill="FAFAFA" w:val="clear"/>
          </w:tcPr>
          <w:p>
            <w:r>
              <w:rPr>
                <w:sz w:val="17"/>
              </w:rPr>
              <w:t>3,143</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2,439</w:t>
            </w:r>
          </w:p>
        </w:tc>
        <w:tc>
          <w:tcPr>
            <w:tcW w:type="dxa" w:w="1440"/>
            <w:shd w:fill="FAFAFA" w:val="clear"/>
          </w:tcPr>
          <w:p>
            <w:r>
              <w:rPr>
                <w:b/>
                <w:sz w:val="17"/>
              </w:rPr>
              <w:t>2,805</w:t>
            </w:r>
          </w:p>
        </w:tc>
        <w:tc>
          <w:tcPr>
            <w:tcW w:type="dxa" w:w="1440"/>
            <w:shd w:fill="FAFAFA" w:val="clear"/>
          </w:tcPr>
          <w:p>
            <w:r>
              <w:rPr>
                <w:sz w:val="17"/>
              </w:rPr>
              <w:t>3,171</w:t>
            </w:r>
          </w:p>
        </w:tc>
        <w:tc>
          <w:tcPr>
            <w:tcW w:type="dxa" w:w="1440"/>
            <w:shd w:fill="FAFAFA" w:val="clear"/>
          </w:tcPr>
          <w:p>
            <w:r>
              <w:rPr>
                <w:b/>
                <w:color w:val="C00000"/>
                <w:sz w:val="17"/>
              </w:rPr>
              <w:t>-0.0%</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2,407</w:t>
            </w:r>
          </w:p>
        </w:tc>
        <w:tc>
          <w:tcPr>
            <w:tcW w:type="dxa" w:w="1440"/>
            <w:shd w:fill="FAFAFA" w:val="clear"/>
          </w:tcPr>
          <w:p>
            <w:r>
              <w:rPr>
                <w:b/>
                <w:sz w:val="17"/>
              </w:rPr>
              <w:t>2,801</w:t>
            </w:r>
          </w:p>
        </w:tc>
        <w:tc>
          <w:tcPr>
            <w:tcW w:type="dxa" w:w="1440"/>
            <w:shd w:fill="FAFAFA" w:val="clear"/>
          </w:tcPr>
          <w:p>
            <w:r>
              <w:rPr>
                <w:sz w:val="17"/>
              </w:rPr>
              <w:t>3,196</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2,376</w:t>
            </w:r>
          </w:p>
        </w:tc>
        <w:tc>
          <w:tcPr>
            <w:tcW w:type="dxa" w:w="1440"/>
            <w:shd w:fill="FAFAFA" w:val="clear"/>
          </w:tcPr>
          <w:p>
            <w:r>
              <w:rPr>
                <w:b/>
                <w:sz w:val="17"/>
              </w:rPr>
              <w:t>2,798</w:t>
            </w:r>
          </w:p>
        </w:tc>
        <w:tc>
          <w:tcPr>
            <w:tcW w:type="dxa" w:w="1440"/>
            <w:shd w:fill="FAFAFA" w:val="clear"/>
          </w:tcPr>
          <w:p>
            <w:r>
              <w:rPr>
                <w:sz w:val="17"/>
              </w:rPr>
              <w:t>3,219</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2,348</w:t>
            </w:r>
          </w:p>
        </w:tc>
        <w:tc>
          <w:tcPr>
            <w:tcW w:type="dxa" w:w="1440"/>
            <w:shd w:fill="FAFAFA" w:val="clear"/>
          </w:tcPr>
          <w:p>
            <w:r>
              <w:rPr>
                <w:b/>
                <w:sz w:val="17"/>
              </w:rPr>
              <w:t>2,794</w:t>
            </w:r>
          </w:p>
        </w:tc>
        <w:tc>
          <w:tcPr>
            <w:tcW w:type="dxa" w:w="1440"/>
            <w:shd w:fill="FAFAFA" w:val="clear"/>
          </w:tcPr>
          <w:p>
            <w:r>
              <w:rPr>
                <w:sz w:val="17"/>
              </w:rPr>
              <w:t>3,240</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2,321</w:t>
            </w:r>
          </w:p>
        </w:tc>
        <w:tc>
          <w:tcPr>
            <w:tcW w:type="dxa" w:w="1440"/>
            <w:shd w:fill="FAFAFA" w:val="clear"/>
          </w:tcPr>
          <w:p>
            <w:r>
              <w:rPr>
                <w:b/>
                <w:sz w:val="17"/>
              </w:rPr>
              <w:t>2,790</w:t>
            </w:r>
          </w:p>
        </w:tc>
        <w:tc>
          <w:tcPr>
            <w:tcW w:type="dxa" w:w="1440"/>
            <w:shd w:fill="FAFAFA" w:val="clear"/>
          </w:tcPr>
          <w:p>
            <w:r>
              <w:rPr>
                <w:sz w:val="17"/>
              </w:rPr>
              <w:t>3,260</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176,61 milliards FCFA, ce qui positionne le titre parmi les valeurs moyennes à grandes capitalisations de la BRVM, lui conférant une liquidité et une visibilité notables. Avec un BPA de 144 FCFA, le PER de 19,4x se situe nettement au-dessus de la moyenne historique du marché (8-12x), indiquant que les investisseurs acceptent de payer une prime substantielle pour la qualité perçue du titre et sa position de leader. Le P/B de 4,88x confirme cette lecture en valorisant l'actif net comptable près de cinq fois, ce qui traduit une forte prime de valorisation. Enfin, un EV/EBITDA de 10,3x, bien que dans la fourchette haute, reste cohérent avec une entreprise générant des flux opérationnels solides, justifiant partiellement cette décote relative sur la valeur d'entreprise.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TTLC affiche une variation totale de -1,58%, avec une chute marquée de -5,87% lors de la dernière séance, signalant une pression vendeuse récente. Le cours a évolué dans un range de 2 650 à 3 060 FCFA, avec un prix actuel de 2 805 FCFA, proche du plus bas de la période. La moyenne (2 848 FCFA) et la médiane (2 855 FCFA) étant très proches, la distribution des prix est quasi symétrique, ce que confirme le skewness de -0,151. L'écart-type de 93 FCFA, avec un coefficient de variation de seulement 3,3%, indique une dispersion très faible autour de la moyenne, suggérant un cours relativement stable. Le kurtosis de -0,651 (mésokurtique) indique l'absence de queues de distribution épaisses, donc un faible risque de mouvements extrêmes. La volatilité annualisée de 40% est toutefois élevée, ce qui contraste avec la stabilité apparente à court terme et signale un risque de variations importantes sur l'année.</w:t>
      </w:r>
    </w:p>
    <w:p>
      <w:pPr>
        <w:spacing w:after="120" w:line="276" w:lineRule="auto" w:before="240"/>
      </w:pPr>
      <w:r>
        <w:rPr>
          <w:b/>
          <w:color w:val="003366"/>
          <w:sz w:val="24"/>
        </w:rPr>
        <w:t>**PARTIE 2 : ANALYSE TECHNIQUE DÉTAILLÉE**</w:t>
      </w:r>
    </w:p>
    <w:p>
      <w:pPr>
        <w:spacing w:after="120" w:line="276" w:lineRule="auto"/>
      </w:pPr>
      <w:r>
        <w:t>Les moyennes mobiles sur 20 et 50 jours (respectivement 2 922,25 et 2 893,1 FCFA) sont toutes deux supérieures au cours actuel de 2 805 FCFA, ce qui indique une tendance baissière à court et moyen terme. Cependant, le signal global est un "Achat", suggérant que le croisement récent ou la configuration des MM pourrait anticiper un retournement haussier. Le prix se situe sous la MM20, mais la MM50 agit comme un support dynamique, et un rebond vers ces niveaux est techniquement possible.</w:t>
      </w:r>
    </w:p>
    <w:p>
      <w:pPr>
        <w:spacing w:after="120" w:line="276" w:lineRule="auto"/>
      </w:pPr>
      <w:r>
        <w:t>Le cours se positionne près de la borne inférieure des bandes de Bollinger (2 766,7 FCFA), avec la borne supérieure à 3 077,7 FCFA. Cette proximité avec la borne basse indique que le titre est survendu à court terme, mais la décision "Neutre" suggère que le prix n'a pas encore franchi de niveau extrême. La largeur des bandes reflète la volatilité élevée du titre, et un retour vers la moyenne (2 922 FCFA) serait un scénario probable en cas de rebond technique.</w:t>
      </w:r>
    </w:p>
    <w:p>
      <w:pPr>
        <w:spacing w:after="120" w:line="276" w:lineRule="auto"/>
      </w:pPr>
      <w:r>
        <w:t>Le MACD affiche une valeur de 5,864, inférieure à son signal (16,047), ce qui génère une divergence négative et un signal de "Vente". Cette configuration indique un affaiblissement du momentum haussier, avec une dynamique baissière qui pourrait se poursuivre à court terme. La convergence des lignes MACD vers zéro suggère une perte de vitesse de la tendance haussière passée.</w:t>
      </w:r>
    </w:p>
    <w:p>
      <w:pPr>
        <w:spacing w:after="120" w:line="276" w:lineRule="auto"/>
      </w:pPr>
      <w:r>
        <w:t>Le RSI à 45,026 se situe en zone neutre (30-70), indiquant un équilibre entre pressions acheteuses et vendeuses. Cette valeur ne signale ni surachat ni survente, laissant place à une évolution directionnelle. Le RSI étant proche du niveau 50, le marché n'a pas encore tranché, et un mouvement au-delà de 50 ou en dessous de 30 serait nécessaire pour confirmer une tendance.</w:t>
      </w:r>
    </w:p>
    <w:p>
      <w:pPr>
        <w:spacing w:after="120" w:line="276" w:lineRule="auto"/>
      </w:pPr>
      <w:r>
        <w:t>Le stochastique montre un %K à 15,217, très bas, contre un %D à 55,072, créant un croisement haussier potentiel. Cette configuration indique que le titre est en zone de survente et pourrait rebondir techniquement. La divergence entre %K et %D suggère un signal d'achat précoce, mais la prudence est de mise tant que %K ne croise pas durablement au-dessus de %D.</w:t>
      </w:r>
    </w:p>
    <w:p>
      <w:pPr>
        <w:spacing w:after="120" w:line="276" w:lineRule="auto"/>
      </w:pPr>
      <w:r>
        <w:t>La conclusion technique est mitigée : les moyennes mobiles et le stochastique suggèrent un potentiel de rebond, tandis que le MACD et la position sous les MM indiquent une pression baissière persistante. Le RSI neutre et les bandes de Bollinger proches de la borne inférieure laissent entrevoir un possible sursaut technique, mais la tendance de fond reste incertaine. Un signal clair ne se dégagera qu'avec un franchissement des MM20/50 ou une cassure des bornes de Bollinger.</w:t>
      </w:r>
    </w:p>
    <w:p>
      <w:pPr>
        <w:spacing w:after="120" w:line="276" w:lineRule="auto" w:before="240"/>
      </w:pPr>
      <w:r>
        <w:rPr>
          <w:b/>
          <w:color w:val="003366"/>
          <w:sz w:val="24"/>
        </w:rPr>
        <w:t>**PARTIE 3 : ANALYSE FONDAMENTALE (SECTION CRITIQUE)**</w:t>
      </w:r>
    </w:p>
    <w:p>
      <w:pPr>
        <w:spacing w:after="120" w:line="276" w:lineRule="auto"/>
      </w:pPr>
      <w:r>
        <w:t>En 2025, TTLC a réalisé un chiffre d'affaires de 588,709 milliards FCFA, en baisse de 5,2% par rapport à 2024 (621,042 milliards), mais avec une amélioration notable de la rentabilité opérationnelle : l'EBE progresse de 12% à 22,347 milliards et le résultat d'exploitation bondit de 18% à 12,329 milliards. Le résultat net s'établit à 9,087 milliards FCFA, en léger repli de 3%, avec une marge nette stable à 1,54%. La rentabilité des capitaux propres (ROE) est excellente à 25,1%, tandis que le ROA s'élève à 4,82%, reflétant une bonne utilisation des actifs. Le BFR est négatif à -9,662 milliards FCFA, ce qui est favorable pour une entreprise de distribution, indiquant que TTLC finance son exploitation grâce aux délais fournisseurs (49,72 jours) et une rotation rapide des stocks (13,8 jours). Cependant, la trésorerie nette est fortement négative (-21,926 milliards), et le ratio d'endettement de 90,2% soulève des inquiétudes sur la soutenabilité de la politique de dividende, qui a atteint 10 milliards FCFA, soit un taux de distribution supérieur à 100% du bénéfice net. Sur la base du rapport T1 2026 (CA en hausse de 4,3% à 154,392 milliards et résultat net en progression de 5,5% à 2,329 milliards), on estime que l'exercice 2026 pourrait voir un retour à la croissance, avec un CA annuel potentiel autour de 610-620 milliards FCFA et un résultat net de 9,5 à 10 milliards, si la tendance se maintient. Les rapports de 2024 et 2025 montrent une résilience opérationnelle, mais la dégradation de la trésorerie et la dépendance aux crédits bancaires constituent des risques majeurs à surveiller.</w:t>
      </w:r>
    </w:p>
    <w:p>
      <w:pPr>
        <w:spacing w:after="120" w:line="276" w:lineRule="auto" w:before="240"/>
      </w:pPr>
      <w:r>
        <w:rPr>
          <w:b/>
          <w:color w:val="003366"/>
          <w:sz w:val="24"/>
        </w:rPr>
        <w:t>**PARTIE 4 : CONCLUSION D'INVESTISSEMENT**</w:t>
      </w:r>
    </w:p>
    <w:p>
      <w:pPr>
        <w:spacing w:after="120" w:line="276" w:lineRule="auto"/>
      </w:pPr>
      <w:r>
        <w:t>La valorisation de TTLC est exigeante avec un PER de 19,4x et un P/B de 4,88x, nettement supérieurs aux moyennes de la BRVM, indiquant une surévaluation relative malgré des fondamentaux solides. Le comportement du cours sur 100 jours montre une stabilité relative (CV de 3,3%) mais une volatilité annualisée élevée (40%), avec une tendance récente baissière (-1,58% et -5,87% sur la dernière séance). Les signaux techniques sont divergents : les MM et le stochastique suggèrent un potentiel de rebond, tandis que le MACD et la position sous les moyennes indiquent une pression baissière. Les fondamentaux sont robustes avec un ROE de 25,1% et une amélioration des marges opérationnelles, mais la trésorerie négative et le payout supérieur à 100% constituent des signaux d'alerte. Les prédictions IA (2 820 à 2 808 FCFA sur 10 jours) suggèrent une stabilisation autour des niveaux actuels, sans rebond significatif. En synthèse, la convergence entre une valorisation élevée, des signaux techniques mitigés et des risques financiers croissants conduit à une recommandation de **CONSERVER** avec un niveau de confiance **Moyen**. Le risque global est **Élevé** en raison de la dégradation de la trésorerie et de la dépendance aux financements court terme. L'horizon d'investissement optimal est le **moyen terme (3-12 mois)**, en attendant une clarification sur la soutenabilité de la politique de dividende et une amélioration des flux de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114.02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2,839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+8.36%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μ=3,432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β=1.2142 (Agressif) — Cov=0.000044, Var(idx)=0.000036, ρ=0.229,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3,240</w:t>
            </w:r>
          </w:p>
        </w:tc>
        <w:tc>
          <w:tcPr>
            <w:tcW w:type="dxa" w:w="1440"/>
            <w:shd w:fill="FAFAFA" w:val="clear"/>
          </w:tcPr>
          <w:p>
            <w:r>
              <w:rPr>
                <w:b/>
                <w:sz w:val="17"/>
              </w:rPr>
              <w:t>3,450</w:t>
            </w:r>
          </w:p>
        </w:tc>
        <w:tc>
          <w:tcPr>
            <w:tcW w:type="dxa" w:w="1440"/>
            <w:shd w:fill="FAFAFA" w:val="clear"/>
          </w:tcPr>
          <w:p>
            <w:r>
              <w:rPr>
                <w:sz w:val="17"/>
              </w:rPr>
              <w:t>3,660</w:t>
            </w:r>
          </w:p>
        </w:tc>
        <w:tc>
          <w:tcPr>
            <w:tcW w:type="dxa" w:w="1440"/>
            <w:shd w:fill="FAFAFA" w:val="clear"/>
          </w:tcPr>
          <w:p>
            <w:r>
              <w:rPr>
                <w:b/>
                <w:color w:val="C00000"/>
                <w:sz w:val="17"/>
              </w:rPr>
              <w:t>-1.4%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3,111</w:t>
            </w:r>
          </w:p>
        </w:tc>
        <w:tc>
          <w:tcPr>
            <w:tcW w:type="dxa" w:w="1440"/>
            <w:shd w:fill="FFDCE0" w:val="clear"/>
          </w:tcPr>
          <w:p>
            <w:r>
              <w:rPr>
                <w:b/>
                <w:sz w:val="17"/>
              </w:rPr>
              <w:t>3,405</w:t>
            </w:r>
          </w:p>
        </w:tc>
        <w:tc>
          <w:tcPr>
            <w:tcW w:type="dxa" w:w="1440"/>
            <w:shd w:fill="FFDCE0" w:val="clear"/>
          </w:tcPr>
          <w:p>
            <w:r>
              <w:rPr>
                <w:sz w:val="17"/>
              </w:rPr>
              <w:t>3,698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3,010</w:t>
            </w:r>
          </w:p>
        </w:tc>
        <w:tc>
          <w:tcPr>
            <w:tcW w:type="dxa" w:w="1440"/>
            <w:shd w:fill="FFDCE0" w:val="clear"/>
          </w:tcPr>
          <w:p>
            <w:r>
              <w:rPr>
                <w:b/>
                <w:sz w:val="17"/>
              </w:rPr>
              <w:t>3,365</w:t>
            </w:r>
          </w:p>
        </w:tc>
        <w:tc>
          <w:tcPr>
            <w:tcW w:type="dxa" w:w="1440"/>
            <w:shd w:fill="FFDCE0" w:val="clear"/>
          </w:tcPr>
          <w:p>
            <w:r>
              <w:rPr>
                <w:sz w:val="17"/>
              </w:rPr>
              <w:t>3,720</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2,924</w:t>
            </w:r>
          </w:p>
        </w:tc>
        <w:tc>
          <w:tcPr>
            <w:tcW w:type="dxa" w:w="1440"/>
            <w:shd w:fill="FFDCE0" w:val="clear"/>
          </w:tcPr>
          <w:p>
            <w:r>
              <w:rPr>
                <w:b/>
                <w:sz w:val="17"/>
              </w:rPr>
              <w:t>3,329</w:t>
            </w:r>
          </w:p>
        </w:tc>
        <w:tc>
          <w:tcPr>
            <w:tcW w:type="dxa" w:w="1440"/>
            <w:shd w:fill="FFDCE0" w:val="clear"/>
          </w:tcPr>
          <w:p>
            <w:r>
              <w:rPr>
                <w:sz w:val="17"/>
              </w:rPr>
              <w:t>3,735</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2,847</w:t>
            </w:r>
          </w:p>
        </w:tc>
        <w:tc>
          <w:tcPr>
            <w:tcW w:type="dxa" w:w="1440"/>
            <w:shd w:fill="FFDCE0" w:val="clear"/>
          </w:tcPr>
          <w:p>
            <w:r>
              <w:rPr>
                <w:b/>
                <w:sz w:val="17"/>
              </w:rPr>
              <w:t>3,296</w:t>
            </w:r>
          </w:p>
        </w:tc>
        <w:tc>
          <w:tcPr>
            <w:tcW w:type="dxa" w:w="1440"/>
            <w:shd w:fill="FFDCE0" w:val="clear"/>
          </w:tcPr>
          <w:p>
            <w:r>
              <w:rPr>
                <w:sz w:val="17"/>
              </w:rPr>
              <w:t>3,745</w:t>
            </w:r>
          </w:p>
        </w:tc>
        <w:tc>
          <w:tcPr>
            <w:tcW w:type="dxa" w:w="1440"/>
            <w:shd w:fill="FFDCE0" w:val="clear"/>
          </w:tcPr>
          <w:p>
            <w:r>
              <w:rPr>
                <w:b/>
                <w:color w:val="C00000"/>
                <w:sz w:val="17"/>
              </w:rPr>
              <w:t>-5.8%</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2,778</w:t>
            </w:r>
          </w:p>
        </w:tc>
        <w:tc>
          <w:tcPr>
            <w:tcW w:type="dxa" w:w="1440"/>
            <w:shd w:fill="FFDCE0" w:val="clear"/>
          </w:tcPr>
          <w:p>
            <w:r>
              <w:rPr>
                <w:b/>
                <w:sz w:val="17"/>
              </w:rPr>
              <w:t>3,265</w:t>
            </w:r>
          </w:p>
        </w:tc>
        <w:tc>
          <w:tcPr>
            <w:tcW w:type="dxa" w:w="1440"/>
            <w:shd w:fill="FFDCE0" w:val="clear"/>
          </w:tcPr>
          <w:p>
            <w:r>
              <w:rPr>
                <w:sz w:val="17"/>
              </w:rPr>
              <w:t>3,753</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2,714</w:t>
            </w:r>
          </w:p>
        </w:tc>
        <w:tc>
          <w:tcPr>
            <w:tcW w:type="dxa" w:w="1440"/>
            <w:shd w:fill="FFDCE0" w:val="clear"/>
          </w:tcPr>
          <w:p>
            <w:r>
              <w:rPr>
                <w:b/>
                <w:sz w:val="17"/>
              </w:rPr>
              <w:t>3,236</w:t>
            </w:r>
          </w:p>
        </w:tc>
        <w:tc>
          <w:tcPr>
            <w:tcW w:type="dxa" w:w="1440"/>
            <w:shd w:fill="FFDCE0" w:val="clear"/>
          </w:tcPr>
          <w:p>
            <w:r>
              <w:rPr>
                <w:sz w:val="17"/>
              </w:rPr>
              <w:t>3,758</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2,655</w:t>
            </w:r>
          </w:p>
        </w:tc>
        <w:tc>
          <w:tcPr>
            <w:tcW w:type="dxa" w:w="1440"/>
            <w:shd w:fill="FFDCE0" w:val="clear"/>
          </w:tcPr>
          <w:p>
            <w:r>
              <w:rPr>
                <w:b/>
                <w:sz w:val="17"/>
              </w:rPr>
              <w:t>3,208</w:t>
            </w:r>
          </w:p>
        </w:tc>
        <w:tc>
          <w:tcPr>
            <w:tcW w:type="dxa" w:w="1440"/>
            <w:shd w:fill="FFDCE0" w:val="clear"/>
          </w:tcPr>
          <w:p>
            <w:r>
              <w:rPr>
                <w:sz w:val="17"/>
              </w:rPr>
              <w:t>3,761</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2,600</w:t>
            </w:r>
          </w:p>
        </w:tc>
        <w:tc>
          <w:tcPr>
            <w:tcW w:type="dxa" w:w="1440"/>
            <w:shd w:fill="FFDCE0" w:val="clear"/>
          </w:tcPr>
          <w:p>
            <w:r>
              <w:rPr>
                <w:b/>
                <w:sz w:val="17"/>
              </w:rPr>
              <w:t>3,182</w:t>
            </w:r>
          </w:p>
        </w:tc>
        <w:tc>
          <w:tcPr>
            <w:tcW w:type="dxa" w:w="1440"/>
            <w:shd w:fill="FFDCE0" w:val="clear"/>
          </w:tcPr>
          <w:p>
            <w:r>
              <w:rPr>
                <w:sz w:val="17"/>
              </w:rPr>
              <w:t>3,764</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2,548</w:t>
            </w:r>
          </w:p>
        </w:tc>
        <w:tc>
          <w:tcPr>
            <w:tcW w:type="dxa" w:w="1440"/>
            <w:shd w:fill="FFDCE0" w:val="clear"/>
          </w:tcPr>
          <w:p>
            <w:r>
              <w:rPr>
                <w:b/>
                <w:sz w:val="17"/>
              </w:rPr>
              <w:t>3,157</w:t>
            </w:r>
          </w:p>
        </w:tc>
        <w:tc>
          <w:tcPr>
            <w:tcW w:type="dxa" w:w="1440"/>
            <w:shd w:fill="FFDCE0" w:val="clear"/>
          </w:tcPr>
          <w:p>
            <w:r>
              <w:rPr>
                <w:sz w:val="17"/>
              </w:rPr>
              <w:t>3,765</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Absolument. Voici un rapport d'analyse professionnel structuré pour l'action TotalEnergies Marketing Sénégal (TTLS) sur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114,02 milliards FCFA, ce qui en fait une valeur de taille moyenne sur la BRVM, représentative d'un leader sectoriel national. Avec un BPA de 208 FCFA, le PER de 16,8x se situe nettement au-dessus de la moyenne historique de la place (~8-12x), indiquant que les investisseurs acceptent de payer une prime pour la qualité perçue du titre et sa position dominante. Le P/B de 4,04x confirme cette valorisation exigeante, le marché capitalisant fortement sur les actifs nets de l'entreprise. Enfin, un EV/EBITDA de 7,1x, dans la fourchette raisonnable (5-10x), tempère cette lecture en montrant que la valeur totale de l'entreprise (dette incluse) reste cohérente avec sa capacité opérationnelle à générer des flux. L'ensemble suggère une valorisation qui intègre déjà des perspectives de croissance et de stabilité.</w:t>
      </w:r>
    </w:p>
    <w:p>
      <w:pPr>
        <w:spacing w:after="120" w:line="276" w:lineRule="auto"/>
      </w:pPr>
      <w:r>
        <w:t>### **PARTIE 1 : ANALYSE DU COURS — STATISTIQUES ET ÉVOLUTION (100 derniers jours)**</w:t>
      </w:r>
    </w:p>
    <w:p>
      <w:pPr>
        <w:spacing w:after="120" w:line="276" w:lineRule="auto"/>
      </w:pPr>
      <w:r>
        <w:t>Sur les 100 derniers jours, le titre TTLS affiche une progression totale de +8,36%, mais subit un net repli de -3,58% lors de la dernière séance, signe d'une volatilité récente. Le cours a évolué dans un large range de 2 845 à 4 500 FCFA, démontrant des phases d'enthousiasme et de correction. La moyenne (3 432 FCFA) étant supérieure à la médiane (3 358 FCFA) et le skewness positif (0.965), on observe une distribution asymétrique avec des journées plus fréquentes sous la moyenne, mais des pics haussiers prononcés. L'écart-type de 372 FCFA (CV=10.8%) indique une dispersion modérée autour de la moyenne. Le kurtosis de 0.405 (mésokurtique) suggère une distribution proche de la normale, sans risque de variations extrêmes plus élevé que la normale. La volatilité annualisée de 50,5% est très élevée, classant TTLS comme un actif à haut risque, où les mouvements de prix peuvent être amples et rapides.</w:t>
      </w:r>
    </w:p>
    <w:p>
      <w:pPr>
        <w:spacing w:after="120" w:line="276" w:lineRule="auto"/>
      </w:pPr>
      <w:r>
        <w:t>### **PARTIE 2 : ANALYSE TECHNIQUE DÉTAILLÉE**</w:t>
      </w:r>
    </w:p>
    <w:p>
      <w:pPr>
        <w:spacing w:after="120" w:line="276" w:lineRule="auto"/>
      </w:pPr>
      <w:r>
        <w:t>**Moyennes Mobiles**: Le cours actuel (3 500 FCFA) est inférieur à la MM20 (3 818,5 FCFA) et à la MM50 (3 710,6 FCFA). Cette configuration est baissière à court et moyen terme, car le prix évolue sous ses moyennes mobiles clés. Cependant, le signal global est un "Achat", ce qui pourrait indiquer que les moyennes sont encore orientées à la hausse sur une période plus longue, ou que le croisement récent n'est pas encore considéré comme un retournement majeur.</w:t>
      </w:r>
    </w:p>
    <w:p>
      <w:pPr>
        <w:spacing w:after="120" w:line="276" w:lineRule="auto"/>
      </w:pPr>
      <w:r>
        <w:t>**Bandes de Bollinger**: Le prix se situe à 3 500 FCFA, proche de la borne inférieure (3 285,6 FCFA) et très loin de la borne supérieure (4 351,4 FCFA). Cette position suggère que le titre est actuellement dans la partie basse de son canal de volatilité, ce qui peut indiquer une situation de survente à court terme ou une poursuite de la baisse. La décision est "Neutre", car le prix n'a pas encore touché la borne inférieure, ce qui serait un signal plus fort de rebond potentiel.</w:t>
      </w:r>
    </w:p>
    <w:p>
      <w:pPr>
        <w:spacing w:after="120" w:line="276" w:lineRule="auto"/>
      </w:pPr>
      <w:r>
        <w:t>**MACD**: La valeur du MACD (-69,162) est inférieure à son signal (-21,961), et les deux sont négatifs. Cette configuration est un signal de vente classique, indiquant que le momentum baissier est en train de s'installer et de se renforcer. La dynamique de prix est clairement négative, et il n'y a pas encore de signe de retournement de cette tendance.</w:t>
      </w:r>
    </w:p>
    <w:p>
      <w:pPr>
        <w:spacing w:after="120" w:line="276" w:lineRule="auto"/>
      </w:pPr>
      <w:r>
        <w:t>**RSI**: Avec une valeur de 25,616, le RSI est en zone de survente (&lt;30). Cela signifie que le titre a fortement baissé et que le mouvement pourrait être épuisé à court terme. Historiquement, une telle zone précède souvent un rebond technique. La décision est donc un "Achat", car le potentiel de hausse corrective est élevé, même si la tendance de fond reste baissière.</w:t>
      </w:r>
    </w:p>
    <w:p>
      <w:pPr>
        <w:spacing w:after="120" w:line="276" w:lineRule="auto"/>
      </w:pPr>
      <w:r>
        <w:t>**Stochastique**: Le %K est à 0,0 et le %D à 8,754, tous deux en zone de survente extrême. Le croisement du %K sous le %D confirme la force de la pression vendeuse. Cependant, des niveaux aussi bas signalent un épuisement vendeur et un fort potentiel de rebond. La décision "Achat" est donc cohérente avec une stratégie de contre-tendance à très court terme.</w:t>
      </w:r>
    </w:p>
    <w:p>
      <w:pPr>
        <w:spacing w:after="120" w:line="276" w:lineRule="auto"/>
      </w:pPr>
      <w:r>
        <w:t>**Conclusion technique**: Les indicateurs de momentum (MACD) sont clairement baissiers, mais les oscillateurs de survente (RSI, Stochastique) sont à des niveaux extrêmes, suggérant un rebond technique imminent. Le prix sous ses moyennes mobiles renforce la tendance baissière de fond. Le scénario le plus probable est une stabilisation ou un rebond technique à court terme, mais la tendance générale reste négative tant que le cours ne repasse pas au-dessus des MM20 et MM50.</w:t>
      </w:r>
    </w:p>
    <w:p>
      <w:pPr>
        <w:spacing w:after="120" w:line="276" w:lineRule="auto"/>
      </w:pPr>
      <w:r>
        <w:t>### **PARTIE 3 : ANALYSE FONDAMENTALE (SECTION CRITIQUE)**</w:t>
      </w:r>
    </w:p>
    <w:p>
      <w:pPr>
        <w:spacing w:after="120" w:line="276" w:lineRule="auto"/>
      </w:pPr>
      <w:r>
        <w:t>En 2025, selon les données structurées, TTLS a réalisé un chiffre d'affaires de 455,209 milliards FCFA, en baisse de 6,1% par rapport à 2024 (484,945 Mds FCFA). Le résultat net s'établit à 6,779 milliards FCFA, contre 7,140 milliards en 2024, soit une baisse de 5,1%. La rentabilité des fonds propres (ROE) reste excellente à 24,0%, bien que le ROA soit plus modeste à 3,9%. En tant qu'entreprise de distribution, l'analyse du BFR est cruciale : il est négatif (-36,9 Mds FCFA), ce qui est très favorable, car cela signifie que l'entreprise est financée par ses fournisseurs. Le délai de paiement des fournisseurs (97,76 jours) est nettement supérieur au délai de recouvrement des clients (47,43 jours), ce qui confère une trésorerie de fonctionnement saine. Les rapports narratifs de 2025 et du T1 2026 (analysés en 2026) confirment cette tendance : la baisse du CA est due à l'arrêt stratégique du fuel lourd, mais la rentabilité opérationnelle s'améliore (+28% au T1 2026). Sur la base de ce trimestre, on estime que l'exercice 2026 pourrait voir une stabilisation du résultat net, porté par l'amélioration des marges sur les lubrifiants et le GPL, malgré la pression réglementaire sur les prix des carburants. La solidité financière est réelle, avec un endettement maîtrisé et une capacité de remboursement rapide (0,94 an).</w:t>
      </w:r>
    </w:p>
    <w:p>
      <w:pPr>
        <w:spacing w:after="120" w:line="276" w:lineRule="auto"/>
      </w:pPr>
      <w:r>
        <w:t>### **PARTIE 4 : CONCLUSION D'INVESTISSEMENT**</w:t>
      </w:r>
    </w:p>
    <w:p>
      <w:pPr>
        <w:spacing w:after="120" w:line="276" w:lineRule="auto"/>
      </w:pPr>
      <w:r>
        <w:t>La valorisation de TTLS (PER 16,8x, P/B 4,04x) est exigeante, mais s'explique par un ROE exceptionnel de 24% et une position de leader. Le comportement du cours, bien que volatil (50,5%), montre une résilience sur 100 jours (+8,36%), mais les derniers signaux techniques (MACD vendeur, prix sous MM) indiquent une correction en cours, tempérée par des conditions de survente (RSI, Stochastique) qui pourraient déclencher un rebond. Les fondamentaux sont solides, avec une amélioration de la rentabilité opérationnelle et une structure financière saine, malgré un chiffre d'affaires en baisse. Les prédictions IA (baisse vers 3 296 FCFA) confirment la pression baissière à court terme, mais suggèrent une stabilisation. En synthèse, la convergence entre la valorisation élevée, les signaux techniques baissiers et les prédictions IA plaide pour une position attentiste. La solidité fondamentale et les perspectives de croissance à moyen terme justifient de ne pas vendre. **Recommandation finale : CONSERVER**. Le niveau de confiance est **Moyen** (divergence entre le court terme technique et le long terme fondamental). Le risque global est **Élevé** (volatilité, pression réglementaire). L'horizon d'investissement optimal est le **moyen terme (3-12 mois)**, pour laisser le temps aux stratégies de diversification (GPL, lubrifiants) de porter leurs fruits et de voir si le cours se stabilise.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 titres</w:t>
            </w:r>
          </w:p>
        </w:tc>
        <w:tc>
          <w:tcPr>
            <w:tcW w:type="dxa" w:w="2268"/>
            <w:shd w:fill="FFF2CC" w:val="clear"/>
          </w:tcPr>
          <w:p>
            <w:r>
              <w:rPr>
                <w:b/>
                <w:color w:val="503200"/>
                <w:sz w:val="16"/>
              </w:rPr>
              <w:t xml:space="preserve">Cours actuel : </w:t>
            </w:r>
            <w:r>
              <w:rPr>
                <w:color w:val="000000"/>
                <w:sz w:val="17"/>
              </w:rPr>
              <w:t>54,595 FCFA</w:t>
            </w:r>
          </w:p>
          <w:p>
            <w:r>
              <w:rPr>
                <w:b/>
                <w:color w:val="503200"/>
                <w:sz w:val="16"/>
              </w:rPr>
              <w:t xml:space="preserve">Var. 100 jours : </w:t>
            </w:r>
            <w:r>
              <w:rPr>
                <w:b/>
                <w:color w:val="B40000"/>
                <w:sz w:val="17"/>
              </w:rPr>
              <w:t>-19.71%</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8.12% (Moyenne) — μ=57,569 FCFA, σ=4,676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β=2.1271 (Très agressif) — Cov=0.000076, Var(idx)=0.000036, ρ=0.294,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28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σ_j=4.33%/j (Modérée) — Vol. annualisée≈68.8%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52,096</w:t>
            </w:r>
          </w:p>
        </w:tc>
        <w:tc>
          <w:tcPr>
            <w:tcW w:type="dxa" w:w="1440"/>
            <w:shd w:fill="FAFAFA" w:val="clear"/>
          </w:tcPr>
          <w:p>
            <w:r>
              <w:rPr>
                <w:b/>
                <w:sz w:val="17"/>
              </w:rPr>
              <w:t>55,446</w:t>
            </w:r>
          </w:p>
        </w:tc>
        <w:tc>
          <w:tcPr>
            <w:tcW w:type="dxa" w:w="1440"/>
            <w:shd w:fill="FAFAFA" w:val="clear"/>
          </w:tcPr>
          <w:p>
            <w:r>
              <w:rPr>
                <w:sz w:val="17"/>
              </w:rPr>
              <w:t>58,795</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2026-08-11</w:t>
            </w:r>
          </w:p>
        </w:tc>
        <w:tc>
          <w:tcPr>
            <w:tcW w:type="dxa" w:w="1440"/>
            <w:shd w:fill="C6EFCE" w:val="clear"/>
          </w:tcPr>
          <w:p>
            <w:r>
              <w:rPr>
                <w:sz w:val="17"/>
              </w:rPr>
              <w:t>51,270</w:t>
            </w:r>
          </w:p>
        </w:tc>
        <w:tc>
          <w:tcPr>
            <w:tcW w:type="dxa" w:w="1440"/>
            <w:shd w:fill="C6EFCE" w:val="clear"/>
          </w:tcPr>
          <w:p>
            <w:r>
              <w:rPr>
                <w:b/>
                <w:sz w:val="17"/>
              </w:rPr>
              <w:t>56,059</w:t>
            </w:r>
          </w:p>
        </w:tc>
        <w:tc>
          <w:tcPr>
            <w:tcW w:type="dxa" w:w="1440"/>
            <w:shd w:fill="C6EFCE" w:val="clear"/>
          </w:tcPr>
          <w:p>
            <w:r>
              <w:rPr>
                <w:sz w:val="17"/>
              </w:rPr>
              <w:t>60,848</w:t>
            </w:r>
          </w:p>
        </w:tc>
        <w:tc>
          <w:tcPr>
            <w:tcW w:type="dxa" w:w="1440"/>
            <w:shd w:fill="C6EFCE" w:val="clear"/>
          </w:tcPr>
          <w:p>
            <w:r>
              <w:rPr>
                <w:b/>
                <w:color w:val="008000"/>
                <w:sz w:val="17"/>
              </w:rPr>
              <w:t>+2.7%</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50,758</w:t>
            </w:r>
          </w:p>
        </w:tc>
        <w:tc>
          <w:tcPr>
            <w:tcW w:type="dxa" w:w="1440"/>
            <w:shd w:fill="C6EFCE" w:val="clear"/>
          </w:tcPr>
          <w:p>
            <w:r>
              <w:rPr>
                <w:b/>
                <w:sz w:val="17"/>
              </w:rPr>
              <w:t>56,690</w:t>
            </w:r>
          </w:p>
        </w:tc>
        <w:tc>
          <w:tcPr>
            <w:tcW w:type="dxa" w:w="1440"/>
            <w:shd w:fill="C6EFCE" w:val="clear"/>
          </w:tcPr>
          <w:p>
            <w:r>
              <w:rPr>
                <w:sz w:val="17"/>
              </w:rPr>
              <w:t>62,621</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50,402</w:t>
            </w:r>
          </w:p>
        </w:tc>
        <w:tc>
          <w:tcPr>
            <w:tcW w:type="dxa" w:w="1440"/>
            <w:shd w:fill="C6EFCE" w:val="clear"/>
          </w:tcPr>
          <w:p>
            <w:r>
              <w:rPr>
                <w:b/>
                <w:sz w:val="17"/>
              </w:rPr>
              <w:t>57,328</w:t>
            </w:r>
          </w:p>
        </w:tc>
        <w:tc>
          <w:tcPr>
            <w:tcW w:type="dxa" w:w="1440"/>
            <w:shd w:fill="C6EFCE" w:val="clear"/>
          </w:tcPr>
          <w:p>
            <w:r>
              <w:rPr>
                <w:sz w:val="17"/>
              </w:rPr>
              <w:t>64,254</w:t>
            </w:r>
          </w:p>
        </w:tc>
        <w:tc>
          <w:tcPr>
            <w:tcW w:type="dxa" w:w="1440"/>
            <w:shd w:fill="C6EFCE" w:val="clear"/>
          </w:tcPr>
          <w:p>
            <w:r>
              <w:rPr>
                <w:b/>
                <w:color w:val="008000"/>
                <w:sz w:val="17"/>
              </w:rPr>
              <w:t>+5.0%</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50,142</w:t>
            </w:r>
          </w:p>
        </w:tc>
        <w:tc>
          <w:tcPr>
            <w:tcW w:type="dxa" w:w="1440"/>
            <w:shd w:fill="C6EFCE" w:val="clear"/>
          </w:tcPr>
          <w:p>
            <w:r>
              <w:rPr>
                <w:b/>
                <w:sz w:val="17"/>
              </w:rPr>
              <w:t>57,972</w:t>
            </w:r>
          </w:p>
        </w:tc>
        <w:tc>
          <w:tcPr>
            <w:tcW w:type="dxa" w:w="1440"/>
            <w:shd w:fill="C6EFCE" w:val="clear"/>
          </w:tcPr>
          <w:p>
            <w:r>
              <w:rPr>
                <w:sz w:val="17"/>
              </w:rPr>
              <w:t>65,802</w:t>
            </w:r>
          </w:p>
        </w:tc>
        <w:tc>
          <w:tcPr>
            <w:tcW w:type="dxa" w:w="1440"/>
            <w:shd w:fill="C6EFCE" w:val="clear"/>
          </w:tcPr>
          <w:p>
            <w:r>
              <w:rPr>
                <w:b/>
                <w:color w:val="008000"/>
                <w:sz w:val="17"/>
              </w:rPr>
              <w:t>+6.2%</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49,946</w:t>
            </w:r>
          </w:p>
        </w:tc>
        <w:tc>
          <w:tcPr>
            <w:tcW w:type="dxa" w:w="1440"/>
            <w:shd w:fill="C6EFCE" w:val="clear"/>
          </w:tcPr>
          <w:p>
            <w:r>
              <w:rPr>
                <w:b/>
                <w:sz w:val="17"/>
              </w:rPr>
              <w:t>58,620</w:t>
            </w:r>
          </w:p>
        </w:tc>
        <w:tc>
          <w:tcPr>
            <w:tcW w:type="dxa" w:w="1440"/>
            <w:shd w:fill="C6EFCE" w:val="clear"/>
          </w:tcPr>
          <w:p>
            <w:r>
              <w:rPr>
                <w:sz w:val="17"/>
              </w:rPr>
              <w:t>67,293</w:t>
            </w:r>
          </w:p>
        </w:tc>
        <w:tc>
          <w:tcPr>
            <w:tcW w:type="dxa" w:w="1440"/>
            <w:shd w:fill="C6EFCE" w:val="clear"/>
          </w:tcPr>
          <w:p>
            <w:r>
              <w:rPr>
                <w:b/>
                <w:color w:val="008000"/>
                <w:sz w:val="17"/>
              </w:rPr>
              <w:t>+7.4%</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49,798</w:t>
            </w:r>
          </w:p>
        </w:tc>
        <w:tc>
          <w:tcPr>
            <w:tcW w:type="dxa" w:w="1440"/>
            <w:shd w:fill="C6EFCE" w:val="clear"/>
          </w:tcPr>
          <w:p>
            <w:r>
              <w:rPr>
                <w:b/>
                <w:sz w:val="17"/>
              </w:rPr>
              <w:t>59,270</w:t>
            </w:r>
          </w:p>
        </w:tc>
        <w:tc>
          <w:tcPr>
            <w:tcW w:type="dxa" w:w="1440"/>
            <w:shd w:fill="C6EFCE" w:val="clear"/>
          </w:tcPr>
          <w:p>
            <w:r>
              <w:rPr>
                <w:sz w:val="17"/>
              </w:rPr>
              <w:t>68,743</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49,685</w:t>
            </w:r>
          </w:p>
        </w:tc>
        <w:tc>
          <w:tcPr>
            <w:tcW w:type="dxa" w:w="1440"/>
            <w:shd w:fill="C6EFCE" w:val="clear"/>
          </w:tcPr>
          <w:p>
            <w:r>
              <w:rPr>
                <w:b/>
                <w:sz w:val="17"/>
              </w:rPr>
              <w:t>59,924</w:t>
            </w:r>
          </w:p>
        </w:tc>
        <w:tc>
          <w:tcPr>
            <w:tcW w:type="dxa" w:w="1440"/>
            <w:shd w:fill="C6EFCE" w:val="clear"/>
          </w:tcPr>
          <w:p>
            <w:r>
              <w:rPr>
                <w:sz w:val="17"/>
              </w:rPr>
              <w:t>70,162</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49,601</w:t>
            </w:r>
          </w:p>
        </w:tc>
        <w:tc>
          <w:tcPr>
            <w:tcW w:type="dxa" w:w="1440"/>
            <w:shd w:fill="C6EFCE" w:val="clear"/>
          </w:tcPr>
          <w:p>
            <w:r>
              <w:rPr>
                <w:b/>
                <w:sz w:val="17"/>
              </w:rPr>
              <w:t>60,579</w:t>
            </w:r>
          </w:p>
        </w:tc>
        <w:tc>
          <w:tcPr>
            <w:tcW w:type="dxa" w:w="1440"/>
            <w:shd w:fill="C6EFCE" w:val="clear"/>
          </w:tcPr>
          <w:p>
            <w:r>
              <w:rPr>
                <w:sz w:val="17"/>
              </w:rPr>
              <w:t>71,557</w:t>
            </w:r>
          </w:p>
        </w:tc>
        <w:tc>
          <w:tcPr>
            <w:tcW w:type="dxa" w:w="1440"/>
            <w:shd w:fill="C6EFCE" w:val="clear"/>
          </w:tcPr>
          <w:p>
            <w:r>
              <w:rPr>
                <w:b/>
                <w:color w:val="008000"/>
                <w:sz w:val="17"/>
              </w:rPr>
              <w:t>+11.0%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49,539</w:t>
            </w:r>
          </w:p>
        </w:tc>
        <w:tc>
          <w:tcPr>
            <w:tcW w:type="dxa" w:w="1440"/>
            <w:shd w:fill="C6EFCE" w:val="clear"/>
          </w:tcPr>
          <w:p>
            <w:r>
              <w:rPr>
                <w:b/>
                <w:sz w:val="17"/>
              </w:rPr>
              <w:t>61,236</w:t>
            </w:r>
          </w:p>
        </w:tc>
        <w:tc>
          <w:tcPr>
            <w:tcW w:type="dxa" w:w="1440"/>
            <w:shd w:fill="C6EFCE" w:val="clear"/>
          </w:tcPr>
          <w:p>
            <w:r>
              <w:rPr>
                <w:sz w:val="17"/>
              </w:rPr>
              <w:t>72,934</w:t>
            </w:r>
          </w:p>
        </w:tc>
        <w:tc>
          <w:tcPr>
            <w:tcW w:type="dxa" w:w="1440"/>
            <w:shd w:fill="C6EFCE" w:val="clear"/>
          </w:tcPr>
          <w:p>
            <w:r>
              <w:rPr>
                <w:b/>
                <w:color w:val="008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501,37 milliards FCFA, ce qui positionne la société parmi les valeurs moyennes de la BRVM, dans un marché où les grandes capitalisations dépassent souvent les 1 000 milliards FCFA. Le BPA (Bénéfice Par Action) n'est pas calculable en raison de l'absence de données financières structurées récentes dans la base, tout comme le PER, le P/B et l'EV/EBITDA. Cette absence s'explique par la non-disponibilité des états financiers détaillés les plus récents dans le système. Toutefois, sur la base des rapports disponibles, le bénéfice net de 640 millions FCFA en 2023 pour environ 9,18 millions d'actions en circulation suggère un BPA d'environ 70 FCFA, ce qui, rapporté au cours actuel de 54 595 FCFA, donnerait un PER extrêmement élevé, signalant une valorisation très généreuse par rapport aux bénéfices effectifs, bien au-delà de la moyenne BRVM de 8 à 12 fois.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19,71%, avec une dernière séance stable à 54 595 FCFA. Le titre a évolué dans une fourchette large de 49 630 FCFA (plus bas) à 72 000 FCFA (plus haut), illustrant une forte amplitude de trading. La tendance générale est clairement baissière, avec un cours qui a cédé près de 20% de sa valeur sur la période. Les statistiques descriptives révèlent une moyenne de 57 569 FCFA légèrement supérieure à la médiane de 57 042 FCFA, indiquant une distribution relativement symétrique mais avec un skewness positif de 1,026, signifiant que les journées sous la moyenne ont été plus fréquentes. L'écart-type de 4 699 FCFA (CV = 8,2%) montre une dispersion modérée, tandis que le kurtosis de 1,297 (leptokurtique) signale un risque de mouvements extrêmes. La volatilité annualisée de 68,8% est extrêmement élevée, plaçant UNLC parmi les titres les plus risqués de la place.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54 595 FCFA se situe au-dessus de la MM20 (52 923 FCFA) mais en dessous de la MM50 (54 923 FCFA), créant une configuration baissière à moyen terme. La décision de "Vente" est justifiée par cette position sous la moyenne à 50 jours, indiquant que la tendance de fond reste négative malgré un rebond à court terme.</w:t>
      </w:r>
    </w:p>
    <w:p>
      <w:pPr>
        <w:spacing w:after="120" w:line="276" w:lineRule="auto"/>
      </w:pPr>
      <w:r>
        <w:t>**Bandes de Bollinger** : Le prix évolue entre la borne inférieure (49 538 FCFA) et la borne supérieure (56 309 FCFA), proche du milieu de l'enveloppe. La décision "Neutre" reflète une volatilité modérée, avec un cours qui n'est ni suracheté ni survendu, laissant place à une consolidation avant une possible direction.</w:t>
      </w:r>
    </w:p>
    <w:p>
      <w:pPr>
        <w:spacing w:after="120" w:line="276" w:lineRule="auto"/>
      </w:pPr>
      <w:r>
        <w:t>**MACD** : La valeur MACD de -279,29 est négative mais le signal à -678,38 est encore plus bas, créant une divergence positive. La décision "Achat" suggère un momentum haussier en train de se former, indiquant une possible inversion de tendance à court terme.</w:t>
      </w:r>
    </w:p>
    <w:p>
      <w:pPr>
        <w:spacing w:after="120" w:line="276" w:lineRule="auto"/>
      </w:pPr>
      <w:r>
        <w:t>**RSI** : À 50,25, le RSI est parfaitement neutre, ni suracheté ni survendu. Cette position centrale indique un équilibre entre acheteurs et vendeurs, sans signal directionnel fort, justifiant la décision "Neutre".</w:t>
      </w:r>
    </w:p>
    <w:p>
      <w:pPr>
        <w:spacing w:after="120" w:line="276" w:lineRule="auto"/>
      </w:pPr>
      <w:r>
        <w:t>**Stochastique** : Le %K à 76,19 et le %D à 76,84 sont proches, avec un %K légèrement sous le %D, suggérant un possible retournement baissier. La décision "Neutre" reflète cette zone de surachat modéré sans confirmation claire.</w:t>
      </w:r>
    </w:p>
    <w:p>
      <w:pPr>
        <w:spacing w:after="120" w:line="276" w:lineRule="auto"/>
      </w:pPr>
      <w:r>
        <w:t>**Conclusion technique** : Les indicateurs sont mitigés avec un MACD positif mais des moyennes mobiles baissières et un RSI neutre. Cette divergence suggère une phase de transition, avec un potentiel de rebond technique mais une tendance de fond toujours fragile.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fournissent des informations essentielles. En 2023 (rapport du 31/12/2023), UNLC a réalisé un chiffre d'affaires de 24,34 milliards FCFA, stable par rapport à 2022, avec un bénéfice net de 640 millions FCFA, en nette amélioration après la perte massive de 6,91 milliards FCFA en 2022. La marge nette s'établit à 2,63%, bien en dessous de la moyenne sectorielle de 5-10%. Le résultat d'exploitation est passé de -6,26 milliards FCFA en 2022 à +3,34 milliards FCFA en 2023, démontrant un redressement opérationnel significatif. Cependant, les capitaux propres restent négatifs à -10,66 milliards FCFA, et les dettes financières s'élèvent à 4,38 milliards FCFA. Le rapport 2022 (31/12/2022) confirme la crise avec une perte de 6,38 milliards FCFA, un CA en baisse de 21,5% à 36,17 milliards FCFA (hors cession du thé), et une marge nette de -17,6%. En 2021, la société avait renoué avec les bénéfices (+6,09 milliards FCFA) après la cession de Lipton. Sur la base de ces rapports, on estime que l'exercice 2024 devrait confirmer la stabilisation, avec un CA autour de 25 milliards FCFA et un bénéfice net potentiel de 1 à 1,5 milliard FCFA, mais la structure financière reste fragile avec des capitaux propres négatifs et une absence de dividende depuis plusieurs années.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d'UNLC est difficile à établir faute de ratios calculables, mais le PER implicite basé sur les bénéfices 2023 est extrêmement élevé, indiquant une surévaluation relative. Le comportement du cours est préoccupant avec une baisse de 19,71% sur 100 jours, une volatilité annualisée de 68,8% et un kurtosis leptokurtique signalant des risques de pics. Les signaux techniques sont mitigés avec un MACD positif mais des moyennes mobiles baissières et un RSI neutre, suggérant une phase de transition incertaine. Fondamentalement, la société montre des signes de redressement en 2023 mais reste structurellement fragile avec des capitaux propres négatifs et une rentabilité insuffisante. Les prédictions IA indiquent une trajectoire haussière progressive de 55 446 FCFA à 57 972 FCFA sur 10 jours, contredisant la tendance baissière récente. La recommandation finale est **CONSERVER** avec un niveau de confiance **Faible** et un risque global **Élevé**. L'horizon d'investissement optimal serait le **moyen terme (3-12 mois)**, en attendant une confirmation du redressement financier et une stabilisation des capitaux propres. Les investisseurs doivent surveiller attentivement les résultats 2024 et toute annonce de restructuration ou de retour aux dividendes.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12,373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B40000"/>
                <w:sz w:val="17"/>
              </w:rPr>
              <w:t>-9.52%</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8.99% (Moyenne) — μ=1,868 FCFA, σ=168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β=-0.8026 (Contre-cyclique) — Cov=-0.000029, Var(idx)=0.000036, ρ=-0.158,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1,737</w:t>
            </w:r>
          </w:p>
        </w:tc>
        <w:tc>
          <w:tcPr>
            <w:tcW w:type="dxa" w:w="1440"/>
            <w:shd w:fill="FAFAFA" w:val="clear"/>
          </w:tcPr>
          <w:p>
            <w:r>
              <w:rPr>
                <w:b/>
                <w:sz w:val="17"/>
              </w:rPr>
              <w:t>1,878</w:t>
            </w:r>
          </w:p>
        </w:tc>
        <w:tc>
          <w:tcPr>
            <w:tcW w:type="dxa" w:w="1440"/>
            <w:shd w:fill="FAFAFA" w:val="clear"/>
          </w:tcPr>
          <w:p>
            <w:r>
              <w:rPr>
                <w:sz w:val="17"/>
              </w:rPr>
              <w:t>2,019</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1,669</w:t>
            </w:r>
          </w:p>
        </w:tc>
        <w:tc>
          <w:tcPr>
            <w:tcW w:type="dxa" w:w="1440"/>
            <w:shd w:fill="FAFAFA" w:val="clear"/>
          </w:tcPr>
          <w:p>
            <w:r>
              <w:rPr>
                <w:b/>
                <w:sz w:val="17"/>
              </w:rPr>
              <w:t>1,870</w:t>
            </w:r>
          </w:p>
        </w:tc>
        <w:tc>
          <w:tcPr>
            <w:tcW w:type="dxa" w:w="1440"/>
            <w:shd w:fill="FAFAFA" w:val="clear"/>
          </w:tcPr>
          <w:p>
            <w:r>
              <w:rPr>
                <w:sz w:val="17"/>
              </w:rPr>
              <w:t>2,071</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1,616</w:t>
            </w:r>
          </w:p>
        </w:tc>
        <w:tc>
          <w:tcPr>
            <w:tcW w:type="dxa" w:w="1440"/>
            <w:shd w:fill="FFDCE0" w:val="clear"/>
          </w:tcPr>
          <w:p>
            <w:r>
              <w:rPr>
                <w:b/>
                <w:sz w:val="17"/>
              </w:rPr>
              <w:t>1,861</w:t>
            </w:r>
          </w:p>
        </w:tc>
        <w:tc>
          <w:tcPr>
            <w:tcW w:type="dxa" w:w="1440"/>
            <w:shd w:fill="FFDCE0" w:val="clear"/>
          </w:tcPr>
          <w:p>
            <w:r>
              <w:rPr>
                <w:sz w:val="17"/>
              </w:rPr>
              <w:t>2,105</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1,570</w:t>
            </w:r>
          </w:p>
        </w:tc>
        <w:tc>
          <w:tcPr>
            <w:tcW w:type="dxa" w:w="1440"/>
            <w:shd w:fill="FFDCE0" w:val="clear"/>
          </w:tcPr>
          <w:p>
            <w:r>
              <w:rPr>
                <w:b/>
                <w:sz w:val="17"/>
              </w:rPr>
              <w:t>1,851</w:t>
            </w:r>
          </w:p>
        </w:tc>
        <w:tc>
          <w:tcPr>
            <w:tcW w:type="dxa" w:w="1440"/>
            <w:shd w:fill="FFDCE0" w:val="clear"/>
          </w:tcPr>
          <w:p>
            <w:r>
              <w:rPr>
                <w:sz w:val="17"/>
              </w:rPr>
              <w:t>2,133</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1,529</w:t>
            </w:r>
          </w:p>
        </w:tc>
        <w:tc>
          <w:tcPr>
            <w:tcW w:type="dxa" w:w="1440"/>
            <w:shd w:fill="FFDCE0" w:val="clear"/>
          </w:tcPr>
          <w:p>
            <w:r>
              <w:rPr>
                <w:b/>
                <w:sz w:val="17"/>
              </w:rPr>
              <w:t>1,842</w:t>
            </w:r>
          </w:p>
        </w:tc>
        <w:tc>
          <w:tcPr>
            <w:tcW w:type="dxa" w:w="1440"/>
            <w:shd w:fill="FFDCE0" w:val="clear"/>
          </w:tcPr>
          <w:p>
            <w:r>
              <w:rPr>
                <w:sz w:val="17"/>
              </w:rPr>
              <w:t>2,155</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1,492</w:t>
            </w:r>
          </w:p>
        </w:tc>
        <w:tc>
          <w:tcPr>
            <w:tcW w:type="dxa" w:w="1440"/>
            <w:shd w:fill="FFDCE0" w:val="clear"/>
          </w:tcPr>
          <w:p>
            <w:r>
              <w:rPr>
                <w:b/>
                <w:sz w:val="17"/>
              </w:rPr>
              <w:t>1,833</w:t>
            </w:r>
          </w:p>
        </w:tc>
        <w:tc>
          <w:tcPr>
            <w:tcW w:type="dxa" w:w="1440"/>
            <w:shd w:fill="FFDCE0" w:val="clear"/>
          </w:tcPr>
          <w:p>
            <w:r>
              <w:rPr>
                <w:sz w:val="17"/>
              </w:rPr>
              <w:t>2,174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1,458</w:t>
            </w:r>
          </w:p>
        </w:tc>
        <w:tc>
          <w:tcPr>
            <w:tcW w:type="dxa" w:w="1440"/>
            <w:shd w:fill="FFDCE0" w:val="clear"/>
          </w:tcPr>
          <w:p>
            <w:r>
              <w:rPr>
                <w:b/>
                <w:sz w:val="17"/>
              </w:rPr>
              <w:t>1,824</w:t>
            </w:r>
          </w:p>
        </w:tc>
        <w:tc>
          <w:tcPr>
            <w:tcW w:type="dxa" w:w="1440"/>
            <w:shd w:fill="FFDCE0" w:val="clear"/>
          </w:tcPr>
          <w:p>
            <w:r>
              <w:rPr>
                <w:sz w:val="17"/>
              </w:rPr>
              <w:t>2,191</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1,425</w:t>
            </w:r>
          </w:p>
        </w:tc>
        <w:tc>
          <w:tcPr>
            <w:tcW w:type="dxa" w:w="1440"/>
            <w:shd w:fill="FFDCE0" w:val="clear"/>
          </w:tcPr>
          <w:p>
            <w:r>
              <w:rPr>
                <w:b/>
                <w:sz w:val="17"/>
              </w:rPr>
              <w:t>1,815</w:t>
            </w:r>
          </w:p>
        </w:tc>
        <w:tc>
          <w:tcPr>
            <w:tcW w:type="dxa" w:w="1440"/>
            <w:shd w:fill="FFDCE0" w:val="clear"/>
          </w:tcPr>
          <w:p>
            <w:r>
              <w:rPr>
                <w:sz w:val="17"/>
              </w:rPr>
              <w:t>2,205</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1,395</w:t>
            </w:r>
          </w:p>
        </w:tc>
        <w:tc>
          <w:tcPr>
            <w:tcW w:type="dxa" w:w="1440"/>
            <w:shd w:fill="FFDCE0" w:val="clear"/>
          </w:tcPr>
          <w:p>
            <w:r>
              <w:rPr>
                <w:b/>
                <w:sz w:val="17"/>
              </w:rPr>
              <w:t>1,807</w:t>
            </w:r>
          </w:p>
        </w:tc>
        <w:tc>
          <w:tcPr>
            <w:tcW w:type="dxa" w:w="1440"/>
            <w:shd w:fill="FFDCE0" w:val="clear"/>
          </w:tcPr>
          <w:p>
            <w:r>
              <w:rPr>
                <w:sz w:val="17"/>
              </w:rPr>
              <w:t>2,218</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1,366</w:t>
            </w:r>
          </w:p>
        </w:tc>
        <w:tc>
          <w:tcPr>
            <w:tcW w:type="dxa" w:w="1440"/>
            <w:shd w:fill="FFDCE0" w:val="clear"/>
          </w:tcPr>
          <w:p>
            <w:r>
              <w:rPr>
                <w:b/>
                <w:sz w:val="17"/>
              </w:rPr>
              <w:t>1,798</w:t>
            </w:r>
          </w:p>
        </w:tc>
        <w:tc>
          <w:tcPr>
            <w:tcW w:type="dxa" w:w="1440"/>
            <w:shd w:fill="FFDCE0" w:val="clear"/>
          </w:tcPr>
          <w:p>
            <w:r>
              <w:rPr>
                <w:sz w:val="17"/>
              </w:rPr>
              <w:t>2,230</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39,42 milliards FCFA, un niveau relativement modeste sur la BRVM, reflétant la taille moyenne de cette entreprise industrielle dans le paysage boursier régional. Le BPA est négatif à -105 FCFA, ce qui traduit une perte nette de 2,189 milliards FCFA sur l'exercice 2024, une situation qui rend le PER non significatif (-18,0x). Les investisseurs ne peuvent donc pas évaluer le titre sur la base des bénéfices actuels. En revanche, le P/B de 2,53x indique que le marché valorise la société à plus de deux fois et demie sa valeur comptable, suggérant que les investisseurs anticipent une amélioration future de la rentabilité ou attribuent une prime à l'actif immobilier et à la marque. Le ratio EV/EBITDA n'est pas calculable en raison de l'EBITDA négatif, mais cette prime de valorisation repose sur des hypothèses de redressement qui doivent être confirmées par les résultats opérationnels.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 enregistré une variation totale de -9,52%, avec une légère hausse de +0,26% lors de la dernière séance, reflétant une tendance baissière dominante sur la période. Le cours a évolué dans une fourchette large de 1 250 à 2 100 FCFA, démontrant une forte amplitude de trading. La moyenne de 1 868 FCFA est proche de la médiane de 1 900 FCFA, mais le mode de 1 970 FCFA suggère une concentration des cotations autour de ce niveau supérieur. L'écart-type de 169 FCFA avec un coefficient de variation de 9,0% indique une dispersion modérée du cours autour de sa moyenne. Le kurtosis de 3,399 révèle une distribution leptokurtique avec des queues épaisses, signalant un risque de mouvements extrêmes, tandis que le skewness de -1,749 montre une asymétrie négative, avec des journées plus fréquentes au-dessus de la moyenne mais des baisses plus marquées. La volatilité annualisée de 49,0% classe le titre comme très volatil, bien au-dessus du seuil de 30%, ce qui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Les MM20 et MM50 s'établissent respectivement à 1 809 et 1 806,8 FCFA, toutes deux inférieures au cours actuel de 1 900 FCFA. Cette configuration haussière, où le prix se maintient au-dessus des moyennes mobiles, confirme une dynamique positive à court et moyen terme, justifiant la décision d'achat.</w:t>
      </w:r>
    </w:p>
    <w:p>
      <w:pPr>
        <w:spacing w:after="120" w:line="276" w:lineRule="auto"/>
      </w:pPr>
      <w:r>
        <w:t>**Bandes de Bollinger** : Le cours de 1 900 FCFA se positionne entre la borne inférieure de 1 459,8 et la borne supérieure de 2 158,2 FCFA, proche de la moyenne mobile centrale. Cette position neutre indique une volatilité modérée sans signal directionnel fort, laissant place à une consolidation avant une éventuelle cassure.</w:t>
      </w:r>
    </w:p>
    <w:p>
      <w:pPr>
        <w:spacing w:after="120" w:line="276" w:lineRule="auto"/>
      </w:pPr>
      <w:r>
        <w:t>**MACD** : La valeur du MACD à 49,655 est supérieure à son signal à 39,889, formant un croisement haussier qui confirme un momentum positif. Cette divergence positive indique une accélération de la tendance haussière, justifiant la décision d'achat.</w:t>
      </w:r>
    </w:p>
    <w:p>
      <w:pPr>
        <w:spacing w:after="120" w:line="276" w:lineRule="auto"/>
      </w:pPr>
      <w:r>
        <w:t>**RSI** : Avec une valeur de 56,471, le RSI se situe dans la zone neutre (30-70), sans signal de surachat ni de survente. Cette position reflète un équilibre entre pressions acheteuses et vendeuses, sans indication directionnelle forte.</w:t>
      </w:r>
    </w:p>
    <w:p>
      <w:pPr>
        <w:spacing w:after="120" w:line="276" w:lineRule="auto"/>
      </w:pPr>
      <w:r>
        <w:t>**Stochastique** : Le %K à 50,0 et le %D à 51,441 sont pratiquement alignés, indiquant une absence de croisement significatif. Cette configuration neutre suggère que le titre est dans une phase de transition, sans momentum directionnel clair.</w:t>
      </w:r>
    </w:p>
    <w:p>
      <w:pPr>
        <w:spacing w:after="120" w:line="276" w:lineRule="auto"/>
      </w:pPr>
      <w:r>
        <w:t>La convergence des indicateurs est mitigée : les moyennes mobiles et le MACD sont positifs, tandis que les bandes de Bollinger, le RSI et le stochastique sont neutres. Cette divergence suggère une tendance haussière modérée mais fragile, nécessitant une confirmation par le volume et une cassure des niveaux clés.</w:t>
      </w:r>
    </w:p>
    <w:p>
      <w:pPr>
        <w:spacing w:after="120" w:line="276" w:lineRule="auto" w:before="240"/>
      </w:pPr>
      <w:r>
        <w:rPr>
          <w:b/>
          <w:color w:val="003366"/>
          <w:sz w:val="24"/>
        </w:rPr>
        <w:t>**PARTIE 3 : ANALYSE FONDAMENTALE (SECTION CRITIQUE)**</w:t>
      </w:r>
    </w:p>
    <w:p>
      <w:pPr>
        <w:spacing w:after="120" w:line="276" w:lineRule="auto"/>
      </w:pPr>
      <w:r>
        <w:t>En 2024, les données structurées révèlent une situation financière difficile pour UNXC : le chiffre d'affaires s'établit à 27,333 milliards FCFA, en croissance de 15,4% par rapport à 2023, mais le résultat net est une perte de 2,189 milliards FCFA, avec un ROE de -14,04% et un ROA de -6,39%. La marge nette est négative à -8,01%, et le coefficient d'exploitation atteint 106,99%, indiquant que les charges dépassent les revenus. Le BFR de 2,149 milliards FCFA, avec un délai clients de 51 jours et un délai fournisseurs de 267,8 jours, montre une gestion de trésorerie tendue mais un financement fournisseur avantageux. Les rapports trimestriels 2025 montrent une amélioration spectaculaire du résultat net grâce à la cession-bail du terrain : le S1 2025 affiche un bénéfice de 8,217 milliards FCFA, mais le résultat des activités ordinaires reste déficitaire à -330 millions. Le rapport S1 2026 (daté de 2026) confirme un retour à l'équilibre opérationnel avec un résultat d'exploitation positif de 771 millions FCFA et un résultat net de 771 millions FCFA, contre une perte de 314 millions au S1 2025. Le rapport annuel 2025 indique un CA de 29,03 milliards FCFA (+6,2%), un EBE redevenu positif à 1,13 milliard, mais une perte nette encore de -624 millions FCFA. Les estimations pour 2026, basées sur le S1, suggèrent un exercice bénéficiaire si la tendance opérationnelle se maintient, avec une marge nette estimée à 4,9% et un désendettement significatif.</w:t>
      </w:r>
    </w:p>
    <w:p>
      <w:pPr>
        <w:spacing w:after="120" w:line="276" w:lineRule="auto" w:before="240"/>
      </w:pPr>
      <w:r>
        <w:rPr>
          <w:b/>
          <w:color w:val="003366"/>
          <w:sz w:val="24"/>
        </w:rPr>
        <w:t>**PARTIE 4 : CONCLUSION D'INVESTISSEMENT**</w:t>
      </w:r>
    </w:p>
    <w:p>
      <w:pPr>
        <w:spacing w:after="120" w:line="276" w:lineRule="auto"/>
      </w:pPr>
      <w:r>
        <w:t>La valorisation d'UNXC est complexe : avec un PER négatif et un P/B de 2,53x, le marché anticipe un redressement qui commence à se matérialiser dans les résultats 2026. Le comportement du cours sur 100 jours montre une tendance baissière de -9,52% avec une volatilité élevée de 49%, mais les statistiques indiquent une stabilisation autour de 1 900 FCFA avec un skewness négatif suggérant un potentiel de rebond. Les signaux techniques sont partagés : les moyennes mobiles et le MACD sont positifs, tandis que le RSI et le stochastique sont neutres, indiquant une tendance haussière modérée à confirmer. Les fondamentaux montrent une amélioration nette : le passage d'une perte de 2,189 milliards en 2024 à un bénéfice opérationnel de 771 millions au S1 2026, avec un EBE positif et un désendettement financé par la cession d'actifs, signale une trajectoire de redressement crédible. Les prédictions IA pour les 10 prochains jours indiquent une légère baisse de 1 900 à 1 842 FCFA, contredisant les signaux techniques positifs mais reflétant la prudence du marché. La convergence entre l'amélioration fondamentale et les signaux techniques positifs, malgré une prédiction à court terme baissière, justifie une recommandation **CONSERVER** avec un niveau de confiance **Moyen**. Le risque global est **Élevé** en raison de la volatilité et de la dépendance aux marchés d'exportation. L'horizon d'investissement optimal est le **moyen terme (3-12 mois)**, en attendant la confirmation du retour à une rentabilité durable sur l'exercice 2026 complet.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