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10/09/2026 à 09:00</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46 ACHAT  |  1 NEUTRE  |  0 VENTE  (sur 47 sociétés)</w:t>
      </w:r>
    </w:p>
    <w:p>
      <w:pPr>
        <w:spacing w:before="20" w:after="20"/>
        <w:ind w:left="360" w:right="360"/>
        <w:shd w:val="clear" w:color="auto" w:fill="EBF5FB"/>
      </w:pPr>
      <w:r>
        <w:rPr>
          <w:b/>
          <w:sz w:val="19"/>
        </w:rPr>
        <w:t xml:space="preserve">Top opportunité :  </w:t>
      </w:r>
      <w:r>
        <w:rPr>
          <w:color w:val="008000"/>
          <w:sz w:val="19"/>
        </w:rPr>
        <w:t>PALC  (score 84/100)</w:t>
      </w:r>
    </w:p>
    <w:p>
      <w:pPr>
        <w:spacing w:before="20" w:after="20"/>
        <w:ind w:left="360" w:right="360"/>
        <w:shd w:val="clear" w:color="auto" w:fill="EBF5FB"/>
      </w:pPr>
      <w:r>
        <w:rPr>
          <w:b/>
          <w:sz w:val="19"/>
        </w:rPr>
        <w:t xml:space="preserve">Secteur surperformant :  </w:t>
      </w:r>
      <w:r>
        <w:rPr>
          <w:color w:val="008000"/>
          <w:sz w:val="19"/>
        </w:rPr>
        <w:t>SERVICES PUBLICS  (+112.2%)</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9 sociétés — vérifier avant d'investir</w:t>
      </w:r>
    </w:p>
    <w:p>
      <w:pPr>
        <w:spacing w:before="20" w:after="20"/>
        <w:ind w:left="360" w:right="360"/>
        <w:shd w:val="clear" w:color="auto" w:fill="EBF5FB"/>
      </w:pPr>
      <w:r>
        <w:rPr>
          <w:b/>
          <w:sz w:val="19"/>
        </w:rPr>
        <w:t xml:space="preserve">⚠️ Liquidité réduite :  </w:t>
      </w:r>
      <w:r>
        <w:rPr>
          <w:color w:val="C00000"/>
          <w:sz w:val="19"/>
        </w:rPr>
        <w:t>8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551.76 points </w:t>
      </w:r>
      <w:r>
        <w:rPr>
          <w:color w:val="008000"/>
        </w:rPr>
        <w:t>(+0.31%)</w:t>
      </w:r>
      <w:r>
        <w:t xml:space="preserve"> sur la séance. </w:t>
      </w:r>
      <w:r>
        <w:t>La capitalisation globale du marché atteint 21 276,578 milliards FCFA.</w:t>
      </w:r>
    </w:p>
    <w:p/>
    <w:p>
      <w:pPr>
        <w:pStyle w:val="Heading3"/>
      </w:pPr>
      <w:r>
        <w:t>📊 Évolution de l'indice BRVM Composite (100 derniers jours)</w:t>
      </w:r>
    </w:p>
    <w:p>
      <w:r>
        <w:rPr>
          <w:b/>
        </w:rPr>
        <w:t xml:space="preserve">BRVM Composite — </w:t>
      </w:r>
      <w:r>
        <w:t xml:space="preserve">Sur les 100 derniers jours de cotation (2026-04-15 au 2026-09-09), l'indice BRVM Composite a évolué de </w:t>
      </w:r>
      <w:r>
        <w:rPr>
          <w:b/>
          <w:color w:val="008000"/>
        </w:rPr>
        <w:t>+37.35%</w:t>
      </w:r>
      <w:r>
        <w:t>, passant de 401.71 pts à 551.76 pts. Le plus haut atteint est 553.02 pts et le plus bas 397.33 pts. Sur l'ensemble de la période, la moyenne de l'indice s'établit à 458.66 pts, la médiane à 451.62 pts et le mode à 397.33 pts</w:t>
      </w:r>
      <w:r>
        <w:t xml:space="preserve"> (asymétrie positive — plus de jours sous la moyenne). </w:t>
      </w:r>
      <w:r>
        <w:t xml:space="preserve">L'écart-type de 44.58 pts (CV=9.7%) traduit une modérée dispersion des cotations. Le kurtosis de -0.82 indique une distribution distribution normale.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+37.37%</w:t>
      </w:r>
      <w:r>
        <w:t xml:space="preserve"> sur la période, passant de 15 488,278 Mds FCFA à 21 276,578 Mds FCFA. Le pic de capitalisation observé est de 21 325,303 Mds FCFA et le plancher de 15 319,235 Mds FCFA. La moyenne de la capitalisation sur la période s'établit à 17 677,214 Mds FCFA, la médiane à 17 398,139 Mds FCFA et le mode à 15 319,235 Mds FCFA</w:t>
      </w:r>
      <w:r>
        <w:t xml:space="preserve"> (asymétrie positive). </w:t>
      </w:r>
      <w:r>
        <w:t>L'écart-type de 1 719,486 Mds FCFA (CV=9.7%) reflète une modérée variabilité de la valorisation du marché. Le kurtosis de -0.81 indique une distribution distribution normale.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ABJC - ABJC - SERVAIR ABIDJAN CI</w:t>
      </w:r>
      <w:r>
        <w:t xml:space="preserve"> | Prix: 3995 FCFA | </w:t>
      </w:r>
      <w:r>
        <w:rPr>
          <w:b/>
          <w:color w:val="008000"/>
        </w:rPr>
        <w:t>ACHAT</w:t>
      </w:r>
      <w:r>
        <w:t xml:space="preserve"> | Confiance: Moyen | Risque: Moyen</w:t>
      </w:r>
    </w:p>
    <w:p>
      <w:pPr>
        <w:pStyle w:val="ListNumber"/>
      </w:pPr>
      <w:r>
        <w:rPr>
          <w:b/>
        </w:rPr>
        <w:t>BICB - BIIC BN - Banque internationale pour le commerce du benin</w:t>
      </w:r>
      <w:r>
        <w:t xml:space="preserve"> | Prix: 10110 FCFA | </w:t>
      </w:r>
      <w:r>
        <w:rPr>
          <w:b/>
          <w:color w:val="008000"/>
        </w:rPr>
        <w:t>ACHAT</w:t>
      </w:r>
      <w:r>
        <w:t xml:space="preserve"> | Confiance: Élevée | Risque: Moyen</w:t>
      </w:r>
    </w:p>
    <w:p>
      <w:pPr>
        <w:pStyle w:val="ListNumber"/>
      </w:pPr>
      <w:r>
        <w:rPr>
          <w:b/>
        </w:rPr>
        <w:t>BICC - BICI CI - Banque internationale pour le commerce et l'industrie de la Côte d'Ivoire</w:t>
      </w:r>
      <w:r>
        <w:t xml:space="preserve"> | Prix: 34000 FCFA | </w:t>
      </w:r>
      <w:r>
        <w:rPr>
          <w:b/>
          <w:color w:val="008000"/>
        </w:rPr>
        <w:t>ACHAT</w:t>
      </w:r>
      <w:r>
        <w:t xml:space="preserve"> | Confiance: Moyen | Risque: Moyen</w:t>
      </w:r>
    </w:p>
    <w:p>
      <w:pPr>
        <w:pStyle w:val="ListNumber"/>
      </w:pPr>
      <w:r>
        <w:rPr>
          <w:b/>
        </w:rPr>
        <w:t>BNBC - BNBC - BERNABE CI</w:t>
      </w:r>
      <w:r>
        <w:t xml:space="preserve"> | Prix: 2120 FCFA | </w:t>
      </w:r>
      <w:r>
        <w:rPr>
          <w:b/>
          <w:color w:val="008000"/>
        </w:rPr>
        <w:t>ACHAT</w:t>
      </w:r>
      <w:r>
        <w:t xml:space="preserve"> | Confiance: Moyen | Risque: Moyen</w:t>
      </w:r>
    </w:p>
    <w:p>
      <w:pPr>
        <w:pStyle w:val="ListNumber"/>
      </w:pPr>
      <w:r>
        <w:rPr>
          <w:b/>
        </w:rPr>
        <w:t>BOAB - BANK OF AFRICA BENIN</w:t>
      </w:r>
      <w:r>
        <w:t xml:space="preserve"> | Prix: 10200 FCFA | </w:t>
      </w:r>
      <w:r>
        <w:rPr>
          <w:b/>
          <w:color w:val="008000"/>
        </w:rPr>
        <w:t>ACHAT</w:t>
      </w:r>
      <w:r>
        <w:t xml:space="preserve"> | Confiance: Moyen | Risque: Moyen</w:t>
      </w:r>
    </w:p>
    <w:p>
      <w:pPr>
        <w:pStyle w:val="ListNumber"/>
      </w:pPr>
      <w:r>
        <w:rPr>
          <w:b/>
        </w:rPr>
        <w:t>BOABF - BANK OF AFRICA BURKINA FASO</w:t>
      </w:r>
      <w:r>
        <w:t xml:space="preserve"> | Prix: 8990 FCFA | </w:t>
      </w:r>
      <w:r>
        <w:rPr>
          <w:b/>
          <w:color w:val="008000"/>
        </w:rPr>
        <w:t>ACHAT</w:t>
      </w:r>
      <w:r>
        <w:t xml:space="preserve"> | Confiance: Moyen | Risque: Moyen</w:t>
      </w:r>
    </w:p>
    <w:p>
      <w:pPr>
        <w:pStyle w:val="ListNumber"/>
      </w:pPr>
      <w:r>
        <w:rPr>
          <w:b/>
        </w:rPr>
        <w:t>BOAC - BANK OF AFRICA COTE D'IVOIRE</w:t>
      </w:r>
      <w:r>
        <w:t xml:space="preserve"> | Prix: 12495 FCFA | </w:t>
      </w:r>
      <w:r>
        <w:rPr>
          <w:b/>
          <w:color w:val="008000"/>
        </w:rPr>
        <w:t>ACHAT</w:t>
      </w:r>
      <w:r>
        <w:t xml:space="preserve"> | Confiance: Élevée | Risque: Moyen</w:t>
      </w:r>
    </w:p>
    <w:p>
      <w:pPr>
        <w:pStyle w:val="ListNumber"/>
      </w:pPr>
      <w:r>
        <w:rPr>
          <w:b/>
        </w:rPr>
        <w:t>BOAM - BANK OF AFRICA MALI</w:t>
      </w:r>
      <w:r>
        <w:t xml:space="preserve"> | Prix: 7005 FCFA | </w:t>
      </w:r>
      <w:r>
        <w:rPr>
          <w:b/>
          <w:color w:val="008000"/>
        </w:rPr>
        <w:t>ACHAT</w:t>
      </w:r>
      <w:r>
        <w:t xml:space="preserve"> | Confiance: Faible | Risque: Faible</w:t>
      </w:r>
    </w:p>
    <w:p>
      <w:pPr>
        <w:pStyle w:val="ListNumber"/>
      </w:pPr>
      <w:r>
        <w:rPr>
          <w:b/>
        </w:rPr>
        <w:t>BOAN - BANK OF AFRICA NIGER</w:t>
      </w:r>
      <w:r>
        <w:t xml:space="preserve"> | Prix: 5470 FCFA | </w:t>
      </w:r>
      <w:r>
        <w:rPr>
          <w:b/>
          <w:color w:val="008000"/>
        </w:rPr>
        <w:t>ACHAT</w:t>
      </w:r>
      <w:r>
        <w:t xml:space="preserve"> | Confiance: Moyen | Risque: Moyen</w:t>
      </w:r>
    </w:p>
    <w:p>
      <w:pPr>
        <w:pStyle w:val="ListNumber"/>
      </w:pPr>
      <w:r>
        <w:rPr>
          <w:b/>
        </w:rPr>
        <w:t>BOAS - BANK OF AFRICA SENEGAL</w:t>
      </w:r>
      <w:r>
        <w:t xml:space="preserve"> | Prix: 8200 FCFA | </w:t>
      </w:r>
      <w:r>
        <w:rPr>
          <w:b/>
          <w:color w:val="008000"/>
        </w:rPr>
        <w:t>ACHAT</w:t>
      </w:r>
      <w:r>
        <w:t xml:space="preserve"> | Confiance: Moyen | Risque: Faible</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STBC - STBC - SITAB COTE D'IVOIRE</w:t>
      </w:r>
      <w:r>
        <w:t xml:space="preserve"> | Prix: 22000 FCFA | </w:t>
      </w:r>
      <w:r>
        <w:rPr>
          <w:b/>
          <w:color w:val="C00000"/>
        </w:rPr>
        <w:t>CONSERVER</w:t>
      </w:r>
      <w:r>
        <w:t xml:space="preserve"> | Confiance: Moyen | Risque: Faible</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112.24%</w:t>
      </w:r>
      <w:r>
        <w:t xml:space="preserve">  |  </w:t>
      </w:r>
      <w:r>
        <w:rPr>
          <w:b/>
        </w:rPr>
        <w:t xml:space="preserve">vs BRVM Composite: </w:t>
      </w:r>
      <w:r>
        <w:rPr>
          <w:b/>
          <w:color w:val="008000"/>
        </w:rPr>
        <w:t>+74.89%  🟢 Surperformance</w:t>
      </w:r>
      <w:r>
        <w:br/>
      </w:r>
      <w:r>
        <w:rPr>
          <w:b/>
        </w:rPr>
        <w:t xml:space="preserve">Sentiment général: </w:t>
      </w:r>
      <w:r>
        <w:t xml:space="preserve">ACHAT  |  </w:t>
      </w:r>
      <w:r>
        <w:rPr>
          <w:b/>
        </w:rPr>
        <w:t xml:space="preserve">Risque moyen: </w:t>
      </w:r>
      <w:r>
        <w:t xml:space="preserve">Moyen  |  </w:t>
      </w:r>
      <w:r>
        <w:rPr>
          <w:b/>
        </w:rPr>
        <w:t xml:space="preserve">Prix moyen: </w:t>
      </w:r>
      <w:r>
        <w:t>10450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50.69%</w:t>
      </w:r>
      <w:r>
        <w:t xml:space="preserve">  |  </w:t>
      </w:r>
      <w:r>
        <w:rPr>
          <w:b/>
        </w:rPr>
        <w:t xml:space="preserve">vs BRVM Composite: </w:t>
      </w:r>
      <w:r>
        <w:rPr>
          <w:b/>
          <w:color w:val="008000"/>
        </w:rPr>
        <w:t>+13.34%  🟢 Surperformance</w:t>
      </w:r>
      <w:r>
        <w:br/>
      </w:r>
      <w:r>
        <w:rPr>
          <w:b/>
        </w:rPr>
        <w:t xml:space="preserve">Sentiment général: </w:t>
      </w:r>
      <w:r>
        <w:t xml:space="preserve">ACHAT  |  </w:t>
      </w:r>
      <w:r>
        <w:rPr>
          <w:b/>
        </w:rPr>
        <w:t xml:space="preserve">Risque moyen: </w:t>
      </w:r>
      <w:r>
        <w:t xml:space="preserve">Moyen  |  </w:t>
      </w:r>
      <w:r>
        <w:rPr>
          <w:b/>
        </w:rPr>
        <w:t xml:space="preserve">Prix moyen: </w:t>
      </w:r>
      <w:r>
        <w:t>14298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ENERGIE</w:t>
      </w:r>
    </w:p>
    <w:p>
      <w:r>
        <w:rPr>
          <w:b/>
        </w:rPr>
        <w:t xml:space="preserve">Nombre de sociétés: </w:t>
      </w:r>
      <w:r>
        <w:t xml:space="preserve">4  |  </w:t>
      </w:r>
      <w:r>
        <w:rPr>
          <w:b/>
        </w:rPr>
        <w:t xml:space="preserve">Performance moyenne (100j): </w:t>
      </w:r>
      <w:r>
        <w:rPr>
          <w:color w:val="008000"/>
        </w:rPr>
        <w:t>29.14%</w:t>
      </w:r>
      <w:r>
        <w:t xml:space="preserve">  |  </w:t>
      </w:r>
      <w:r>
        <w:rPr>
          <w:b/>
        </w:rPr>
        <w:t xml:space="preserve">vs BRVM Composite: </w:t>
      </w:r>
      <w:r>
        <w:rPr>
          <w:b/>
          <w:color w:val="C00000"/>
        </w:rPr>
        <w:t>-8.22%  🔴 Sous-performance</w:t>
      </w:r>
      <w:r>
        <w:br/>
      </w:r>
      <w:r>
        <w:rPr>
          <w:b/>
        </w:rPr>
        <w:t xml:space="preserve">Sentiment général: </w:t>
      </w:r>
      <w:r>
        <w:t xml:space="preserve">ACHAT  |  </w:t>
      </w:r>
      <w:r>
        <w:rPr>
          <w:b/>
        </w:rPr>
        <w:t xml:space="preserve">Risque moyen: </w:t>
      </w:r>
      <w:r>
        <w:t xml:space="preserve">Moyen  |  </w:t>
      </w:r>
      <w:r>
        <w:rPr>
          <w:b/>
        </w:rPr>
        <w:t xml:space="preserve">Prix moyen: </w:t>
      </w:r>
      <w:r>
        <w:t>6906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27.75%</w:t>
      </w:r>
      <w:r>
        <w:t xml:space="preserve">  |  </w:t>
      </w:r>
      <w:r>
        <w:rPr>
          <w:b/>
        </w:rPr>
        <w:t xml:space="preserve">vs BRVM Composite: </w:t>
      </w:r>
      <w:r>
        <w:rPr>
          <w:b/>
          <w:color w:val="C00000"/>
        </w:rPr>
        <w:t>-9.61%  🔴 Sous-performance</w:t>
      </w:r>
      <w:r>
        <w:br/>
      </w:r>
      <w:r>
        <w:rPr>
          <w:b/>
        </w:rPr>
        <w:t xml:space="preserve">Sentiment général: </w:t>
      </w:r>
      <w:r>
        <w:t xml:space="preserve">ACHAT  |  </w:t>
      </w:r>
      <w:r>
        <w:rPr>
          <w:b/>
        </w:rPr>
        <w:t xml:space="preserve">Risque moyen: </w:t>
      </w:r>
      <w:r>
        <w:t xml:space="preserve">Moyen  |  </w:t>
      </w:r>
      <w:r>
        <w:rPr>
          <w:b/>
        </w:rPr>
        <w:t xml:space="preserve">Prix moyen: </w:t>
      </w:r>
      <w:r>
        <w:t>21190 FCFA</w:t>
        <w:br/>
      </w:r>
      <w:r>
        <w:rPr>
          <w:b/>
        </w:rPr>
        <w:br/>
        <w:t xml:space="preserve">Sociétés: </w:t>
      </w:r>
      <w:r>
        <w:t>ONTBF (ONTBF - ONATEL BURKINA FASO), ORAC (ORAC - ORANGE COTE D'IVOIRE), SNTS (SNTS - SONATEL SN)</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24.84%</w:t>
      </w:r>
      <w:r>
        <w:t xml:space="preserve">  |  </w:t>
      </w:r>
      <w:r>
        <w:rPr>
          <w:b/>
        </w:rPr>
        <w:t xml:space="preserve">vs BRVM Composite: </w:t>
      </w:r>
      <w:r>
        <w:rPr>
          <w:b/>
          <w:color w:val="C00000"/>
        </w:rPr>
        <w:t>-12.51%  🔴 Sous-performance</w:t>
      </w:r>
      <w:r>
        <w:br/>
      </w:r>
      <w:r>
        <w:rPr>
          <w:b/>
        </w:rPr>
        <w:t xml:space="preserve">Sentiment général: </w:t>
      </w:r>
      <w:r>
        <w:t xml:space="preserve">ACHAT  |  </w:t>
      </w:r>
      <w:r>
        <w:rPr>
          <w:b/>
        </w:rPr>
        <w:t xml:space="preserve">Risque moyen: </w:t>
      </w:r>
      <w:r>
        <w:t xml:space="preserve">Moyen  |  </w:t>
      </w:r>
      <w:r>
        <w:rPr>
          <w:b/>
        </w:rPr>
        <w:t xml:space="preserve">Prix moyen: </w:t>
      </w:r>
      <w:r>
        <w:t>3034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24.42%</w:t>
      </w:r>
      <w:r>
        <w:t xml:space="preserve">  |  </w:t>
      </w:r>
      <w:r>
        <w:rPr>
          <w:b/>
        </w:rPr>
        <w:t xml:space="preserve">vs BRVM Composite: </w:t>
      </w:r>
      <w:r>
        <w:rPr>
          <w:b/>
          <w:color w:val="C00000"/>
        </w:rPr>
        <w:t>-12.93%  🔴 Sous-performance</w:t>
      </w:r>
      <w:r>
        <w:br/>
      </w:r>
      <w:r>
        <w:rPr>
          <w:b/>
        </w:rPr>
        <w:t xml:space="preserve">Sentiment général: </w:t>
      </w:r>
      <w:r>
        <w:t xml:space="preserve">ACHAT  |  </w:t>
      </w:r>
      <w:r>
        <w:rPr>
          <w:b/>
        </w:rPr>
        <w:t xml:space="preserve">Risque moyen: </w:t>
      </w:r>
      <w:r>
        <w:t xml:space="preserve">Moyen  |  </w:t>
      </w:r>
      <w:r>
        <w:rPr>
          <w:b/>
        </w:rPr>
        <w:t xml:space="preserve">Prix moyen: </w:t>
      </w:r>
      <w:r>
        <w:t>18430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-1.56%</w:t>
      </w:r>
      <w:r>
        <w:t xml:space="preserve">  |  </w:t>
      </w:r>
      <w:r>
        <w:rPr>
          <w:b/>
        </w:rPr>
        <w:t xml:space="preserve">vs BRVM Composite: </w:t>
      </w:r>
      <w:r>
        <w:rPr>
          <w:b/>
          <w:color w:val="C00000"/>
        </w:rPr>
        <w:t>-38.91%  🔴 Sous-performance</w:t>
      </w:r>
      <w:r>
        <w:br/>
      </w:r>
      <w:r>
        <w:rPr>
          <w:b/>
        </w:rPr>
        <w:t xml:space="preserve">Sentiment général: </w:t>
      </w:r>
      <w:r>
        <w:t xml:space="preserve">ACHAT  |  </w:t>
      </w:r>
      <w:r>
        <w:rPr>
          <w:b/>
        </w:rPr>
        <w:t xml:space="preserve">Risque moyen: </w:t>
      </w:r>
      <w:r>
        <w:t xml:space="preserve">Moyen  |  </w:t>
      </w:r>
      <w:r>
        <w:rPr>
          <w:b/>
        </w:rPr>
        <w:t xml:space="preserve">Prix moyen: </w:t>
      </w:r>
      <w:r>
        <w:t>2503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BICB, BOAC, CABC, CFAC, CIEC, ETIT, FTSC, ORGT, PALC, SAFC, SDSC, SEMC, SGBC, SIVC, SPHC, STAC, UNXC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ABJC, BICC, BNBC, BOAB, BOABF, BOAN, BOAS, CBIBF, ECOC, LNBB, NEIC, NSBC, NTLC, ONTBF, SDCC, SIBC, SICC, SNTS, TTLC, TTLS, UNLC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BOAM, ORAC, PRSC, SCRC, SHEC, SLBC, SMBC, SOGC</w:t>
            </w:r>
          </w:p>
        </w:tc>
        <w:tc>
          <w:tcPr>
            <w:tcW w:type="dxa" w:w="2160"/>
            <w:shd w:fill="FFC7CE" w:val="clear"/>
          </w:tcPr>
          <w:p>
            <w:pPr>
              <w:spacing w:before="40" w:after="40"/>
            </w:pPr>
            <w:r/>
            <w:r>
              <w:rPr>
                <w:b w:val="0"/>
                <w:sz w:val="16"/>
              </w:rPr>
              <w:t>STBC</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1375105</w:t>
            </w:r>
          </w:p>
        </w:tc>
        <w:tc>
          <w:tcPr>
            <w:tcW w:type="dxa" w:w="1728"/>
          </w:tcPr>
          <w:p>
            <w:r>
              <w:t>91916975 FCFA</w:t>
            </w:r>
          </w:p>
        </w:tc>
        <w:tc>
          <w:tcPr>
            <w:tcW w:type="dxa" w:w="1728"/>
          </w:tcPr>
          <w:p>
            <w:r>
              <w:t>133.33%</w:t>
            </w:r>
          </w:p>
        </w:tc>
        <w:tc>
          <w:tcPr>
            <w:tcW w:type="dxa" w:w="1728"/>
          </w:tcPr>
          <w:p>
            <w:r>
              <w:t>ACHAT</w:t>
            </w:r>
          </w:p>
        </w:tc>
      </w:tr>
      <w:tr>
        <w:tc>
          <w:tcPr>
            <w:tcW w:type="dxa" w:w="1728"/>
          </w:tcPr>
          <w:p>
            <w:r>
              <w:t>BICB (BIIC BN - Banque internationale pour le commerce du benin)</w:t>
            </w:r>
          </w:p>
        </w:tc>
        <w:tc>
          <w:tcPr>
            <w:tcW w:type="dxa" w:w="1728"/>
          </w:tcPr>
          <w:p>
            <w:r>
              <w:t>19982</w:t>
            </w:r>
          </w:p>
        </w:tc>
        <w:tc>
          <w:tcPr>
            <w:tcW w:type="dxa" w:w="1728"/>
          </w:tcPr>
          <w:p>
            <w:r>
              <w:t>170406732 FCFA</w:t>
            </w:r>
          </w:p>
        </w:tc>
        <w:tc>
          <w:tcPr>
            <w:tcW w:type="dxa" w:w="1728"/>
          </w:tcPr>
          <w:p>
            <w:r>
              <w:t>96.31%</w:t>
            </w:r>
          </w:p>
        </w:tc>
        <w:tc>
          <w:tcPr>
            <w:tcW w:type="dxa" w:w="1728"/>
          </w:tcPr>
          <w:p>
            <w:r>
              <w:t>ACHAT</w:t>
            </w:r>
          </w:p>
        </w:tc>
      </w:tr>
      <w:tr>
        <w:tc>
          <w:tcPr>
            <w:tcW w:type="dxa" w:w="1728"/>
          </w:tcPr>
          <w:p>
            <w:r>
              <w:t>SDSC (SDSC - AFRICA GLOBAL LOGISTICS CI)</w:t>
            </w:r>
          </w:p>
        </w:tc>
        <w:tc>
          <w:tcPr>
            <w:tcW w:type="dxa" w:w="1728"/>
          </w:tcPr>
          <w:p>
            <w:r>
              <w:t>18135</w:t>
            </w:r>
          </w:p>
        </w:tc>
        <w:tc>
          <w:tcPr>
            <w:tcW w:type="dxa" w:w="1728"/>
          </w:tcPr>
          <w:p>
            <w:r>
              <w:t>50615351 FCFA</w:t>
            </w:r>
          </w:p>
        </w:tc>
        <w:tc>
          <w:tcPr>
            <w:tcW w:type="dxa" w:w="1728"/>
          </w:tcPr>
          <w:p>
            <w:r>
              <w:t>63.20%</w:t>
            </w:r>
          </w:p>
        </w:tc>
        <w:tc>
          <w:tcPr>
            <w:tcW w:type="dxa" w:w="1728"/>
          </w:tcPr>
          <w:p>
            <w:r>
              <w:t>ACHAT</w:t>
            </w:r>
          </w:p>
        </w:tc>
      </w:tr>
      <w:tr>
        <w:tc>
          <w:tcPr>
            <w:tcW w:type="dxa" w:w="1728"/>
          </w:tcPr>
          <w:p>
            <w:r>
              <w:t>SIBC (SIBC - SOCIETE IVOIRIENNE DE BANQUE)</w:t>
            </w:r>
          </w:p>
        </w:tc>
        <w:tc>
          <w:tcPr>
            <w:tcW w:type="dxa" w:w="1728"/>
          </w:tcPr>
          <w:p>
            <w:r>
              <w:t>15839</w:t>
            </w:r>
          </w:p>
        </w:tc>
        <w:tc>
          <w:tcPr>
            <w:tcW w:type="dxa" w:w="1728"/>
          </w:tcPr>
          <w:p>
            <w:r>
              <w:t>144796126 FCFA</w:t>
            </w:r>
          </w:p>
        </w:tc>
        <w:tc>
          <w:tcPr>
            <w:tcW w:type="dxa" w:w="1728"/>
          </w:tcPr>
          <w:p>
            <w:r>
              <w:t>31.79%</w:t>
            </w:r>
          </w:p>
        </w:tc>
        <w:tc>
          <w:tcPr>
            <w:tcW w:type="dxa" w:w="1728"/>
          </w:tcPr>
          <w:p>
            <w:r>
              <w:t>ACHAT</w:t>
            </w:r>
          </w:p>
        </w:tc>
      </w:tr>
      <w:tr>
        <w:tc>
          <w:tcPr>
            <w:tcW w:type="dxa" w:w="1728"/>
          </w:tcPr>
          <w:p>
            <w:r>
              <w:t>UNXC (UNXC - UNIWAX COTE D'IVOIRE)</w:t>
            </w:r>
          </w:p>
        </w:tc>
        <w:tc>
          <w:tcPr>
            <w:tcW w:type="dxa" w:w="1728"/>
          </w:tcPr>
          <w:p>
            <w:r>
              <w:t>15734</w:t>
            </w:r>
          </w:p>
        </w:tc>
        <w:tc>
          <w:tcPr>
            <w:tcW w:type="dxa" w:w="1728"/>
          </w:tcPr>
          <w:p>
            <w:r>
              <w:t>36363682 FCFA</w:t>
            </w:r>
          </w:p>
        </w:tc>
        <w:tc>
          <w:tcPr>
            <w:tcW w:type="dxa" w:w="1728"/>
          </w:tcPr>
          <w:p>
            <w:r>
              <w:t>26.68%</w:t>
            </w:r>
          </w:p>
        </w:tc>
        <w:tc>
          <w:tcPr>
            <w:tcW w:type="dxa" w:w="1728"/>
          </w:tcPr>
          <w:p>
            <w:r>
              <w:t>ACHAT</w:t>
            </w:r>
          </w:p>
        </w:tc>
      </w:tr>
      <w:tr>
        <w:tc>
          <w:tcPr>
            <w:tcW w:type="dxa" w:w="1728"/>
          </w:tcPr>
          <w:p>
            <w:r>
              <w:t>BOAS (BANK OF AFRICA SENEGAL)</w:t>
            </w:r>
          </w:p>
        </w:tc>
        <w:tc>
          <w:tcPr>
            <w:tcW w:type="dxa" w:w="1728"/>
          </w:tcPr>
          <w:p>
            <w:r>
              <w:t>15179</w:t>
            </w:r>
          </w:p>
        </w:tc>
        <w:tc>
          <w:tcPr>
            <w:tcW w:type="dxa" w:w="1728"/>
          </w:tcPr>
          <w:p>
            <w:r>
              <w:t>121825030 FCFA</w:t>
            </w:r>
          </w:p>
        </w:tc>
        <w:tc>
          <w:tcPr>
            <w:tcW w:type="dxa" w:w="1728"/>
          </w:tcPr>
          <w:p>
            <w:r>
              <w:t>21.48%</w:t>
            </w:r>
          </w:p>
        </w:tc>
        <w:tc>
          <w:tcPr>
            <w:tcW w:type="dxa" w:w="1728"/>
          </w:tcPr>
          <w:p>
            <w:r>
              <w:t>ACHAT</w:t>
            </w:r>
          </w:p>
        </w:tc>
      </w:tr>
      <w:tr>
        <w:tc>
          <w:tcPr>
            <w:tcW w:type="dxa" w:w="1728"/>
          </w:tcPr>
          <w:p>
            <w:r>
              <w:t>SNTS (SNTS - SONATEL SN)</w:t>
            </w:r>
          </w:p>
        </w:tc>
        <w:tc>
          <w:tcPr>
            <w:tcW w:type="dxa" w:w="1728"/>
          </w:tcPr>
          <w:p>
            <w:r>
              <w:t>11810</w:t>
            </w:r>
          </w:p>
        </w:tc>
        <w:tc>
          <w:tcPr>
            <w:tcW w:type="dxa" w:w="1728"/>
          </w:tcPr>
          <w:p>
            <w:r>
              <w:t>421514336 FCFA</w:t>
            </w:r>
          </w:p>
        </w:tc>
        <w:tc>
          <w:tcPr>
            <w:tcW w:type="dxa" w:w="1728"/>
          </w:tcPr>
          <w:p>
            <w:r>
              <w:t>36.14%</w:t>
            </w:r>
          </w:p>
        </w:tc>
        <w:tc>
          <w:tcPr>
            <w:tcW w:type="dxa" w:w="1728"/>
          </w:tcPr>
          <w:p>
            <w:r>
              <w:t>ACHAT</w:t>
            </w:r>
          </w:p>
        </w:tc>
      </w:tr>
      <w:tr>
        <w:tc>
          <w:tcPr>
            <w:tcW w:type="dxa" w:w="1728"/>
          </w:tcPr>
          <w:p>
            <w:r>
              <w:t>SOGC (SOGC - Société des caoutchoucs de Grand-Béréby)</w:t>
            </w:r>
          </w:p>
        </w:tc>
        <w:tc>
          <w:tcPr>
            <w:tcW w:type="dxa" w:w="1728"/>
          </w:tcPr>
          <w:p>
            <w:r>
              <w:t>11474</w:t>
            </w:r>
          </w:p>
        </w:tc>
        <w:tc>
          <w:tcPr>
            <w:tcW w:type="dxa" w:w="1728"/>
          </w:tcPr>
          <w:p>
            <w:r>
              <w:t>87424451 FCFA</w:t>
            </w:r>
          </w:p>
        </w:tc>
        <w:tc>
          <w:tcPr>
            <w:tcW w:type="dxa" w:w="1728"/>
          </w:tcPr>
          <w:p>
            <w:r>
              <w:t>-1.52%</w:t>
            </w:r>
          </w:p>
        </w:tc>
        <w:tc>
          <w:tcPr>
            <w:tcW w:type="dxa" w:w="1728"/>
          </w:tcPr>
          <w:p>
            <w:r>
              <w:t>ACHAT</w:t>
            </w:r>
          </w:p>
        </w:tc>
      </w:tr>
      <w:tr>
        <w:tc>
          <w:tcPr>
            <w:tcW w:type="dxa" w:w="1728"/>
          </w:tcPr>
          <w:p>
            <w:r>
              <w:t>BOAC (BANK OF AFRICA COTE D'IVOIRE)</w:t>
            </w:r>
          </w:p>
        </w:tc>
        <w:tc>
          <w:tcPr>
            <w:tcW w:type="dxa" w:w="1728"/>
          </w:tcPr>
          <w:p>
            <w:r>
              <w:t>11315</w:t>
            </w:r>
          </w:p>
        </w:tc>
        <w:tc>
          <w:tcPr>
            <w:tcW w:type="dxa" w:w="1728"/>
          </w:tcPr>
          <w:p>
            <w:r>
              <w:t>143264868 FCFA</w:t>
            </w:r>
          </w:p>
        </w:tc>
        <w:tc>
          <w:tcPr>
            <w:tcW w:type="dxa" w:w="1728"/>
          </w:tcPr>
          <w:p>
            <w:r>
              <w:t>48.75%</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SIVC (SIVC - ERIUM CI (Ex AIR LIQUIDECI))</w:t>
            </w:r>
          </w:p>
        </w:tc>
        <w:tc>
          <w:tcPr>
            <w:tcW w:type="dxa" w:w="1728"/>
          </w:tcPr>
          <w:p>
            <w:r>
              <w:t>4063</w:t>
            </w:r>
          </w:p>
        </w:tc>
        <w:tc>
          <w:tcPr>
            <w:tcW w:type="dxa" w:w="1728"/>
          </w:tcPr>
          <w:p>
            <w:r>
              <w:t>9642360 FCFA</w:t>
            </w:r>
          </w:p>
        </w:tc>
        <w:tc>
          <w:tcPr>
            <w:tcW w:type="dxa" w:w="1728"/>
          </w:tcPr>
          <w:p>
            <w:r>
              <w:t>-21.20%</w:t>
            </w:r>
          </w:p>
        </w:tc>
        <w:tc>
          <w:tcPr>
            <w:tcW w:type="dxa" w:w="1728"/>
          </w:tcPr>
          <w:p>
            <w:r>
              <w:t>ACHAT</w:t>
            </w:r>
          </w:p>
        </w:tc>
      </w:tr>
      <w:tr>
        <w:tc>
          <w:tcPr>
            <w:tcW w:type="dxa" w:w="1728"/>
          </w:tcPr>
          <w:p>
            <w:r>
              <w:t>ABJC (ABJC - SERVAIR ABIDJAN CI)</w:t>
            </w:r>
          </w:p>
        </w:tc>
        <w:tc>
          <w:tcPr>
            <w:tcW w:type="dxa" w:w="1728"/>
          </w:tcPr>
          <w:p>
            <w:r>
              <w:t>3880</w:t>
            </w:r>
          </w:p>
        </w:tc>
        <w:tc>
          <w:tcPr>
            <w:tcW w:type="dxa" w:w="1728"/>
          </w:tcPr>
          <w:p>
            <w:r>
              <w:t>14164812 FCFA</w:t>
            </w:r>
          </w:p>
        </w:tc>
        <w:tc>
          <w:tcPr>
            <w:tcW w:type="dxa" w:w="1728"/>
          </w:tcPr>
          <w:p>
            <w:r>
              <w:t>16.47%</w:t>
            </w:r>
          </w:p>
        </w:tc>
        <w:tc>
          <w:tcPr>
            <w:tcW w:type="dxa" w:w="1728"/>
          </w:tcPr>
          <w:p>
            <w:r>
              <w:t>ACHAT</w:t>
            </w:r>
          </w:p>
        </w:tc>
      </w:tr>
      <w:tr>
        <w:tc>
          <w:tcPr>
            <w:tcW w:type="dxa" w:w="1728"/>
          </w:tcPr>
          <w:p>
            <w:r>
              <w:t>ORAC (ORAC - ORANGE COTE D'IVOIRE)</w:t>
            </w:r>
          </w:p>
        </w:tc>
        <w:tc>
          <w:tcPr>
            <w:tcW w:type="dxa" w:w="1728"/>
          </w:tcPr>
          <w:p>
            <w:r>
              <w:t>3623</w:t>
            </w:r>
          </w:p>
        </w:tc>
        <w:tc>
          <w:tcPr>
            <w:tcW w:type="dxa" w:w="1728"/>
          </w:tcPr>
          <w:p>
            <w:r>
              <w:t>74453727 FCFA</w:t>
            </w:r>
          </w:p>
        </w:tc>
        <w:tc>
          <w:tcPr>
            <w:tcW w:type="dxa" w:w="1728"/>
          </w:tcPr>
          <w:p>
            <w:r>
              <w:t>44.41%</w:t>
            </w:r>
          </w:p>
        </w:tc>
        <w:tc>
          <w:tcPr>
            <w:tcW w:type="dxa" w:w="1728"/>
          </w:tcPr>
          <w:p>
            <w:r>
              <w:t>ACHAT</w:t>
            </w:r>
          </w:p>
        </w:tc>
      </w:tr>
      <w:tr>
        <w:tc>
          <w:tcPr>
            <w:tcW w:type="dxa" w:w="1728"/>
          </w:tcPr>
          <w:p>
            <w:r>
              <w:t>CFAC (CFAC - CFAO MOTORS CI)</w:t>
            </w:r>
          </w:p>
        </w:tc>
        <w:tc>
          <w:tcPr>
            <w:tcW w:type="dxa" w:w="1728"/>
          </w:tcPr>
          <w:p>
            <w:r>
              <w:t>3615</w:t>
            </w:r>
          </w:p>
        </w:tc>
        <w:tc>
          <w:tcPr>
            <w:tcW w:type="dxa" w:w="1728"/>
          </w:tcPr>
          <w:p>
            <w:r>
              <w:t>6154241 FCFA</w:t>
            </w:r>
          </w:p>
        </w:tc>
        <w:tc>
          <w:tcPr>
            <w:tcW w:type="dxa" w:w="1728"/>
          </w:tcPr>
          <w:p>
            <w:r>
              <w:t>12.67%</w:t>
            </w:r>
          </w:p>
        </w:tc>
        <w:tc>
          <w:tcPr>
            <w:tcW w:type="dxa" w:w="1728"/>
          </w:tcPr>
          <w:p>
            <w:r>
              <w:t>ACHAT</w:t>
            </w:r>
          </w:p>
        </w:tc>
      </w:tr>
      <w:tr>
        <w:tc>
          <w:tcPr>
            <w:tcW w:type="dxa" w:w="1728"/>
          </w:tcPr>
          <w:p>
            <w:r>
              <w:t>STBC (STBC - SITAB COTE D'IVOIRE)</w:t>
            </w:r>
          </w:p>
        </w:tc>
        <w:tc>
          <w:tcPr>
            <w:tcW w:type="dxa" w:w="1728"/>
          </w:tcPr>
          <w:p>
            <w:r>
              <w:t>3409</w:t>
            </w:r>
          </w:p>
        </w:tc>
        <w:tc>
          <w:tcPr>
            <w:tcW w:type="dxa" w:w="1728"/>
          </w:tcPr>
          <w:p>
            <w:r>
              <w:t>76349944 FCFA</w:t>
            </w:r>
          </w:p>
        </w:tc>
        <w:tc>
          <w:tcPr>
            <w:tcW w:type="dxa" w:w="1728"/>
          </w:tcPr>
          <w:p>
            <w:r>
              <w:t>5.77%</w:t>
            </w:r>
          </w:p>
        </w:tc>
        <w:tc>
          <w:tcPr>
            <w:tcW w:type="dxa" w:w="1728"/>
          </w:tcPr>
          <w:p>
            <w:r>
              <w:t>CONSERVER</w:t>
            </w:r>
          </w:p>
        </w:tc>
      </w:tr>
      <w:tr>
        <w:tc>
          <w:tcPr>
            <w:tcW w:type="dxa" w:w="1728"/>
          </w:tcPr>
          <w:p>
            <w:r>
              <w:t>FTSC (FTSC - FILTISAC COTE D'IVOIRE)</w:t>
            </w:r>
          </w:p>
        </w:tc>
        <w:tc>
          <w:tcPr>
            <w:tcW w:type="dxa" w:w="1728"/>
          </w:tcPr>
          <w:p>
            <w:r>
              <w:t>3287</w:t>
            </w:r>
          </w:p>
        </w:tc>
        <w:tc>
          <w:tcPr>
            <w:tcW w:type="dxa" w:w="1728"/>
          </w:tcPr>
          <w:p>
            <w:r>
              <w:t>7087913 FCFA</w:t>
            </w:r>
          </w:p>
        </w:tc>
        <w:tc>
          <w:tcPr>
            <w:tcW w:type="dxa" w:w="1728"/>
          </w:tcPr>
          <w:p>
            <w:r>
              <w:t>-7.08%</w:t>
            </w:r>
          </w:p>
        </w:tc>
        <w:tc>
          <w:tcPr>
            <w:tcW w:type="dxa" w:w="1728"/>
          </w:tcPr>
          <w:p>
            <w:r>
              <w:t>ACHAT</w:t>
            </w:r>
          </w:p>
        </w:tc>
      </w:tr>
      <w:tr>
        <w:tc>
          <w:tcPr>
            <w:tcW w:type="dxa" w:w="1728"/>
          </w:tcPr>
          <w:p>
            <w:r>
              <w:t>PALC (PALC - PALM COTE D'IVOIRE)</w:t>
            </w:r>
          </w:p>
        </w:tc>
        <w:tc>
          <w:tcPr>
            <w:tcW w:type="dxa" w:w="1728"/>
          </w:tcPr>
          <w:p>
            <w:r>
              <w:t>3134</w:t>
            </w:r>
          </w:p>
        </w:tc>
        <w:tc>
          <w:tcPr>
            <w:tcW w:type="dxa" w:w="1728"/>
          </w:tcPr>
          <w:p>
            <w:r>
              <w:t>28420196 FCFA</w:t>
            </w:r>
          </w:p>
        </w:tc>
        <w:tc>
          <w:tcPr>
            <w:tcW w:type="dxa" w:w="1728"/>
          </w:tcPr>
          <w:p>
            <w:r>
              <w:t>5.16%</w:t>
            </w:r>
          </w:p>
        </w:tc>
        <w:tc>
          <w:tcPr>
            <w:tcW w:type="dxa" w:w="1728"/>
          </w:tcPr>
          <w:p>
            <w:r>
              <w:t>ACHAT</w:t>
            </w:r>
          </w:p>
        </w:tc>
      </w:tr>
      <w:tr>
        <w:tc>
          <w:tcPr>
            <w:tcW w:type="dxa" w:w="1728"/>
          </w:tcPr>
          <w:p>
            <w:r>
              <w:t>TTLS (TTLS - TOTAL ENERGIES MARKETING SENEGAL)</w:t>
            </w:r>
          </w:p>
        </w:tc>
        <w:tc>
          <w:tcPr>
            <w:tcW w:type="dxa" w:w="1728"/>
          </w:tcPr>
          <w:p>
            <w:r>
              <w:t>2561</w:t>
            </w:r>
          </w:p>
        </w:tc>
        <w:tc>
          <w:tcPr>
            <w:tcW w:type="dxa" w:w="1728"/>
          </w:tcPr>
          <w:p>
            <w:r>
              <w:t>9652714 FCFA</w:t>
            </w:r>
          </w:p>
        </w:tc>
        <w:tc>
          <w:tcPr>
            <w:tcW w:type="dxa" w:w="1728"/>
          </w:tcPr>
          <w:p>
            <w:r>
              <w:t>19.44%</w:t>
            </w:r>
          </w:p>
        </w:tc>
        <w:tc>
          <w:tcPr>
            <w:tcW w:type="dxa" w:w="1728"/>
          </w:tcPr>
          <w:p>
            <w:r>
              <w:t>ACHAT</w:t>
            </w:r>
          </w:p>
        </w:tc>
      </w:tr>
      <w:tr>
        <w:tc>
          <w:tcPr>
            <w:tcW w:type="dxa" w:w="1728"/>
          </w:tcPr>
          <w:p>
            <w:r>
              <w:t>NEIC (NEIC - NEI-CEDA CI)</w:t>
            </w:r>
          </w:p>
        </w:tc>
        <w:tc>
          <w:tcPr>
            <w:tcW w:type="dxa" w:w="1728"/>
          </w:tcPr>
          <w:p>
            <w:r>
              <w:t>2430</w:t>
            </w:r>
          </w:p>
        </w:tc>
        <w:tc>
          <w:tcPr>
            <w:tcW w:type="dxa" w:w="1728"/>
          </w:tcPr>
          <w:p>
            <w:r>
              <w:t>6623459 FCFA</w:t>
            </w:r>
          </w:p>
        </w:tc>
        <w:tc>
          <w:tcPr>
            <w:tcW w:type="dxa" w:w="1728"/>
          </w:tcPr>
          <w:p>
            <w:r>
              <w:t>89.89%</w:t>
            </w:r>
          </w:p>
        </w:tc>
        <w:tc>
          <w:tcPr>
            <w:tcW w:type="dxa" w:w="1728"/>
          </w:tcPr>
          <w:p>
            <w:r>
              <w:t>ACHAT</w:t>
            </w:r>
          </w:p>
        </w:tc>
      </w:tr>
      <w:tr>
        <w:tc>
          <w:tcPr>
            <w:tcW w:type="dxa" w:w="1728"/>
          </w:tcPr>
          <w:p>
            <w:r>
              <w:t>CABC (CABC - SICABLE COTE D'IVOIRE)</w:t>
            </w:r>
          </w:p>
        </w:tc>
        <w:tc>
          <w:tcPr>
            <w:tcW w:type="dxa" w:w="1728"/>
          </w:tcPr>
          <w:p>
            <w:r>
              <w:t>2308</w:t>
            </w:r>
          </w:p>
        </w:tc>
        <w:tc>
          <w:tcPr>
            <w:tcW w:type="dxa" w:w="1728"/>
          </w:tcPr>
          <w:p>
            <w:r>
              <w:t>8129050 FCFA</w:t>
            </w:r>
          </w:p>
        </w:tc>
        <w:tc>
          <w:tcPr>
            <w:tcW w:type="dxa" w:w="1728"/>
          </w:tcPr>
          <w:p>
            <w:r>
              <w:t>-10.40%</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PRSC - PRSC - TRACTAFRIC MOTORS CI</w:t>
      </w:r>
    </w:p>
    <w:p>
      <w:r>
        <w:rPr>
          <w:b/>
        </w:rPr>
        <w:t xml:space="preserve">Score de divergence: </w:t>
      </w:r>
      <w:r>
        <w:t>5/8</w:t>
        <w:br/>
      </w:r>
      <w:r>
        <w:rPr>
          <w:b/>
        </w:rPr>
        <w:t xml:space="preserve">Description: </w:t>
      </w:r>
      <w:r>
        <w:t>Signaux de vente: MM, MACD | Recommandation finale: ACHAT</w:t>
        <w:br/>
      </w:r>
    </w:p>
    <w:p/>
    <w:p>
      <w:pPr>
        <w:pStyle w:val="Heading3"/>
      </w:pPr>
      <w:r>
        <w:t>2. BOAM - BANK OF AFRICA MALI</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3. ORAC - ORAC - ORANGE COTE D'IVOIRE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4. SCRC - SCRC - SUCRIVOIRE</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5. SHEC - SHEC - VIVO ENERGY COTE D'IVOIRE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6. SLBC - SLBC - SOLIBRA COTE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7. SMBC - SMBC - Société Multinationale de Bitumes COTE D'IVOIRE</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8. SOGC - SOGC - Société des caoutchoucs de Grand-Béréby</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9. PALC - PALC - PALM COTE D'IVOIRE</w:t>
      </w:r>
    </w:p>
    <w:p>
      <w:r>
        <w:rPr>
          <w:b/>
        </w:rPr>
        <w:t xml:space="preserve">Score de divergence: </w:t>
      </w:r>
      <w:r>
        <w:t>3/8</w:t>
        <w:br/>
      </w:r>
      <w:r>
        <w:rPr>
          <w:b/>
        </w:rPr>
        <w:t xml:space="preserve">Description: </w:t>
      </w:r>
      <w:r>
        <w:t>Signaux d'achat: MM, Bollinger, RSI, Stochastique | Signaux de vente: MACD | Recommandation finale: ACHAT</w:t>
        <w:br/>
      </w:r>
    </w:p>
    <w:p/>
    <w:p>
      <w:pPr>
        <w:pStyle w:val="Heading3"/>
      </w:pPr>
      <w:r>
        <w:t>10. BOAC - BANK OF AFRICA COTE D'IVOIRE</w:t>
      </w:r>
    </w:p>
    <w:p>
      <w:r>
        <w:rPr>
          <w:b/>
        </w:rPr>
        <w:t xml:space="preserve">Score de divergence: </w:t>
      </w:r>
      <w:r>
        <w:t>2/8</w:t>
        <w:br/>
      </w:r>
      <w:r>
        <w:rPr>
          <w:b/>
        </w:rPr>
        <w:t xml:space="preserve">Description: </w:t>
      </w:r>
      <w:r>
        <w:t>Signaux d'achat: MM, RSI, Stochastique | Signaux de vente: MACD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19</w:t>
            </w:r>
          </w:p>
        </w:tc>
        <w:tc>
          <w:tcPr>
            <w:tcW w:type="dxa" w:w="2160"/>
          </w:tcPr>
          <w:p>
            <w:r>
              <w:t>0</w:t>
            </w:r>
          </w:p>
        </w:tc>
      </w:tr>
      <w:tr>
        <w:tc>
          <w:tcPr>
            <w:tcW w:type="dxa" w:w="2160"/>
          </w:tcPr>
          <w:p>
            <w:r>
              <w:t>Risque Moyen</w:t>
            </w:r>
          </w:p>
        </w:tc>
        <w:tc>
          <w:tcPr>
            <w:tcW w:type="dxa" w:w="2160"/>
          </w:tcPr>
          <w:p>
            <w:r>
              <w:t>0</w:t>
            </w:r>
          </w:p>
        </w:tc>
        <w:tc>
          <w:tcPr>
            <w:tcW w:type="dxa" w:w="2160"/>
          </w:tcPr>
          <w:p>
            <w:r>
              <w:t>28</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ONTBF (ONTBF - ONATEL BURKINA FASO)</w:t>
      </w:r>
    </w:p>
    <w:p>
      <w:pPr>
        <w:pStyle w:val="ListBullet"/>
      </w:pPr>
      <w:r>
        <w:t>• ORGT (ORGT - ORAGROUP TOGO)</w:t>
      </w:r>
    </w:p>
    <w:p>
      <w:pPr>
        <w:pStyle w:val="ListBullet"/>
      </w:pPr>
      <w:r>
        <w:t>• SDCC (SDCC - Société de Distribution d'Eau de Côte d'Ivoire)</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ABJC (ABJC - SERVAIR ABIDJAN CI)</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BNBC (BNBC - BERNABE CI)</w:t>
      </w:r>
    </w:p>
    <w:p>
      <w:pPr>
        <w:pStyle w:val="ListBullet"/>
      </w:pPr>
      <w:r>
        <w:t>• BOAB (BANK OF AFRICA BENIN)</w:t>
      </w:r>
    </w:p>
    <w:p>
      <w:pPr>
        <w:pStyle w:val="ListBullet"/>
      </w:pPr>
      <w:r>
        <w:t>• BOABF (BANK OF AFRICA BURKINA FASO)</w:t>
      </w:r>
    </w:p>
    <w:p>
      <w:pPr>
        <w:pStyle w:val="ListBullet"/>
      </w:pPr>
      <w:r>
        <w:t>• BOAC (BANK OF AFRICA COTE D'IVOIRE)</w:t>
      </w:r>
    </w:p>
    <w:p>
      <w:pPr>
        <w:pStyle w:val="ListBullet"/>
      </w:pPr>
      <w:r>
        <w:t>• BOAN (BANK OF AFRICA NIGER)</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NTLC (NTLC - NESTLE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SDSC (SDSC - AFRICA GLOBAL LOGISTICS CI)</w:t>
      </w:r>
    </w:p>
    <w:p>
      <w:pPr>
        <w:pStyle w:val="ListBullet"/>
      </w:pPr>
      <w:r>
        <w:t>• SEMC (SEMC - EVIOSYS PACKAGING SIEM CI)</w:t>
      </w:r>
    </w:p>
    <w:p>
      <w:pPr>
        <w:pStyle w:val="ListBullet"/>
      </w:pPr>
      <w:r>
        <w:t>• SICC (SICC - SICOR COTE D'IVOIRE)</w:t>
      </w:r>
    </w:p>
    <w:p>
      <w:pPr>
        <w:pStyle w:val="ListBullet"/>
      </w:pPr>
      <w:r>
        <w:t>• SMBC (SMBC - Société Multinationale de Bitumes COTE D'IVOIRE)</w:t>
      </w:r>
    </w:p>
    <w:p>
      <w:pPr>
        <w:pStyle w:val="ListBullet"/>
      </w:pPr>
      <w:r>
        <w:t>• SNTS (SNTS - SONATEL SN)</w:t>
      </w:r>
    </w:p>
    <w:p>
      <w:pPr>
        <w:pStyle w:val="ListBullet"/>
      </w:pPr>
      <w:r>
        <w:t>• STAC (STAC - SETAO COTE D'IVOIRE)</w:t>
      </w:r>
    </w:p>
    <w:p>
      <w:pPr>
        <w:pStyle w:val="ListBullet"/>
      </w:pPr>
      <w:r>
        <w:t>• TTLC (TTLC - TOTAL ENERGIES MARKETING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Le baril de Brent repasse la barre symbolique des 100 dollars (09/09) en raison de l'escalade des tensions au Moyen-Orient, un choc haussier majeur pour les coûts énergétiques mondiaux. La BCE s'apprête à relever ses taux, possiblement pour la dernière fois du cycle (10/09), signalant un pic de resserrement monétaire en zone euro. L'indice MXV des matières premières dépasse 3 000 points (10/09), confirmant une pression inflationniste sur les intrants. Wall Street prépare son calendrier 2026, sans surprise majeure.</w:t>
      </w:r>
    </w:p>
    <w:p>
      <w:pPr>
        <w:pStyle w:val="Heading3"/>
      </w:pPr>
      <w:r>
        <w:rPr>
          <w:color w:val="500050"/>
        </w:rPr>
        <w:t>⚡ Impact estimé sur la BRVM</w:t>
      </w:r>
    </w:p>
    <w:p>
      <w:pPr>
        <w:spacing w:before="20" w:after="40"/>
        <w:ind w:left="280"/>
      </w:pPr>
      <w:r>
        <w:rPr>
          <w:i/>
          <w:sz w:val="18"/>
        </w:rPr>
        <w:t>La flambée du Brent pèse sur les coûts de transport et d'électricité des industriels (CABC, SDSC, FTSC) et des distributeurs (CFAC, ABJC). Un pic de taux BCE stabiliserait l'euro/FCFA, limitant le risque de change pour les importateurs BRVM, mais renchérirait le refinancement des banques (BOAC, SGBC, ECOC).</w:t>
      </w:r>
    </w:p>
    <w:p>
      <w:pPr>
        <w:pStyle w:val="Heading2"/>
      </w:pPr>
      <w:r>
        <w:rPr>
          <w:color w:val="006E32"/>
        </w:rPr>
        <w:t>🌍 Plan Africain</w:t>
      </w:r>
    </w:p>
    <w:p>
      <w:pPr>
        <w:spacing w:before="20" w:after="40"/>
        <w:ind w:left="0"/>
      </w:pPr>
      <w:r>
        <w:rPr>
          <w:sz w:val="18"/>
        </w:rPr>
        <w:t>Le Sénégal et le FMI concluent un accord sur un programme d'aide d'environ 1,9 milliard d'euros (01-02/09), renforçant la stabilité macroéconomique sous-régionale. Goldman Sachs prévoit un retour de l'Afrique du Sud en "Investment grade" dès 2028 (02/09), signal positif pour l'appétit pour les actifs africains.</w:t>
      </w:r>
    </w:p>
    <w:p>
      <w:pPr>
        <w:pStyle w:val="Heading3"/>
      </w:pPr>
      <w:r>
        <w:rPr>
          <w:color w:val="500050"/>
        </w:rPr>
        <w:t>⚡ Impact estimé sur la BRVM</w:t>
      </w:r>
    </w:p>
    <w:p>
      <w:pPr>
        <w:spacing w:before="20" w:after="40"/>
        <w:ind w:left="280"/>
      </w:pPr>
      <w:r>
        <w:rPr>
          <w:i/>
          <w:sz w:val="18"/>
        </w:rPr>
        <w:t>L'accord FMI-Sénégal rassure les investisseurs sur la solvabilité souveraine de la zone, bénéficiant indirectement aux banques cotées exposées au Sénégal (BOAB, BOAM, BICB). Le re-rating sud-africain pourrait détourner une partie des flux vers Johannesburg, concurrençant la BRVM.</w:t>
      </w:r>
    </w:p>
    <w:p>
      <w:pPr>
        <w:pStyle w:val="Heading2"/>
      </w:pPr>
      <w:r>
        <w:rPr>
          <w:color w:val="145A28"/>
        </w:rPr>
        <w:t>🌍 Plan Afrique de l'Ouest</w:t>
      </w:r>
    </w:p>
    <w:p>
      <w:pPr>
        <w:spacing w:before="20" w:after="40"/>
        <w:ind w:left="0"/>
      </w:pPr>
      <w:r>
        <w:rPr>
          <w:sz w:val="18"/>
        </w:rPr>
        <w:t>La CEDEAO accélère le processus vers la monnaie unique ECO prévue pour 2027 (09/09), avec des discussions sur les critères de convergence. Une nouvelle vision pragmatique est impulsée à la Commission (08/09). Ces avancées restent toutefois à un stade préparatoire.</w:t>
      </w:r>
    </w:p>
    <w:p>
      <w:pPr>
        <w:pStyle w:val="Heading3"/>
      </w:pPr>
      <w:r>
        <w:rPr>
          <w:color w:val="500050"/>
        </w:rPr>
        <w:t>⚡ Impact estimé sur la BRVM</w:t>
      </w:r>
    </w:p>
    <w:p>
      <w:pPr>
        <w:spacing w:before="20" w:after="40"/>
        <w:ind w:left="280"/>
      </w:pPr>
      <w:r>
        <w:rPr>
          <w:i/>
          <w:sz w:val="18"/>
        </w:rPr>
        <w:t>Perspective positive à moyen terme pour les sociétés panafricaines (ETIT, ORGT) opérant dans plusieurs pays de la zone. Aucun impact immédiat sur les valorisations, mais un signal de convergence renforcée pouvant soutenir la confiance des investisseurs institutionnels.</w:t>
      </w:r>
    </w:p>
    <w:p>
      <w:pPr>
        <w:pStyle w:val="Heading2"/>
      </w:pPr>
      <w:r>
        <w:rPr>
          <w:color w:val="8C4600"/>
        </w:rPr>
        <w:t>🏦 Plan UEMOA / Zone Franc</w:t>
      </w:r>
    </w:p>
    <w:p>
      <w:pPr>
        <w:spacing w:before="20" w:after="40"/>
        <w:ind w:left="0"/>
      </w:pPr>
      <w:r>
        <w:rPr>
          <w:sz w:val="18"/>
        </w:rPr>
        <w:t>Le Premier ministre sénégalais dévoile ses priorités gouvernementales (09/09), dans un contexte de tensions Faye-Sonko post-DPG (10/09). Pas de décision BCEAO ni de donnée d'inflation zone fournie dans les actualités. Le FCFA reste arrimé à l'euro, avec un risque de fin du franc CFA évoqué par la CEDEAO.</w:t>
      </w:r>
    </w:p>
    <w:p>
      <w:pPr>
        <w:pStyle w:val="Heading3"/>
      </w:pPr>
      <w:r>
        <w:rPr>
          <w:color w:val="500050"/>
        </w:rPr>
        <w:t>⚡ Impact estimé sur la BRVM</w:t>
      </w:r>
    </w:p>
    <w:p>
      <w:pPr>
        <w:spacing w:before="20" w:after="40"/>
        <w:ind w:left="280"/>
      </w:pPr>
      <w:r>
        <w:rPr>
          <w:i/>
          <w:sz w:val="18"/>
        </w:rPr>
        <w:t>Les tensions politiques sénégalaises créent une incertitude sur les banques exposées (BOAB, BOAM, BICB) et sur ETIT (présence régionale). L'absence de données BCEAO limite l'analyse sur la liquidité bancaire et les taux directeurs.</w:t>
      </w:r>
    </w:p>
    <w:p>
      <w:pPr>
        <w:pStyle w:val="Heading2"/>
      </w:pPr>
      <w:r>
        <w:rPr>
          <w:color w:val="003366"/>
        </w:rPr>
        <w:t>📈 Plan BRVM</w:t>
      </w:r>
    </w:p>
    <w:p>
      <w:pPr>
        <w:spacing w:before="20" w:after="40"/>
        <w:ind w:left="0"/>
      </w:pPr>
      <w:r>
        <w:rPr>
          <w:sz w:val="18"/>
        </w:rPr>
        <w:t>Les résultats des sociétés cotées ivoiriennes sont jugés encourageants (09/06), signal positif pour la qualité des bénéfices. L'indice BRVM Composite se situe à 551,76 points. Aucune IPO ni opération sur dividendes n'est mentionnée dans les actualités fournies.</w:t>
      </w:r>
    </w:p>
    <w:p>
      <w:pPr>
        <w:pStyle w:val="Heading3"/>
      </w:pPr>
      <w:r>
        <w:rPr>
          <w:color w:val="500050"/>
        </w:rPr>
        <w:t>⚡ Impact estimé sur la BRVM</w:t>
      </w:r>
    </w:p>
    <w:p>
      <w:pPr>
        <w:spacing w:before="20" w:after="40"/>
        <w:ind w:left="280"/>
      </w:pPr>
      <w:r>
        <w:rPr>
          <w:i/>
          <w:sz w:val="18"/>
        </w:rPr>
        <w:t>Recommandation : conserver les valeurs bancaires (SGBC, BICB, BOAC) portées par des résultats solides ; surveiller PALC (consommation de base, défensif en contexte inflationniste) ; prudence sur CFAC et ABJC (consommation discrétionnaire exposée au coût du carburant). Données insuffisantes sur SOGC, NTLC, SIVC, ONTBF.</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L'escalade au Moyen-Orient fait repasser le Brent au-dessus de 100 dollars (09/09), principal risque géopolitique mondial identifié. Aucune élection majeure ni sanction nouvelle n'est rapportée dans les actualités fournies.</w:t>
      </w:r>
    </w:p>
    <w:p>
      <w:pPr>
        <w:pStyle w:val="Heading3"/>
      </w:pPr>
      <w:r>
        <w:rPr>
          <w:color w:val="500050"/>
        </w:rPr>
        <w:t>⚡ Impact estimé sur la BRVM</w:t>
      </w:r>
    </w:p>
    <w:p>
      <w:pPr>
        <w:spacing w:before="20" w:after="40"/>
        <w:ind w:left="280"/>
      </w:pPr>
      <w:r>
        <w:rPr>
          <w:i/>
          <w:sz w:val="18"/>
        </w:rPr>
        <w:t>La volatilité énergétique mondiale accroît l'aversion au risque des investisseurs, pouvant réduire les flux vers les marchés frontières comme la BRVM. Les secteurs industriels et transport (SDSC, FTSC) sont les plus vulnérables.</w:t>
      </w:r>
    </w:p>
    <w:p>
      <w:pPr>
        <w:pStyle w:val="Heading2"/>
      </w:pPr>
      <w:r>
        <w:rPr>
          <w:color w:val="006E32"/>
        </w:rPr>
        <w:t>🌍 Plan Africain</w:t>
      </w:r>
    </w:p>
    <w:p>
      <w:pPr>
        <w:spacing w:before="20" w:after="40"/>
        <w:ind w:left="0"/>
      </w:pPr>
      <w:r>
        <w:rPr>
          <w:sz w:val="18"/>
        </w:rPr>
        <w:t>Aucune transition politique, coup d'État ou élection majeure n'est rapportée dans les actualités africaines fournies. Données insuffisantes.</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145A28"/>
        </w:rPr>
        <w:t>🌍 Plan Afrique de l'Ouest</w:t>
      </w:r>
    </w:p>
    <w:p>
      <w:pPr>
        <w:spacing w:before="20" w:after="40"/>
        <w:ind w:left="0"/>
      </w:pPr>
      <w:r>
        <w:rPr>
          <w:sz w:val="18"/>
        </w:rPr>
        <w:t>La CEDEAO poursuit son agenda d'intégration monétaire (09/09), avec une dynamique de réforme institutionnelle portée par Birame Diop (08/09). Les tensions politiques sénégalaises Faye-Sonko (10/09) constituent le principal risque sous-régional identifié.</w:t>
      </w:r>
    </w:p>
    <w:p>
      <w:pPr>
        <w:pStyle w:val="Heading3"/>
      </w:pPr>
      <w:r>
        <w:rPr>
          <w:color w:val="500050"/>
        </w:rPr>
        <w:t>⚡ Impact estimé sur la BRVM</w:t>
      </w:r>
    </w:p>
    <w:p>
      <w:pPr>
        <w:spacing w:before="20" w:after="40"/>
        <w:ind w:left="280"/>
      </w:pPr>
      <w:r>
        <w:rPr>
          <w:i/>
          <w:sz w:val="18"/>
        </w:rPr>
        <w:t>Les tensions au Sénégal représentent un risque spécifique pour BOAB, BOAM, BICB et ETIT, dont les activités sont concentrées ou significatives dans ce pays. Un apaisement politique serait un catalyseur positif.</w:t>
      </w:r>
    </w:p>
    <w:p>
      <w:pPr>
        <w:pStyle w:val="Heading2"/>
      </w:pPr>
      <w:r>
        <w:rPr>
          <w:color w:val="8C4600"/>
        </w:rPr>
        <w:t>🏦 Plan UEMOA / Zone Franc</w:t>
      </w:r>
    </w:p>
    <w:p>
      <w:pPr>
        <w:spacing w:before="20" w:after="40"/>
        <w:ind w:left="0"/>
      </w:pPr>
      <w:r>
        <w:rPr>
          <w:sz w:val="18"/>
        </w:rPr>
        <w:t>Le Sénégal traverse une phase de tension entre l'exécutif et le législatif après la DPG (10/09), tandis que le Premier ministre a présenté ses priorités (09/09). Aucune réforme institutionnelle UEMOA n'est mentionnée.</w:t>
      </w:r>
    </w:p>
    <w:p>
      <w:pPr>
        <w:pStyle w:val="Heading3"/>
      </w:pPr>
      <w:r>
        <w:rPr>
          <w:color w:val="500050"/>
        </w:rPr>
        <w:t>⚡ Impact estimé sur la BRVM</w:t>
      </w:r>
    </w:p>
    <w:p>
      <w:pPr>
        <w:spacing w:before="20" w:after="40"/>
        <w:ind w:left="280"/>
      </w:pPr>
      <w:r>
        <w:rPr>
          <w:i/>
          <w:sz w:val="18"/>
        </w:rPr>
        <w:t>Risque réglementaire et politique direct limité à ce stade, mais l'instabilité sénégalaise pourrait retarder des réformes pro-croissance et peser sur le sentiment des investisseurs envers les valeurs sénégalaises.</w:t>
      </w:r>
    </w:p>
    <w:p>
      <w:pPr>
        <w:pStyle w:val="Heading2"/>
      </w:pPr>
      <w:r>
        <w:rPr>
          <w:color w:val="003366"/>
        </w:rPr>
        <w:t>📈 Plan BRVM</w:t>
      </w:r>
    </w:p>
    <w:p>
      <w:pPr>
        <w:spacing w:before="20" w:after="40"/>
        <w:ind w:left="0"/>
      </w:pPr>
      <w:r>
        <w:rPr>
          <w:sz w:val="18"/>
        </w:rPr>
        <w:t>Aucune décision CREPMF, nouvelle cotation ou évolution de gouvernance n'est rapportée dans les actualités fournies. Données insuffisantes.</w:t>
      </w:r>
    </w:p>
    <w:p>
      <w:pPr>
        <w:pStyle w:val="Heading3"/>
      </w:pPr>
      <w:r>
        <w:rPr>
          <w:color w:val="500050"/>
        </w:rPr>
        <w:t>⚡ Impact estimé sur la BRVM</w:t>
      </w:r>
    </w:p>
    <w:p>
      <w:pPr>
        <w:spacing w:before="20" w:after="40"/>
        <w:ind w:left="280"/>
      </w:pPr>
      <w:r>
        <w:rPr>
          <w:i/>
          <w:sz w:val="18"/>
        </w:rPr>
        <w:t>Données insuffisantes.</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Wall Street prépare son calendrier 2026 (07/09), sans actualité de marché majeure. La BCE s'achemine vers une hausse de taux finale (10/09), tandis que le Brent au-dessus de 100 dollars (09/09) et l'indice MXV au-dessus de 3 000 points (10/09) traduisent des tensions inflationnistes persistantes.</w:t>
      </w:r>
    </w:p>
    <w:p>
      <w:pPr>
        <w:pStyle w:val="Heading3"/>
      </w:pPr>
      <w:r>
        <w:rPr>
          <w:color w:val="500050"/>
        </w:rPr>
        <w:t>⚡ Impact estimé sur la BRVM</w:t>
      </w:r>
    </w:p>
    <w:p>
      <w:pPr>
        <w:spacing w:before="20" w:after="40"/>
        <w:ind w:left="280"/>
      </w:pPr>
      <w:r>
        <w:rPr>
          <w:i/>
          <w:sz w:val="18"/>
        </w:rPr>
        <w:t>Un pic de taux BCE réduirait la volatilité sur l'euro/FCFA, stabilisant les flux vers la BRVM. La hausse des matières premières profite aux exportateurs (PALC pour le cacao) mais pèse sur les importateurs (CFAC, ABJC).</w:t>
      </w:r>
    </w:p>
    <w:p>
      <w:pPr>
        <w:pStyle w:val="Heading2"/>
      </w:pPr>
      <w:r>
        <w:rPr>
          <w:color w:val="006E32"/>
        </w:rPr>
        <w:t>🌍 Plan Africain</w:t>
      </w:r>
    </w:p>
    <w:p>
      <w:pPr>
        <w:spacing w:before="20" w:after="40"/>
        <w:ind w:left="0"/>
      </w:pPr>
      <w:r>
        <w:rPr>
          <w:sz w:val="18"/>
        </w:rPr>
        <w:t>Goldman Sachs anticipe un retour de l'Afrique du Sud en "Investment grade" dès 2028 (02/09), ce qui pourrait améliorer la notation souveraine de la région et réduire les spreads. Aucune donnée sur les eurobonds ou marchés obligataires africains n'est fournie.</w:t>
      </w:r>
    </w:p>
    <w:p>
      <w:pPr>
        <w:pStyle w:val="Heading3"/>
      </w:pPr>
      <w:r>
        <w:rPr>
          <w:color w:val="500050"/>
        </w:rPr>
        <w:t>⚡ Impact estimé sur la BRVM</w:t>
      </w:r>
    </w:p>
    <w:p>
      <w:pPr>
        <w:spacing w:before="20" w:after="40"/>
        <w:ind w:left="280"/>
      </w:pPr>
      <w:r>
        <w:rPr>
          <w:i/>
          <w:sz w:val="18"/>
        </w:rPr>
        <w:t>Le re-rating sud-africain pourrait concurrencer la BRVM pour les capitaux institutionnels, mais aussi tirer l'ensemble des marchés africains vers le haut via un effet de contagion positive.</w:t>
      </w:r>
    </w:p>
    <w:p>
      <w:pPr>
        <w:pStyle w:val="Heading2"/>
      </w:pPr>
      <w:r>
        <w:rPr>
          <w:color w:val="145A28"/>
        </w:rPr>
        <w:t>🌍 Plan Afrique de l'Ouest</w:t>
      </w:r>
    </w:p>
    <w:p>
      <w:pPr>
        <w:spacing w:before="20" w:after="40"/>
        <w:ind w:left="0"/>
      </w:pPr>
      <w:r>
        <w:rPr>
          <w:sz w:val="18"/>
        </w:rPr>
        <w:t>Aucune information sur les bourses régionales concurrentes (Ghana, Nigeria) ni sur les flux de capitaux sous-régionaux n'est fournie. Données insuffisantes.</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8C4600"/>
        </w:rPr>
        <w:t>🏦 Plan UEMOA / Zone Franc</w:t>
      </w:r>
    </w:p>
    <w:p>
      <w:pPr>
        <w:spacing w:before="20" w:after="40"/>
        <w:ind w:left="0"/>
      </w:pPr>
      <w:r>
        <w:rPr>
          <w:sz w:val="18"/>
        </w:rPr>
        <w:t>Aucune donnée sur le marché des titres publics UEMOA, le taux interbancaire ou la liquidité bancaire n'est fournie. Données insuffisantes.</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003366"/>
        </w:rPr>
        <w:t>📈 Plan BRVM</w:t>
      </w:r>
    </w:p>
    <w:p>
      <w:pPr>
        <w:spacing w:before="20" w:after="40"/>
        <w:ind w:left="0"/>
      </w:pPr>
      <w:r>
        <w:rPr>
          <w:sz w:val="18"/>
        </w:rPr>
        <w:t>L'indice BRVM Composite se situe à 551,76 points. Les résultats des sociétés cotées ivoiriennes sont encourageants (09/06). Aucun top/flop, volume ou perspective détaillée n'est fourni dans les actualités.</w:t>
      </w:r>
    </w:p>
    <w:p>
      <w:pPr>
        <w:pStyle w:val="Heading3"/>
      </w:pPr>
      <w:r>
        <w:rPr>
          <w:color w:val="500050"/>
        </w:rPr>
        <w:t>⚡ Impact estimé sur la BRVM</w:t>
      </w:r>
    </w:p>
    <w:p>
      <w:pPr>
        <w:spacing w:before="20" w:after="40"/>
        <w:ind w:left="280"/>
      </w:pPr>
      <w:r>
        <w:rPr>
          <w:i/>
          <w:sz w:val="18"/>
        </w:rPr>
        <w:t>Opportunités d'achat sur les bancaires à résultats solides (SGBC, BICB, BOAC) ; conserver PALC comme valeur défensive ; sous-pondérer CFAC et ABJC en raison de l'exposition au coût du carburant. Données insuffisantes sur SOGC, NTLC, SIVC, ONTBF, SLBC.</w:t>
      </w:r>
    </w:p>
    <w:p>
      <w:pPr>
        <w:pStyle w:val="Heading1"/>
      </w:pPr>
      <w:r>
        <w:rPr>
          <w:color w:val="003366"/>
        </w:rPr>
        <w:t>🎯 SYNTHÈSE &amp; RECOMMANDATION FINALE</w:t>
      </w:r>
    </w:p>
    <w:p>
      <w:pPr>
        <w:spacing w:before="120"/>
      </w:pPr>
      <w:r>
        <w:rPr>
          <w:b/>
          <w:color w:val="C85000"/>
          <w:sz w:val="22"/>
        </w:rPr>
        <w:t>Niveau d'alerte global pour un investisseur BRVM : **ORANGE**</w:t>
      </w:r>
    </w:p>
    <w:p>
      <w:pPr>
        <w:spacing w:before="20" w:after="40"/>
        <w:ind w:left="0"/>
      </w:pPr>
      <w:r>
        <w:rPr>
          <w:sz w:val="18"/>
        </w:rPr>
        <w:t>Le contexte est marqué par une pression inflationniste mondiale (Brent &gt; 100 $, MXV &gt; 3 000 pts) et un resserrement monétaire BCE en fin de cycle, qui pèsent sur les secteurs industriels et de consommation discrétionnaire de la BRVM. Les fondamentaux locaux restent toutefois soutenus par des résultats d'entreprises encourageants et un accord FMI-Sénégal rassurant, mais les tensions politiques sénégalaises et l'absence de données BCEAO appellent à la prudence. Recommandation : privilégier les valeurs bancaires solides (SGBC, BICB, BOAC) et défensives (PALC), réduire l'exposition aux cycliques exposées à l'énergie (CFAC, ABJC, SDSC), et attendre des clarifications politiques au Sénégal avant de renforcer BOAB, BOAM et ETIT.</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2026-09-07</w:t>
            </w:r>
          </w:p>
        </w:tc>
        <w:tc>
          <w:tcPr>
            <w:tcW w:type="dxa" w:w="1728"/>
          </w:tcPr>
          <w:p>
            <w:r>
              <w:rPr>
                <w:sz w:val="14"/>
              </w:rPr>
              <w:t>Marché : Quel est le calendrier des jours fériés à Wall Street en 2026</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2026-09-09</w:t>
            </w:r>
          </w:p>
        </w:tc>
        <w:tc>
          <w:tcPr>
            <w:tcW w:type="dxa" w:w="1728"/>
          </w:tcPr>
          <w:p>
            <w:r>
              <w:rPr>
                <w:sz w:val="14"/>
              </w:rPr>
              <w:t>Guerre au Moyen-Orient : le baril de Brent repasse la barre symbolique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2026-09-10</w:t>
            </w:r>
          </w:p>
        </w:tc>
        <w:tc>
          <w:tcPr>
            <w:tcW w:type="dxa" w:w="1728"/>
          </w:tcPr>
          <w:p>
            <w:r>
              <w:rPr>
                <w:sz w:val="14"/>
              </w:rPr>
              <w:t>Marché des matières premières : l'indice MXV dépasse les 3 000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2026-09-10</w:t>
            </w:r>
          </w:p>
        </w:tc>
        <w:tc>
          <w:tcPr>
            <w:tcW w:type="dxa" w:w="1728"/>
          </w:tcPr>
          <w:p>
            <w:r>
              <w:rPr>
                <w:sz w:val="14"/>
              </w:rPr>
              <w:t>Vers une hausse de taux de la BCE, la dernière du cycle? - L'Echo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2026-09-09</w:t>
            </w:r>
          </w:p>
        </w:tc>
        <w:tc>
          <w:tcPr>
            <w:tcW w:type="dxa" w:w="1728"/>
          </w:tcPr>
          <w:p>
            <w:r>
              <w:rPr>
                <w:sz w:val="14"/>
              </w:rPr>
              <w:t>La Bourse de Paris attendue en légère hausse , les yeux tournés vers 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2026-09-09</w:t>
            </w:r>
          </w:p>
        </w:tc>
        <w:tc>
          <w:tcPr>
            <w:tcW w:type="dxa" w:w="1728"/>
          </w:tcPr>
          <w:p>
            <w:r>
              <w:rPr>
                <w:sz w:val="14"/>
              </w:rPr>
              <w:t>La BCE prête à remonter ses taux pour contrer l’inflation - Le Figaro</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Dette : le Sénégal et le FMI s'accordent sur un nouveau plan d'aide fi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2026-09-01</w:t>
            </w:r>
          </w:p>
        </w:tc>
        <w:tc>
          <w:tcPr>
            <w:tcW w:type="dxa" w:w="1728"/>
          </w:tcPr>
          <w:p>
            <w:r>
              <w:rPr>
                <w:sz w:val="14"/>
              </w:rPr>
              <w:t>Le FMI et le Sénégal trouvent un accord en vue d’un programme d’aide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Sénégal : le Gouvernement et le FMI s’accordent sur un programme de 2,</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La Tanzanie ouvre son marché des obligations d'État à tous les investi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2026-08-30</w:t>
            </w:r>
          </w:p>
        </w:tc>
        <w:tc>
          <w:tcPr>
            <w:tcW w:type="dxa" w:w="1728"/>
          </w:tcPr>
          <w:p>
            <w:r>
              <w:rPr>
                <w:sz w:val="14"/>
              </w:rPr>
              <w:t xml:space="preserve">Afrique du Sud : 56 milliards de dollars d'investissement public face </w:t>
            </w:r>
          </w:p>
        </w:tc>
        <w:tc>
          <w:tcPr>
            <w:tcW w:type="dxa" w:w="1728"/>
          </w:tcPr>
          <w:p>
            <w:r>
              <w:rPr>
                <w:sz w:val="14"/>
              </w:rPr>
              <w:t>Neutre</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2026-09-09</w:t>
            </w:r>
          </w:p>
        </w:tc>
        <w:tc>
          <w:tcPr>
            <w:tcW w:type="dxa" w:w="1728"/>
          </w:tcPr>
          <w:p>
            <w:r>
              <w:rPr>
                <w:sz w:val="14"/>
              </w:rPr>
              <w:t xml:space="preserve">ECO : la Cédéao accélère le processus vers 2027 - APAnews - Agence de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2026-09-09</w:t>
            </w:r>
          </w:p>
        </w:tc>
        <w:tc>
          <w:tcPr>
            <w:tcW w:type="dxa" w:w="1728"/>
          </w:tcPr>
          <w:p>
            <w:r>
              <w:rPr>
                <w:sz w:val="14"/>
              </w:rPr>
              <w:t>ECO : La CEDEAO accélère le processus vers la fin du franc CFA - SeneN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2026-09-08</w:t>
            </w:r>
          </w:p>
        </w:tc>
        <w:tc>
          <w:tcPr>
            <w:tcW w:type="dxa" w:w="1728"/>
          </w:tcPr>
          <w:p>
            <w:r>
              <w:rPr>
                <w:sz w:val="14"/>
              </w:rPr>
              <w:t>CEDEAO: La nouvelle vision pragmatique que compte imprimer Birame Diop</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2026-09-08</w:t>
            </w:r>
          </w:p>
        </w:tc>
        <w:tc>
          <w:tcPr>
            <w:tcW w:type="dxa" w:w="1728"/>
          </w:tcPr>
          <w:p>
            <w:r>
              <w:rPr>
                <w:sz w:val="14"/>
              </w:rPr>
              <w:t>CEDEAO : le Général Birame Diop appelle à un renouveau de la solidarit</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2026-09-06</w:t>
            </w:r>
          </w:p>
        </w:tc>
        <w:tc>
          <w:tcPr>
            <w:tcW w:type="dxa" w:w="1728"/>
          </w:tcPr>
          <w:p>
            <w:r>
              <w:rPr>
                <w:sz w:val="14"/>
              </w:rPr>
              <w:t>Sierra Leone : l'ex-président Koroma de retour dans son pays - tv5mond</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2026-09-09</w:t>
            </w:r>
          </w:p>
        </w:tc>
        <w:tc>
          <w:tcPr>
            <w:tcW w:type="dxa" w:w="1728"/>
          </w:tcPr>
          <w:p>
            <w:r>
              <w:rPr>
                <w:sz w:val="14"/>
              </w:rPr>
              <w:t>CEDEAO : l’ECO reste visé pour 2027, le Conseil de convergence accélèr</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2026-09-09</w:t>
            </w:r>
          </w:p>
        </w:tc>
        <w:tc>
          <w:tcPr>
            <w:tcW w:type="dxa" w:w="1728"/>
          </w:tcPr>
          <w:p>
            <w:r>
              <w:rPr>
                <w:sz w:val="14"/>
              </w:rPr>
              <w:t>Le Premier ministre sénégalais dévoile ses priorités - dw.com</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2026-09-10</w:t>
            </w:r>
          </w:p>
        </w:tc>
        <w:tc>
          <w:tcPr>
            <w:tcW w:type="dxa" w:w="1728"/>
          </w:tcPr>
          <w:p>
            <w:r>
              <w:rPr>
                <w:sz w:val="14"/>
              </w:rPr>
              <w:t>Sénégal : après la DPG, le vrai sujet devient le rapport de force entr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2026-09-09</w:t>
            </w:r>
          </w:p>
        </w:tc>
        <w:tc>
          <w:tcPr>
            <w:tcW w:type="dxa" w:w="1728"/>
          </w:tcPr>
          <w:p>
            <w:r>
              <w:rPr>
                <w:sz w:val="14"/>
              </w:rPr>
              <w:t>Au Sénégal, une déclaration de politique générale maîtrisée par le Pre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2026-09-10</w:t>
            </w:r>
          </w:p>
        </w:tc>
        <w:tc>
          <w:tcPr>
            <w:tcW w:type="dxa" w:w="1728"/>
          </w:tcPr>
          <w:p>
            <w:r>
              <w:rPr>
                <w:sz w:val="14"/>
              </w:rPr>
              <w:t>VIDÉO. Sénégal: la bataille des partis dans un paysage politique remod</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2026-09-09</w:t>
            </w:r>
          </w:p>
        </w:tc>
        <w:tc>
          <w:tcPr>
            <w:tcW w:type="dxa" w:w="1728"/>
          </w:tcPr>
          <w:p>
            <w:r>
              <w:rPr>
                <w:sz w:val="14"/>
              </w:rPr>
              <w:t>Sénégal: le Premier ministre convainc avec sa déclaration de politique</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2026-09-09</w:t>
            </w:r>
          </w:p>
        </w:tc>
        <w:tc>
          <w:tcPr>
            <w:tcW w:type="dxa" w:w="1728"/>
          </w:tcPr>
          <w:p>
            <w:r>
              <w:rPr>
                <w:sz w:val="14"/>
              </w:rPr>
              <w:t>Côte d'Ivoire : Révision de la liste électorale en 2026, Amadou Coulib</w:t>
            </w:r>
          </w:p>
        </w:tc>
        <w:tc>
          <w:tcPr>
            <w:tcW w:type="dxa" w:w="1728"/>
          </w:tcPr>
          <w:p>
            <w:r>
              <w:rPr>
                <w:sz w:val="14"/>
              </w:rPr>
              <w:t>Neutre</w:t>
            </w:r>
          </w:p>
        </w:tc>
        <w:tc>
          <w:tcPr>
            <w:tcW w:type="dxa" w:w="1728"/>
          </w:tcPr>
          <w:p>
            <w:r>
              <w:rPr>
                <w:sz w:val="14"/>
              </w:rPr>
              <w:t>Neutre</w:t>
            </w:r>
          </w:p>
        </w:tc>
        <w:tc>
          <w:tcPr>
            <w:tcW w:type="dxa" w:w="1728"/>
          </w:tcPr>
          <w:p>
            <w:r>
              <w:rPr>
                <w:sz w:val="14"/>
              </w:rPr>
              <w:t>Google News — politique Côte d</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2026-09-07</w:t>
            </w:r>
          </w:p>
        </w:tc>
        <w:tc>
          <w:tcPr>
            <w:tcW w:type="dxa" w:w="1728"/>
          </w:tcPr>
          <w:p>
            <w:r>
              <w:rPr>
                <w:sz w:val="14"/>
              </w:rPr>
              <w:t>Marché : Quel est le calendrier des jours fériés à Wall Street en 2026</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2026-09-09</w:t>
            </w:r>
          </w:p>
        </w:tc>
        <w:tc>
          <w:tcPr>
            <w:tcW w:type="dxa" w:w="1728"/>
          </w:tcPr>
          <w:p>
            <w:r>
              <w:rPr>
                <w:sz w:val="14"/>
              </w:rPr>
              <w:t>Guerre au Moyen-Orient : le baril de Brent repasse la barre symbolique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2026-09-10</w:t>
            </w:r>
          </w:p>
        </w:tc>
        <w:tc>
          <w:tcPr>
            <w:tcW w:type="dxa" w:w="1728"/>
          </w:tcPr>
          <w:p>
            <w:r>
              <w:rPr>
                <w:sz w:val="14"/>
              </w:rPr>
              <w:t>Marché des matières premières : l'indice MXV dépasse les 3 000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2026-09-10</w:t>
            </w:r>
          </w:p>
        </w:tc>
        <w:tc>
          <w:tcPr>
            <w:tcW w:type="dxa" w:w="1728"/>
          </w:tcPr>
          <w:p>
            <w:r>
              <w:rPr>
                <w:sz w:val="14"/>
              </w:rPr>
              <w:t>Vers une hausse de taux de la BCE, la dernière du cycle? - L'Echo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2026-09-09</w:t>
            </w:r>
          </w:p>
        </w:tc>
        <w:tc>
          <w:tcPr>
            <w:tcW w:type="dxa" w:w="1728"/>
          </w:tcPr>
          <w:p>
            <w:r>
              <w:rPr>
                <w:sz w:val="14"/>
              </w:rPr>
              <w:t>La Bourse de Paris attendue en légère hausse , les yeux tournés vers 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2026-09-09</w:t>
            </w:r>
          </w:p>
        </w:tc>
        <w:tc>
          <w:tcPr>
            <w:tcW w:type="dxa" w:w="1728"/>
          </w:tcPr>
          <w:p>
            <w:r>
              <w:rPr>
                <w:sz w:val="14"/>
              </w:rPr>
              <w:t>Guerre au Moyen-Orient : le baril de Brent repasse la barre symbolique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2026-09-10</w:t>
            </w:r>
          </w:p>
        </w:tc>
        <w:tc>
          <w:tcPr>
            <w:tcW w:type="dxa" w:w="1728"/>
          </w:tcPr>
          <w:p>
            <w:r>
              <w:rPr>
                <w:sz w:val="14"/>
              </w:rPr>
              <w:t>Marché des matières premières : l'indice MXV dépasse les 3 000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2026-09-10</w:t>
            </w:r>
          </w:p>
        </w:tc>
        <w:tc>
          <w:tcPr>
            <w:tcW w:type="dxa" w:w="1728"/>
          </w:tcPr>
          <w:p>
            <w:r>
              <w:rPr>
                <w:sz w:val="14"/>
              </w:rPr>
              <w:t>Vers une hausse de taux de la BCE, la dernière du cycle? - L'Echo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2026-09-09</w:t>
            </w:r>
          </w:p>
        </w:tc>
        <w:tc>
          <w:tcPr>
            <w:tcW w:type="dxa" w:w="1728"/>
          </w:tcPr>
          <w:p>
            <w:r>
              <w:rPr>
                <w:sz w:val="14"/>
              </w:rPr>
              <w:t>La Bourse de Paris attendue en légère hausse , les yeux tournés vers 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2026-09-09</w:t>
            </w:r>
          </w:p>
        </w:tc>
        <w:tc>
          <w:tcPr>
            <w:tcW w:type="dxa" w:w="1728"/>
          </w:tcPr>
          <w:p>
            <w:r>
              <w:rPr>
                <w:sz w:val="14"/>
              </w:rPr>
              <w:t>La BCE prête à remonter ses taux pour contrer l’inflation - Le Figaro</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2026-09-09</w:t>
            </w:r>
          </w:p>
        </w:tc>
        <w:tc>
          <w:tcPr>
            <w:tcW w:type="dxa" w:w="1728"/>
          </w:tcPr>
          <w:p>
            <w:r>
              <w:rPr>
                <w:sz w:val="14"/>
              </w:rPr>
              <w:t>Guerre au Moyen-Orient : le baril de Brent repasse la barre symbolique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2026-09-10</w:t>
            </w:r>
          </w:p>
        </w:tc>
        <w:tc>
          <w:tcPr>
            <w:tcW w:type="dxa" w:w="1728"/>
          </w:tcPr>
          <w:p>
            <w:r>
              <w:rPr>
                <w:sz w:val="14"/>
              </w:rPr>
              <w:t>Marché des matières premières : l'indice MXV dépasse les 3 000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2026-09-10</w:t>
            </w:r>
          </w:p>
        </w:tc>
        <w:tc>
          <w:tcPr>
            <w:tcW w:type="dxa" w:w="1728"/>
          </w:tcPr>
          <w:p>
            <w:r>
              <w:rPr>
                <w:sz w:val="14"/>
              </w:rPr>
              <w:t>Vers une hausse de taux de la BCE, la dernière du cycle? - L'Echo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2026-09-09</w:t>
            </w:r>
          </w:p>
        </w:tc>
        <w:tc>
          <w:tcPr>
            <w:tcW w:type="dxa" w:w="1728"/>
          </w:tcPr>
          <w:p>
            <w:r>
              <w:rPr>
                <w:sz w:val="14"/>
              </w:rPr>
              <w:t>La Bourse de Paris attendue en légère hausse , les yeux tournés vers 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2026-09-09</w:t>
            </w:r>
          </w:p>
        </w:tc>
        <w:tc>
          <w:tcPr>
            <w:tcW w:type="dxa" w:w="1728"/>
          </w:tcPr>
          <w:p>
            <w:r>
              <w:rPr>
                <w:sz w:val="14"/>
              </w:rPr>
              <w:t>La BCE prête à remonter ses taux pour contrer l’inflation - Le Figaro</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2026-09-09</w:t>
            </w:r>
          </w:p>
        </w:tc>
        <w:tc>
          <w:tcPr>
            <w:tcW w:type="dxa" w:w="1728"/>
          </w:tcPr>
          <w:p>
            <w:r>
              <w:rPr>
                <w:sz w:val="14"/>
              </w:rPr>
              <w:t>Guerre au Moyen-Orient : le baril de Brent repasse la barre symbolique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2026-09-10</w:t>
            </w:r>
          </w:p>
        </w:tc>
        <w:tc>
          <w:tcPr>
            <w:tcW w:type="dxa" w:w="1728"/>
          </w:tcPr>
          <w:p>
            <w:r>
              <w:rPr>
                <w:sz w:val="14"/>
              </w:rPr>
              <w:t>Marché des matières premières : l'indice MXV dépasse les 3 000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2026-09-10</w:t>
            </w:r>
          </w:p>
        </w:tc>
        <w:tc>
          <w:tcPr>
            <w:tcW w:type="dxa" w:w="1728"/>
          </w:tcPr>
          <w:p>
            <w:r>
              <w:rPr>
                <w:sz w:val="14"/>
              </w:rPr>
              <w:t>Vers une hausse de taux de la BCE, la dernière du cycle? - L'Echo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2026-09-09</w:t>
            </w:r>
          </w:p>
        </w:tc>
        <w:tc>
          <w:tcPr>
            <w:tcW w:type="dxa" w:w="1728"/>
          </w:tcPr>
          <w:p>
            <w:r>
              <w:rPr>
                <w:sz w:val="14"/>
              </w:rPr>
              <w:t>La Bourse de Paris attendue en légère hausse , les yeux tournés vers 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2026-09-09</w:t>
            </w:r>
          </w:p>
        </w:tc>
        <w:tc>
          <w:tcPr>
            <w:tcW w:type="dxa" w:w="1728"/>
          </w:tcPr>
          <w:p>
            <w:r>
              <w:rPr>
                <w:sz w:val="14"/>
              </w:rPr>
              <w:t>La BCE prête à remonter ses taux pour contrer l’inflation - Le Figaro</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2026-09-09</w:t>
            </w:r>
          </w:p>
        </w:tc>
        <w:tc>
          <w:tcPr>
            <w:tcW w:type="dxa" w:w="1728"/>
          </w:tcPr>
          <w:p>
            <w:r>
              <w:rPr>
                <w:sz w:val="14"/>
              </w:rPr>
              <w:t>Guerre au Moyen-Orient : le baril de Brent repasse la barre symbolique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2026-09-10</w:t>
            </w:r>
          </w:p>
        </w:tc>
        <w:tc>
          <w:tcPr>
            <w:tcW w:type="dxa" w:w="1728"/>
          </w:tcPr>
          <w:p>
            <w:r>
              <w:rPr>
                <w:sz w:val="14"/>
              </w:rPr>
              <w:t>Marché des matières premières : l'indice MXV dépasse les 3 000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2026-09-10</w:t>
            </w:r>
          </w:p>
        </w:tc>
        <w:tc>
          <w:tcPr>
            <w:tcW w:type="dxa" w:w="1728"/>
          </w:tcPr>
          <w:p>
            <w:r>
              <w:rPr>
                <w:sz w:val="14"/>
              </w:rPr>
              <w:t>Vers une hausse de taux de la BCE, la dernière du cycle? - L'Echo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2026-09-09</w:t>
            </w:r>
          </w:p>
        </w:tc>
        <w:tc>
          <w:tcPr>
            <w:tcW w:type="dxa" w:w="1728"/>
          </w:tcPr>
          <w:p>
            <w:r>
              <w:rPr>
                <w:sz w:val="14"/>
              </w:rPr>
              <w:t>La Bourse de Paris attendue en légère hausse , les yeux tournés vers 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2026-09-09</w:t>
            </w:r>
          </w:p>
        </w:tc>
        <w:tc>
          <w:tcPr>
            <w:tcW w:type="dxa" w:w="1728"/>
          </w:tcPr>
          <w:p>
            <w:r>
              <w:rPr>
                <w:sz w:val="14"/>
              </w:rPr>
              <w:t>La BCE prête à remonter ses taux pour contrer l’inflation - Le Figaro</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2026-09-07</w:t>
            </w:r>
          </w:p>
        </w:tc>
        <w:tc>
          <w:tcPr>
            <w:tcW w:type="dxa" w:w="1728"/>
          </w:tcPr>
          <w:p>
            <w:r>
              <w:rPr>
                <w:sz w:val="14"/>
              </w:rPr>
              <w:t>Marché : Quel est le calendrier des jours fériés à Wall Street en 2026</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2026-09-09</w:t>
            </w:r>
          </w:p>
        </w:tc>
        <w:tc>
          <w:tcPr>
            <w:tcW w:type="dxa" w:w="1728"/>
          </w:tcPr>
          <w:p>
            <w:r>
              <w:rPr>
                <w:sz w:val="14"/>
              </w:rPr>
              <w:t>Guerre au Moyen-Orient : le baril de Brent repasse la barre symbolique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2026-09-10</w:t>
            </w:r>
          </w:p>
        </w:tc>
        <w:tc>
          <w:tcPr>
            <w:tcW w:type="dxa" w:w="1728"/>
          </w:tcPr>
          <w:p>
            <w:r>
              <w:rPr>
                <w:sz w:val="14"/>
              </w:rPr>
              <w:t>Marché des matières premières : l'indice MXV dépasse les 3 000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2026-09-10</w:t>
            </w:r>
          </w:p>
        </w:tc>
        <w:tc>
          <w:tcPr>
            <w:tcW w:type="dxa" w:w="1728"/>
          </w:tcPr>
          <w:p>
            <w:r>
              <w:rPr>
                <w:sz w:val="14"/>
              </w:rPr>
              <w:t>Vers une hausse de taux de la BCE, la dernière du cycle? - L'Echo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2026-09-09</w:t>
            </w:r>
          </w:p>
        </w:tc>
        <w:tc>
          <w:tcPr>
            <w:tcW w:type="dxa" w:w="1728"/>
          </w:tcPr>
          <w:p>
            <w:r>
              <w:rPr>
                <w:sz w:val="14"/>
              </w:rPr>
              <w:t>La Bourse de Paris attendue en légère hausse , les yeux tournés vers 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2026-09-07</w:t>
            </w:r>
          </w:p>
        </w:tc>
        <w:tc>
          <w:tcPr>
            <w:tcW w:type="dxa" w:w="1728"/>
          </w:tcPr>
          <w:p>
            <w:r>
              <w:rPr>
                <w:sz w:val="14"/>
              </w:rPr>
              <w:t>Marché : Quel est le calendrier des jours fériés à Wall Street en 2026</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2026-09-09</w:t>
            </w:r>
          </w:p>
        </w:tc>
        <w:tc>
          <w:tcPr>
            <w:tcW w:type="dxa" w:w="1728"/>
          </w:tcPr>
          <w:p>
            <w:r>
              <w:rPr>
                <w:sz w:val="14"/>
              </w:rPr>
              <w:t>Guerre au Moyen-Orient : le baril de Brent repasse la barre symbolique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2026-09-10</w:t>
            </w:r>
          </w:p>
        </w:tc>
        <w:tc>
          <w:tcPr>
            <w:tcW w:type="dxa" w:w="1728"/>
          </w:tcPr>
          <w:p>
            <w:r>
              <w:rPr>
                <w:sz w:val="14"/>
              </w:rPr>
              <w:t>Marché des matières premières : l'indice MXV dépasse les 3 000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2026-09-10</w:t>
            </w:r>
          </w:p>
        </w:tc>
        <w:tc>
          <w:tcPr>
            <w:tcW w:type="dxa" w:w="1728"/>
          </w:tcPr>
          <w:p>
            <w:r>
              <w:rPr>
                <w:sz w:val="14"/>
              </w:rPr>
              <w:t>Vers une hausse de taux de la BCE, la dernière du cycle? - L'Echo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2026-09-09</w:t>
            </w:r>
          </w:p>
        </w:tc>
        <w:tc>
          <w:tcPr>
            <w:tcW w:type="dxa" w:w="1728"/>
          </w:tcPr>
          <w:p>
            <w:r>
              <w:rPr>
                <w:sz w:val="14"/>
              </w:rPr>
              <w:t>La Bourse de Paris attendue en légère hausse , les yeux tournés vers 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2026-09-07</w:t>
            </w:r>
          </w:p>
        </w:tc>
        <w:tc>
          <w:tcPr>
            <w:tcW w:type="dxa" w:w="1728"/>
          </w:tcPr>
          <w:p>
            <w:r>
              <w:rPr>
                <w:sz w:val="14"/>
              </w:rPr>
              <w:t>Marché : Quel est le calendrier des jours fériés à Wall Street en 2026</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2026-09-09</w:t>
            </w:r>
          </w:p>
        </w:tc>
        <w:tc>
          <w:tcPr>
            <w:tcW w:type="dxa" w:w="1728"/>
          </w:tcPr>
          <w:p>
            <w:r>
              <w:rPr>
                <w:sz w:val="14"/>
              </w:rPr>
              <w:t>Guerre au Moyen-Orient : le baril de Brent repasse la barre symbolique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2026-09-10</w:t>
            </w:r>
          </w:p>
        </w:tc>
        <w:tc>
          <w:tcPr>
            <w:tcW w:type="dxa" w:w="1728"/>
          </w:tcPr>
          <w:p>
            <w:r>
              <w:rPr>
                <w:sz w:val="14"/>
              </w:rPr>
              <w:t>Marché des matières premières : l'indice MXV dépasse les 3 000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2026-09-10</w:t>
            </w:r>
          </w:p>
        </w:tc>
        <w:tc>
          <w:tcPr>
            <w:tcW w:type="dxa" w:w="1728"/>
          </w:tcPr>
          <w:p>
            <w:r>
              <w:rPr>
                <w:sz w:val="14"/>
              </w:rPr>
              <w:t>Vers une hausse de taux de la BCE, la dernière du cycle? - L'Echo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2026-09-09</w:t>
            </w:r>
          </w:p>
        </w:tc>
        <w:tc>
          <w:tcPr>
            <w:tcW w:type="dxa" w:w="1728"/>
          </w:tcPr>
          <w:p>
            <w:r>
              <w:rPr>
                <w:sz w:val="14"/>
              </w:rPr>
              <w:t>La Bourse de Paris attendue en légère hausse , les yeux tournés vers 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2026-09-07</w:t>
            </w:r>
          </w:p>
        </w:tc>
        <w:tc>
          <w:tcPr>
            <w:tcW w:type="dxa" w:w="1728"/>
          </w:tcPr>
          <w:p>
            <w:r>
              <w:rPr>
                <w:sz w:val="14"/>
              </w:rPr>
              <w:t>Marché : Quel est le calendrier des jours fériés à Wall Street en 2026</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2026-09-09</w:t>
            </w:r>
          </w:p>
        </w:tc>
        <w:tc>
          <w:tcPr>
            <w:tcW w:type="dxa" w:w="1728"/>
          </w:tcPr>
          <w:p>
            <w:r>
              <w:rPr>
                <w:sz w:val="14"/>
              </w:rPr>
              <w:t>Guerre au Moyen-Orient : le baril de Brent repasse la barre symbolique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2026-09-10</w:t>
            </w:r>
          </w:p>
        </w:tc>
        <w:tc>
          <w:tcPr>
            <w:tcW w:type="dxa" w:w="1728"/>
          </w:tcPr>
          <w:p>
            <w:r>
              <w:rPr>
                <w:sz w:val="14"/>
              </w:rPr>
              <w:t>Marché des matières premières : l'indice MXV dépasse les 3 000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2026-09-10</w:t>
            </w:r>
          </w:p>
        </w:tc>
        <w:tc>
          <w:tcPr>
            <w:tcW w:type="dxa" w:w="1728"/>
          </w:tcPr>
          <w:p>
            <w:r>
              <w:rPr>
                <w:sz w:val="14"/>
              </w:rPr>
              <w:t>Vers une hausse de taux de la BCE, la dernière du cycle? - L'Echo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2026-09-09</w:t>
            </w:r>
          </w:p>
        </w:tc>
        <w:tc>
          <w:tcPr>
            <w:tcW w:type="dxa" w:w="1728"/>
          </w:tcPr>
          <w:p>
            <w:r>
              <w:rPr>
                <w:sz w:val="14"/>
              </w:rPr>
              <w:t>La Bourse de Paris attendue en légère hausse , les yeux tournés vers 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2026-09-07</w:t>
            </w:r>
          </w:p>
        </w:tc>
        <w:tc>
          <w:tcPr>
            <w:tcW w:type="dxa" w:w="1728"/>
          </w:tcPr>
          <w:p>
            <w:r>
              <w:rPr>
                <w:sz w:val="14"/>
              </w:rPr>
              <w:t>Marché : Quel est le calendrier des jours fériés à Wall Street en 2026</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2026-09-09</w:t>
            </w:r>
          </w:p>
        </w:tc>
        <w:tc>
          <w:tcPr>
            <w:tcW w:type="dxa" w:w="1728"/>
          </w:tcPr>
          <w:p>
            <w:r>
              <w:rPr>
                <w:sz w:val="14"/>
              </w:rPr>
              <w:t>Guerre au Moyen-Orient : le baril de Brent repasse la barre symbolique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2026-09-10</w:t>
            </w:r>
          </w:p>
        </w:tc>
        <w:tc>
          <w:tcPr>
            <w:tcW w:type="dxa" w:w="1728"/>
          </w:tcPr>
          <w:p>
            <w:r>
              <w:rPr>
                <w:sz w:val="14"/>
              </w:rPr>
              <w:t>Marché des matières premières : l'indice MXV dépasse les 3 000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2026-09-10</w:t>
            </w:r>
          </w:p>
        </w:tc>
        <w:tc>
          <w:tcPr>
            <w:tcW w:type="dxa" w:w="1728"/>
          </w:tcPr>
          <w:p>
            <w:r>
              <w:rPr>
                <w:sz w:val="14"/>
              </w:rPr>
              <w:t>Vers une hausse de taux de la BCE, la dernière du cycle? - L'Echo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2026-09-09</w:t>
            </w:r>
          </w:p>
        </w:tc>
        <w:tc>
          <w:tcPr>
            <w:tcW w:type="dxa" w:w="1728"/>
          </w:tcPr>
          <w:p>
            <w:r>
              <w:rPr>
                <w:sz w:val="14"/>
              </w:rPr>
              <w:t>La Bourse de Paris attendue en légère hausse , les yeux tournés vers 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(8 alerte(s))</w:t>
      </w:r>
    </w:p>
    <w:p>
      <w:pPr>
        <w:spacing w:before="40" w:after="40"/>
        <w:ind w:left="360"/>
      </w:pPr>
      <w:r>
        <w:rPr>
          <w:color w:val="646464"/>
          <w:sz w:val="17"/>
        </w:rPr>
        <w:t xml:space="preserve">[10/09/2026] 🔴  </w:t>
      </w:r>
      <w:r>
        <w:rPr>
          <w:b/>
          <w:color w:val="C00000"/>
          <w:sz w:val="18"/>
        </w:rPr>
        <w:t>Sénégal : après la DPG, le vrai sujet devient le rapport de force entre Faye et Sonko - africaradio.com</w:t>
      </w:r>
      <w:r>
        <w:rPr>
          <w:color w:val="787878"/>
          <w:sz w:val="15"/>
        </w:rPr>
        <w:t xml:space="preserve">  [politique]</w:t>
      </w:r>
      <w:r>
        <w:rPr>
          <w:color w:val="B47800"/>
          <w:sz w:val="16"/>
        </w:rPr>
        <w:t xml:space="preserve">  ★ 50/10</w:t>
      </w:r>
    </w:p>
    <w:p>
      <w:pPr>
        <w:spacing w:before="0" w:after="20"/>
        <w:ind w:left="600"/>
      </w:pPr>
      <w:r>
        <w:rPr>
          <w:color w:val="323232"/>
          <w:sz w:val="17"/>
        </w:rPr>
        <w:t>L'article évoque les tensions politiques au Sénégal entre le président Bassirou Diomaye Faye et le Premier ministre Ousmane Sonko après la Déclaration de Politique Générale (DPG). Le sujet central devient le rapport de force entre les deux hommes forts du régime. Cette dynamique pourrait affecter la stabilité politique et la mise en œuvre des réfor</w:t>
      </w:r>
    </w:p>
    <w:p>
      <w:pPr>
        <w:spacing w:before="0" w:after="40"/>
        <w:ind w:left="600"/>
      </w:pPr>
      <w:r>
        <w:rPr>
          <w:color w:val="00643C"/>
          <w:sz w:val="16"/>
        </w:rPr>
        <w:t>Points clés : Tensions entre Faye et Sonko après la DPG  •  Enjeu de leadership au sommet de l'État sénégalais  •  Risque d'instabilité politique et d'incertitude sur les réformes</w:t>
      </w:r>
    </w:p>
    <w:p>
      <w:pPr>
        <w:spacing w:before="0" w:after="60"/>
        <w:ind w:left="600"/>
      </w:pPr>
      <w:r>
        <w:rPr>
          <w:color w:val="0064B4"/>
          <w:sz w:val="15"/>
        </w:rPr>
        <w:t>Source : https://news.google.com/rss/articles/CBMixgFBVV95cUxOX2hkV2RJUUJnMGcwdDctdTBnS1V</w:t>
      </w:r>
    </w:p>
    <w:p>
      <w:pPr>
        <w:spacing w:before="40" w:after="40"/>
        <w:ind w:left="360"/>
      </w:pPr>
      <w:r>
        <w:rPr>
          <w:color w:val="646464"/>
          <w:sz w:val="17"/>
        </w:rPr>
        <w:t xml:space="preserve">[10/09/2026] 🔴  </w:t>
      </w:r>
      <w:r>
        <w:rPr>
          <w:b/>
          <w:color w:val="C00000"/>
          <w:sz w:val="18"/>
        </w:rPr>
        <w:t>Côte d’Ivoire : la révision du fichier électoral suspendue à la nouvelle CEI - Africtelegraph</w:t>
      </w:r>
      <w:r>
        <w:rPr>
          <w:color w:val="787878"/>
          <w:sz w:val="15"/>
        </w:rPr>
        <w:t xml:space="preserve">  [politique]</w:t>
      </w:r>
      <w:r>
        <w:rPr>
          <w:color w:val="B47800"/>
          <w:sz w:val="16"/>
        </w:rPr>
        <w:t xml:space="preserve">  ★ 50/10</w:t>
      </w:r>
    </w:p>
    <w:p>
      <w:pPr>
        <w:spacing w:before="0" w:after="20"/>
        <w:ind w:left="600"/>
      </w:pPr>
      <w:r>
        <w:rPr>
          <w:color w:val="323232"/>
          <w:sz w:val="17"/>
        </w:rPr>
        <w:t xml:space="preserve">La révision du fichier électoral en Côte d'Ivoire est suspendue en attendant la mise en place de la nouvelle Commission Électorale Indépendante (CEI). Cette situation crée un retard dans le processus électoral et suscite des inquiétudes sur le calendrier des prochaines élections. Les autorités doivent nommer les membres de la nouvelle CEI avant de </w:t>
      </w:r>
    </w:p>
    <w:p>
      <w:pPr>
        <w:spacing w:before="0" w:after="40"/>
        <w:ind w:left="600"/>
      </w:pPr>
      <w:r>
        <w:rPr>
          <w:color w:val="00643C"/>
          <w:sz w:val="16"/>
        </w:rPr>
        <w:t>Points clés : La révision du fichier électoral est suspendue à la nouvelle CEI  •  Retard dans le processus électoral ivoirien  •  Incertitude sur le calendrier des élections à venir</w:t>
      </w:r>
    </w:p>
    <w:p>
      <w:pPr>
        <w:spacing w:before="0" w:after="60"/>
        <w:ind w:left="600"/>
      </w:pPr>
      <w:r>
        <w:rPr>
          <w:color w:val="0064B4"/>
          <w:sz w:val="15"/>
        </w:rPr>
        <w:t>Source : https://news.google.com/rss/articles/CBMiqgFBVV95cUxPc1BNWkZPZzRTZTdHOXBYUi1WX09</w:t>
      </w:r>
    </w:p>
    <w:p>
      <w:pPr>
        <w:spacing w:before="40" w:after="40"/>
        <w:ind w:left="360"/>
      </w:pPr>
      <w:r>
        <w:rPr>
          <w:color w:val="646464"/>
          <w:sz w:val="17"/>
        </w:rPr>
        <w:t xml:space="preserve">[10/09/2026] ⚪  </w:t>
      </w:r>
      <w:r>
        <w:rPr>
          <w:b/>
          <w:color w:val="505050"/>
          <w:sz w:val="18"/>
        </w:rPr>
        <w:t>VIDÉO. Sénégal: la bataille des partis dans un paysage politique remodelé - tv5monde</w:t>
      </w:r>
      <w:r>
        <w:rPr>
          <w:color w:val="787878"/>
          <w:sz w:val="15"/>
        </w:rPr>
        <w:t xml:space="preserve">  [politique]</w:t>
      </w:r>
      <w:r>
        <w:rPr>
          <w:color w:val="B47800"/>
          <w:sz w:val="16"/>
        </w:rPr>
        <w:t xml:space="preserve">  ★ 50/10</w:t>
      </w:r>
    </w:p>
    <w:p>
      <w:pPr>
        <w:spacing w:before="0" w:after="20"/>
        <w:ind w:left="600"/>
      </w:pPr>
      <w:r>
        <w:rPr>
          <w:color w:val="323232"/>
          <w:sz w:val="17"/>
        </w:rPr>
        <w:t>L'article de TV5 Monde évoque la bataille des partis politiques au Sénégal dans un paysage politique remodelé. Il s'agit d'une vidéo traitant des dynamiques politiques actuelles, probablement en lien avec les élections ou les recompositions partisanes. Le contenu reste très succinct et ne fournit pas de détails économiques ou financiers spécifiques</w:t>
      </w:r>
    </w:p>
    <w:p>
      <w:pPr>
        <w:spacing w:before="0" w:after="40"/>
        <w:ind w:left="600"/>
      </w:pPr>
      <w:r>
        <w:rPr>
          <w:color w:val="00643C"/>
          <w:sz w:val="16"/>
        </w:rPr>
        <w:t>Points clés : Paysage politique sénégalais en recomposition  •  Bataille entre partis politiques  •  Contenu vidéo de TV5 Monde  •  Aucune information économique ou financière directe</w:t>
      </w:r>
    </w:p>
    <w:p>
      <w:pPr>
        <w:spacing w:before="0" w:after="60"/>
        <w:ind w:left="600"/>
      </w:pPr>
      <w:r>
        <w:rPr>
          <w:color w:val="0064B4"/>
          <w:sz w:val="15"/>
        </w:rPr>
        <w:t>Source : https://news.google.com/rss/articles/CBMivAFBVV95cUxPTXFUbjBTYXdDdHdDa3Y4bkNpaVp</w:t>
      </w:r>
    </w:p>
    <w:p>
      <w:pPr>
        <w:spacing w:before="40" w:after="40"/>
        <w:ind w:left="360"/>
      </w:pPr>
      <w:r>
        <w:rPr>
          <w:color w:val="646464"/>
          <w:sz w:val="17"/>
        </w:rPr>
        <w:t xml:space="preserve">[09/09/2026] ⚪  </w:t>
      </w:r>
      <w:r>
        <w:rPr>
          <w:b/>
          <w:color w:val="505050"/>
          <w:sz w:val="18"/>
        </w:rPr>
        <w:t>Le Premier ministre sénégalais dévoile ses priorités - dw.com</w:t>
      </w:r>
      <w:r>
        <w:rPr>
          <w:color w:val="787878"/>
          <w:sz w:val="15"/>
        </w:rPr>
        <w:t xml:space="preserve">  [politique]</w:t>
      </w:r>
      <w:r>
        <w:rPr>
          <w:color w:val="B47800"/>
          <w:sz w:val="16"/>
        </w:rPr>
        <w:t xml:space="preserve">  ★ 50/10</w:t>
      </w:r>
    </w:p>
    <w:p>
      <w:pPr>
        <w:spacing w:before="0" w:after="20"/>
        <w:ind w:left="600"/>
      </w:pPr>
      <w:r>
        <w:rPr>
          <w:color w:val="323232"/>
          <w:sz w:val="17"/>
        </w:rPr>
        <w:t>Le Premier ministre sénégalais a présenté ses priorités gouvernementales lors d'une allocution rapportée par dw.com. Ces priorités couvrent probablement des domaines clés tels que l'économie, les réformes structurelles et les politiques sociales. L'annonce intervient dans un contexte de suivi des engagements de l'équipe dirigeante. Les marchés de l</w:t>
      </w:r>
    </w:p>
    <w:p>
      <w:pPr>
        <w:spacing w:before="0" w:after="40"/>
        <w:ind w:left="600"/>
      </w:pPr>
      <w:r>
        <w:rPr>
          <w:color w:val="00643C"/>
          <w:sz w:val="16"/>
        </w:rPr>
        <w:t>Points clés : Le Premier ministre sénégalais dévoile ses priorités gouvernementales  •  Annonce relayée par dw.com, média international  •  Les priorités pourraient inclure des réformes économiques et sociales  •  Impact potentiel sur le climat des affaires au Sénégal</w:t>
      </w:r>
    </w:p>
    <w:p>
      <w:pPr>
        <w:spacing w:before="0" w:after="60"/>
        <w:ind w:left="600"/>
      </w:pPr>
      <w:r>
        <w:rPr>
          <w:color w:val="0064B4"/>
          <w:sz w:val="15"/>
        </w:rPr>
        <w:t>Source : https://news.google.com/rss/articles/CBMihAFBVV95cUxQMUppRXVHbWdPWFEwSG1MSDRLWlo</w:t>
      </w:r>
    </w:p>
    <w:p>
      <w:pPr>
        <w:spacing w:before="40" w:after="40"/>
        <w:ind w:left="360"/>
      </w:pPr>
      <w:r>
        <w:rPr>
          <w:color w:val="646464"/>
          <w:sz w:val="17"/>
        </w:rPr>
        <w:t xml:space="preserve">[09/09/2026] ⚪  </w:t>
      </w:r>
      <w:r>
        <w:rPr>
          <w:b/>
          <w:color w:val="505050"/>
          <w:sz w:val="18"/>
        </w:rPr>
        <w:t>Côte d’Ivoire/Nouvelle commission électorale : l’opposition se concerte pour présenter une ‘’proposition commune’’ au go</w:t>
      </w:r>
      <w:r>
        <w:rPr>
          <w:color w:val="787878"/>
          <w:sz w:val="15"/>
        </w:rPr>
        <w:t xml:space="preserve">  [politique]</w:t>
      </w:r>
      <w:r>
        <w:rPr>
          <w:color w:val="B47800"/>
          <w:sz w:val="16"/>
        </w:rPr>
        <w:t xml:space="preserve">  ★ 50/10</w:t>
      </w:r>
    </w:p>
    <w:p>
      <w:pPr>
        <w:spacing w:before="0" w:after="20"/>
        <w:ind w:left="600"/>
      </w:pPr>
      <w:r>
        <w:rPr>
          <w:color w:val="323232"/>
          <w:sz w:val="17"/>
        </w:rPr>
        <w:t xml:space="preserve">L'opposition ivoirienne se concerte pour élaborer une proposition commune sur la nouvelle commission électorale, qu'elle souhaite présenter au gouvernement. Cette démarche intervient dans un contexte de négociations sur l'organisation des prochaines élections. L'objectif est de peser sur la composition et le fonctionnement de l'institution chargée </w:t>
      </w:r>
    </w:p>
    <w:p>
      <w:pPr>
        <w:spacing w:before="0" w:after="40"/>
        <w:ind w:left="600"/>
      </w:pPr>
      <w:r>
        <w:rPr>
          <w:color w:val="00643C"/>
          <w:sz w:val="16"/>
        </w:rPr>
        <w:t>Points clés : L'opposition se concerte pour une proposition commune sur la nouvelle commission électorale  •  La proposition sera présentée au gouvernement  •  Enjeu : composition et fonctionnement de l'organe électoral  •  Contexte de préparation des prochaines élections en Côte d'Ivoire</w:t>
      </w:r>
    </w:p>
    <w:p>
      <w:pPr>
        <w:spacing w:before="0" w:after="60"/>
        <w:ind w:left="600"/>
      </w:pPr>
      <w:r>
        <w:rPr>
          <w:color w:val="0064B4"/>
          <w:sz w:val="15"/>
        </w:rPr>
        <w:t>Source : https://news.google.com/rss/articles/CBMi9gFBVV95cUxOMGpfbjJQb3J6M3RzbGs2M0ZsNU1</w:t>
      </w:r>
    </w:p>
    <w:p>
      <w:pPr>
        <w:spacing w:before="120" w:after="40"/>
      </w:pPr>
      <w:r>
        <w:rPr>
          <w:b/>
          <w:color w:val="00467F"/>
          <w:sz w:val="20"/>
        </w:rPr>
        <w:t>🔑 politique_monetaire  (9 alerte(s))</w:t>
      </w:r>
    </w:p>
    <w:p>
      <w:pPr>
        <w:spacing w:before="40" w:after="40"/>
        <w:ind w:left="360"/>
      </w:pPr>
      <w:r>
        <w:rPr>
          <w:color w:val="646464"/>
          <w:sz w:val="17"/>
        </w:rPr>
        <w:t xml:space="preserve">[10/09/2026] ⚪  </w:t>
      </w:r>
      <w:r>
        <w:rPr>
          <w:b/>
          <w:color w:val="505050"/>
          <w:sz w:val="18"/>
        </w:rPr>
        <w:t>UEMOA: la BCEAO maintient son principal taux directeur à 3% (Officiel) - Abidjan.net News</w:t>
      </w:r>
      <w:r>
        <w:rPr>
          <w:color w:val="787878"/>
          <w:sz w:val="15"/>
        </w:rPr>
        <w:t xml:space="preserve">  [politique_monetaire]</w:t>
      </w:r>
      <w:r>
        <w:rPr>
          <w:color w:val="B47800"/>
          <w:sz w:val="16"/>
        </w:rPr>
        <w:t xml:space="preserve">  ★ 50/10</w:t>
      </w:r>
    </w:p>
    <w:p>
      <w:pPr>
        <w:spacing w:before="0" w:after="20"/>
        <w:ind w:left="600"/>
      </w:pPr>
      <w:r>
        <w:rPr>
          <w:color w:val="323232"/>
          <w:sz w:val="17"/>
        </w:rPr>
        <w:t>La BCEAO a décidé de maintenir son principal taux directeur à 3% lors de sa dernière réunion de politique monétaire. Cette décision s'inscrit dans un contexte de maîtrise de l'inflation et de soutien à la croissance économique dans l'UEMOA. Le statu quo monétaire vise à préserver la stabilité des prix et à favoriser le financement de l'économie. Ce</w:t>
      </w:r>
    </w:p>
    <w:p>
      <w:pPr>
        <w:spacing w:before="0" w:after="40"/>
        <w:ind w:left="600"/>
      </w:pPr>
      <w:r>
        <w:rPr>
          <w:color w:val="00643C"/>
          <w:sz w:val="16"/>
        </w:rPr>
        <w:t>Points clés : Maintien du taux directeur de la BCEAO à 3%  •  Décision officielle annoncée par Abidjan.net  •  Objectif de stabilité des prix et de soutien à la croissance</w:t>
      </w:r>
    </w:p>
    <w:p>
      <w:pPr>
        <w:spacing w:before="0" w:after="60"/>
        <w:ind w:left="600"/>
      </w:pPr>
      <w:r>
        <w:rPr>
          <w:color w:val="0064B4"/>
          <w:sz w:val="15"/>
        </w:rPr>
        <w:t>Source : https://news.google.com/rss/articles/CBMiqwFBVV95cUxPUXFDWUc2RnMyQm9KVlUyS1czZkd</w:t>
      </w:r>
    </w:p>
    <w:p>
      <w:pPr>
        <w:spacing w:before="40" w:after="40"/>
        <w:ind w:left="360"/>
      </w:pPr>
      <w:r>
        <w:rPr>
          <w:color w:val="646464"/>
          <w:sz w:val="17"/>
        </w:rPr>
        <w:t xml:space="preserve">[10/09/2026] 🔴  </w:t>
      </w:r>
      <w:r>
        <w:rPr>
          <w:b/>
          <w:color w:val="C00000"/>
          <w:sz w:val="18"/>
        </w:rPr>
        <w:t>Taux immobilier : ce qui change pour le coût du crédit avec la hausse de la BCE - MoneyVox</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a relevé ses taux directeurs, ce qui entraîne une hausse des taux d'intérêt des crédits immobiliers dans la zone euro. Cette augmentation renchérit le coût du financement pour les ménages et les promoteurs, réduisant la capacité d'emprunt et pesant sur la demande de logements. Les banques ajustent leurs barèmes à</w:t>
      </w:r>
    </w:p>
    <w:p>
      <w:pPr>
        <w:spacing w:before="0" w:after="40"/>
        <w:ind w:left="600"/>
      </w:pPr>
      <w:r>
        <w:rPr>
          <w:color w:val="00643C"/>
          <w:sz w:val="16"/>
        </w:rPr>
        <w:t>Points clés : Hausse des taux directeurs de la BCE  •  Répercussion sur les taux des crédits immobiliers  •  Baisse du pouvoir d'achat immobilier des ménages  •  Impact négatif sur la demande de logements neufs</w:t>
      </w:r>
    </w:p>
    <w:p>
      <w:pPr>
        <w:spacing w:before="0" w:after="60"/>
        <w:ind w:left="600"/>
      </w:pPr>
      <w:r>
        <w:rPr>
          <w:color w:val="0064B4"/>
          <w:sz w:val="15"/>
        </w:rPr>
        <w:t>Source : https://news.google.com/rss/articles/CBMixAFBVV95cUxOdXAwazhVZmtvd29pdDNwaFNHNnc</w:t>
      </w:r>
    </w:p>
    <w:p>
      <w:pPr>
        <w:spacing w:before="40" w:after="40"/>
        <w:ind w:left="360"/>
      </w:pPr>
      <w:r>
        <w:rPr>
          <w:color w:val="646464"/>
          <w:sz w:val="17"/>
        </w:rPr>
        <w:t xml:space="preserve">[10/09/2026] ⚪  </w:t>
      </w:r>
      <w:r>
        <w:rPr>
          <w:b/>
          <w:color w:val="505050"/>
          <w:sz w:val="18"/>
        </w:rPr>
        <w:t>BCEAO : ouverture de la troisième session du Comité de politique monétaire - Africtelegraph</w:t>
      </w:r>
      <w:r>
        <w:rPr>
          <w:color w:val="787878"/>
          <w:sz w:val="15"/>
        </w:rPr>
        <w:t xml:space="preserve">  [politique_monetaire]</w:t>
      </w:r>
      <w:r>
        <w:rPr>
          <w:color w:val="B47800"/>
          <w:sz w:val="16"/>
        </w:rPr>
        <w:t xml:space="preserve">  ★ 50/10</w:t>
      </w:r>
    </w:p>
    <w:p>
      <w:pPr>
        <w:spacing w:before="0" w:after="20"/>
        <w:ind w:left="600"/>
      </w:pPr>
      <w:r>
        <w:rPr>
          <w:color w:val="323232"/>
          <w:sz w:val="17"/>
        </w:rPr>
        <w:t>La BCEAO a ouvert la troisième session ordinaire de son Comité de politique monétaire (CPM) pour l'année en cours. Cette réunion examine l'évolution récente de la conjoncture économique, monétaire et financière au sein de l'Union économique et monétaire ouest-africaine (UEMOA). Les décisions attendues portent notamment sur les taux directeurs et le</w:t>
      </w:r>
    </w:p>
    <w:p>
      <w:pPr>
        <w:spacing w:before="0" w:after="40"/>
        <w:ind w:left="600"/>
      </w:pPr>
      <w:r>
        <w:rPr>
          <w:color w:val="00643C"/>
          <w:sz w:val="16"/>
        </w:rPr>
        <w:t>Points clés : Ouverture de la troisième session ordinaire du Comité de politique monétaire de la BCEAO  •  Examen de la conjoncture économique, monétaire et financière de l'UEMOA  •  Décisions attendues sur les taux directeurs et la liquidité bancaire  •  Impact potentiel sur le coût du crédit et le financement des économies de la zone</w:t>
      </w:r>
    </w:p>
    <w:p>
      <w:pPr>
        <w:spacing w:before="0" w:after="60"/>
        <w:ind w:left="600"/>
      </w:pPr>
      <w:r>
        <w:rPr>
          <w:color w:val="0064B4"/>
          <w:sz w:val="15"/>
        </w:rPr>
        <w:t>Source : https://news.google.com/rss/articles/CBMiqAFBVV95cUxNVG1xYzBIbkY3QTZmMzBJS3JHMXh</w:t>
      </w:r>
    </w:p>
    <w:p>
      <w:pPr>
        <w:spacing w:before="40" w:after="40"/>
        <w:ind w:left="360"/>
      </w:pPr>
      <w:r>
        <w:rPr>
          <w:color w:val="646464"/>
          <w:sz w:val="17"/>
        </w:rPr>
        <w:t xml:space="preserve">[10/09/2026] ⚪  </w:t>
      </w:r>
      <w:r>
        <w:rPr>
          <w:b/>
          <w:color w:val="505050"/>
          <w:sz w:val="18"/>
        </w:rPr>
        <w:t>BCE : une hausse des taux attendue jeudi, suspense pour la suite - lecourrier.vn</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devrait annoncer une nouvelle hausse de ses taux directeurs lors de sa réunion de jeudi, selon lecourrier.vn. Les marchés anticipent ce resserrement monétaire pour lutter contre l'inflation persistante dans la zone euro. Cependant, l'incertitude demeure quant à la trajectoire future des taux, la BCE ne s'étant pa</w:t>
      </w:r>
    </w:p>
    <w:p>
      <w:pPr>
        <w:spacing w:before="0" w:after="40"/>
        <w:ind w:left="600"/>
      </w:pPr>
      <w:r>
        <w:rPr>
          <w:color w:val="00643C"/>
          <w:sz w:val="16"/>
        </w:rPr>
        <w:t>Points clés : Hausse des taux de la BCE attendue jeudi  •  Incertitude sur la poursuite du cycle de resserrement  •  Impact potentiel sur les marchés mondiaux et les devises</w:t>
      </w:r>
    </w:p>
    <w:p>
      <w:pPr>
        <w:spacing w:before="0" w:after="60"/>
        <w:ind w:left="600"/>
      </w:pPr>
      <w:r>
        <w:rPr>
          <w:color w:val="0064B4"/>
          <w:sz w:val="15"/>
        </w:rPr>
        <w:t>Source : https://news.google.com/rss/articles/CBMinAFBVV95cUxPZnhfWlFzeVNPMmhkRGJpT2JrVFh</w:t>
      </w:r>
    </w:p>
    <w:p>
      <w:pPr>
        <w:spacing w:before="40" w:after="40"/>
        <w:ind w:left="360"/>
      </w:pPr>
      <w:r>
        <w:rPr>
          <w:color w:val="646464"/>
          <w:sz w:val="17"/>
        </w:rPr>
        <w:t xml:space="preserve">[10/09/2026] ⚪  </w:t>
      </w:r>
      <w:r>
        <w:rPr>
          <w:b/>
          <w:color w:val="505050"/>
          <w:sz w:val="18"/>
        </w:rPr>
        <w:t>Vers une hausse de taux de la BCE, la dernière du cycle? - L'Echo</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s'apprête à relever ses taux d'intérêt, possiblement pour la dernière fois du cycle de resserrement monétaire. Cette décision intervient dans un contexte de ralentissement de l'inflation et de craintes de récession en zone euro. Les marchés anticipent une pause après cette hausse, voire une baisse des taux en 202</w:t>
      </w:r>
    </w:p>
    <w:p>
      <w:pPr>
        <w:spacing w:before="0" w:after="40"/>
        <w:ind w:left="600"/>
      </w:pPr>
      <w:r>
        <w:rPr>
          <w:color w:val="00643C"/>
          <w:sz w:val="16"/>
        </w:rPr>
        <w:t>Points clés : La BCE devrait annoncer une nouvelle hausse de taux, potentiellement la dernière du cycle.  •  L'inflation en zone euro ralentit mais reste supérieure à la cible de 2%.  •  Les marchés s'attendent à un pic des taux suivis d'une pause, voire d'une baisse en 2024.  •  L'impact sur les devises et les obligations souveraines européennes sera surveillé.</w:t>
      </w:r>
    </w:p>
    <w:p>
      <w:pPr>
        <w:spacing w:before="0" w:after="60"/>
        <w:ind w:left="600"/>
      </w:pPr>
      <w:r>
        <w:rPr>
          <w:color w:val="0064B4"/>
          <w:sz w:val="15"/>
        </w:rPr>
        <w:t>Source : https://news.google.com/rss/articles/CBMitAFBVV95cUxPa0tINWxndFV3dUt3RlhDMVdsdDN</w:t>
      </w:r>
    </w:p>
    <w:p>
      <w:pPr>
        <w:spacing w:before="120" w:after="40"/>
      </w:pPr>
      <w:r>
        <w:rPr>
          <w:b/>
          <w:color w:val="00467F"/>
          <w:sz w:val="20"/>
        </w:rPr>
        <w:t>🔑 matieres_premieres  (1 alerte(s))</w:t>
      </w:r>
    </w:p>
    <w:p>
      <w:pPr>
        <w:spacing w:before="40" w:after="40"/>
        <w:ind w:left="360"/>
      </w:pPr>
      <w:r>
        <w:rPr>
          <w:color w:val="646464"/>
          <w:sz w:val="17"/>
        </w:rPr>
        <w:t xml:space="preserve">[10/09/2026] 🟢  </w:t>
      </w:r>
      <w:r>
        <w:rPr>
          <w:b/>
          <w:color w:val="008000"/>
          <w:sz w:val="18"/>
        </w:rPr>
        <w:t>Marché des matières premières : l'indice MXV dépasse les 3 000 points. - Vietnam.vn</w:t>
      </w:r>
      <w:r>
        <w:rPr>
          <w:color w:val="787878"/>
          <w:sz w:val="15"/>
        </w:rPr>
        <w:t xml:space="preserve">  [matieres_premieres]</w:t>
      </w:r>
      <w:r>
        <w:rPr>
          <w:color w:val="B47800"/>
          <w:sz w:val="16"/>
        </w:rPr>
        <w:t xml:space="preserve">  ★ 50/10</w:t>
      </w:r>
    </w:p>
    <w:p>
      <w:pPr>
        <w:spacing w:before="0" w:after="20"/>
        <w:ind w:left="600"/>
      </w:pPr>
      <w:r>
        <w:rPr>
          <w:color w:val="323232"/>
          <w:sz w:val="17"/>
        </w:rPr>
        <w:t>L'indice MXV, qui suit l'évolution des matières premières sur le marché vietnamien, a franchi la barre symbolique des 3 000 points. Cette progression reflète une dynamique haussière sur les commodities, portée par des facteurs tels que la demande mondiale et les tensions géopolitiques. Ce seuil marque un niveau psychologique important pour les inve</w:t>
      </w:r>
    </w:p>
    <w:p>
      <w:pPr>
        <w:spacing w:before="0" w:after="40"/>
        <w:ind w:left="600"/>
      </w:pPr>
      <w:r>
        <w:rPr>
          <w:color w:val="00643C"/>
          <w:sz w:val="16"/>
        </w:rPr>
        <w:t>Points clés : L'indice MXV dépasse les 3 000 points.  •  Progression des matières premières sur le marché vietnamien.  •  Seuil psychologique important pour les investisseurs.  •  Absence de détails sur les facteurs explicatifs.</w:t>
      </w:r>
    </w:p>
    <w:p>
      <w:pPr>
        <w:spacing w:before="0" w:after="60"/>
        <w:ind w:left="600"/>
      </w:pPr>
      <w:r>
        <w:rPr>
          <w:color w:val="0064B4"/>
          <w:sz w:val="15"/>
        </w:rPr>
        <w:t>Source : https://news.google.com/rss/articles/CBMigAFBVV95cUxNM3ViZWJTX3czajNUc050NlJZbTA</w:t>
      </w:r>
    </w:p>
    <w:p>
      <w:pPr>
        <w:spacing w:before="120" w:after="40"/>
      </w:pPr>
      <w:r>
        <w:rPr>
          <w:b/>
          <w:color w:val="00467F"/>
          <w:sz w:val="20"/>
        </w:rPr>
        <w:t>🔑 économique  (1 alerte(s))</w:t>
      </w:r>
    </w:p>
    <w:p>
      <w:pPr>
        <w:spacing w:before="40" w:after="40"/>
        <w:ind w:left="360"/>
      </w:pPr>
      <w:r>
        <w:rPr>
          <w:color w:val="646464"/>
          <w:sz w:val="17"/>
        </w:rPr>
        <w:t xml:space="preserve">[09/09/2026] ⚪  </w:t>
      </w:r>
      <w:r>
        <w:rPr>
          <w:b/>
          <w:color w:val="505050"/>
          <w:sz w:val="18"/>
        </w:rPr>
        <w:t>ECO : La CEDEAO accélère le processus vers la fin du franc CFA - SeneNews</w:t>
      </w:r>
      <w:r>
        <w:rPr>
          <w:color w:val="787878"/>
          <w:sz w:val="15"/>
        </w:rPr>
        <w:t xml:space="preserve">  [économique]</w:t>
      </w:r>
      <w:r>
        <w:rPr>
          <w:color w:val="B47800"/>
          <w:sz w:val="16"/>
        </w:rPr>
        <w:t xml:space="preserve">  ★ 50/10</w:t>
      </w:r>
    </w:p>
    <w:p>
      <w:pPr>
        <w:spacing w:before="0" w:after="20"/>
        <w:ind w:left="600"/>
      </w:pPr>
      <w:r>
        <w:rPr>
          <w:color w:val="323232"/>
          <w:sz w:val="17"/>
        </w:rPr>
        <w:t xml:space="preserve">La CEDEAO accélère le processus devant conduire à la fin du franc CFA, selon SeneNews. Cette initiative s'inscrit dans une dynamique de réforme monétaire régionale visant à doter les pays membres d'une monnaie commune. Les implications pour les marchés financiers et les économies de la zone UEMOA restent à préciser. Le sujet suscite des débats sur </w:t>
      </w:r>
    </w:p>
    <w:p>
      <w:pPr>
        <w:spacing w:before="0" w:after="40"/>
        <w:ind w:left="600"/>
      </w:pPr>
      <w:r>
        <w:rPr>
          <w:color w:val="00643C"/>
          <w:sz w:val="16"/>
        </w:rPr>
        <w:t>Points clés : La CEDEAO accélère le processus de sortie du franc CFA  •  Projet de monnaie commune régionale en discussion  •  Incertitudes sur le calendrier et les modalités pratiques  •  Impact potentiel sur les échanges commerciaux et les réserves de change</w:t>
      </w:r>
    </w:p>
    <w:p>
      <w:pPr>
        <w:spacing w:before="0" w:after="60"/>
        <w:ind w:left="600"/>
      </w:pPr>
      <w:r>
        <w:rPr>
          <w:color w:val="0064B4"/>
          <w:sz w:val="15"/>
        </w:rPr>
        <w:t>Source : https://news.google.com/rss/articles/CBMitwFBVV95cUxQWnBQbWgtYjJRYS15S09QRzN3NUV</w:t>
      </w:r>
    </w:p>
    <w:p>
      <w:pPr>
        <w:spacing w:before="120" w:after="40"/>
      </w:pPr>
      <w:r>
        <w:rPr>
          <w:b/>
          <w:color w:val="00467F"/>
          <w:sz w:val="20"/>
        </w:rPr>
        <w:t>🔑 marche_financier  (1 alerte(s))</w:t>
      </w:r>
    </w:p>
    <w:p>
      <w:pPr>
        <w:spacing w:before="40" w:after="40"/>
        <w:ind w:left="360"/>
      </w:pPr>
      <w:r>
        <w:rPr>
          <w:color w:val="646464"/>
          <w:sz w:val="17"/>
        </w:rPr>
        <w:t xml:space="preserve">[09/09/2026] 🟢  </w:t>
      </w:r>
      <w:r>
        <w:rPr>
          <w:b/>
          <w:color w:val="008000"/>
          <w:sz w:val="18"/>
        </w:rPr>
        <w:t>BRVM : après une OPV souscrite à 142 %, Bridge Bank sera cotée le 24 septembre - AGENCE ECOFIN</w:t>
      </w:r>
      <w:r>
        <w:rPr>
          <w:color w:val="787878"/>
          <w:sz w:val="15"/>
        </w:rPr>
        <w:t xml:space="preserve">  [marche_financier]</w:t>
      </w:r>
      <w:r>
        <w:rPr>
          <w:color w:val="B47800"/>
          <w:sz w:val="16"/>
        </w:rPr>
        <w:t xml:space="preserve">  ★ 50/10</w:t>
      </w:r>
    </w:p>
    <w:p>
      <w:pPr>
        <w:spacing w:before="0" w:after="20"/>
        <w:ind w:left="600"/>
      </w:pPr>
      <w:r>
        <w:rPr>
          <w:color w:val="323232"/>
          <w:sz w:val="17"/>
        </w:rPr>
        <w:t>Bridge Bank a réalisé une Offre Publique de Vente (OPV) souscrite à 142 %, témoignant d'un fort intérêt des investisseurs. La banque sera cotée à la BRVM le 24 septembre prochain. Cette introduction vient renforcer le compartiment bancaire de la Bourse Régionale des Valeurs Mobilières.</w:t>
      </w:r>
    </w:p>
    <w:p>
      <w:pPr>
        <w:spacing w:before="0" w:after="40"/>
        <w:ind w:left="600"/>
      </w:pPr>
      <w:r>
        <w:rPr>
          <w:color w:val="00643C"/>
          <w:sz w:val="16"/>
        </w:rPr>
        <w:t>Points clés : OPV de Bridge Bank souscrite à 142 %  •  Cotée à la BRVM le 24 septembre  •  Renforce le secteur bancaire de la BRVM</w:t>
      </w:r>
    </w:p>
    <w:p>
      <w:pPr>
        <w:spacing w:before="0" w:after="60"/>
        <w:ind w:left="600"/>
      </w:pPr>
      <w:r>
        <w:rPr>
          <w:color w:val="0064B4"/>
          <w:sz w:val="15"/>
        </w:rPr>
        <w:t>Source : https://news.google.com/rss/articles/CBMizgFBVV95cUxQaDB0Z3ZZTEN3eTZEN2h0Z0RtVTR</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8,450</w:t>
            </w:r>
          </w:p>
        </w:tc>
        <w:tc>
          <w:tcPr>
            <w:tcW w:type="dxa" w:w="1080"/>
            <w:shd w:fill="C6EFCE" w:val="clear"/>
          </w:tcPr>
          <w:p>
            <w:r>
              <w:rPr>
                <w:b/>
                <w:sz w:val="16"/>
              </w:rPr>
              <w:t>84/100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12,495</w:t>
            </w:r>
          </w:p>
        </w:tc>
        <w:tc>
          <w:tcPr>
            <w:tcW w:type="dxa" w:w="1080"/>
            <w:shd w:fill="C6EFCE" w:val="clear"/>
          </w:tcPr>
          <w:p>
            <w:r>
              <w:rPr>
                <w:b/>
                <w:sz w:val="16"/>
              </w:rPr>
              <w:t>80/100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CABC</w:t>
            </w:r>
          </w:p>
        </w:tc>
        <w:tc>
          <w:tcPr>
            <w:tcW w:type="dxa" w:w="1080"/>
            <w:shd w:fill="C6EFCE" w:val="clear"/>
          </w:tcPr>
          <w:p>
            <w:r>
              <w:rPr>
                <w:sz w:val="16"/>
              </w:rPr>
              <w:t>INDUSTRIELS</w:t>
            </w:r>
          </w:p>
        </w:tc>
        <w:tc>
          <w:tcPr>
            <w:tcW w:type="dxa" w:w="1080"/>
            <w:shd w:fill="C6EFCE" w:val="clear"/>
          </w:tcPr>
          <w:p>
            <w:r>
              <w:rPr>
                <w:sz w:val="16"/>
              </w:rPr>
              <w:t>3,490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5,180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2,350</w:t>
            </w:r>
          </w:p>
        </w:tc>
        <w:tc>
          <w:tcPr>
            <w:tcW w:type="dxa" w:w="1080"/>
            <w:shd w:fill="C6EFCE" w:val="clear"/>
          </w:tcPr>
          <w:p>
            <w:r>
              <w:rPr>
                <w:b/>
                <w:sz w:val="16"/>
              </w:rPr>
              <w:t>75/100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10,110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SDSC</w:t>
            </w:r>
          </w:p>
        </w:tc>
        <w:tc>
          <w:tcPr>
            <w:tcW w:type="dxa" w:w="1080"/>
            <w:shd w:fill="C6EFCE" w:val="clear"/>
          </w:tcPr>
          <w:p>
            <w:r>
              <w:rPr>
                <w:sz w:val="16"/>
              </w:rPr>
              <w:t>INDUSTRIELS</w:t>
            </w:r>
          </w:p>
        </w:tc>
        <w:tc>
          <w:tcPr>
            <w:tcW w:type="dxa" w:w="1080"/>
            <w:shd w:fill="C6EFCE" w:val="clear"/>
          </w:tcPr>
          <w:p>
            <w:r>
              <w:rPr>
                <w:sz w:val="16"/>
              </w:rPr>
              <w:t>3,060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ECOC</w:t>
            </w:r>
          </w:p>
        </w:tc>
        <w:tc>
          <w:tcPr>
            <w:tcW w:type="dxa" w:w="1080"/>
            <w:shd w:fill="C6EFCE" w:val="clear"/>
          </w:tcPr>
          <w:p>
            <w:r>
              <w:rPr>
                <w:sz w:val="16"/>
              </w:rPr>
              <w:t>SERVICES FINANCIER</w:t>
            </w:r>
          </w:p>
        </w:tc>
        <w:tc>
          <w:tcPr>
            <w:tcW w:type="dxa" w:w="1080"/>
            <w:shd w:fill="C6EFCE" w:val="clear"/>
          </w:tcPr>
          <w:p>
            <w:r>
              <w:rPr>
                <w:sz w:val="16"/>
              </w:rPr>
              <w:t>17,695</w:t>
            </w:r>
          </w:p>
        </w:tc>
        <w:tc>
          <w:tcPr>
            <w:tcW w:type="dxa" w:w="1080"/>
            <w:shd w:fill="C6EFCE" w:val="clear"/>
          </w:tcPr>
          <w:p>
            <w:r>
              <w:rPr>
                <w:b/>
                <w:sz w:val="16"/>
              </w:rPr>
              <w:t>73/100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FTSC</w:t>
            </w:r>
          </w:p>
        </w:tc>
        <w:tc>
          <w:tcPr>
            <w:tcW w:type="dxa" w:w="1080"/>
            <w:shd w:fill="C6EFCE" w:val="clear"/>
          </w:tcPr>
          <w:p>
            <w:r>
              <w:rPr>
                <w:sz w:val="16"/>
              </w:rPr>
              <w:t>INDUSTRIELS</w:t>
            </w:r>
          </w:p>
        </w:tc>
        <w:tc>
          <w:tcPr>
            <w:tcW w:type="dxa" w:w="1080"/>
            <w:shd w:fill="C6EFCE" w:val="clear"/>
          </w:tcPr>
          <w:p>
            <w:r>
              <w:rPr>
                <w:sz w:val="16"/>
              </w:rPr>
              <w:t>2,100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ORGT</w:t>
            </w:r>
          </w:p>
        </w:tc>
        <w:tc>
          <w:tcPr>
            <w:tcW w:type="dxa" w:w="1080"/>
            <w:shd w:fill="C6EFCE" w:val="clear"/>
          </w:tcPr>
          <w:p>
            <w:r>
              <w:rPr>
                <w:sz w:val="16"/>
              </w:rPr>
              <w:t>SERVICES FINANCIER</w:t>
            </w:r>
          </w:p>
        </w:tc>
        <w:tc>
          <w:tcPr>
            <w:tcW w:type="dxa" w:w="1080"/>
            <w:shd w:fill="C6EFCE" w:val="clear"/>
          </w:tcPr>
          <w:p>
            <w:r>
              <w:rPr>
                <w:sz w:val="16"/>
              </w:rPr>
              <w:t>3,300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3,995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BOAB</w:t>
            </w:r>
          </w:p>
        </w:tc>
        <w:tc>
          <w:tcPr>
            <w:tcW w:type="dxa" w:w="1080"/>
            <w:shd w:fill="C6EFCE" w:val="clear"/>
          </w:tcPr>
          <w:p>
            <w:r>
              <w:rPr>
                <w:sz w:val="16"/>
              </w:rPr>
              <w:t>SERVICES FINANCIER</w:t>
            </w:r>
          </w:p>
        </w:tc>
        <w:tc>
          <w:tcPr>
            <w:tcW w:type="dxa" w:w="1080"/>
            <w:shd w:fill="C6EFCE" w:val="clear"/>
          </w:tcPr>
          <w:p>
            <w:r>
              <w:rPr>
                <w:sz w:val="16"/>
              </w:rPr>
              <w:t>10,200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7,005</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CFAC</w:t>
            </w:r>
          </w:p>
        </w:tc>
        <w:tc>
          <w:tcPr>
            <w:tcW w:type="dxa" w:w="1080"/>
            <w:shd w:fill="C6EFCE" w:val="clear"/>
          </w:tcPr>
          <w:p>
            <w:r>
              <w:rPr>
                <w:sz w:val="16"/>
              </w:rPr>
              <w:t>CONSOMMATION DISCR</w:t>
            </w:r>
          </w:p>
        </w:tc>
        <w:tc>
          <w:tcPr>
            <w:tcW w:type="dxa" w:w="1080"/>
            <w:shd w:fill="C6EFCE" w:val="clear"/>
          </w:tcPr>
          <w:p>
            <w:r>
              <w:rPr>
                <w:sz w:val="16"/>
              </w:rPr>
              <w:t>1,690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ETIT</w:t>
            </w:r>
          </w:p>
        </w:tc>
        <w:tc>
          <w:tcPr>
            <w:tcW w:type="dxa" w:w="1080"/>
            <w:shd w:fill="C6EFCE" w:val="clear"/>
          </w:tcPr>
          <w:p>
            <w:r>
              <w:rPr>
                <w:sz w:val="16"/>
              </w:rPr>
              <w:t>SERVICES FINANCIER</w:t>
            </w:r>
          </w:p>
        </w:tc>
        <w:tc>
          <w:tcPr>
            <w:tcW w:type="dxa" w:w="1080"/>
            <w:shd w:fill="C6EFCE" w:val="clear"/>
          </w:tcPr>
          <w:p>
            <w:r>
              <w:rPr>
                <w:sz w:val="16"/>
              </w:rPr>
              <w:t>70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13,500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SIVC</w:t>
            </w:r>
          </w:p>
        </w:tc>
        <w:tc>
          <w:tcPr>
            <w:tcW w:type="dxa" w:w="1080"/>
            <w:shd w:fill="C6EFCE" w:val="clear"/>
          </w:tcPr>
          <w:p>
            <w:r>
              <w:rPr>
                <w:sz w:val="16"/>
              </w:rPr>
              <w:t>INDUSTRIELS</w:t>
            </w:r>
          </w:p>
        </w:tc>
        <w:tc>
          <w:tcPr>
            <w:tcW w:type="dxa" w:w="1080"/>
            <w:shd w:fill="C6EFCE" w:val="clear"/>
          </w:tcPr>
          <w:p>
            <w:r>
              <w:rPr>
                <w:sz w:val="16"/>
              </w:rPr>
              <w:t>2,305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SMBC</w:t>
            </w:r>
          </w:p>
        </w:tc>
        <w:tc>
          <w:tcPr>
            <w:tcW w:type="dxa" w:w="1080"/>
            <w:shd w:fill="C6EFCE" w:val="clear"/>
          </w:tcPr>
          <w:p>
            <w:r>
              <w:rPr>
                <w:sz w:val="16"/>
              </w:rPr>
              <w:t>ENERGIE</w:t>
            </w:r>
          </w:p>
        </w:tc>
        <w:tc>
          <w:tcPr>
            <w:tcW w:type="dxa" w:w="1080"/>
            <w:shd w:fill="C6EFCE" w:val="clear"/>
          </w:tcPr>
          <w:p>
            <w:r>
              <w:rPr>
                <w:sz w:val="16"/>
              </w:rPr>
              <w:t>17,995</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7,935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STAC</w:t>
            </w:r>
          </w:p>
        </w:tc>
        <w:tc>
          <w:tcPr>
            <w:tcW w:type="dxa" w:w="1080"/>
            <w:shd w:fill="C6EFCE" w:val="clear"/>
          </w:tcPr>
          <w:p>
            <w:r>
              <w:rPr>
                <w:sz w:val="16"/>
              </w:rPr>
              <w:t>INDUSTRIELS</w:t>
            </w:r>
          </w:p>
        </w:tc>
        <w:tc>
          <w:tcPr>
            <w:tcW w:type="dxa" w:w="1080"/>
            <w:shd w:fill="C6EFCE" w:val="clear"/>
          </w:tcPr>
          <w:p>
            <w:r>
              <w:rPr>
                <w:sz w:val="16"/>
              </w:rPr>
              <w:t>2,500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21</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38,800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22</w:t>
            </w:r>
          </w:p>
        </w:tc>
        <w:tc>
          <w:tcPr>
            <w:tcW w:type="dxa" w:w="1080"/>
            <w:shd w:fill="C6EFCE" w:val="clear"/>
          </w:tcPr>
          <w:p>
            <w:r>
              <w:rPr>
                <w:sz w:val="16"/>
              </w:rPr>
              <w:t>BOABF</w:t>
            </w:r>
          </w:p>
        </w:tc>
        <w:tc>
          <w:tcPr>
            <w:tcW w:type="dxa" w:w="1080"/>
            <w:shd w:fill="C6EFCE" w:val="clear"/>
          </w:tcPr>
          <w:p>
            <w:r>
              <w:rPr>
                <w:sz w:val="16"/>
              </w:rPr>
              <w:t>SERVICES FINANCIER</w:t>
            </w:r>
          </w:p>
        </w:tc>
        <w:tc>
          <w:tcPr>
            <w:tcW w:type="dxa" w:w="1080"/>
            <w:shd w:fill="C6EFCE" w:val="clear"/>
          </w:tcPr>
          <w:p>
            <w:r>
              <w:rPr>
                <w:sz w:val="16"/>
              </w:rPr>
              <w:t>8,990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23</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8,200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24</w:t>
            </w:r>
          </w:p>
        </w:tc>
        <w:tc>
          <w:tcPr>
            <w:tcW w:type="dxa" w:w="1080"/>
            <w:shd w:fill="C6EFCE" w:val="clear"/>
          </w:tcPr>
          <w:p>
            <w:r>
              <w:rPr>
                <w:sz w:val="16"/>
              </w:rPr>
              <w:t>CBIBF</w:t>
            </w:r>
          </w:p>
        </w:tc>
        <w:tc>
          <w:tcPr>
            <w:tcW w:type="dxa" w:w="1080"/>
            <w:shd w:fill="C6EFCE" w:val="clear"/>
          </w:tcPr>
          <w:p>
            <w:r>
              <w:rPr>
                <w:sz w:val="16"/>
              </w:rPr>
              <w:t>SERVICES FINANCIER</w:t>
            </w:r>
          </w:p>
        </w:tc>
        <w:tc>
          <w:tcPr>
            <w:tcW w:type="dxa" w:w="1080"/>
            <w:shd w:fill="C6EFCE" w:val="clear"/>
          </w:tcPr>
          <w:p>
            <w:r>
              <w:rPr>
                <w:sz w:val="16"/>
              </w:rPr>
              <w:t>33,500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25</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7,400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26</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9,225</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24,450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5,470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2,870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SCRC</w:t>
            </w:r>
          </w:p>
        </w:tc>
        <w:tc>
          <w:tcPr>
            <w:tcW w:type="dxa" w:w="1080"/>
            <w:shd w:fill="EBF5FB" w:val="clear"/>
          </w:tcPr>
          <w:p>
            <w:r>
              <w:rPr>
                <w:sz w:val="16"/>
              </w:rPr>
              <w:t>CONSOMMATION DE BA</w:t>
            </w:r>
          </w:p>
        </w:tc>
        <w:tc>
          <w:tcPr>
            <w:tcW w:type="dxa" w:w="1080"/>
            <w:shd w:fill="EBF5FB" w:val="clear"/>
          </w:tcPr>
          <w:p>
            <w:r>
              <w:rPr>
                <w:sz w:val="16"/>
              </w:rPr>
              <w:t>3,395</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38,870</w:t>
            </w:r>
          </w:p>
        </w:tc>
        <w:tc>
          <w:tcPr>
            <w:tcW w:type="dxa" w:w="1080"/>
            <w:shd w:fill="EBF5FB" w:val="clear"/>
          </w:tcPr>
          <w:p>
            <w:r>
              <w:rPr>
                <w:b/>
                <w:sz w:val="16"/>
              </w:rPr>
              <w:t>68/100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38,000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34,000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4,050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7,800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3,840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BNBC</w:t>
            </w:r>
          </w:p>
        </w:tc>
        <w:tc>
          <w:tcPr>
            <w:tcW w:type="dxa" w:w="1080"/>
            <w:shd w:fill="EBF5FB" w:val="clear"/>
          </w:tcPr>
          <w:p>
            <w:r>
              <w:rPr>
                <w:sz w:val="16"/>
              </w:rPr>
              <w:t>CONSOMMATION DISCR</w:t>
            </w:r>
          </w:p>
        </w:tc>
        <w:tc>
          <w:tcPr>
            <w:tcW w:type="dxa" w:w="1080"/>
            <w:shd w:fill="EBF5FB" w:val="clear"/>
          </w:tcPr>
          <w:p>
            <w:r>
              <w:rPr>
                <w:sz w:val="16"/>
              </w:rPr>
              <w:t>2,120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16,890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ORAC</w:t>
            </w:r>
          </w:p>
        </w:tc>
        <w:tc>
          <w:tcPr>
            <w:tcW w:type="dxa" w:w="1080"/>
            <w:shd w:fill="EBF5FB" w:val="clear"/>
          </w:tcPr>
          <w:p>
            <w:r>
              <w:rPr>
                <w:sz w:val="16"/>
              </w:rPr>
              <w:t>TELECOMMUNICATIONS</w:t>
            </w:r>
          </w:p>
        </w:tc>
        <w:tc>
          <w:tcPr>
            <w:tcW w:type="dxa" w:w="1080"/>
            <w:shd w:fill="EBF5FB" w:val="clear"/>
          </w:tcPr>
          <w:p>
            <w:r>
              <w:rPr>
                <w:sz w:val="16"/>
              </w:rPr>
              <w:t>21,900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1,565</w:t>
            </w:r>
          </w:p>
        </w:tc>
        <w:tc>
          <w:tcPr>
            <w:tcW w:type="dxa" w:w="1080"/>
            <w:shd w:fill="EBF5FB" w:val="clear"/>
          </w:tcPr>
          <w:p>
            <w:r>
              <w:rPr>
                <w:b/>
                <w:sz w:val="16"/>
              </w:rPr>
              <w:t>66/100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SHEC</w:t>
            </w:r>
          </w:p>
        </w:tc>
        <w:tc>
          <w:tcPr>
            <w:tcW w:type="dxa" w:w="1080"/>
            <w:shd w:fill="EBF5FB" w:val="clear"/>
          </w:tcPr>
          <w:p>
            <w:r>
              <w:rPr>
                <w:sz w:val="16"/>
              </w:rPr>
              <w:t>ENERGIE</w:t>
            </w:r>
          </w:p>
        </w:tc>
        <w:tc>
          <w:tcPr>
            <w:tcW w:type="dxa" w:w="1080"/>
            <w:shd w:fill="EBF5FB" w:val="clear"/>
          </w:tcPr>
          <w:p>
            <w:r>
              <w:rPr>
                <w:sz w:val="16"/>
              </w:rPr>
              <w:t>2,495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TTLC</w:t>
            </w:r>
          </w:p>
        </w:tc>
        <w:tc>
          <w:tcPr>
            <w:tcW w:type="dxa" w:w="1080"/>
            <w:shd w:fill="EBF5FB" w:val="clear"/>
          </w:tcPr>
          <w:p>
            <w:r>
              <w:rPr>
                <w:sz w:val="16"/>
              </w:rPr>
              <w:t>ENERGIE</w:t>
            </w:r>
          </w:p>
        </w:tc>
        <w:tc>
          <w:tcPr>
            <w:tcW w:type="dxa" w:w="1080"/>
            <w:shd w:fill="EBF5FB" w:val="clear"/>
          </w:tcPr>
          <w:p>
            <w:r>
              <w:rPr>
                <w:sz w:val="16"/>
              </w:rPr>
              <w:t>3,295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NEIC</w:t>
            </w:r>
          </w:p>
        </w:tc>
        <w:tc>
          <w:tcPr>
            <w:tcW w:type="dxa" w:w="1080"/>
            <w:shd w:fill="EBF5FB" w:val="clear"/>
          </w:tcPr>
          <w:p>
            <w:r>
              <w:rPr>
                <w:sz w:val="16"/>
              </w:rPr>
              <w:t>CONSOMMATION DISCR</w:t>
            </w:r>
          </w:p>
        </w:tc>
        <w:tc>
          <w:tcPr>
            <w:tcW w:type="dxa" w:w="1080"/>
            <w:shd w:fill="EBF5FB" w:val="clear"/>
          </w:tcPr>
          <w:p>
            <w:r>
              <w:rPr>
                <w:sz w:val="16"/>
              </w:rPr>
              <w:t>2,630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8,400</w:t>
            </w:r>
          </w:p>
        </w:tc>
        <w:tc>
          <w:tcPr>
            <w:tcW w:type="dxa" w:w="1080"/>
            <w:shd w:fill="EBF5FB" w:val="clear"/>
          </w:tcPr>
          <w:p>
            <w:r>
              <w:rPr>
                <w:b/>
                <w:sz w:val="16"/>
              </w:rPr>
              <w:t>58/100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4,400</w:t>
            </w:r>
          </w:p>
        </w:tc>
        <w:tc>
          <w:tcPr>
            <w:tcW w:type="dxa" w:w="1080"/>
            <w:shd w:fill="EBF5FB" w:val="clear"/>
          </w:tcPr>
          <w:p>
            <w:r>
              <w:rPr>
                <w:b/>
                <w:sz w:val="16"/>
              </w:rPr>
              <w:t>55/100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53,000</w:t>
            </w:r>
          </w:p>
        </w:tc>
        <w:tc>
          <w:tcPr>
            <w:tcW w:type="dxa" w:w="1080"/>
            <w:shd w:fill="EBF5FB" w:val="clear"/>
          </w:tcPr>
          <w:p>
            <w:r>
              <w:rPr>
                <w:b/>
                <w:sz w:val="16"/>
              </w:rPr>
              <w:t>55/100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47</w:t>
            </w:r>
          </w:p>
        </w:tc>
        <w:tc>
          <w:tcPr>
            <w:tcW w:type="dxa" w:w="1080"/>
            <w:shd w:fill="FEFEFE" w:val="clear"/>
          </w:tcPr>
          <w:p>
            <w:r>
              <w:rPr>
                <w:sz w:val="16"/>
              </w:rPr>
              <w:t>STBC</w:t>
            </w:r>
          </w:p>
        </w:tc>
        <w:tc>
          <w:tcPr>
            <w:tcW w:type="dxa" w:w="1080"/>
            <w:shd w:fill="FEFEFE" w:val="clear"/>
          </w:tcPr>
          <w:p>
            <w:r>
              <w:rPr>
                <w:sz w:val="16"/>
              </w:rPr>
              <w:t>CONSOMMATION DE BA</w:t>
            </w:r>
          </w:p>
        </w:tc>
        <w:tc>
          <w:tcPr>
            <w:tcW w:type="dxa" w:w="1080"/>
            <w:shd w:fill="FEFEFE" w:val="clear"/>
          </w:tcPr>
          <w:p>
            <w:r>
              <w:rPr>
                <w:sz w:val="16"/>
              </w:rPr>
              <w:t>22,000</w:t>
            </w:r>
          </w:p>
        </w:tc>
        <w:tc>
          <w:tcPr>
            <w:tcW w:type="dxa" w:w="1080"/>
            <w:shd w:fill="FEFEFE" w:val="clear"/>
          </w:tcPr>
          <w:p>
            <w:r>
              <w:rPr>
                <w:b/>
                <w:sz w:val="16"/>
              </w:rPr>
              <w:t>49/100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CABC</w:t>
            </w:r>
          </w:p>
        </w:tc>
        <w:tc>
          <w:tcPr>
            <w:tcW w:type="dxa" w:w="1728"/>
            <w:shd w:fill="DEEAF1" w:val="clear"/>
          </w:tcPr>
          <w:p>
            <w:r>
              <w:rPr>
                <w:sz w:val="17"/>
              </w:rPr>
              <w:t>CABC - SICABLE COTE D'IVOIRE</w:t>
            </w:r>
          </w:p>
        </w:tc>
        <w:tc>
          <w:tcPr>
            <w:tcW w:type="dxa" w:w="1728"/>
            <w:shd w:fill="DEEAF1" w:val="clear"/>
          </w:tcPr>
          <w:p>
            <w:r>
              <w:rPr>
                <w:sz w:val="17"/>
              </w:rPr>
              <w:t>3,490</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2,350</w:t>
            </w:r>
          </w:p>
        </w:tc>
        <w:tc>
          <w:tcPr>
            <w:tcW w:type="dxa" w:w="1728"/>
            <w:shd w:fill="DEEAF1" w:val="clear"/>
          </w:tcPr>
          <w:p>
            <w:r>
              <w:rPr>
                <w:sz w:val="17"/>
              </w:rPr>
              <w:t>75/100</w:t>
            </w:r>
          </w:p>
        </w:tc>
        <w:tc>
          <w:tcPr>
            <w:tcW w:type="dxa" w:w="1728"/>
            <w:shd w:fill="DEEAF1" w:val="clear"/>
          </w:tcPr>
          <w:p>
            <w:r>
              <w:rPr>
                <w:sz w:val="17"/>
              </w:rPr>
              <w:t>10.6%</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17,695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FTSC</w:t>
            </w:r>
          </w:p>
        </w:tc>
        <w:tc>
          <w:tcPr>
            <w:tcW w:type="dxa" w:w="1728"/>
            <w:shd w:fill="DEEAF1" w:val="clear"/>
          </w:tcPr>
          <w:p>
            <w:r>
              <w:rPr>
                <w:sz w:val="17"/>
              </w:rPr>
              <w:t>FTSC - FILTISAC COTE D'IVOIR</w:t>
            </w:r>
          </w:p>
        </w:tc>
        <w:tc>
          <w:tcPr>
            <w:tcW w:type="dxa" w:w="1728"/>
            <w:shd w:fill="DEEAF1" w:val="clear"/>
          </w:tcPr>
          <w:p>
            <w:r>
              <w:rPr>
                <w:sz w:val="17"/>
              </w:rPr>
              <w:t>2,100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ORGT</w:t>
            </w:r>
          </w:p>
        </w:tc>
        <w:tc>
          <w:tcPr>
            <w:tcW w:type="dxa" w:w="1728"/>
            <w:shd w:fill="DEEAF1" w:val="clear"/>
          </w:tcPr>
          <w:p>
            <w:r>
              <w:rPr>
                <w:sz w:val="17"/>
              </w:rPr>
              <w:t>ORGT - ORAGROUP TOGO</w:t>
            </w:r>
          </w:p>
        </w:tc>
        <w:tc>
          <w:tcPr>
            <w:tcW w:type="dxa" w:w="1728"/>
            <w:shd w:fill="DEEAF1" w:val="clear"/>
          </w:tcPr>
          <w:p>
            <w:r>
              <w:rPr>
                <w:sz w:val="17"/>
              </w:rPr>
              <w:t>3,300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BOAM</w:t>
            </w:r>
          </w:p>
        </w:tc>
        <w:tc>
          <w:tcPr>
            <w:tcW w:type="dxa" w:w="1728"/>
            <w:shd w:fill="DEEAF1" w:val="clear"/>
          </w:tcPr>
          <w:p>
            <w:r>
              <w:rPr>
                <w:sz w:val="17"/>
              </w:rPr>
              <w:t>BANK OF AFRICA MALI</w:t>
            </w:r>
          </w:p>
        </w:tc>
        <w:tc>
          <w:tcPr>
            <w:tcW w:type="dxa" w:w="1728"/>
            <w:shd w:fill="DEEAF1" w:val="clear"/>
          </w:tcPr>
          <w:p>
            <w:r>
              <w:rPr>
                <w:sz w:val="17"/>
              </w:rPr>
              <w:t>7,005</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SDCC</w:t>
            </w:r>
          </w:p>
        </w:tc>
        <w:tc>
          <w:tcPr>
            <w:tcW w:type="dxa" w:w="1728"/>
            <w:shd w:fill="DEEAF1" w:val="clear"/>
          </w:tcPr>
          <w:p>
            <w:r>
              <w:rPr>
                <w:sz w:val="17"/>
              </w:rPr>
              <w:t>SDCC - Société de Distributi</w:t>
            </w:r>
          </w:p>
        </w:tc>
        <w:tc>
          <w:tcPr>
            <w:tcW w:type="dxa" w:w="1728"/>
            <w:shd w:fill="DEEAF1" w:val="clear"/>
          </w:tcPr>
          <w:p>
            <w:r>
              <w:rPr>
                <w:sz w:val="17"/>
              </w:rPr>
              <w:t>13,500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SIVC</w:t>
            </w:r>
          </w:p>
        </w:tc>
        <w:tc>
          <w:tcPr>
            <w:tcW w:type="dxa" w:w="1728"/>
            <w:shd w:fill="DEEAF1" w:val="clear"/>
          </w:tcPr>
          <w:p>
            <w:r>
              <w:rPr>
                <w:sz w:val="17"/>
              </w:rPr>
              <w:t>SIVC - ERIUM CI (Ex AIR LIQU</w:t>
            </w:r>
          </w:p>
        </w:tc>
        <w:tc>
          <w:tcPr>
            <w:tcW w:type="dxa" w:w="1728"/>
            <w:shd w:fill="DEEAF1" w:val="clear"/>
          </w:tcPr>
          <w:p>
            <w:r>
              <w:rPr>
                <w:sz w:val="17"/>
              </w:rPr>
              <w:t>2,305</w:t>
            </w:r>
          </w:p>
        </w:tc>
        <w:tc>
          <w:tcPr>
            <w:tcW w:type="dxa" w:w="1728"/>
            <w:shd w:fill="DEEAF1" w:val="clear"/>
          </w:tcPr>
          <w:p>
            <w:r>
              <w:rPr>
                <w:sz w:val="17"/>
              </w:rPr>
              <w:t>72/100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PALC</w:t>
            </w:r>
          </w:p>
        </w:tc>
        <w:tc>
          <w:tcPr>
            <w:tcW w:type="dxa" w:w="1728"/>
            <w:shd w:fill="E2EFDA" w:val="clear"/>
          </w:tcPr>
          <w:p>
            <w:r>
              <w:rPr>
                <w:sz w:val="17"/>
              </w:rPr>
              <w:t>PALC - PALM COTE D'IVOIRE</w:t>
            </w:r>
          </w:p>
        </w:tc>
        <w:tc>
          <w:tcPr>
            <w:tcW w:type="dxa" w:w="1728"/>
            <w:shd w:fill="E2EFDA" w:val="clear"/>
          </w:tcPr>
          <w:p>
            <w:r>
              <w:rPr>
                <w:sz w:val="17"/>
              </w:rPr>
              <w:t>8,450</w:t>
            </w:r>
          </w:p>
        </w:tc>
        <w:tc>
          <w:tcPr>
            <w:tcW w:type="dxa" w:w="1728"/>
            <w:shd w:fill="E2EFDA" w:val="clear"/>
          </w:tcPr>
          <w:p>
            <w:r>
              <w:rPr>
                <w:sz w:val="17"/>
              </w:rPr>
              <w:t>84/100</w:t>
            </w:r>
          </w:p>
        </w:tc>
        <w:tc>
          <w:tcPr>
            <w:tcW w:type="dxa" w:w="1728"/>
            <w:shd w:fill="E2EFDA" w:val="clear"/>
          </w:tcPr>
          <w:p>
            <w:r>
              <w:rPr>
                <w:sz w:val="17"/>
              </w:rPr>
              <w:t>11.2%</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12,495</w:t>
            </w:r>
          </w:p>
        </w:tc>
        <w:tc>
          <w:tcPr>
            <w:tcW w:type="dxa" w:w="1728"/>
            <w:shd w:fill="E2EFDA" w:val="clear"/>
          </w:tcPr>
          <w:p>
            <w:r>
              <w:rPr>
                <w:sz w:val="17"/>
              </w:rPr>
              <w:t>80/100</w:t>
            </w:r>
          </w:p>
        </w:tc>
        <w:tc>
          <w:tcPr>
            <w:tcW w:type="dxa" w:w="1728"/>
            <w:shd w:fill="E2EFDA" w:val="clear"/>
          </w:tcPr>
          <w:p>
            <w:r>
              <w:rPr>
                <w:sz w:val="17"/>
              </w:rPr>
              <w:t>11.2%</w:t>
            </w:r>
          </w:p>
        </w:tc>
      </w:tr>
      <w:tr>
        <w:tc>
          <w:tcPr>
            <w:tcW w:type="dxa" w:w="1728"/>
            <w:shd w:fill="E2EFDA" w:val="clear"/>
          </w:tcPr>
          <w:p>
            <w:r>
              <w:rPr>
                <w:sz w:val="17"/>
              </w:rPr>
              <w:t>CABC</w:t>
            </w:r>
          </w:p>
        </w:tc>
        <w:tc>
          <w:tcPr>
            <w:tcW w:type="dxa" w:w="1728"/>
            <w:shd w:fill="E2EFDA" w:val="clear"/>
          </w:tcPr>
          <w:p>
            <w:r>
              <w:rPr>
                <w:sz w:val="17"/>
              </w:rPr>
              <w:t>CABC - SICABLE COTE D'IVOIRE</w:t>
            </w:r>
          </w:p>
        </w:tc>
        <w:tc>
          <w:tcPr>
            <w:tcW w:type="dxa" w:w="1728"/>
            <w:shd w:fill="E2EFDA" w:val="clear"/>
          </w:tcPr>
          <w:p>
            <w:r>
              <w:rPr>
                <w:sz w:val="17"/>
              </w:rPr>
              <w:t>3,490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SAFC</w:t>
            </w:r>
          </w:p>
        </w:tc>
        <w:tc>
          <w:tcPr>
            <w:tcW w:type="dxa" w:w="1728"/>
            <w:shd w:fill="E2EFDA" w:val="clear"/>
          </w:tcPr>
          <w:p>
            <w:r>
              <w:rPr>
                <w:sz w:val="17"/>
              </w:rPr>
              <w:t>SAFCA CI</w:t>
            </w:r>
          </w:p>
        </w:tc>
        <w:tc>
          <w:tcPr>
            <w:tcW w:type="dxa" w:w="1728"/>
            <w:shd w:fill="E2EFDA" w:val="clear"/>
          </w:tcPr>
          <w:p>
            <w:r>
              <w:rPr>
                <w:sz w:val="17"/>
              </w:rPr>
              <w:t>5,180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2,350</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10,110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SDSC</w:t>
            </w:r>
          </w:p>
        </w:tc>
        <w:tc>
          <w:tcPr>
            <w:tcW w:type="dxa" w:w="1728"/>
            <w:shd w:fill="E2EFDA" w:val="clear"/>
          </w:tcPr>
          <w:p>
            <w:r>
              <w:rPr>
                <w:sz w:val="17"/>
              </w:rPr>
              <w:t>SDSC - AFRICA GLOBAL LOGISTI</w:t>
            </w:r>
          </w:p>
        </w:tc>
        <w:tc>
          <w:tcPr>
            <w:tcW w:type="dxa" w:w="1728"/>
            <w:shd w:fill="E2EFDA" w:val="clear"/>
          </w:tcPr>
          <w:p>
            <w:r>
              <w:rPr>
                <w:sz w:val="17"/>
              </w:rPr>
              <w:t>3,060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ECOC</w:t>
            </w:r>
          </w:p>
        </w:tc>
        <w:tc>
          <w:tcPr>
            <w:tcW w:type="dxa" w:w="1728"/>
            <w:shd w:fill="E2EFDA" w:val="clear"/>
          </w:tcPr>
          <w:p>
            <w:r>
              <w:rPr>
                <w:sz w:val="17"/>
              </w:rPr>
              <w:t>ECOC - ECOBANK COTE D'IVOIRE</w:t>
            </w:r>
          </w:p>
        </w:tc>
        <w:tc>
          <w:tcPr>
            <w:tcW w:type="dxa" w:w="1728"/>
            <w:shd w:fill="E2EFDA" w:val="clear"/>
          </w:tcPr>
          <w:p>
            <w:r>
              <w:rPr>
                <w:sz w:val="17"/>
              </w:rPr>
              <w:t>17,695</w:t>
            </w:r>
          </w:p>
        </w:tc>
        <w:tc>
          <w:tcPr>
            <w:tcW w:type="dxa" w:w="1728"/>
            <w:shd w:fill="E2EFDA" w:val="clear"/>
          </w:tcPr>
          <w:p>
            <w:r>
              <w:rPr>
                <w:sz w:val="17"/>
              </w:rPr>
              <w:t>73/100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PALC</w:t>
            </w:r>
          </w:p>
        </w:tc>
        <w:tc>
          <w:tcPr>
            <w:tcW w:type="dxa" w:w="1728"/>
            <w:shd w:fill="FCE4D6" w:val="clear"/>
          </w:tcPr>
          <w:p>
            <w:r>
              <w:rPr>
                <w:sz w:val="17"/>
              </w:rPr>
              <w:t>PALC - PALM COTE D'IVOIRE</w:t>
            </w:r>
          </w:p>
        </w:tc>
        <w:tc>
          <w:tcPr>
            <w:tcW w:type="dxa" w:w="1728"/>
            <w:shd w:fill="FCE4D6" w:val="clear"/>
          </w:tcPr>
          <w:p>
            <w:r>
              <w:rPr>
                <w:sz w:val="17"/>
              </w:rPr>
              <w:t>8,450</w:t>
            </w:r>
          </w:p>
        </w:tc>
        <w:tc>
          <w:tcPr>
            <w:tcW w:type="dxa" w:w="1728"/>
            <w:shd w:fill="FCE4D6" w:val="clear"/>
          </w:tcPr>
          <w:p>
            <w:r>
              <w:rPr>
                <w:sz w:val="17"/>
              </w:rPr>
              <w:t>84/100</w:t>
            </w:r>
          </w:p>
        </w:tc>
        <w:tc>
          <w:tcPr>
            <w:tcW w:type="dxa" w:w="1728"/>
            <w:shd w:fill="FCE4D6" w:val="clear"/>
          </w:tcPr>
          <w:p>
            <w:r>
              <w:rPr>
                <w:sz w:val="17"/>
              </w:rPr>
              <w:t>11.9%</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12,495</w:t>
            </w:r>
          </w:p>
        </w:tc>
        <w:tc>
          <w:tcPr>
            <w:tcW w:type="dxa" w:w="1728"/>
            <w:shd w:fill="FCE4D6" w:val="clear"/>
          </w:tcPr>
          <w:p>
            <w:r>
              <w:rPr>
                <w:sz w:val="17"/>
              </w:rPr>
              <w:t>80/100</w:t>
            </w:r>
          </w:p>
        </w:tc>
        <w:tc>
          <w:tcPr>
            <w:tcW w:type="dxa" w:w="1728"/>
            <w:shd w:fill="FCE4D6" w:val="clear"/>
          </w:tcPr>
          <w:p>
            <w:r>
              <w:rPr>
                <w:sz w:val="17"/>
              </w:rPr>
              <w:t>11.9%</w:t>
            </w:r>
          </w:p>
        </w:tc>
      </w:tr>
      <w:tr>
        <w:tc>
          <w:tcPr>
            <w:tcW w:type="dxa" w:w="1728"/>
            <w:shd w:fill="FCE4D6" w:val="clear"/>
          </w:tcPr>
          <w:p>
            <w:r>
              <w:rPr>
                <w:sz w:val="17"/>
              </w:rPr>
              <w:t>CABC</w:t>
            </w:r>
          </w:p>
        </w:tc>
        <w:tc>
          <w:tcPr>
            <w:tcW w:type="dxa" w:w="1728"/>
            <w:shd w:fill="FCE4D6" w:val="clear"/>
          </w:tcPr>
          <w:p>
            <w:r>
              <w:rPr>
                <w:sz w:val="17"/>
              </w:rPr>
              <w:t>CABC - SICABLE COTE D'IVOIRE</w:t>
            </w:r>
          </w:p>
        </w:tc>
        <w:tc>
          <w:tcPr>
            <w:tcW w:type="dxa" w:w="1728"/>
            <w:shd w:fill="FCE4D6" w:val="clear"/>
          </w:tcPr>
          <w:p>
            <w:r>
              <w:rPr>
                <w:sz w:val="17"/>
              </w:rPr>
              <w:t>3,490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SAFC</w:t>
            </w:r>
          </w:p>
        </w:tc>
        <w:tc>
          <w:tcPr>
            <w:tcW w:type="dxa" w:w="1728"/>
            <w:shd w:fill="FCE4D6" w:val="clear"/>
          </w:tcPr>
          <w:p>
            <w:r>
              <w:rPr>
                <w:sz w:val="17"/>
              </w:rPr>
              <w:t>SAFCA CI</w:t>
            </w:r>
          </w:p>
        </w:tc>
        <w:tc>
          <w:tcPr>
            <w:tcW w:type="dxa" w:w="1728"/>
            <w:shd w:fill="FCE4D6" w:val="clear"/>
          </w:tcPr>
          <w:p>
            <w:r>
              <w:rPr>
                <w:sz w:val="17"/>
              </w:rPr>
              <w:t>5,180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2,350</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10,110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SDSC</w:t>
            </w:r>
          </w:p>
        </w:tc>
        <w:tc>
          <w:tcPr>
            <w:tcW w:type="dxa" w:w="1728"/>
            <w:shd w:fill="FCE4D6" w:val="clear"/>
          </w:tcPr>
          <w:p>
            <w:r>
              <w:rPr>
                <w:sz w:val="17"/>
              </w:rPr>
              <w:t>SDSC - AFRICA GLOBAL LOGISTI</w:t>
            </w:r>
          </w:p>
        </w:tc>
        <w:tc>
          <w:tcPr>
            <w:tcW w:type="dxa" w:w="1728"/>
            <w:shd w:fill="FCE4D6" w:val="clear"/>
          </w:tcPr>
          <w:p>
            <w:r>
              <w:rPr>
                <w:sz w:val="17"/>
              </w:rPr>
              <w:t>3,060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ECOC</w:t>
            </w:r>
          </w:p>
        </w:tc>
        <w:tc>
          <w:tcPr>
            <w:tcW w:type="dxa" w:w="1728"/>
            <w:shd w:fill="FCE4D6" w:val="clear"/>
          </w:tcPr>
          <w:p>
            <w:r>
              <w:rPr>
                <w:sz w:val="17"/>
              </w:rPr>
              <w:t>ECOC - ECOBANK COTE D'IVOIRE</w:t>
            </w:r>
          </w:p>
        </w:tc>
        <w:tc>
          <w:tcPr>
            <w:tcW w:type="dxa" w:w="1728"/>
            <w:shd w:fill="FCE4D6" w:val="clear"/>
          </w:tcPr>
          <w:p>
            <w:r>
              <w:rPr>
                <w:sz w:val="17"/>
              </w:rPr>
              <w:t>17,695</w:t>
            </w:r>
          </w:p>
        </w:tc>
        <w:tc>
          <w:tcPr>
            <w:tcW w:type="dxa" w:w="1728"/>
            <w:shd w:fill="FCE4D6" w:val="clear"/>
          </w:tcPr>
          <w:p>
            <w:r>
              <w:rPr>
                <w:sz w:val="17"/>
              </w:rPr>
              <w:t>73/100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BOAM — BANK OF AFRICA MALI</w:t>
      </w:r>
    </w:p>
    <w:p>
      <w:pPr>
        <w:pStyle w:val="ListBullet"/>
        <w:spacing w:before="20"/>
        <w:ind w:left="400"/>
      </w:pPr>
      <w:r>
        <w:rPr>
          <w:sz w:val="18"/>
        </w:rPr>
        <w:t>🔴 RSI surachat (75.3 &gt; 70) — risque de correction</w:t>
      </w:r>
    </w:p>
    <w:p>
      <w:pPr>
        <w:pStyle w:val="ListBullet"/>
        <w:spacing w:before="20"/>
        <w:ind w:left="400"/>
      </w:pPr>
      <w:r>
        <w:rPr>
          <w:sz w:val="18"/>
        </w:rPr>
        <w:t>⚠️ Cours à 0.0% du plus haut 100j (7,005 FCFA)</w:t>
      </w:r>
    </w:p>
    <w:p>
      <w:pPr>
        <w:pStyle w:val="ListBullet"/>
        <w:spacing w:before="20"/>
        <w:ind w:left="400"/>
      </w:pPr>
      <w:r>
        <w:rPr>
          <w:sz w:val="18"/>
        </w:rPr>
        <w:t>🟠 Divergence tech(VENTE) / fond(ACHAT) — recommandation ajustée à ACHAT</w:t>
      </w:r>
    </w:p>
    <w:p>
      <w:pPr>
        <w:spacing w:before="120"/>
      </w:pPr>
      <w:r>
        <w:rPr>
          <w:b/>
          <w:color w:val="0050A0"/>
          <w:sz w:val="20"/>
        </w:rPr>
        <w:t>SMBC — SMBC - Société Multinationale de Bitumes COTE D'IVOIRE</w:t>
      </w:r>
    </w:p>
    <w:p>
      <w:pPr>
        <w:pStyle w:val="ListBullet"/>
        <w:spacing w:before="20"/>
        <w:ind w:left="400"/>
      </w:pPr>
      <w:r>
        <w:rPr>
          <w:sz w:val="18"/>
        </w:rPr>
        <w:t>🔴 RSI surachat (86.4 &gt; 70) — risque de correction</w:t>
      </w:r>
    </w:p>
    <w:p>
      <w:pPr>
        <w:pStyle w:val="ListBullet"/>
        <w:spacing w:before="20"/>
        <w:ind w:left="400"/>
      </w:pPr>
      <w:r>
        <w:rPr>
          <w:sz w:val="18"/>
        </w:rPr>
        <w:t>⚠️ Cours à 0.0% du plus haut 100j (17,995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surachat (83.2 &gt; 70) — risque de correction</w:t>
      </w:r>
    </w:p>
    <w:p>
      <w:pPr>
        <w:pStyle w:val="ListBullet"/>
        <w:spacing w:before="20"/>
        <w:ind w:left="400"/>
      </w:pPr>
      <w:r>
        <w:rPr>
          <w:sz w:val="18"/>
        </w:rPr>
        <w:t>⚠️ Cours à 0.0% du plus haut 100j (3,995 FCFA)</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RSI surachat (84.1 &gt; 70) — risque de correction</w:t>
      </w:r>
    </w:p>
    <w:p>
      <w:pPr>
        <w:pStyle w:val="ListBullet"/>
        <w:spacing w:before="20"/>
        <w:ind w:left="400"/>
      </w:pPr>
      <w:r>
        <w:rPr>
          <w:sz w:val="18"/>
        </w:rPr>
        <w:t>⚠️ Cours à 0.0% du plus haut 100j (34,000 FCFA)</w:t>
      </w:r>
    </w:p>
    <w:p>
      <w:pPr>
        <w:spacing w:before="120"/>
      </w:pPr>
      <w:r>
        <w:rPr>
          <w:b/>
          <w:color w:val="0050A0"/>
          <w:sz w:val="20"/>
        </w:rPr>
        <w:t>BOAB — BANK OF AFRICA BENIN</w:t>
      </w:r>
    </w:p>
    <w:p>
      <w:pPr>
        <w:pStyle w:val="ListBullet"/>
        <w:spacing w:before="20"/>
        <w:ind w:left="400"/>
      </w:pPr>
      <w:r>
        <w:rPr>
          <w:sz w:val="18"/>
        </w:rPr>
        <w:t>🔴 RSI surachat (75.2 &gt; 70) — risque de correction</w:t>
      </w:r>
    </w:p>
    <w:p>
      <w:pPr>
        <w:pStyle w:val="ListBullet"/>
        <w:spacing w:before="20"/>
        <w:ind w:left="400"/>
      </w:pPr>
      <w:r>
        <w:rPr>
          <w:sz w:val="18"/>
        </w:rPr>
        <w:t>⚠️ Cours à 1.4% du plus haut 100j (10,350 FCFA)</w:t>
      </w:r>
    </w:p>
    <w:p>
      <w:pPr>
        <w:spacing w:before="120"/>
      </w:pPr>
      <w:r>
        <w:rPr>
          <w:b/>
          <w:color w:val="0050A0"/>
          <w:sz w:val="20"/>
        </w:rPr>
        <w:t>BOABF — BANK OF AFRICA BURKINA FASO</w:t>
      </w:r>
    </w:p>
    <w:p>
      <w:pPr>
        <w:pStyle w:val="ListBullet"/>
        <w:spacing w:before="20"/>
        <w:ind w:left="400"/>
      </w:pPr>
      <w:r>
        <w:rPr>
          <w:sz w:val="18"/>
        </w:rPr>
        <w:t>🔴 RSI surachat (83.7 &gt; 70) — risque de correction</w:t>
      </w:r>
    </w:p>
    <w:p>
      <w:pPr>
        <w:pStyle w:val="ListBullet"/>
        <w:spacing w:before="20"/>
        <w:ind w:left="400"/>
      </w:pPr>
      <w:r>
        <w:rPr>
          <w:sz w:val="18"/>
        </w:rPr>
        <w:t>⚠️ Cours à 1.1% du plus haut 100j (9,090 FCFA)</w:t>
      </w:r>
    </w:p>
    <w:p>
      <w:pPr>
        <w:spacing w:before="120"/>
      </w:pPr>
      <w:r>
        <w:rPr>
          <w:b/>
          <w:color w:val="0050A0"/>
          <w:sz w:val="20"/>
        </w:rPr>
        <w:t>CBIBF — CBIBF - CORIS BANK INTERNATIONAL BURKINA FASO</w:t>
      </w:r>
    </w:p>
    <w:p>
      <w:pPr>
        <w:pStyle w:val="ListBullet"/>
        <w:spacing w:before="20"/>
        <w:ind w:left="400"/>
      </w:pPr>
      <w:r>
        <w:rPr>
          <w:sz w:val="18"/>
        </w:rPr>
        <w:t>🔴 RSI surachat (81.2 &gt; 70) — risque de correction</w:t>
      </w:r>
    </w:p>
    <w:p>
      <w:pPr>
        <w:pStyle w:val="ListBullet"/>
        <w:spacing w:before="20"/>
        <w:ind w:left="400"/>
      </w:pPr>
      <w:r>
        <w:rPr>
          <w:sz w:val="18"/>
        </w:rPr>
        <w:t>⚠️ Cours à 0.0% du plus haut 100j (33,500 FCFA)</w:t>
      </w:r>
    </w:p>
    <w:p>
      <w:pPr>
        <w:spacing w:before="120"/>
      </w:pPr>
      <w:r>
        <w:rPr>
          <w:b/>
          <w:color w:val="0050A0"/>
          <w:sz w:val="20"/>
        </w:rPr>
        <w:t>ECOC — ECOC - ECOBANK COTE D'IVOIRE</w:t>
      </w:r>
    </w:p>
    <w:p>
      <w:pPr>
        <w:pStyle w:val="ListBullet"/>
        <w:spacing w:before="20"/>
        <w:ind w:left="400"/>
      </w:pPr>
      <w:r>
        <w:rPr>
          <w:sz w:val="18"/>
        </w:rPr>
        <w:t>🔴 RSI surachat (72.2 &gt; 70) — risque de correction</w:t>
      </w:r>
    </w:p>
    <w:p>
      <w:pPr>
        <w:pStyle w:val="ListBullet"/>
        <w:spacing w:before="20"/>
        <w:ind w:left="400"/>
      </w:pPr>
      <w:r>
        <w:rPr>
          <w:sz w:val="18"/>
        </w:rPr>
        <w:t>⚠️ Cours à 0.2% du plus haut 100j (17,725 FCFA)</w:t>
      </w:r>
    </w:p>
    <w:p>
      <w:pPr>
        <w:spacing w:before="120"/>
      </w:pPr>
      <w:r>
        <w:rPr>
          <w:b/>
          <w:color w:val="0050A0"/>
          <w:sz w:val="20"/>
        </w:rPr>
        <w:t>NSBC — NSBC - NSIA BANQUE COTE D'IVOIRE</w:t>
      </w:r>
    </w:p>
    <w:p>
      <w:pPr>
        <w:pStyle w:val="ListBullet"/>
        <w:spacing w:before="20"/>
        <w:ind w:left="400"/>
      </w:pPr>
      <w:r>
        <w:rPr>
          <w:sz w:val="18"/>
        </w:rPr>
        <w:t>🔴 RSI surachat (71.3 &gt; 70) — risque de correction</w:t>
      </w:r>
    </w:p>
    <w:p>
      <w:pPr>
        <w:pStyle w:val="ListBullet"/>
        <w:spacing w:before="20"/>
        <w:ind w:left="400"/>
      </w:pPr>
      <w:r>
        <w:rPr>
          <w:sz w:val="18"/>
        </w:rPr>
        <w:t>⚠️ Cours à 1.7% du plus haut 100j (24,885 FCFA)</w:t>
      </w:r>
    </w:p>
    <w:p>
      <w:pPr>
        <w:spacing w:before="120"/>
      </w:pPr>
      <w:r>
        <w:rPr>
          <w:b/>
          <w:color w:val="0050A0"/>
          <w:sz w:val="20"/>
        </w:rPr>
        <w:t>ORAC — ORAC - ORANGE COTE D'IVOIRE</w:t>
      </w:r>
    </w:p>
    <w:p>
      <w:pPr>
        <w:pStyle w:val="ListBullet"/>
        <w:spacing w:before="20"/>
        <w:ind w:left="400"/>
      </w:pPr>
      <w:r>
        <w:rPr>
          <w:sz w:val="18"/>
        </w:rPr>
        <w:t>⚠️ Cours à 0.0% du plus haut 100j (21,900 FCFA)</w:t>
      </w:r>
    </w:p>
    <w:p>
      <w:pPr>
        <w:pStyle w:val="ListBullet"/>
        <w:spacing w:before="20"/>
        <w:ind w:left="400"/>
      </w:pPr>
      <w:r>
        <w:rPr>
          <w:sz w:val="18"/>
        </w:rPr>
        <w:t>🟠 Divergence tech(VENTE) / fond(ACHAT) — recommandation ajustée à ACHAT</w:t>
      </w:r>
    </w:p>
    <w:p>
      <w:pPr>
        <w:spacing w:before="120"/>
      </w:pPr>
      <w:r>
        <w:rPr>
          <w:b/>
          <w:color w:val="0050A0"/>
          <w:sz w:val="20"/>
        </w:rPr>
        <w:t>SDCC — SDCC - Société de Distribution d'Eau de Côte d'Ivoire</w:t>
      </w:r>
    </w:p>
    <w:p>
      <w:pPr>
        <w:pStyle w:val="ListBullet"/>
        <w:spacing w:before="20"/>
        <w:ind w:left="400"/>
      </w:pPr>
      <w:r>
        <w:rPr>
          <w:sz w:val="18"/>
        </w:rPr>
        <w:t>🔴 RSI surachat (75.3 &gt; 70) — risque de correction</w:t>
      </w:r>
    </w:p>
    <w:p>
      <w:pPr>
        <w:pStyle w:val="ListBullet"/>
        <w:spacing w:before="20"/>
        <w:ind w:left="400"/>
      </w:pPr>
      <w:r>
        <w:rPr>
          <w:sz w:val="18"/>
        </w:rPr>
        <w:t>⚠️ Cours à 1.5% du plus haut 100j (13,710 FCFA)</w:t>
      </w:r>
    </w:p>
    <w:p>
      <w:pPr>
        <w:spacing w:before="120"/>
      </w:pPr>
      <w:r>
        <w:rPr>
          <w:b/>
          <w:color w:val="0050A0"/>
          <w:sz w:val="20"/>
        </w:rPr>
        <w:t>SHEC — SHEC - VIVO ENERGY COTE D'IVOIRE</w:t>
      </w:r>
    </w:p>
    <w:p>
      <w:pPr>
        <w:pStyle w:val="ListBullet"/>
        <w:spacing w:before="20"/>
        <w:ind w:left="400"/>
      </w:pPr>
      <w:r>
        <w:rPr>
          <w:sz w:val="18"/>
        </w:rPr>
        <w:t>⚠️ Cours à 0.0% du plus haut 100j (2,495 FCFA)</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RSI surachat (71.7 &gt; 70) — risque de correction</w:t>
      </w:r>
    </w:p>
    <w:p>
      <w:pPr>
        <w:pStyle w:val="ListBullet"/>
        <w:spacing w:before="20"/>
        <w:ind w:left="400"/>
      </w:pPr>
      <w:r>
        <w:rPr>
          <w:sz w:val="18"/>
        </w:rPr>
        <w:t>⚠️ Cours à 1.0% du plus haut 100j (39,200 FCFA)</w:t>
      </w:r>
    </w:p>
    <w:p>
      <w:pPr>
        <w:spacing w:before="120"/>
      </w:pPr>
      <w:r>
        <w:rPr>
          <w:b/>
          <w:color w:val="0050A0"/>
          <w:sz w:val="20"/>
        </w:rPr>
        <w:t>BICB — BIIC BN - Banque internationale pour le commerce du benin</w:t>
      </w:r>
    </w:p>
    <w:p>
      <w:pPr>
        <w:pStyle w:val="ListBullet"/>
        <w:spacing w:before="20"/>
        <w:ind w:left="400"/>
      </w:pPr>
      <w:r>
        <w:rPr>
          <w:sz w:val="18"/>
        </w:rPr>
        <w:t>🔴 RSI surachat (74.4 &gt; 70) — risque de correction</w:t>
      </w:r>
    </w:p>
    <w:p>
      <w:pPr>
        <w:spacing w:before="120"/>
      </w:pPr>
      <w:r>
        <w:rPr>
          <w:b/>
          <w:color w:val="0050A0"/>
          <w:sz w:val="20"/>
        </w:rPr>
        <w:t>BOAC — BANK OF AFRICA COTE D'IVOIRE</w:t>
      </w:r>
    </w:p>
    <w:p>
      <w:pPr>
        <w:pStyle w:val="ListBullet"/>
        <w:spacing w:before="20"/>
        <w:ind w:left="400"/>
      </w:pPr>
      <w:r>
        <w:rPr>
          <w:sz w:val="18"/>
        </w:rPr>
        <w:t>🟢 RSI survente (17.1 &lt; 30) — opportunité potentielle</w:t>
      </w:r>
    </w:p>
    <w:p>
      <w:pPr>
        <w:spacing w:before="120"/>
      </w:pPr>
      <w:r>
        <w:rPr>
          <w:b/>
          <w:color w:val="0050A0"/>
          <w:sz w:val="20"/>
        </w:rPr>
        <w:t>CABC — CABC - SICABLE COTE D'IVOIRE</w:t>
      </w:r>
    </w:p>
    <w:p>
      <w:pPr>
        <w:pStyle w:val="ListBullet"/>
        <w:spacing w:before="20"/>
        <w:ind w:left="400"/>
      </w:pPr>
      <w:r>
        <w:rPr>
          <w:sz w:val="18"/>
        </w:rPr>
        <w:t>🟢 RSI survente (20.6 &lt; 30) — opportunité potentielle</w:t>
      </w:r>
    </w:p>
    <w:p>
      <w:pPr>
        <w:spacing w:before="120"/>
      </w:pPr>
      <w:r>
        <w:rPr>
          <w:b/>
          <w:color w:val="0050A0"/>
          <w:sz w:val="20"/>
        </w:rPr>
        <w:t>CIEC — CIEC - Compagnie Ivoirienne d'Electricité</w:t>
      </w:r>
    </w:p>
    <w:p>
      <w:pPr>
        <w:pStyle w:val="ListBullet"/>
        <w:spacing w:before="20"/>
        <w:ind w:left="400"/>
      </w:pPr>
      <w:r>
        <w:rPr>
          <w:sz w:val="18"/>
        </w:rPr>
        <w:t>⚠️ Cours à 0.0% du plus haut 100j (7,400 FCFA)</w:t>
      </w:r>
    </w:p>
    <w:p>
      <w:pPr>
        <w:spacing w:before="120"/>
      </w:pPr>
      <w:r>
        <w:rPr>
          <w:b/>
          <w:color w:val="0050A0"/>
          <w:sz w:val="20"/>
        </w:rPr>
        <w:t>PALC — PALC - PALM COTE D'IVOIRE</w:t>
      </w:r>
    </w:p>
    <w:p>
      <w:pPr>
        <w:pStyle w:val="ListBullet"/>
        <w:spacing w:before="20"/>
        <w:ind w:left="400"/>
      </w:pPr>
      <w:r>
        <w:rPr>
          <w:sz w:val="18"/>
        </w:rPr>
        <w:t>🟢 RSI survente (23.9 &lt; 30) — opportunité potentielle</w:t>
      </w:r>
    </w:p>
    <w:p>
      <w:pPr>
        <w:spacing w:before="120"/>
      </w:pPr>
      <w:r>
        <w:rPr>
          <w:b/>
          <w:color w:val="0050A0"/>
          <w:sz w:val="20"/>
        </w:rPr>
        <w:t>PRSC — PRSC - TRACTAFRIC MOTORS CI</w:t>
      </w:r>
    </w:p>
    <w:p>
      <w:pPr>
        <w:pStyle w:val="ListBullet"/>
        <w:spacing w:before="20"/>
        <w:ind w:left="400"/>
      </w:pPr>
      <w:r>
        <w:rPr>
          <w:sz w:val="18"/>
        </w:rPr>
        <w:t>🟠 Divergence tech(VENTE) / fond(ACHAT) — recommandation ajustée à ACHAT</w:t>
      </w:r>
    </w:p>
    <w:p>
      <w:pPr>
        <w:spacing w:before="120"/>
      </w:pPr>
      <w:r>
        <w:rPr>
          <w:b/>
          <w:color w:val="0050A0"/>
          <w:sz w:val="20"/>
        </w:rPr>
        <w:t>SCRC — SCRC - SUCRIVOIRE</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Cours à 1.1% du plus haut 100j (39,300 FCFA)</w:t>
      </w:r>
    </w:p>
    <w:p>
      <w:pPr>
        <w:spacing w:before="120"/>
      </w:pPr>
      <w:r>
        <w:rPr>
          <w:b/>
          <w:color w:val="0050A0"/>
          <w:sz w:val="20"/>
        </w:rPr>
        <w:t>SIBC — SIBC - SOCIETE IVOIRIENNE DE BANQUE</w:t>
      </w:r>
    </w:p>
    <w:p>
      <w:pPr>
        <w:pStyle w:val="ListBullet"/>
        <w:spacing w:before="20"/>
        <w:ind w:left="400"/>
      </w:pPr>
      <w:r>
        <w:rPr>
          <w:sz w:val="18"/>
        </w:rPr>
        <w:t>⚠️ Cours à 2.9% du plus haut 100j (9,500 FCFA)</w:t>
      </w:r>
    </w:p>
    <w:p>
      <w:pPr>
        <w:spacing w:before="120"/>
      </w:pPr>
      <w:r>
        <w:rPr>
          <w:b/>
          <w:color w:val="0050A0"/>
          <w:sz w:val="20"/>
        </w:rPr>
        <w:t>SLBC — SLBC - SOLIBRA COTE D'IVOIRE</w:t>
      </w:r>
    </w:p>
    <w:p>
      <w:pPr>
        <w:pStyle w:val="ListBullet"/>
        <w:spacing w:before="20"/>
        <w:ind w:left="400"/>
      </w:pPr>
      <w:r>
        <w:rPr>
          <w:sz w:val="18"/>
        </w:rPr>
        <w:t>🟠 Divergence tech(VENTE) / fond(ACHAT) — recommandation ajustée à ACHAT</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STAC — STAC - SETAO COTE D'IVOIRE</w:t>
      </w:r>
    </w:p>
    <w:p>
      <w:pPr>
        <w:pStyle w:val="ListBullet"/>
        <w:spacing w:before="20"/>
        <w:ind w:left="400"/>
      </w:pPr>
      <w:r>
        <w:rPr>
          <w:sz w:val="18"/>
        </w:rPr>
        <w:t>⚠️ Cours à 0.0% du plus bas 100j (2,500 FCFA)</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19 société(s) (40%)</w:t>
            </w:r>
          </w:p>
        </w:tc>
        <w:tc>
          <w:tcPr>
            <w:tcW w:type="dxa" w:w="1644"/>
            <w:shd w:fill="FFEB9C" w:val="clear"/>
          </w:tcPr>
          <w:p>
            <w:r>
              <w:rPr>
                <w:b/>
                <w:color w:val="825A00"/>
                <w:sz w:val="19"/>
              </w:rPr>
              <w:t>28 société(s) (60%)</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21.7/100</w:t>
            </w:r>
          </w:p>
        </w:tc>
        <w:tc>
          <w:tcPr>
            <w:tcW w:type="dxa" w:w="1644"/>
            <w:shd w:fill="DEEAF1" w:val="clear"/>
          </w:tcPr>
          <w:p>
            <w:r>
              <w:rPr>
                <w:b/>
                <w:color w:val="000000"/>
                <w:sz w:val="19"/>
              </w:rPr>
              <w:t>20.8/100</w:t>
            </w:r>
          </w:p>
        </w:tc>
      </w:tr>
    </w:tbl>
    <w:p/>
    <w:p>
      <w:r>
        <w:rPr>
          <w:i/>
          <w:color w:val="006400"/>
          <w:sz w:val="18"/>
        </w:rPr>
        <w:t>✅ Le marché BRVM présente globalement un profil de risque FAIBLE (score moyen 21.7/100).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33.1/100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NEIC</w:t>
            </w:r>
          </w:p>
        </w:tc>
        <w:tc>
          <w:tcPr>
            <w:tcW w:type="dxa" w:w="2268"/>
            <w:shd w:fill="FFFFFF" w:val="clear"/>
          </w:tcPr>
          <w:p>
            <w:r>
              <w:rPr>
                <w:sz w:val="16"/>
              </w:rPr>
              <w:t>NEIC - NEI-CEDA CI</w:t>
            </w:r>
          </w:p>
        </w:tc>
        <w:tc>
          <w:tcPr>
            <w:tcW w:type="dxa" w:w="1701"/>
            <w:shd w:fill="FFFFFF" w:val="clear"/>
          </w:tcPr>
          <w:p>
            <w:r>
              <w:rPr>
                <w:sz w:val="16"/>
              </w:rPr>
              <w:t>CONSOMMATION DISCR</w:t>
            </w:r>
          </w:p>
        </w:tc>
        <w:tc>
          <w:tcPr>
            <w:tcW w:type="dxa" w:w="1020"/>
            <w:shd w:fill="FFEB9C" w:val="clear"/>
          </w:tcPr>
          <w:p>
            <w:r>
              <w:rPr>
                <w:b/>
                <w:color w:val="B40000"/>
                <w:sz w:val="16"/>
              </w:rPr>
              <w:t>30.8/100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30.1/100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NSBC (33.1/100 — Moyen) : </w:t>
      </w:r>
      <w:r>
        <w:rPr>
          <w:sz w:val="17"/>
        </w:rPr>
        <w:t>Volatilité=Élevée | Bêta=Agressif | Liquidité=Bonne | Divergence signaux=taux divergence=40% (Très divergent ❌) | Stabilité=Stable</w:t>
      </w:r>
    </w:p>
    <w:p>
      <w:pPr>
        <w:pStyle w:val="ListBullet"/>
      </w:pPr>
      <w:r>
        <w:rPr>
          <w:b/>
          <w:color w:val="B40000"/>
          <w:sz w:val="18"/>
        </w:rPr>
        <w:t xml:space="preserve">#4 NEIC (30.8/100 — Moyen) : </w:t>
      </w:r>
      <w:r>
        <w:rPr>
          <w:sz w:val="17"/>
        </w:rPr>
        <w:t>Volatilité=Élevée | Bêta=Contre-cyclique | Liquidité=Bonne | Divergence signaux=taux divergence=20% (Mixte ⚠️) | Stabilité=Modérée</w:t>
      </w:r>
    </w:p>
    <w:p>
      <w:pPr>
        <w:pStyle w:val="ListBullet"/>
      </w:pPr>
      <w:r>
        <w:rPr>
          <w:b/>
          <w:color w:val="B40000"/>
          <w:sz w:val="18"/>
        </w:rPr>
        <w:t xml:space="preserve">#5 SAFC (30.1/100 — Moyen) : </w:t>
      </w:r>
      <w:r>
        <w:rPr>
          <w:sz w:val="17"/>
        </w:rPr>
        <w:t>Volatilité=Élevée | Bêta=Défensif | Liquidité=Bonne | Divergence signaux=taux divergence=20% (Mixte ⚠️) | Stabilité=Instable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13.1/100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LNBB</w:t>
            </w:r>
          </w:p>
        </w:tc>
        <w:tc>
          <w:tcPr>
            <w:tcW w:type="dxa" w:w="2268"/>
            <w:shd w:fill="FFFFFF" w:val="clear"/>
          </w:tcPr>
          <w:p>
            <w:r>
              <w:rPr>
                <w:sz w:val="16"/>
              </w:rPr>
              <w:t>LNBB - LOTERIE NATIONALE DU …</w:t>
            </w:r>
          </w:p>
        </w:tc>
        <w:tc>
          <w:tcPr>
            <w:tcW w:type="dxa" w:w="1701"/>
            <w:shd w:fill="FFFFFF" w:val="clear"/>
          </w:tcPr>
          <w:p>
            <w:r>
              <w:rPr>
                <w:sz w:val="16"/>
              </w:rPr>
              <w:t>CONSOMMATION DISCR</w:t>
            </w:r>
          </w:p>
        </w:tc>
        <w:tc>
          <w:tcPr>
            <w:tcW w:type="dxa" w:w="1020"/>
            <w:shd w:fill="C6EFCE" w:val="clear"/>
          </w:tcPr>
          <w:p>
            <w:r>
              <w:rPr>
                <w:b/>
                <w:color w:val="007800"/>
                <w:sz w:val="16"/>
              </w:rPr>
              <w:t>14.3/100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SIBC</w:t>
            </w:r>
          </w:p>
        </w:tc>
        <w:tc>
          <w:tcPr>
            <w:tcW w:type="dxa" w:w="2268"/>
            <w:shd w:fill="FFFFFF" w:val="clear"/>
          </w:tcPr>
          <w:p>
            <w:r>
              <w:rPr>
                <w:sz w:val="16"/>
              </w:rPr>
              <w:t>SIBC - SOCIETE IVOIRIENNE DE…</w:t>
            </w:r>
          </w:p>
        </w:tc>
        <w:tc>
          <w:tcPr>
            <w:tcW w:type="dxa" w:w="1701"/>
            <w:shd w:fill="FFFFFF" w:val="clear"/>
          </w:tcPr>
          <w:p>
            <w:r>
              <w:rPr>
                <w:sz w:val="16"/>
              </w:rPr>
              <w:t>SERVICES FINANCIER</w:t>
            </w:r>
          </w:p>
        </w:tc>
        <w:tc>
          <w:tcPr>
            <w:tcW w:type="dxa" w:w="1020"/>
            <w:shd w:fill="C6EFCE" w:val="clear"/>
          </w:tcPr>
          <w:p>
            <w:r>
              <w:rPr>
                <w:b/>
                <w:color w:val="007800"/>
                <w:sz w:val="16"/>
              </w:rPr>
              <w:t>15.3/100</w:t>
            </w:r>
          </w:p>
        </w:tc>
        <w:tc>
          <w:tcPr>
            <w:tcW w:type="dxa" w:w="1134"/>
            <w:shd w:fill="C6EFCE" w:val="clear"/>
          </w:tcPr>
          <w:p>
            <w:r>
              <w:rPr>
                <w:sz w:val="16"/>
              </w:rPr>
              <w:t>Faible</w:t>
            </w:r>
          </w:p>
        </w:tc>
        <w:tc>
          <w:tcPr>
            <w:tcW w:type="dxa" w:w="2381"/>
            <w:shd w:fill="FFFFFF" w:val="clear"/>
          </w:tcPr>
          <w:p>
            <w:r>
              <w:rPr>
                <w:sz w:val="16"/>
              </w:rPr>
              <w:t>📐 Bêta défensif</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33.1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30.8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Instable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29.8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28.1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28.1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FFEB9C" w:val="clear"/>
          </w:tcPr>
          <w:p>
            <w:r>
              <w:rPr>
                <w:b/>
                <w:color w:val="825A00"/>
                <w:sz w:val="15"/>
              </w:rPr>
              <w:t>27.3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27.1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Très 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24.8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24.0</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FFEB9C" w:val="clear"/>
          </w:tcPr>
          <w:p>
            <w:r>
              <w:rPr>
                <w:b/>
                <w:color w:val="825A00"/>
                <w:sz w:val="15"/>
              </w:rPr>
              <w:t>23.8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Très divergent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21.5</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Convergent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19.8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13.1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-12.74%  |  Médiane : -10.40%</w:t>
            </w:r>
          </w:p>
        </w:tc>
      </w:tr>
      <w:tr>
        <w:tc>
          <w:tcPr>
            <w:tcW w:type="dxa" w:w="2835"/>
            <w:shd w:fill="DEEAF1" w:val="clear"/>
          </w:tcPr>
          <w:p>
            <w:r>
              <w:rPr>
                <w:b/>
                <w:sz w:val="18"/>
              </w:rPr>
              <w:t>Répartition</w:t>
            </w:r>
          </w:p>
        </w:tc>
        <w:tc>
          <w:tcPr>
            <w:tcW w:type="dxa" w:w="7370"/>
          </w:tcPr>
          <w:p>
            <w:r>
              <w:rPr>
                <w:b/>
                <w:sz w:val="18"/>
              </w:rPr>
              <w:t>📈 9 sociétés en hausse (&gt;+1%)   📉 37 en baisse (&lt;-1%)   ➡️ 1 neutres</w:t>
            </w:r>
          </w:p>
        </w:tc>
      </w:tr>
      <w:tr>
        <w:tc>
          <w:tcPr>
            <w:tcW w:type="dxa" w:w="2835"/>
            <w:shd w:fill="DEEAF1" w:val="clear"/>
          </w:tcPr>
          <w:p>
            <w:r>
              <w:rPr>
                <w:b/>
                <w:sz w:val="18"/>
              </w:rPr>
              <w:t>Confiance globale</w:t>
            </w:r>
          </w:p>
        </w:tc>
        <w:tc>
          <w:tcPr>
            <w:tcW w:type="dxa" w:w="7370"/>
          </w:tcPr>
          <w:p>
            <w:r>
              <w:rPr>
                <w:b/>
                <w:sz w:val="18"/>
              </w:rPr>
              <w:t>Élevée : 0 sociétés (0%)   Moyenne : 14   Faible : 33 (70%)   → Confiance dominante : Faible</w:t>
            </w:r>
          </w:p>
        </w:tc>
      </w:tr>
    </w:tbl>
    <w:p/>
    <w:p>
      <w:r>
        <w:rPr>
          <w:i/>
          <w:color w:val="282828"/>
          <w:sz w:val="18"/>
        </w:rPr>
        <w:t>📝 Analyse : Les modèles anticipent une correction généralisée. 37 sociétés sur 47 sont orientées à la baisse avec une variation moyenne de -12.74%.</w:t>
      </w:r>
    </w:p>
    <w:p>
      <w:r>
        <w:rPr>
          <w:i/>
          <w:color w:val="282828"/>
          <w:sz w:val="18"/>
        </w:rPr>
        <w:t>🎯 Fiabilité : ⚠️ La confiance est globalement FAIBLE (70%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3,490 FCFA</w:t>
            </w:r>
          </w:p>
        </w:tc>
        <w:tc>
          <w:tcPr>
            <w:tcW w:type="dxa" w:w="1417"/>
            <w:shd w:fill="FFFFFF" w:val="clear"/>
          </w:tcPr>
          <w:p>
            <w:r>
              <w:rPr>
                <w:sz w:val="16"/>
              </w:rPr>
              <w:t>6,054 FCFA</w:t>
            </w:r>
          </w:p>
        </w:tc>
        <w:tc>
          <w:tcPr>
            <w:tcW w:type="dxa" w:w="1134"/>
            <w:shd w:fill="C6EFCE" w:val="clear"/>
          </w:tcPr>
          <w:p>
            <w:r>
              <w:rPr>
                <w:b/>
                <w:color w:val="007800"/>
                <w:sz w:val="16"/>
              </w:rPr>
              <w:t>+73.47%</w:t>
            </w:r>
          </w:p>
        </w:tc>
        <w:tc>
          <w:tcPr>
            <w:tcW w:type="dxa" w:w="1020"/>
            <w:shd w:fill="FFEB9C" w:val="clear"/>
          </w:tcPr>
          <w:p>
            <w:r>
              <w:rPr>
                <w:sz w:val="16"/>
              </w:rPr>
              <w:t>Moyenne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24,450 FCFA</w:t>
            </w:r>
          </w:p>
        </w:tc>
        <w:tc>
          <w:tcPr>
            <w:tcW w:type="dxa" w:w="1417"/>
            <w:shd w:fill="FFFFFF" w:val="clear"/>
          </w:tcPr>
          <w:p>
            <w:r>
              <w:rPr>
                <w:sz w:val="16"/>
              </w:rPr>
              <w:t>28,439 FCFA</w:t>
            </w:r>
          </w:p>
        </w:tc>
        <w:tc>
          <w:tcPr>
            <w:tcW w:type="dxa" w:w="1134"/>
            <w:shd w:fill="C6EFCE" w:val="clear"/>
          </w:tcPr>
          <w:p>
            <w:r>
              <w:rPr>
                <w:b/>
                <w:color w:val="007800"/>
                <w:sz w:val="16"/>
              </w:rPr>
              <w:t>+16.31%</w:t>
            </w:r>
          </w:p>
        </w:tc>
        <w:tc>
          <w:tcPr>
            <w:tcW w:type="dxa" w:w="1020"/>
            <w:shd w:fill="FFEB9C" w:val="clear"/>
          </w:tcPr>
          <w:p>
            <w:r>
              <w:rPr>
                <w:sz w:val="16"/>
              </w:rPr>
              <w:t>Moyenne</w:t>
            </w:r>
          </w:p>
        </w:tc>
      </w:tr>
      <w:tr>
        <w:tc>
          <w:tcPr>
            <w:tcW w:type="dxa" w:w="680"/>
            <w:shd w:fill="FFFFFF" w:val="clear"/>
          </w:tcPr>
          <w:p>
            <w:r>
              <w:rPr>
                <w:b/>
                <w:sz w:val="16"/>
              </w:rPr>
              <w:t>#3</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22,000 FCFA</w:t>
            </w:r>
          </w:p>
        </w:tc>
        <w:tc>
          <w:tcPr>
            <w:tcW w:type="dxa" w:w="1417"/>
            <w:shd w:fill="FFFFFF" w:val="clear"/>
          </w:tcPr>
          <w:p>
            <w:r>
              <w:rPr>
                <w:sz w:val="16"/>
              </w:rPr>
              <w:t>24,522 FCFA</w:t>
            </w:r>
          </w:p>
        </w:tc>
        <w:tc>
          <w:tcPr>
            <w:tcW w:type="dxa" w:w="1134"/>
            <w:shd w:fill="C6EFCE" w:val="clear"/>
          </w:tcPr>
          <w:p>
            <w:r>
              <w:rPr>
                <w:b/>
                <w:color w:val="007800"/>
                <w:sz w:val="16"/>
              </w:rPr>
              <w:t>+11.46%</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53,000 FCFA</w:t>
            </w:r>
          </w:p>
        </w:tc>
        <w:tc>
          <w:tcPr>
            <w:tcW w:type="dxa" w:w="1417"/>
            <w:shd w:fill="FFFFFF" w:val="clear"/>
          </w:tcPr>
          <w:p>
            <w:r>
              <w:rPr>
                <w:sz w:val="16"/>
              </w:rPr>
              <w:t>58,786 FCFA</w:t>
            </w:r>
          </w:p>
        </w:tc>
        <w:tc>
          <w:tcPr>
            <w:tcW w:type="dxa" w:w="1134"/>
            <w:shd w:fill="C6EFCE" w:val="clear"/>
          </w:tcPr>
          <w:p>
            <w:r>
              <w:rPr>
                <w:b/>
                <w:color w:val="007800"/>
                <w:sz w:val="16"/>
              </w:rPr>
              <w:t>+10.92%</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2,100 FCFA</w:t>
            </w:r>
          </w:p>
        </w:tc>
        <w:tc>
          <w:tcPr>
            <w:tcW w:type="dxa" w:w="1417"/>
            <w:shd w:fill="FFFFFF" w:val="clear"/>
          </w:tcPr>
          <w:p>
            <w:r>
              <w:rPr>
                <w:sz w:val="16"/>
              </w:rPr>
              <w:t>2,198 FCFA</w:t>
            </w:r>
          </w:p>
        </w:tc>
        <w:tc>
          <w:tcPr>
            <w:tcW w:type="dxa" w:w="1134"/>
            <w:shd w:fill="C6EFCE" w:val="clear"/>
          </w:tcPr>
          <w:p>
            <w:r>
              <w:rPr>
                <w:b/>
                <w:color w:val="007800"/>
                <w:sz w:val="16"/>
              </w:rPr>
              <w:t>+4.67%</w:t>
            </w:r>
          </w:p>
        </w:tc>
        <w:tc>
          <w:tcPr>
            <w:tcW w:type="dxa" w:w="1020"/>
            <w:shd w:fill="FFC7CE" w:val="clear"/>
          </w:tcPr>
          <w:p>
            <w:r>
              <w:rPr>
                <w:sz w:val="16"/>
              </w:rPr>
              <w:t>Faible</w:t>
            </w:r>
          </w:p>
        </w:tc>
      </w:tr>
    </w:tbl>
    <w:p/>
    <w:p>
      <w:pPr>
        <w:pStyle w:val="ListBullet"/>
      </w:pPr>
      <w:r>
        <w:rPr>
          <w:b/>
          <w:color w:val="006400"/>
          <w:sz w:val="18"/>
        </w:rPr>
        <w:t xml:space="preserve">#1 CABC </w:t>
      </w:r>
      <w:r>
        <w:rPr>
          <w:sz w:val="17"/>
        </w:rPr>
        <w:t>(CABC - SICABLE COTE D'IVOIRE) — hausse très forte (+73.5%) — signal potentiellement excessif, à croiser avec l'analyse technique. Trajectoire : 📈 Hausse continue. Cours actuel : 3,490 FCFA → prédit J+10 : 6,054 FCFA. Confiance partielle — les premiers jours sont fiables, les jours lointains moins précis.</w:t>
      </w:r>
    </w:p>
    <w:p>
      <w:pPr>
        <w:pStyle w:val="ListBullet"/>
      </w:pPr>
      <w:r>
        <w:rPr>
          <w:b/>
          <w:color w:val="006400"/>
          <w:sz w:val="18"/>
        </w:rPr>
        <w:t xml:space="preserve">#2 NSBC </w:t>
      </w:r>
      <w:r>
        <w:rPr>
          <w:sz w:val="17"/>
        </w:rPr>
        <w:t>(NSBC - NSIA BANQUE COTE D'IVOIRE) — hausse significative (+16.3%) — potentiel de revalorisation notable. Trajectoire : 📈 Hausse continue. Cours actuel : 24,450 FCFA → prédit J+10 : 28,439 FCFA. Confiance partielle — les premiers jours sont fiables, les jours lointains moins précis.</w:t>
      </w:r>
    </w:p>
    <w:p>
      <w:pPr>
        <w:pStyle w:val="ListBullet"/>
      </w:pPr>
      <w:r>
        <w:rPr>
          <w:b/>
          <w:color w:val="006400"/>
          <w:sz w:val="18"/>
        </w:rPr>
        <w:t xml:space="preserve">#3 STBC </w:t>
      </w:r>
      <w:r>
        <w:rPr>
          <w:sz w:val="17"/>
        </w:rPr>
        <w:t>(STBC - SITAB COTE D'IVOIRE) — hausse significative (+11.5%) — potentiel de revalorisation notable. Trajectoire : 📈 Hausse continue. Cours actuel : 22,000 FCFA → prédit J+10 : 24,522 FCFA. ⚠️ Confiance limitée — volatilité élevée ou données insuffisantes. Résultat indicatif uniquement.</w:t>
      </w:r>
    </w:p>
    <w:p>
      <w:pPr>
        <w:pStyle w:val="ListBullet"/>
      </w:pPr>
      <w:r>
        <w:rPr>
          <w:b/>
          <w:color w:val="006400"/>
          <w:sz w:val="18"/>
        </w:rPr>
        <w:t xml:space="preserve">#4 UNLC </w:t>
      </w:r>
      <w:r>
        <w:rPr>
          <w:sz w:val="17"/>
        </w:rPr>
        <w:t>(UNLC - UNILEVER COTE D'IVOIRE) — hausse significative (+10.9%) — potentiel de revalorisation notable. Trajectoire : 📈 Hausse continue. Cours actuel : 53,000 FCFA → prédit J+10 : 58,786 FCFA. ⚠️ Confiance limitée — volatilité élevée ou données insuffisantes. Résultat indicatif uniquement.</w:t>
      </w:r>
    </w:p>
    <w:p>
      <w:pPr>
        <w:pStyle w:val="ListBullet"/>
      </w:pPr>
      <w:r>
        <w:rPr>
          <w:b/>
          <w:color w:val="006400"/>
          <w:sz w:val="18"/>
        </w:rPr>
        <w:t xml:space="preserve">#5 FTSC </w:t>
      </w:r>
      <w:r>
        <w:rPr>
          <w:sz w:val="17"/>
        </w:rPr>
        <w:t>(FTSC - FILTISAC COTE D'IVOIRE) — légère hausse (+4.7%) — progression graduelle attendue. Trajectoire : 📈 Hausse continue. Cours actuel : 2,100 FCFA → prédit J+10 : 2,198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70 FCFA</w:t>
            </w:r>
          </w:p>
        </w:tc>
        <w:tc>
          <w:tcPr>
            <w:tcW w:type="dxa" w:w="1417"/>
            <w:shd w:fill="FFFFFF" w:val="clear"/>
          </w:tcPr>
          <w:p>
            <w:r>
              <w:rPr>
                <w:sz w:val="16"/>
              </w:rPr>
              <w:t>32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7,400 FCFA</w:t>
            </w:r>
          </w:p>
        </w:tc>
        <w:tc>
          <w:tcPr>
            <w:tcW w:type="dxa" w:w="1417"/>
            <w:shd w:fill="FFFFFF" w:val="clear"/>
          </w:tcPr>
          <w:p>
            <w:r>
              <w:rPr>
                <w:sz w:val="16"/>
              </w:rPr>
              <w:t>3,394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5,180 FCFA</w:t>
            </w:r>
          </w:p>
        </w:tc>
        <w:tc>
          <w:tcPr>
            <w:tcW w:type="dxa" w:w="1417"/>
            <w:shd w:fill="FFFFFF" w:val="clear"/>
          </w:tcPr>
          <w:p>
            <w:r>
              <w:rPr>
                <w:sz w:val="16"/>
              </w:rPr>
              <w:t>2,375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3,395 FCFA</w:t>
            </w:r>
          </w:p>
        </w:tc>
        <w:tc>
          <w:tcPr>
            <w:tcW w:type="dxa" w:w="1417"/>
            <w:shd w:fill="FFFFFF" w:val="clear"/>
          </w:tcPr>
          <w:p>
            <w:r>
              <w:rPr>
                <w:sz w:val="16"/>
              </w:rPr>
              <w:t>1,557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33,500 FCFA</w:t>
            </w:r>
          </w:p>
        </w:tc>
        <w:tc>
          <w:tcPr>
            <w:tcW w:type="dxa" w:w="1417"/>
            <w:shd w:fill="FFFFFF" w:val="clear"/>
          </w:tcPr>
          <w:p>
            <w:r>
              <w:rPr>
                <w:sz w:val="16"/>
              </w:rPr>
              <w:t>17,838 FCFA</w:t>
            </w:r>
          </w:p>
        </w:tc>
        <w:tc>
          <w:tcPr>
            <w:tcW w:type="dxa" w:w="1134"/>
            <w:shd w:fill="FFC7CE" w:val="clear"/>
          </w:tcPr>
          <w:p>
            <w:r>
              <w:rPr>
                <w:b/>
                <w:color w:val="B40000"/>
                <w:sz w:val="16"/>
              </w:rPr>
              <w:t>-46.75%</w:t>
            </w:r>
          </w:p>
        </w:tc>
        <w:tc>
          <w:tcPr>
            <w:tcW w:type="dxa" w:w="1020"/>
            <w:shd w:fill="FFEB9C" w:val="clear"/>
          </w:tcPr>
          <w:p>
            <w:r>
              <w:rPr>
                <w:sz w:val="16"/>
              </w:rPr>
              <w:t>Moyenne</w:t>
            </w:r>
          </w:p>
        </w:tc>
      </w:tr>
    </w:tbl>
    <w:p/>
    <w:p>
      <w:pPr>
        <w:pStyle w:val="ListBullet"/>
      </w:pPr>
      <w:r>
        <w:rPr>
          <w:b/>
          <w:color w:val="B40000"/>
          <w:sz w:val="18"/>
        </w:rPr>
        <w:t xml:space="preserve">#1 ETIT </w:t>
      </w:r>
      <w:r>
        <w:rPr>
          <w:sz w:val="17"/>
        </w:rPr>
        <w:t>(ETIT - Ecobank Transnational Incorporate) — baisse très forte (-54.1%) — amplitude potentiellement surestimée par le modèle. Trajectoire : 📉 Baisse continue. Cours actuel : 70 FCFA → prédit J+10 : 32 FCFA. ⚠️ Confiance limitée — volatilité élevée. Ne pas agir sur ce seul signal.</w:t>
      </w:r>
    </w:p>
    <w:p>
      <w:pPr>
        <w:pStyle w:val="ListBullet"/>
      </w:pPr>
      <w:r>
        <w:rPr>
          <w:b/>
          <w:color w:val="B40000"/>
          <w:sz w:val="18"/>
        </w:rPr>
        <w:t xml:space="preserve">#2 CIEC </w:t>
      </w:r>
      <w:r>
        <w:rPr>
          <w:sz w:val="17"/>
        </w:rPr>
        <w:t>(CIEC - Compagnie Ivoirienne d'Electricit) — baisse très forte (-54.1%) — amplitude potentiellement surestimée par le modèle. Trajectoire : 📉 Baisse continue. Cours actuel : 7,400 FCFA → prédit J+10 : 3,394 FCFA. ⚠️ Confiance limitée — volatilité élevée. Ne pas agir sur ce seul signal.</w:t>
      </w:r>
    </w:p>
    <w:p>
      <w:pPr>
        <w:pStyle w:val="ListBullet"/>
      </w:pPr>
      <w:r>
        <w:rPr>
          <w:b/>
          <w:color w:val="B40000"/>
          <w:sz w:val="18"/>
        </w:rPr>
        <w:t xml:space="preserve">#3 SAFC </w:t>
      </w:r>
      <w:r>
        <w:rPr>
          <w:sz w:val="17"/>
        </w:rPr>
        <w:t>(SAFCA CI) — baisse très forte (-54.1%) — amplitude potentiellement surestimée par le modèle. Trajectoire : 📉 Baisse continue. Cours actuel : 5,180 FCFA → prédit J+10 : 2,375 FCFA. ⚠️ Confiance limitée — volatilité élevée. Ne pas agir sur ce seul signal.</w:t>
      </w:r>
    </w:p>
    <w:p>
      <w:pPr>
        <w:pStyle w:val="ListBullet"/>
      </w:pPr>
      <w:r>
        <w:rPr>
          <w:b/>
          <w:color w:val="B40000"/>
          <w:sz w:val="18"/>
        </w:rPr>
        <w:t xml:space="preserve">#4 SCRC </w:t>
      </w:r>
      <w:r>
        <w:rPr>
          <w:sz w:val="17"/>
        </w:rPr>
        <w:t>(SCRC - SUCRIVOIRE) — baisse très forte (-54.1%) — amplitude potentiellement surestimée par le modèle. Trajectoire : 📉 Baisse continue. Cours actuel : 3,395 FCFA → prédit J+10 : 1,557 FCFA. ⚠️ Confiance limitée — volatilité élevée. Ne pas agir sur ce seul signal.</w:t>
      </w:r>
    </w:p>
    <w:p>
      <w:pPr>
        <w:pStyle w:val="ListBullet"/>
      </w:pPr>
      <w:r>
        <w:rPr>
          <w:b/>
          <w:color w:val="B40000"/>
          <w:sz w:val="18"/>
        </w:rPr>
        <w:t xml:space="preserve">#5 CBIBF </w:t>
      </w:r>
      <w:r>
        <w:rPr>
          <w:sz w:val="17"/>
        </w:rPr>
        <w:t>(CBIBF - CORIS BANK INTERNATIONAL BURKINA) — baisse très forte (-46.8%) — amplitude potentiellement surestimée par le modèle. Trajectoire : 📉 Baisse continue. Cours actuel : 33,500 FCFA → prédit J+10 : 17,838 FCFA. Confiance partielle — surveiller l'évolution réelle des premiers jours.</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3,490</w:t>
            </w:r>
          </w:p>
        </w:tc>
        <w:tc>
          <w:tcPr>
            <w:tcW w:type="dxa" w:w="1417"/>
            <w:shd w:fill="FFFFFF" w:val="clear"/>
          </w:tcPr>
          <w:p>
            <w:r>
              <w:rPr>
                <w:sz w:val="16"/>
              </w:rPr>
              <w:t>6,054</w:t>
            </w:r>
          </w:p>
        </w:tc>
        <w:tc>
          <w:tcPr>
            <w:tcW w:type="dxa" w:w="1134"/>
            <w:shd w:fill="C6EFCE" w:val="clear"/>
          </w:tcPr>
          <w:p>
            <w:r>
              <w:rPr>
                <w:b/>
                <w:color w:val="007800"/>
                <w:sz w:val="16"/>
              </w:rPr>
              <w:t>+73.47%</w:t>
            </w:r>
          </w:p>
        </w:tc>
        <w:tc>
          <w:tcPr>
            <w:tcW w:type="dxa" w:w="1134"/>
            <w:shd w:fill="FFEB9C" w:val="clear"/>
          </w:tcPr>
          <w:p>
            <w:r>
              <w:rPr>
                <w:sz w:val="16"/>
              </w:rPr>
              <w:t>Moyenne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24,450</w:t>
            </w:r>
          </w:p>
        </w:tc>
        <w:tc>
          <w:tcPr>
            <w:tcW w:type="dxa" w:w="1417"/>
            <w:shd w:fill="FFFFFF" w:val="clear"/>
          </w:tcPr>
          <w:p>
            <w:r>
              <w:rPr>
                <w:sz w:val="16"/>
              </w:rPr>
              <w:t>28,439</w:t>
            </w:r>
          </w:p>
        </w:tc>
        <w:tc>
          <w:tcPr>
            <w:tcW w:type="dxa" w:w="1134"/>
            <w:shd w:fill="C6EFCE" w:val="clear"/>
          </w:tcPr>
          <w:p>
            <w:r>
              <w:rPr>
                <w:b/>
                <w:color w:val="007800"/>
                <w:sz w:val="16"/>
              </w:rPr>
              <w:t>+16.31%</w:t>
            </w:r>
          </w:p>
        </w:tc>
        <w:tc>
          <w:tcPr>
            <w:tcW w:type="dxa" w:w="1134"/>
            <w:shd w:fill="FFEB9C" w:val="clear"/>
          </w:tcPr>
          <w:p>
            <w:r>
              <w:rPr>
                <w:sz w:val="16"/>
              </w:rPr>
              <w:t>Moyenne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22,000</w:t>
            </w:r>
          </w:p>
        </w:tc>
        <w:tc>
          <w:tcPr>
            <w:tcW w:type="dxa" w:w="1417"/>
            <w:shd w:fill="FFFFFF" w:val="clear"/>
          </w:tcPr>
          <w:p>
            <w:r>
              <w:rPr>
                <w:sz w:val="16"/>
              </w:rPr>
              <w:t>24,522</w:t>
            </w:r>
          </w:p>
        </w:tc>
        <w:tc>
          <w:tcPr>
            <w:tcW w:type="dxa" w:w="1134"/>
            <w:shd w:fill="C6EFCE" w:val="clear"/>
          </w:tcPr>
          <w:p>
            <w:r>
              <w:rPr>
                <w:b/>
                <w:color w:val="007800"/>
                <w:sz w:val="16"/>
              </w:rPr>
              <w:t>+11.46%</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53,000</w:t>
            </w:r>
          </w:p>
        </w:tc>
        <w:tc>
          <w:tcPr>
            <w:tcW w:type="dxa" w:w="1417"/>
            <w:shd w:fill="FFFFFF" w:val="clear"/>
          </w:tcPr>
          <w:p>
            <w:r>
              <w:rPr>
                <w:sz w:val="16"/>
              </w:rPr>
              <w:t>58,786</w:t>
            </w:r>
          </w:p>
        </w:tc>
        <w:tc>
          <w:tcPr>
            <w:tcW w:type="dxa" w:w="1134"/>
            <w:shd w:fill="C6EFCE" w:val="clear"/>
          </w:tcPr>
          <w:p>
            <w:r>
              <w:rPr>
                <w:b/>
                <w:color w:val="007800"/>
                <w:sz w:val="16"/>
              </w:rPr>
              <w:t>+10.92%</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2,100</w:t>
            </w:r>
          </w:p>
        </w:tc>
        <w:tc>
          <w:tcPr>
            <w:tcW w:type="dxa" w:w="1417"/>
            <w:shd w:fill="FFFFFF" w:val="clear"/>
          </w:tcPr>
          <w:p>
            <w:r>
              <w:rPr>
                <w:sz w:val="16"/>
              </w:rPr>
              <w:t>2,198</w:t>
            </w:r>
          </w:p>
        </w:tc>
        <w:tc>
          <w:tcPr>
            <w:tcW w:type="dxa" w:w="1134"/>
            <w:shd w:fill="C6EFCE" w:val="clear"/>
          </w:tcPr>
          <w:p>
            <w:r>
              <w:rPr>
                <w:b/>
                <w:color w:val="007800"/>
                <w:sz w:val="16"/>
              </w:rPr>
              <w:t>+4.67%</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8,450</w:t>
            </w:r>
          </w:p>
        </w:tc>
        <w:tc>
          <w:tcPr>
            <w:tcW w:type="dxa" w:w="1417"/>
            <w:shd w:fill="FFFFFF" w:val="clear"/>
          </w:tcPr>
          <w:p>
            <w:r>
              <w:rPr>
                <w:sz w:val="16"/>
              </w:rPr>
              <w:t>8,807</w:t>
            </w:r>
          </w:p>
        </w:tc>
        <w:tc>
          <w:tcPr>
            <w:tcW w:type="dxa" w:w="1134"/>
            <w:shd w:fill="C6EFCE" w:val="clear"/>
          </w:tcPr>
          <w:p>
            <w:r>
              <w:rPr>
                <w:b/>
                <w:color w:val="007800"/>
                <w:sz w:val="16"/>
              </w:rPr>
              <w:t>+4.22%</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7,935</w:t>
            </w:r>
          </w:p>
        </w:tc>
        <w:tc>
          <w:tcPr>
            <w:tcW w:type="dxa" w:w="1417"/>
            <w:shd w:fill="FFFFFF" w:val="clear"/>
          </w:tcPr>
          <w:p>
            <w:r>
              <w:rPr>
                <w:sz w:val="16"/>
              </w:rPr>
              <w:t>8,261</w:t>
            </w:r>
          </w:p>
        </w:tc>
        <w:tc>
          <w:tcPr>
            <w:tcW w:type="dxa" w:w="1134"/>
            <w:shd w:fill="C6EFCE" w:val="clear"/>
          </w:tcPr>
          <w:p>
            <w:r>
              <w:rPr>
                <w:b/>
                <w:color w:val="007800"/>
                <w:sz w:val="16"/>
              </w:rPr>
              <w:t>+4.11%</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4,050</w:t>
            </w:r>
          </w:p>
        </w:tc>
        <w:tc>
          <w:tcPr>
            <w:tcW w:type="dxa" w:w="1417"/>
            <w:shd w:fill="FFFFFF" w:val="clear"/>
          </w:tcPr>
          <w:p>
            <w:r>
              <w:rPr>
                <w:sz w:val="16"/>
              </w:rPr>
              <w:t>4,172</w:t>
            </w:r>
          </w:p>
        </w:tc>
        <w:tc>
          <w:tcPr>
            <w:tcW w:type="dxa" w:w="1134"/>
            <w:shd w:fill="C6EFCE" w:val="clear"/>
          </w:tcPr>
          <w:p>
            <w:r>
              <w:rPr>
                <w:b/>
                <w:color w:val="007800"/>
                <w:sz w:val="16"/>
              </w:rPr>
              <w:t>+3.01%</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7,800</w:t>
            </w:r>
          </w:p>
        </w:tc>
        <w:tc>
          <w:tcPr>
            <w:tcW w:type="dxa" w:w="1417"/>
            <w:shd w:fill="FFFFFF" w:val="clear"/>
          </w:tcPr>
          <w:p>
            <w:r>
              <w:rPr>
                <w:sz w:val="16"/>
              </w:rPr>
              <w:t>8,034</w:t>
            </w:r>
          </w:p>
        </w:tc>
        <w:tc>
          <w:tcPr>
            <w:tcW w:type="dxa" w:w="1134"/>
            <w:shd w:fill="C6EFCE" w:val="clear"/>
          </w:tcPr>
          <w:p>
            <w:r>
              <w:rPr>
                <w:b/>
                <w:color w:val="007800"/>
                <w:sz w:val="16"/>
              </w:rPr>
              <w:t>+3.00%</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3,300</w:t>
            </w:r>
          </w:p>
        </w:tc>
        <w:tc>
          <w:tcPr>
            <w:tcW w:type="dxa" w:w="1417"/>
            <w:shd w:fill="FFFFFF" w:val="clear"/>
          </w:tcPr>
          <w:p>
            <w:r>
              <w:rPr>
                <w:sz w:val="16"/>
              </w:rPr>
              <w:t>3,278</w:t>
            </w:r>
          </w:p>
        </w:tc>
        <w:tc>
          <w:tcPr>
            <w:tcW w:type="dxa" w:w="1134"/>
            <w:shd w:fill="FFEB9C" w:val="clear"/>
          </w:tcPr>
          <w:p>
            <w:r>
              <w:rPr>
                <w:b/>
                <w:color w:val="646400"/>
                <w:sz w:val="16"/>
              </w:rPr>
              <w:t>-0.67%</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38,000</w:t>
            </w:r>
          </w:p>
        </w:tc>
        <w:tc>
          <w:tcPr>
            <w:tcW w:type="dxa" w:w="1417"/>
            <w:shd w:fill="FFFFFF" w:val="clear"/>
          </w:tcPr>
          <w:p>
            <w:r>
              <w:rPr>
                <w:sz w:val="16"/>
              </w:rPr>
              <w:t>37,437</w:t>
            </w:r>
          </w:p>
        </w:tc>
        <w:tc>
          <w:tcPr>
            <w:tcW w:type="dxa" w:w="1134"/>
            <w:shd w:fill="FFC7CE" w:val="clear"/>
          </w:tcPr>
          <w:p>
            <w:r>
              <w:rPr>
                <w:b/>
                <w:color w:val="B40000"/>
                <w:sz w:val="16"/>
              </w:rPr>
              <w:t>-1.48%</w:t>
            </w:r>
          </w:p>
        </w:tc>
        <w:tc>
          <w:tcPr>
            <w:tcW w:type="dxa" w:w="1134"/>
            <w:shd w:fill="FFEB9C" w:val="clear"/>
          </w:tcPr>
          <w:p>
            <w:r>
              <w:rPr>
                <w:sz w:val="16"/>
              </w:rPr>
              <w:t>Moyenne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2,870</w:t>
            </w:r>
          </w:p>
        </w:tc>
        <w:tc>
          <w:tcPr>
            <w:tcW w:type="dxa" w:w="1417"/>
            <w:shd w:fill="FFFFFF" w:val="clear"/>
          </w:tcPr>
          <w:p>
            <w:r>
              <w:rPr>
                <w:sz w:val="16"/>
              </w:rPr>
              <w:t>2,814</w:t>
            </w:r>
          </w:p>
        </w:tc>
        <w:tc>
          <w:tcPr>
            <w:tcW w:type="dxa" w:w="1134"/>
            <w:shd w:fill="FFC7CE" w:val="clear"/>
          </w:tcPr>
          <w:p>
            <w:r>
              <w:rPr>
                <w:b/>
                <w:color w:val="B40000"/>
                <w:sz w:val="16"/>
              </w:rPr>
              <w:t>-1.96%</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2,120</w:t>
            </w:r>
          </w:p>
        </w:tc>
        <w:tc>
          <w:tcPr>
            <w:tcW w:type="dxa" w:w="1417"/>
            <w:shd w:fill="FFFFFF" w:val="clear"/>
          </w:tcPr>
          <w:p>
            <w:r>
              <w:rPr>
                <w:sz w:val="16"/>
              </w:rPr>
              <w:t>2,074</w:t>
            </w:r>
          </w:p>
        </w:tc>
        <w:tc>
          <w:tcPr>
            <w:tcW w:type="dxa" w:w="1134"/>
            <w:shd w:fill="FFC7CE" w:val="clear"/>
          </w:tcPr>
          <w:p>
            <w:r>
              <w:rPr>
                <w:b/>
                <w:color w:val="B40000"/>
                <w:sz w:val="16"/>
              </w:rPr>
              <w:t>-2.16%</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5,470</w:t>
            </w:r>
          </w:p>
        </w:tc>
        <w:tc>
          <w:tcPr>
            <w:tcW w:type="dxa" w:w="1417"/>
            <w:shd w:fill="FFFFFF" w:val="clear"/>
          </w:tcPr>
          <w:p>
            <w:r>
              <w:rPr>
                <w:sz w:val="16"/>
              </w:rPr>
              <w:t>5,327</w:t>
            </w:r>
          </w:p>
        </w:tc>
        <w:tc>
          <w:tcPr>
            <w:tcW w:type="dxa" w:w="1134"/>
            <w:shd w:fill="FFC7CE" w:val="clear"/>
          </w:tcPr>
          <w:p>
            <w:r>
              <w:rPr>
                <w:b/>
                <w:color w:val="B40000"/>
                <w:sz w:val="16"/>
              </w:rPr>
              <w:t>-2.61%</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17,695</w:t>
            </w:r>
          </w:p>
        </w:tc>
        <w:tc>
          <w:tcPr>
            <w:tcW w:type="dxa" w:w="1417"/>
            <w:shd w:fill="FFFFFF" w:val="clear"/>
          </w:tcPr>
          <w:p>
            <w:r>
              <w:rPr>
                <w:sz w:val="16"/>
              </w:rPr>
              <w:t>17,226</w:t>
            </w:r>
          </w:p>
        </w:tc>
        <w:tc>
          <w:tcPr>
            <w:tcW w:type="dxa" w:w="1134"/>
            <w:shd w:fill="FFC7CE" w:val="clear"/>
          </w:tcPr>
          <w:p>
            <w:r>
              <w:rPr>
                <w:b/>
                <w:color w:val="B40000"/>
                <w:sz w:val="16"/>
              </w:rPr>
              <w:t>-2.65%</w:t>
            </w:r>
          </w:p>
        </w:tc>
        <w:tc>
          <w:tcPr>
            <w:tcW w:type="dxa" w:w="1134"/>
            <w:shd w:fill="FFEB9C" w:val="clear"/>
          </w:tcPr>
          <w:p>
            <w:r>
              <w:rPr>
                <w:sz w:val="16"/>
              </w:rPr>
              <w:t>Moyenne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38,870</w:t>
            </w:r>
          </w:p>
        </w:tc>
        <w:tc>
          <w:tcPr>
            <w:tcW w:type="dxa" w:w="1417"/>
            <w:shd w:fill="FFFFFF" w:val="clear"/>
          </w:tcPr>
          <w:p>
            <w:r>
              <w:rPr>
                <w:sz w:val="16"/>
              </w:rPr>
              <w:t>37,581</w:t>
            </w:r>
          </w:p>
        </w:tc>
        <w:tc>
          <w:tcPr>
            <w:tcW w:type="dxa" w:w="1134"/>
            <w:shd w:fill="FFC7CE" w:val="clear"/>
          </w:tcPr>
          <w:p>
            <w:r>
              <w:rPr>
                <w:b/>
                <w:color w:val="B40000"/>
                <w:sz w:val="16"/>
              </w:rPr>
              <w:t>-3.32%</w:t>
            </w:r>
          </w:p>
        </w:tc>
        <w:tc>
          <w:tcPr>
            <w:tcW w:type="dxa" w:w="1134"/>
            <w:shd w:fill="FFEB9C" w:val="clear"/>
          </w:tcPr>
          <w:p>
            <w:r>
              <w:rPr>
                <w:sz w:val="16"/>
              </w:rPr>
              <w:t>Moyenne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3,295</w:t>
            </w:r>
          </w:p>
        </w:tc>
        <w:tc>
          <w:tcPr>
            <w:tcW w:type="dxa" w:w="1417"/>
            <w:shd w:fill="FFFFFF" w:val="clear"/>
          </w:tcPr>
          <w:p>
            <w:r>
              <w:rPr>
                <w:sz w:val="16"/>
              </w:rPr>
              <w:t>3,185</w:t>
            </w:r>
          </w:p>
        </w:tc>
        <w:tc>
          <w:tcPr>
            <w:tcW w:type="dxa" w:w="1134"/>
            <w:shd w:fill="FFC7CE" w:val="clear"/>
          </w:tcPr>
          <w:p>
            <w:r>
              <w:rPr>
                <w:b/>
                <w:color w:val="B40000"/>
                <w:sz w:val="16"/>
              </w:rPr>
              <w:t>-3.33%</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16,890</w:t>
            </w:r>
          </w:p>
        </w:tc>
        <w:tc>
          <w:tcPr>
            <w:tcW w:type="dxa" w:w="1417"/>
            <w:shd w:fill="FFFFFF" w:val="clear"/>
          </w:tcPr>
          <w:p>
            <w:r>
              <w:rPr>
                <w:sz w:val="16"/>
              </w:rPr>
              <w:t>16,327</w:t>
            </w:r>
          </w:p>
        </w:tc>
        <w:tc>
          <w:tcPr>
            <w:tcW w:type="dxa" w:w="1134"/>
            <w:shd w:fill="FFC7CE" w:val="clear"/>
          </w:tcPr>
          <w:p>
            <w:r>
              <w:rPr>
                <w:b/>
                <w:color w:val="B40000"/>
                <w:sz w:val="16"/>
              </w:rPr>
              <w:t>-3.33%</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4,400</w:t>
            </w:r>
          </w:p>
        </w:tc>
        <w:tc>
          <w:tcPr>
            <w:tcW w:type="dxa" w:w="1417"/>
            <w:shd w:fill="FFFFFF" w:val="clear"/>
          </w:tcPr>
          <w:p>
            <w:r>
              <w:rPr>
                <w:sz w:val="16"/>
              </w:rPr>
              <w:t>4,212</w:t>
            </w:r>
          </w:p>
        </w:tc>
        <w:tc>
          <w:tcPr>
            <w:tcW w:type="dxa" w:w="1134"/>
            <w:shd w:fill="FFC7CE" w:val="clear"/>
          </w:tcPr>
          <w:p>
            <w:r>
              <w:rPr>
                <w:b/>
                <w:color w:val="B40000"/>
                <w:sz w:val="16"/>
              </w:rPr>
              <w:t>-4.28%</w:t>
            </w:r>
          </w:p>
        </w:tc>
        <w:tc>
          <w:tcPr>
            <w:tcW w:type="dxa" w:w="1134"/>
            <w:shd w:fill="FFEB9C" w:val="clear"/>
          </w:tcPr>
          <w:p>
            <w:r>
              <w:rPr>
                <w:sz w:val="16"/>
              </w:rPr>
              <w:t>Moyenne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38,800</w:t>
            </w:r>
          </w:p>
        </w:tc>
        <w:tc>
          <w:tcPr>
            <w:tcW w:type="dxa" w:w="1417"/>
            <w:shd w:fill="FFFFFF" w:val="clear"/>
          </w:tcPr>
          <w:p>
            <w:r>
              <w:rPr>
                <w:sz w:val="16"/>
              </w:rPr>
              <w:t>36,893</w:t>
            </w:r>
          </w:p>
        </w:tc>
        <w:tc>
          <w:tcPr>
            <w:tcW w:type="dxa" w:w="1134"/>
            <w:shd w:fill="FFC7CE" w:val="clear"/>
          </w:tcPr>
          <w:p>
            <w:r>
              <w:rPr>
                <w:b/>
                <w:color w:val="B40000"/>
                <w:sz w:val="16"/>
              </w:rPr>
              <w:t>-4.92%</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17,995</w:t>
            </w:r>
          </w:p>
        </w:tc>
        <w:tc>
          <w:tcPr>
            <w:tcW w:type="dxa" w:w="1417"/>
            <w:shd w:fill="FFFFFF" w:val="clear"/>
          </w:tcPr>
          <w:p>
            <w:r>
              <w:rPr>
                <w:sz w:val="16"/>
              </w:rPr>
              <w:t>16,937</w:t>
            </w:r>
          </w:p>
        </w:tc>
        <w:tc>
          <w:tcPr>
            <w:tcW w:type="dxa" w:w="1134"/>
            <w:shd w:fill="FFC7CE" w:val="clear"/>
          </w:tcPr>
          <w:p>
            <w:r>
              <w:rPr>
                <w:b/>
                <w:color w:val="B40000"/>
                <w:sz w:val="16"/>
              </w:rPr>
              <w:t>-5.88%</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2,350</w:t>
            </w:r>
          </w:p>
        </w:tc>
        <w:tc>
          <w:tcPr>
            <w:tcW w:type="dxa" w:w="1417"/>
            <w:shd w:fill="FFFFFF" w:val="clear"/>
          </w:tcPr>
          <w:p>
            <w:r>
              <w:rPr>
                <w:sz w:val="16"/>
              </w:rPr>
              <w:t>2,207</w:t>
            </w:r>
          </w:p>
        </w:tc>
        <w:tc>
          <w:tcPr>
            <w:tcW w:type="dxa" w:w="1134"/>
            <w:shd w:fill="FFC7CE" w:val="clear"/>
          </w:tcPr>
          <w:p>
            <w:r>
              <w:rPr>
                <w:b/>
                <w:color w:val="B40000"/>
                <w:sz w:val="16"/>
              </w:rPr>
              <w:t>-6.10%</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21,900</w:t>
            </w:r>
          </w:p>
        </w:tc>
        <w:tc>
          <w:tcPr>
            <w:tcW w:type="dxa" w:w="1417"/>
            <w:shd w:fill="FFFFFF" w:val="clear"/>
          </w:tcPr>
          <w:p>
            <w:r>
              <w:rPr>
                <w:sz w:val="16"/>
              </w:rPr>
              <w:t>19,871</w:t>
            </w:r>
          </w:p>
        </w:tc>
        <w:tc>
          <w:tcPr>
            <w:tcW w:type="dxa" w:w="1134"/>
            <w:shd w:fill="FFC7CE" w:val="clear"/>
          </w:tcPr>
          <w:p>
            <w:r>
              <w:rPr>
                <w:b/>
                <w:color w:val="B40000"/>
                <w:sz w:val="16"/>
              </w:rPr>
              <w:t>-9.26%</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3,060</w:t>
            </w:r>
          </w:p>
        </w:tc>
        <w:tc>
          <w:tcPr>
            <w:tcW w:type="dxa" w:w="1417"/>
            <w:shd w:fill="FFFFFF" w:val="clear"/>
          </w:tcPr>
          <w:p>
            <w:r>
              <w:rPr>
                <w:sz w:val="16"/>
              </w:rPr>
              <w:t>2,742</w:t>
            </w:r>
          </w:p>
        </w:tc>
        <w:tc>
          <w:tcPr>
            <w:tcW w:type="dxa" w:w="1134"/>
            <w:shd w:fill="FFC7CE" w:val="clear"/>
          </w:tcPr>
          <w:p>
            <w:r>
              <w:rPr>
                <w:b/>
                <w:color w:val="B40000"/>
                <w:sz w:val="16"/>
              </w:rPr>
              <w:t>-10.40%</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1,565</w:t>
            </w:r>
          </w:p>
        </w:tc>
        <w:tc>
          <w:tcPr>
            <w:tcW w:type="dxa" w:w="1417"/>
            <w:shd w:fill="FFFFFF" w:val="clear"/>
          </w:tcPr>
          <w:p>
            <w:r>
              <w:rPr>
                <w:sz w:val="16"/>
              </w:rPr>
              <w:t>1,374</w:t>
            </w:r>
          </w:p>
        </w:tc>
        <w:tc>
          <w:tcPr>
            <w:tcW w:type="dxa" w:w="1134"/>
            <w:shd w:fill="FFC7CE" w:val="clear"/>
          </w:tcPr>
          <w:p>
            <w:r>
              <w:rPr>
                <w:b/>
                <w:color w:val="B40000"/>
                <w:sz w:val="16"/>
              </w:rPr>
              <w:t>-12.20%</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1,690</w:t>
            </w:r>
          </w:p>
        </w:tc>
        <w:tc>
          <w:tcPr>
            <w:tcW w:type="dxa" w:w="1417"/>
            <w:shd w:fill="FFFFFF" w:val="clear"/>
          </w:tcPr>
          <w:p>
            <w:r>
              <w:rPr>
                <w:sz w:val="16"/>
              </w:rPr>
              <w:t>1,458</w:t>
            </w:r>
          </w:p>
        </w:tc>
        <w:tc>
          <w:tcPr>
            <w:tcW w:type="dxa" w:w="1134"/>
            <w:shd w:fill="FFC7CE" w:val="clear"/>
          </w:tcPr>
          <w:p>
            <w:r>
              <w:rPr>
                <w:b/>
                <w:color w:val="B40000"/>
                <w:sz w:val="16"/>
              </w:rPr>
              <w:t>-13.72%</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3,840</w:t>
            </w:r>
          </w:p>
        </w:tc>
        <w:tc>
          <w:tcPr>
            <w:tcW w:type="dxa" w:w="1417"/>
            <w:shd w:fill="FFFFFF" w:val="clear"/>
          </w:tcPr>
          <w:p>
            <w:r>
              <w:rPr>
                <w:sz w:val="16"/>
              </w:rPr>
              <w:t>3,278</w:t>
            </w:r>
          </w:p>
        </w:tc>
        <w:tc>
          <w:tcPr>
            <w:tcW w:type="dxa" w:w="1134"/>
            <w:shd w:fill="FFC7CE" w:val="clear"/>
          </w:tcPr>
          <w:p>
            <w:r>
              <w:rPr>
                <w:b/>
                <w:color w:val="B40000"/>
                <w:sz w:val="16"/>
              </w:rPr>
              <w:t>-14.63%</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8,200</w:t>
            </w:r>
          </w:p>
        </w:tc>
        <w:tc>
          <w:tcPr>
            <w:tcW w:type="dxa" w:w="1417"/>
            <w:shd w:fill="FFFFFF" w:val="clear"/>
          </w:tcPr>
          <w:p>
            <w:r>
              <w:rPr>
                <w:sz w:val="16"/>
              </w:rPr>
              <w:t>6,989</w:t>
            </w:r>
          </w:p>
        </w:tc>
        <w:tc>
          <w:tcPr>
            <w:tcW w:type="dxa" w:w="1134"/>
            <w:shd w:fill="FFC7CE" w:val="clear"/>
          </w:tcPr>
          <w:p>
            <w:r>
              <w:rPr>
                <w:b/>
                <w:color w:val="B40000"/>
                <w:sz w:val="16"/>
              </w:rPr>
              <w:t>-14.77%</w:t>
            </w:r>
          </w:p>
        </w:tc>
        <w:tc>
          <w:tcPr>
            <w:tcW w:type="dxa" w:w="1134"/>
            <w:shd w:fill="FFEB9C" w:val="clear"/>
          </w:tcPr>
          <w:p>
            <w:r>
              <w:rPr>
                <w:sz w:val="16"/>
              </w:rPr>
              <w:t>Moyenne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13,500</w:t>
            </w:r>
          </w:p>
        </w:tc>
        <w:tc>
          <w:tcPr>
            <w:tcW w:type="dxa" w:w="1417"/>
            <w:shd w:fill="FFFFFF" w:val="clear"/>
          </w:tcPr>
          <w:p>
            <w:r>
              <w:rPr>
                <w:sz w:val="16"/>
              </w:rPr>
              <w:t>11,481</w:t>
            </w:r>
          </w:p>
        </w:tc>
        <w:tc>
          <w:tcPr>
            <w:tcW w:type="dxa" w:w="1134"/>
            <w:shd w:fill="FFC7CE" w:val="clear"/>
          </w:tcPr>
          <w:p>
            <w:r>
              <w:rPr>
                <w:b/>
                <w:color w:val="B40000"/>
                <w:sz w:val="16"/>
              </w:rPr>
              <w:t>-14.96%</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34,000</w:t>
            </w:r>
          </w:p>
        </w:tc>
        <w:tc>
          <w:tcPr>
            <w:tcW w:type="dxa" w:w="1417"/>
            <w:shd w:fill="FFFFFF" w:val="clear"/>
          </w:tcPr>
          <w:p>
            <w:r>
              <w:rPr>
                <w:sz w:val="16"/>
              </w:rPr>
              <w:t>28,828</w:t>
            </w:r>
          </w:p>
        </w:tc>
        <w:tc>
          <w:tcPr>
            <w:tcW w:type="dxa" w:w="1134"/>
            <w:shd w:fill="FFC7CE" w:val="clear"/>
          </w:tcPr>
          <w:p>
            <w:r>
              <w:rPr>
                <w:b/>
                <w:color w:val="B40000"/>
                <w:sz w:val="16"/>
              </w:rPr>
              <w:t>-15.21%</w:t>
            </w:r>
          </w:p>
        </w:tc>
        <w:tc>
          <w:tcPr>
            <w:tcW w:type="dxa" w:w="1134"/>
            <w:shd w:fill="FFEB9C" w:val="clear"/>
          </w:tcPr>
          <w:p>
            <w:r>
              <w:rPr>
                <w:sz w:val="16"/>
              </w:rPr>
              <w:t>Moyenne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8,990</w:t>
            </w:r>
          </w:p>
        </w:tc>
        <w:tc>
          <w:tcPr>
            <w:tcW w:type="dxa" w:w="1417"/>
            <w:shd w:fill="FFFFFF" w:val="clear"/>
          </w:tcPr>
          <w:p>
            <w:r>
              <w:rPr>
                <w:sz w:val="16"/>
              </w:rPr>
              <w:t>7,453</w:t>
            </w:r>
          </w:p>
        </w:tc>
        <w:tc>
          <w:tcPr>
            <w:tcW w:type="dxa" w:w="1134"/>
            <w:shd w:fill="FFC7CE" w:val="clear"/>
          </w:tcPr>
          <w:p>
            <w:r>
              <w:rPr>
                <w:b/>
                <w:color w:val="B40000"/>
                <w:sz w:val="16"/>
              </w:rPr>
              <w:t>-17.10%</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10,200</w:t>
            </w:r>
          </w:p>
        </w:tc>
        <w:tc>
          <w:tcPr>
            <w:tcW w:type="dxa" w:w="1417"/>
            <w:shd w:fill="FFFFFF" w:val="clear"/>
          </w:tcPr>
          <w:p>
            <w:r>
              <w:rPr>
                <w:sz w:val="16"/>
              </w:rPr>
              <w:t>8,448</w:t>
            </w:r>
          </w:p>
        </w:tc>
        <w:tc>
          <w:tcPr>
            <w:tcW w:type="dxa" w:w="1134"/>
            <w:shd w:fill="FFC7CE" w:val="clear"/>
          </w:tcPr>
          <w:p>
            <w:r>
              <w:rPr>
                <w:b/>
                <w:color w:val="B40000"/>
                <w:sz w:val="16"/>
              </w:rPr>
              <w:t>-17.17%</w:t>
            </w:r>
          </w:p>
        </w:tc>
        <w:tc>
          <w:tcPr>
            <w:tcW w:type="dxa" w:w="1134"/>
            <w:shd w:fill="FFC7CE" w:val="clear"/>
          </w:tcPr>
          <w:p>
            <w:r>
              <w:rPr>
                <w:sz w:val="16"/>
              </w:rPr>
              <w:t>Faible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8,400</w:t>
            </w:r>
          </w:p>
        </w:tc>
        <w:tc>
          <w:tcPr>
            <w:tcW w:type="dxa" w:w="1417"/>
            <w:shd w:fill="FFFFFF" w:val="clear"/>
          </w:tcPr>
          <w:p>
            <w:r>
              <w:rPr>
                <w:sz w:val="16"/>
              </w:rPr>
              <w:t>6,900</w:t>
            </w:r>
          </w:p>
        </w:tc>
        <w:tc>
          <w:tcPr>
            <w:tcW w:type="dxa" w:w="1134"/>
            <w:shd w:fill="FFC7CE" w:val="clear"/>
          </w:tcPr>
          <w:p>
            <w:r>
              <w:rPr>
                <w:b/>
                <w:color w:val="B40000"/>
                <w:sz w:val="16"/>
              </w:rPr>
              <w:t>-17.85%</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3,995</w:t>
            </w:r>
          </w:p>
        </w:tc>
        <w:tc>
          <w:tcPr>
            <w:tcW w:type="dxa" w:w="1417"/>
            <w:shd w:fill="FFFFFF" w:val="clear"/>
          </w:tcPr>
          <w:p>
            <w:r>
              <w:rPr>
                <w:sz w:val="16"/>
              </w:rPr>
              <w:t>3,243</w:t>
            </w:r>
          </w:p>
        </w:tc>
        <w:tc>
          <w:tcPr>
            <w:tcW w:type="dxa" w:w="1134"/>
            <w:shd w:fill="FFC7CE" w:val="clear"/>
          </w:tcPr>
          <w:p>
            <w:r>
              <w:rPr>
                <w:b/>
                <w:color w:val="B40000"/>
                <w:sz w:val="16"/>
              </w:rPr>
              <w:t>-18.83%</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7,005</w:t>
            </w:r>
          </w:p>
        </w:tc>
        <w:tc>
          <w:tcPr>
            <w:tcW w:type="dxa" w:w="1417"/>
            <w:shd w:fill="FFFFFF" w:val="clear"/>
          </w:tcPr>
          <w:p>
            <w:r>
              <w:rPr>
                <w:sz w:val="16"/>
              </w:rPr>
              <w:t>5,671</w:t>
            </w:r>
          </w:p>
        </w:tc>
        <w:tc>
          <w:tcPr>
            <w:tcW w:type="dxa" w:w="1134"/>
            <w:shd w:fill="FFC7CE" w:val="clear"/>
          </w:tcPr>
          <w:p>
            <w:r>
              <w:rPr>
                <w:b/>
                <w:color w:val="B40000"/>
                <w:sz w:val="16"/>
              </w:rPr>
              <w:t>-19.05%</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2,305</w:t>
            </w:r>
          </w:p>
        </w:tc>
        <w:tc>
          <w:tcPr>
            <w:tcW w:type="dxa" w:w="1417"/>
            <w:shd w:fill="FFFFFF" w:val="clear"/>
          </w:tcPr>
          <w:p>
            <w:r>
              <w:rPr>
                <w:sz w:val="16"/>
              </w:rPr>
              <w:t>1,806</w:t>
            </w:r>
          </w:p>
        </w:tc>
        <w:tc>
          <w:tcPr>
            <w:tcW w:type="dxa" w:w="1134"/>
            <w:shd w:fill="FFC7CE" w:val="clear"/>
          </w:tcPr>
          <w:p>
            <w:r>
              <w:rPr>
                <w:b/>
                <w:color w:val="B40000"/>
                <w:sz w:val="16"/>
              </w:rPr>
              <w:t>-21.66%</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9,225</w:t>
            </w:r>
          </w:p>
        </w:tc>
        <w:tc>
          <w:tcPr>
            <w:tcW w:type="dxa" w:w="1417"/>
            <w:shd w:fill="FFFFFF" w:val="clear"/>
          </w:tcPr>
          <w:p>
            <w:r>
              <w:rPr>
                <w:sz w:val="16"/>
              </w:rPr>
              <w:t>7,221</w:t>
            </w:r>
          </w:p>
        </w:tc>
        <w:tc>
          <w:tcPr>
            <w:tcW w:type="dxa" w:w="1134"/>
            <w:shd w:fill="FFC7CE" w:val="clear"/>
          </w:tcPr>
          <w:p>
            <w:r>
              <w:rPr>
                <w:b/>
                <w:color w:val="B40000"/>
                <w:sz w:val="16"/>
              </w:rPr>
              <w:t>-21.72%</w:t>
            </w:r>
          </w:p>
        </w:tc>
        <w:tc>
          <w:tcPr>
            <w:tcW w:type="dxa" w:w="1134"/>
            <w:shd w:fill="FFEB9C" w:val="clear"/>
          </w:tcPr>
          <w:p>
            <w:r>
              <w:rPr>
                <w:sz w:val="16"/>
              </w:rPr>
              <w:t>Moyenne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12,495</w:t>
            </w:r>
          </w:p>
        </w:tc>
        <w:tc>
          <w:tcPr>
            <w:tcW w:type="dxa" w:w="1417"/>
            <w:shd w:fill="FFFFFF" w:val="clear"/>
          </w:tcPr>
          <w:p>
            <w:r>
              <w:rPr>
                <w:sz w:val="16"/>
              </w:rPr>
              <w:t>8,765</w:t>
            </w:r>
          </w:p>
        </w:tc>
        <w:tc>
          <w:tcPr>
            <w:tcW w:type="dxa" w:w="1134"/>
            <w:shd w:fill="FFC7CE" w:val="clear"/>
          </w:tcPr>
          <w:p>
            <w:r>
              <w:rPr>
                <w:b/>
                <w:color w:val="B40000"/>
                <w:sz w:val="16"/>
              </w:rPr>
              <w:t>-29.85%</w:t>
            </w:r>
          </w:p>
        </w:tc>
        <w:tc>
          <w:tcPr>
            <w:tcW w:type="dxa" w:w="1134"/>
            <w:shd w:fill="FFEB9C" w:val="clear"/>
          </w:tcPr>
          <w:p>
            <w:r>
              <w:rPr>
                <w:sz w:val="16"/>
              </w:rPr>
              <w:t>Moyenne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2,495</w:t>
            </w:r>
          </w:p>
        </w:tc>
        <w:tc>
          <w:tcPr>
            <w:tcW w:type="dxa" w:w="1417"/>
            <w:shd w:fill="FFFFFF" w:val="clear"/>
          </w:tcPr>
          <w:p>
            <w:r>
              <w:rPr>
                <w:sz w:val="16"/>
              </w:rPr>
              <w:t>1,712</w:t>
            </w:r>
          </w:p>
        </w:tc>
        <w:tc>
          <w:tcPr>
            <w:tcW w:type="dxa" w:w="1134"/>
            <w:shd w:fill="FFC7CE" w:val="clear"/>
          </w:tcPr>
          <w:p>
            <w:r>
              <w:rPr>
                <w:b/>
                <w:color w:val="B40000"/>
                <w:sz w:val="16"/>
              </w:rPr>
              <w:t>-31.36%</w:t>
            </w:r>
          </w:p>
        </w:tc>
        <w:tc>
          <w:tcPr>
            <w:tcW w:type="dxa" w:w="1134"/>
            <w:shd w:fill="FFEB9C" w:val="clear"/>
          </w:tcPr>
          <w:p>
            <w:r>
              <w:rPr>
                <w:sz w:val="16"/>
              </w:rPr>
              <w:t>Moyenne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2,500</w:t>
            </w:r>
          </w:p>
        </w:tc>
        <w:tc>
          <w:tcPr>
            <w:tcW w:type="dxa" w:w="1417"/>
            <w:shd w:fill="FFFFFF" w:val="clear"/>
          </w:tcPr>
          <w:p>
            <w:r>
              <w:rPr>
                <w:sz w:val="16"/>
              </w:rPr>
              <w:t>1,589</w:t>
            </w:r>
          </w:p>
        </w:tc>
        <w:tc>
          <w:tcPr>
            <w:tcW w:type="dxa" w:w="1134"/>
            <w:shd w:fill="FFC7CE" w:val="clear"/>
          </w:tcPr>
          <w:p>
            <w:r>
              <w:rPr>
                <w:b/>
                <w:color w:val="B40000"/>
                <w:sz w:val="16"/>
              </w:rPr>
              <w:t>-36.44%</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2,630</w:t>
            </w:r>
          </w:p>
        </w:tc>
        <w:tc>
          <w:tcPr>
            <w:tcW w:type="dxa" w:w="1417"/>
            <w:shd w:fill="FFFFFF" w:val="clear"/>
          </w:tcPr>
          <w:p>
            <w:r>
              <w:rPr>
                <w:sz w:val="16"/>
              </w:rPr>
              <w:t>1,478</w:t>
            </w:r>
          </w:p>
        </w:tc>
        <w:tc>
          <w:tcPr>
            <w:tcW w:type="dxa" w:w="1134"/>
            <w:shd w:fill="FFC7CE" w:val="clear"/>
          </w:tcPr>
          <w:p>
            <w:r>
              <w:rPr>
                <w:b/>
                <w:color w:val="B40000"/>
                <w:sz w:val="16"/>
              </w:rPr>
              <w:t>-43.79%</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10,110</w:t>
            </w:r>
          </w:p>
        </w:tc>
        <w:tc>
          <w:tcPr>
            <w:tcW w:type="dxa" w:w="1417"/>
            <w:shd w:fill="FFFFFF" w:val="clear"/>
          </w:tcPr>
          <w:p>
            <w:r>
              <w:rPr>
                <w:sz w:val="16"/>
              </w:rPr>
              <w:t>5,666</w:t>
            </w:r>
          </w:p>
        </w:tc>
        <w:tc>
          <w:tcPr>
            <w:tcW w:type="dxa" w:w="1134"/>
            <w:shd w:fill="FFC7CE" w:val="clear"/>
          </w:tcPr>
          <w:p>
            <w:r>
              <w:rPr>
                <w:b/>
                <w:color w:val="B40000"/>
                <w:sz w:val="16"/>
              </w:rPr>
              <w:t>-43.95%</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33,500</w:t>
            </w:r>
          </w:p>
        </w:tc>
        <w:tc>
          <w:tcPr>
            <w:tcW w:type="dxa" w:w="1417"/>
            <w:shd w:fill="FFFFFF" w:val="clear"/>
          </w:tcPr>
          <w:p>
            <w:r>
              <w:rPr>
                <w:sz w:val="16"/>
              </w:rPr>
              <w:t>17,838</w:t>
            </w:r>
          </w:p>
        </w:tc>
        <w:tc>
          <w:tcPr>
            <w:tcW w:type="dxa" w:w="1134"/>
            <w:shd w:fill="FFC7CE" w:val="clear"/>
          </w:tcPr>
          <w:p>
            <w:r>
              <w:rPr>
                <w:b/>
                <w:color w:val="B40000"/>
                <w:sz w:val="16"/>
              </w:rPr>
              <w:t>-46.75%</w:t>
            </w:r>
          </w:p>
        </w:tc>
        <w:tc>
          <w:tcPr>
            <w:tcW w:type="dxa" w:w="1134"/>
            <w:shd w:fill="FFEB9C" w:val="clear"/>
          </w:tcPr>
          <w:p>
            <w:r>
              <w:rPr>
                <w:sz w:val="16"/>
              </w:rPr>
              <w:t>Moyenne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3,395</w:t>
            </w:r>
          </w:p>
        </w:tc>
        <w:tc>
          <w:tcPr>
            <w:tcW w:type="dxa" w:w="1417"/>
            <w:shd w:fill="FFFFFF" w:val="clear"/>
          </w:tcPr>
          <w:p>
            <w:r>
              <w:rPr>
                <w:sz w:val="16"/>
              </w:rPr>
              <w:t>1,557</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5,180</w:t>
            </w:r>
          </w:p>
        </w:tc>
        <w:tc>
          <w:tcPr>
            <w:tcW w:type="dxa" w:w="1417"/>
            <w:shd w:fill="FFFFFF" w:val="clear"/>
          </w:tcPr>
          <w:p>
            <w:r>
              <w:rPr>
                <w:sz w:val="16"/>
              </w:rPr>
              <w:t>2,375</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7,400</w:t>
            </w:r>
          </w:p>
        </w:tc>
        <w:tc>
          <w:tcPr>
            <w:tcW w:type="dxa" w:w="1417"/>
            <w:shd w:fill="FFFFFF" w:val="clear"/>
          </w:tcPr>
          <w:p>
            <w:r>
              <w:rPr>
                <w:sz w:val="16"/>
              </w:rPr>
              <w:t>3,394</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70</w:t>
            </w:r>
          </w:p>
        </w:tc>
        <w:tc>
          <w:tcPr>
            <w:tcW w:type="dxa" w:w="1417"/>
            <w:shd w:fill="FFFFFF" w:val="clear"/>
          </w:tcPr>
          <w:p>
            <w:r>
              <w:rPr>
                <w:sz w:val="16"/>
              </w:rPr>
              <w:t>32</w:t>
            </w:r>
          </w:p>
        </w:tc>
        <w:tc>
          <w:tcPr>
            <w:tcW w:type="dxa" w:w="1134"/>
            <w:shd w:fill="FFC7CE" w:val="clear"/>
          </w:tcPr>
          <w:p>
            <w:r>
              <w:rPr>
                <w:b/>
                <w:color w:val="B40000"/>
                <w:sz w:val="16"/>
              </w:rPr>
              <w:t>-54.14%</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43.59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3,493 titres</w:t>
            </w:r>
          </w:p>
        </w:tc>
        <w:tc>
          <w:tcPr>
            <w:tcW w:type="dxa" w:w="2268"/>
            <w:shd w:fill="FFF2CC" w:val="clear"/>
          </w:tcPr>
          <w:p>
            <w:r>
              <w:rPr>
                <w:b/>
                <w:color w:val="503200"/>
                <w:sz w:val="16"/>
              </w:rPr>
              <w:t xml:space="preserve">Cours actuel : </w:t>
            </w:r>
            <w:r>
              <w:rPr>
                <w:color w:val="000000"/>
                <w:sz w:val="17"/>
              </w:rPr>
              <w:t>3,995 FCFA</w:t>
            </w:r>
          </w:p>
          <w:p>
            <w:r>
              <w:rPr>
                <w:b/>
                <w:color w:val="503200"/>
                <w:sz w:val="16"/>
              </w:rPr>
              <w:t xml:space="preserve">Var. 100 jours : </w:t>
            </w:r>
            <w:r>
              <w:rPr>
                <w:b/>
                <w:color w:val="007800"/>
                <w:sz w:val="17"/>
              </w:rPr>
              <w:t>+16.47%</w:t>
            </w:r>
          </w:p>
          <w:p>
            <w:r>
              <w:rPr>
                <w:b/>
                <w:color w:val="503200"/>
                <w:sz w:val="16"/>
              </w:rPr>
              <w:t xml:space="preserve">Plus haut 100j : </w:t>
            </w:r>
            <w:r>
              <w:rPr>
                <w:color w:val="000000"/>
                <w:sz w:val="17"/>
              </w:rPr>
              <w:t>3,995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49.3%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9.01% (Moyenne) — μ=3,243 FCFA, σ=292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β=0.3469 (Défensif) — Cov=0.000013, Var(idx)=0.000036, ρ=0.067,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3,493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σ_j=3.10%/j (Modérée) — Vol. annualisée≈49.3%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2026-09-10</w:t>
            </w:r>
          </w:p>
        </w:tc>
        <w:tc>
          <w:tcPr>
            <w:tcW w:type="dxa" w:w="1440"/>
            <w:shd w:fill="FFDCE0" w:val="clear"/>
          </w:tcPr>
          <w:p>
            <w:r>
              <w:rPr>
                <w:sz w:val="17"/>
              </w:rPr>
              <w:t>3,692</w:t>
            </w:r>
          </w:p>
        </w:tc>
        <w:tc>
          <w:tcPr>
            <w:tcW w:type="dxa" w:w="1440"/>
            <w:shd w:fill="FFDCE0" w:val="clear"/>
          </w:tcPr>
          <w:p>
            <w:r>
              <w:rPr>
                <w:b/>
                <w:sz w:val="17"/>
              </w:rPr>
              <w:t>3,868</w:t>
            </w:r>
          </w:p>
        </w:tc>
        <w:tc>
          <w:tcPr>
            <w:tcW w:type="dxa" w:w="1440"/>
            <w:shd w:fill="FFDCE0" w:val="clear"/>
          </w:tcPr>
          <w:p>
            <w:r>
              <w:rPr>
                <w:sz w:val="17"/>
              </w:rPr>
              <w:t>4,043</w:t>
            </w:r>
          </w:p>
        </w:tc>
        <w:tc>
          <w:tcPr>
            <w:tcW w:type="dxa" w:w="1440"/>
            <w:shd w:fill="FFDCE0" w:val="clear"/>
          </w:tcPr>
          <w:p>
            <w:r>
              <w:rPr>
                <w:b/>
                <w:color w:val="C00000"/>
                <w:sz w:val="17"/>
              </w:rPr>
              <w:t>-3.2%</w:t>
            </w:r>
          </w:p>
        </w:tc>
      </w:tr>
      <w:tr>
        <w:tc>
          <w:tcPr>
            <w:tcW w:type="dxa" w:w="1440"/>
            <w:shd w:fill="FFDCE0" w:val="clear"/>
          </w:tcPr>
          <w:p>
            <w:r>
              <w:rPr>
                <w:sz w:val="17"/>
              </w:rPr>
              <w:t>J+2  Moyenne</w:t>
            </w:r>
          </w:p>
        </w:tc>
        <w:tc>
          <w:tcPr>
            <w:tcW w:type="dxa" w:w="1440"/>
            <w:shd w:fill="FFDCE0" w:val="clear"/>
          </w:tcPr>
          <w:p>
            <w:r>
              <w:rPr>
                <w:sz w:val="17"/>
              </w:rPr>
              <w:t>2026-09-11</w:t>
            </w:r>
          </w:p>
        </w:tc>
        <w:tc>
          <w:tcPr>
            <w:tcW w:type="dxa" w:w="1440"/>
            <w:shd w:fill="FFDCE0" w:val="clear"/>
          </w:tcPr>
          <w:p>
            <w:r>
              <w:rPr>
                <w:sz w:val="17"/>
              </w:rPr>
              <w:t>3,530</w:t>
            </w:r>
          </w:p>
        </w:tc>
        <w:tc>
          <w:tcPr>
            <w:tcW w:type="dxa" w:w="1440"/>
            <w:shd w:fill="FFDCE0" w:val="clear"/>
          </w:tcPr>
          <w:p>
            <w:r>
              <w:rPr>
                <w:b/>
                <w:sz w:val="17"/>
              </w:rPr>
              <w:t>3,772</w:t>
            </w:r>
          </w:p>
        </w:tc>
        <w:tc>
          <w:tcPr>
            <w:tcW w:type="dxa" w:w="1440"/>
            <w:shd w:fill="FFDCE0" w:val="clear"/>
          </w:tcPr>
          <w:p>
            <w:r>
              <w:rPr>
                <w:sz w:val="17"/>
              </w:rPr>
              <w:t>4,015</w:t>
            </w:r>
          </w:p>
        </w:tc>
        <w:tc>
          <w:tcPr>
            <w:tcW w:type="dxa" w:w="1440"/>
            <w:shd w:fill="FFDCE0" w:val="clear"/>
          </w:tcPr>
          <w:p>
            <w:r>
              <w:rPr>
                <w:b/>
                <w:color w:val="C00000"/>
                <w:sz w:val="17"/>
              </w:rPr>
              <w:t>-5.6%</w:t>
            </w:r>
          </w:p>
        </w:tc>
      </w:tr>
      <w:tr>
        <w:tc>
          <w:tcPr>
            <w:tcW w:type="dxa" w:w="1440"/>
            <w:shd w:fill="FFDCE0" w:val="clear"/>
          </w:tcPr>
          <w:p>
            <w:r>
              <w:rPr>
                <w:sz w:val="17"/>
              </w:rPr>
              <w:t>J+3  Moyenne</w:t>
            </w:r>
          </w:p>
        </w:tc>
        <w:tc>
          <w:tcPr>
            <w:tcW w:type="dxa" w:w="1440"/>
            <w:shd w:fill="FFDCE0" w:val="clear"/>
          </w:tcPr>
          <w:p>
            <w:r>
              <w:rPr>
                <w:sz w:val="17"/>
              </w:rPr>
              <w:t>2026-09-14</w:t>
            </w:r>
          </w:p>
        </w:tc>
        <w:tc>
          <w:tcPr>
            <w:tcW w:type="dxa" w:w="1440"/>
            <w:shd w:fill="FFDCE0" w:val="clear"/>
          </w:tcPr>
          <w:p>
            <w:r>
              <w:rPr>
                <w:sz w:val="17"/>
              </w:rPr>
              <w:t>3,388</w:t>
            </w:r>
          </w:p>
        </w:tc>
        <w:tc>
          <w:tcPr>
            <w:tcW w:type="dxa" w:w="1440"/>
            <w:shd w:fill="FFDCE0" w:val="clear"/>
          </w:tcPr>
          <w:p>
            <w:r>
              <w:rPr>
                <w:b/>
                <w:sz w:val="17"/>
              </w:rPr>
              <w:t>3,677</w:t>
            </w:r>
          </w:p>
        </w:tc>
        <w:tc>
          <w:tcPr>
            <w:tcW w:type="dxa" w:w="1440"/>
            <w:shd w:fill="FFDCE0" w:val="clear"/>
          </w:tcPr>
          <w:p>
            <w:r>
              <w:rPr>
                <w:sz w:val="17"/>
              </w:rPr>
              <w:t>3,967</w:t>
            </w:r>
          </w:p>
        </w:tc>
        <w:tc>
          <w:tcPr>
            <w:tcW w:type="dxa" w:w="1440"/>
            <w:shd w:fill="FFDCE0" w:val="clear"/>
          </w:tcPr>
          <w:p>
            <w:r>
              <w:rPr>
                <w:b/>
                <w:color w:val="C00000"/>
                <w:sz w:val="17"/>
              </w:rPr>
              <w:t>-7.9%</w:t>
            </w:r>
          </w:p>
        </w:tc>
      </w:tr>
      <w:tr>
        <w:tc>
          <w:tcPr>
            <w:tcW w:type="dxa" w:w="1440"/>
            <w:shd w:fill="FFDCE0" w:val="clear"/>
          </w:tcPr>
          <w:p>
            <w:r>
              <w:rPr>
                <w:sz w:val="17"/>
              </w:rPr>
              <w:t>J+4  ⭐</w:t>
            </w:r>
          </w:p>
        </w:tc>
        <w:tc>
          <w:tcPr>
            <w:tcW w:type="dxa" w:w="1440"/>
            <w:shd w:fill="FFDCE0" w:val="clear"/>
          </w:tcPr>
          <w:p>
            <w:r>
              <w:rPr>
                <w:sz w:val="17"/>
              </w:rPr>
              <w:t>2026-09-15</w:t>
            </w:r>
          </w:p>
        </w:tc>
        <w:tc>
          <w:tcPr>
            <w:tcW w:type="dxa" w:w="1440"/>
            <w:shd w:fill="FFDCE0" w:val="clear"/>
          </w:tcPr>
          <w:p>
            <w:r>
              <w:rPr>
                <w:sz w:val="17"/>
              </w:rPr>
              <w:t>3,270</w:t>
            </w:r>
          </w:p>
        </w:tc>
        <w:tc>
          <w:tcPr>
            <w:tcW w:type="dxa" w:w="1440"/>
            <w:shd w:fill="FFDCE0" w:val="clear"/>
          </w:tcPr>
          <w:p>
            <w:r>
              <w:rPr>
                <w:b/>
                <w:sz w:val="17"/>
              </w:rPr>
              <w:t>3,597</w:t>
            </w:r>
          </w:p>
        </w:tc>
        <w:tc>
          <w:tcPr>
            <w:tcW w:type="dxa" w:w="1440"/>
            <w:shd w:fill="FFDCE0" w:val="clear"/>
          </w:tcPr>
          <w:p>
            <w:r>
              <w:rPr>
                <w:sz w:val="17"/>
              </w:rPr>
              <w:t>3,924</w:t>
            </w:r>
          </w:p>
        </w:tc>
        <w:tc>
          <w:tcPr>
            <w:tcW w:type="dxa" w:w="1440"/>
            <w:shd w:fill="FFDCE0" w:val="clear"/>
          </w:tcPr>
          <w:p>
            <w:r>
              <w:rPr>
                <w:b/>
                <w:color w:val="C00000"/>
                <w:sz w:val="17"/>
              </w:rPr>
              <w:t>-10.0%</w:t>
            </w:r>
          </w:p>
        </w:tc>
      </w:tr>
      <w:tr>
        <w:tc>
          <w:tcPr>
            <w:tcW w:type="dxa" w:w="1440"/>
            <w:shd w:fill="FFDCE0" w:val="clear"/>
          </w:tcPr>
          <w:p>
            <w:r>
              <w:rPr>
                <w:sz w:val="17"/>
              </w:rPr>
              <w:t>J+5  ⭐</w:t>
            </w:r>
          </w:p>
        </w:tc>
        <w:tc>
          <w:tcPr>
            <w:tcW w:type="dxa" w:w="1440"/>
            <w:shd w:fill="FFDCE0" w:val="clear"/>
          </w:tcPr>
          <w:p>
            <w:r>
              <w:rPr>
                <w:sz w:val="17"/>
              </w:rPr>
              <w:t>2026-09-16</w:t>
            </w:r>
          </w:p>
        </w:tc>
        <w:tc>
          <w:tcPr>
            <w:tcW w:type="dxa" w:w="1440"/>
            <w:shd w:fill="FFDCE0" w:val="clear"/>
          </w:tcPr>
          <w:p>
            <w:r>
              <w:rPr>
                <w:sz w:val="17"/>
              </w:rPr>
              <w:t>3,168</w:t>
            </w:r>
          </w:p>
        </w:tc>
        <w:tc>
          <w:tcPr>
            <w:tcW w:type="dxa" w:w="1440"/>
            <w:shd w:fill="FFDCE0" w:val="clear"/>
          </w:tcPr>
          <w:p>
            <w:r>
              <w:rPr>
                <w:b/>
                <w:sz w:val="17"/>
              </w:rPr>
              <w:t>3,526</w:t>
            </w:r>
          </w:p>
        </w:tc>
        <w:tc>
          <w:tcPr>
            <w:tcW w:type="dxa" w:w="1440"/>
            <w:shd w:fill="FFDCE0" w:val="clear"/>
          </w:tcPr>
          <w:p>
            <w:r>
              <w:rPr>
                <w:sz w:val="17"/>
              </w:rPr>
              <w:t>3,884</w:t>
            </w:r>
          </w:p>
        </w:tc>
        <w:tc>
          <w:tcPr>
            <w:tcW w:type="dxa" w:w="1440"/>
            <w:shd w:fill="FFDCE0" w:val="clear"/>
          </w:tcPr>
          <w:p>
            <w:r>
              <w:rPr>
                <w:b/>
                <w:color w:val="C00000"/>
                <w:sz w:val="17"/>
              </w:rPr>
              <w:t>-11.7%</w:t>
            </w:r>
          </w:p>
        </w:tc>
      </w:tr>
      <w:tr>
        <w:tc>
          <w:tcPr>
            <w:tcW w:type="dxa" w:w="1440"/>
            <w:shd w:fill="FFDCE0" w:val="clear"/>
          </w:tcPr>
          <w:p>
            <w:r>
              <w:rPr>
                <w:sz w:val="17"/>
              </w:rPr>
              <w:t>J+6  ⭐</w:t>
            </w:r>
          </w:p>
        </w:tc>
        <w:tc>
          <w:tcPr>
            <w:tcW w:type="dxa" w:w="1440"/>
            <w:shd w:fill="FFDCE0" w:val="clear"/>
          </w:tcPr>
          <w:p>
            <w:r>
              <w:rPr>
                <w:sz w:val="17"/>
              </w:rPr>
              <w:t>2026-09-17</w:t>
            </w:r>
          </w:p>
        </w:tc>
        <w:tc>
          <w:tcPr>
            <w:tcW w:type="dxa" w:w="1440"/>
            <w:shd w:fill="FFDCE0" w:val="clear"/>
          </w:tcPr>
          <w:p>
            <w:r>
              <w:rPr>
                <w:sz w:val="17"/>
              </w:rPr>
              <w:t>3,076</w:t>
            </w:r>
          </w:p>
        </w:tc>
        <w:tc>
          <w:tcPr>
            <w:tcW w:type="dxa" w:w="1440"/>
            <w:shd w:fill="FFDCE0" w:val="clear"/>
          </w:tcPr>
          <w:p>
            <w:r>
              <w:rPr>
                <w:b/>
                <w:sz w:val="17"/>
              </w:rPr>
              <w:t>3,461</w:t>
            </w:r>
          </w:p>
        </w:tc>
        <w:tc>
          <w:tcPr>
            <w:tcW w:type="dxa" w:w="1440"/>
            <w:shd w:fill="FFDCE0" w:val="clear"/>
          </w:tcPr>
          <w:p>
            <w:r>
              <w:rPr>
                <w:sz w:val="17"/>
              </w:rPr>
              <w:t>3,847</w:t>
            </w:r>
          </w:p>
        </w:tc>
        <w:tc>
          <w:tcPr>
            <w:tcW w:type="dxa" w:w="1440"/>
            <w:shd w:fill="FFDCE0" w:val="clear"/>
          </w:tcPr>
          <w:p>
            <w:r>
              <w:rPr>
                <w:b/>
                <w:color w:val="C00000"/>
                <w:sz w:val="17"/>
              </w:rPr>
              <w:t>-13.4%</w:t>
            </w:r>
          </w:p>
        </w:tc>
      </w:tr>
      <w:tr>
        <w:tc>
          <w:tcPr>
            <w:tcW w:type="dxa" w:w="1440"/>
            <w:shd w:fill="FFDCE0" w:val="clear"/>
          </w:tcPr>
          <w:p>
            <w:r>
              <w:rPr>
                <w:sz w:val="17"/>
              </w:rPr>
              <w:t>J+7  ⭐</w:t>
            </w:r>
          </w:p>
        </w:tc>
        <w:tc>
          <w:tcPr>
            <w:tcW w:type="dxa" w:w="1440"/>
            <w:shd w:fill="FFDCE0" w:val="clear"/>
          </w:tcPr>
          <w:p>
            <w:r>
              <w:rPr>
                <w:sz w:val="17"/>
              </w:rPr>
              <w:t>2026-09-18</w:t>
            </w:r>
          </w:p>
        </w:tc>
        <w:tc>
          <w:tcPr>
            <w:tcW w:type="dxa" w:w="1440"/>
            <w:shd w:fill="FFDCE0" w:val="clear"/>
          </w:tcPr>
          <w:p>
            <w:r>
              <w:rPr>
                <w:sz w:val="17"/>
              </w:rPr>
              <w:t>2,992</w:t>
            </w:r>
          </w:p>
        </w:tc>
        <w:tc>
          <w:tcPr>
            <w:tcW w:type="dxa" w:w="1440"/>
            <w:shd w:fill="FFDCE0" w:val="clear"/>
          </w:tcPr>
          <w:p>
            <w:r>
              <w:rPr>
                <w:b/>
                <w:sz w:val="17"/>
              </w:rPr>
              <w:t>3,401</w:t>
            </w:r>
          </w:p>
        </w:tc>
        <w:tc>
          <w:tcPr>
            <w:tcW w:type="dxa" w:w="1440"/>
            <w:shd w:fill="FFDCE0" w:val="clear"/>
          </w:tcPr>
          <w:p>
            <w:r>
              <w:rPr>
                <w:sz w:val="17"/>
              </w:rPr>
              <w:t>3,810</w:t>
            </w:r>
          </w:p>
        </w:tc>
        <w:tc>
          <w:tcPr>
            <w:tcW w:type="dxa" w:w="1440"/>
            <w:shd w:fill="FFDCE0" w:val="clear"/>
          </w:tcPr>
          <w:p>
            <w:r>
              <w:rPr>
                <w:b/>
                <w:color w:val="C00000"/>
                <w:sz w:val="17"/>
              </w:rPr>
              <w:t>-14.9%</w:t>
            </w:r>
          </w:p>
        </w:tc>
      </w:tr>
      <w:tr>
        <w:tc>
          <w:tcPr>
            <w:tcW w:type="dxa" w:w="1440"/>
            <w:shd w:fill="FFDCE0" w:val="clear"/>
          </w:tcPr>
          <w:p>
            <w:r>
              <w:rPr>
                <w:sz w:val="17"/>
              </w:rPr>
              <w:t>J+8  ⭐</w:t>
            </w:r>
          </w:p>
        </w:tc>
        <w:tc>
          <w:tcPr>
            <w:tcW w:type="dxa" w:w="1440"/>
            <w:shd w:fill="FFDCE0" w:val="clear"/>
          </w:tcPr>
          <w:p>
            <w:r>
              <w:rPr>
                <w:sz w:val="17"/>
              </w:rPr>
              <w:t>2026-09-21</w:t>
            </w:r>
          </w:p>
        </w:tc>
        <w:tc>
          <w:tcPr>
            <w:tcW w:type="dxa" w:w="1440"/>
            <w:shd w:fill="FFDCE0" w:val="clear"/>
          </w:tcPr>
          <w:p>
            <w:r>
              <w:rPr>
                <w:sz w:val="17"/>
              </w:rPr>
              <w:t>2,915</w:t>
            </w:r>
          </w:p>
        </w:tc>
        <w:tc>
          <w:tcPr>
            <w:tcW w:type="dxa" w:w="1440"/>
            <w:shd w:fill="FFDCE0" w:val="clear"/>
          </w:tcPr>
          <w:p>
            <w:r>
              <w:rPr>
                <w:b/>
                <w:sz w:val="17"/>
              </w:rPr>
              <w:t>3,345</w:t>
            </w:r>
          </w:p>
        </w:tc>
        <w:tc>
          <w:tcPr>
            <w:tcW w:type="dxa" w:w="1440"/>
            <w:shd w:fill="FFDCE0" w:val="clear"/>
          </w:tcPr>
          <w:p>
            <w:r>
              <w:rPr>
                <w:sz w:val="17"/>
              </w:rPr>
              <w:t>3,775</w:t>
            </w:r>
          </w:p>
        </w:tc>
        <w:tc>
          <w:tcPr>
            <w:tcW w:type="dxa" w:w="1440"/>
            <w:shd w:fill="FFDCE0" w:val="clear"/>
          </w:tcPr>
          <w:p>
            <w:r>
              <w:rPr>
                <w:b/>
                <w:color w:val="C00000"/>
                <w:sz w:val="17"/>
              </w:rPr>
              <w:t>-16.3%</w:t>
            </w:r>
          </w:p>
        </w:tc>
      </w:tr>
      <w:tr>
        <w:tc>
          <w:tcPr>
            <w:tcW w:type="dxa" w:w="1440"/>
            <w:shd w:fill="FFDCE0" w:val="clear"/>
          </w:tcPr>
          <w:p>
            <w:r>
              <w:rPr>
                <w:sz w:val="17"/>
              </w:rPr>
              <w:t>J+9  ⭐</w:t>
            </w:r>
          </w:p>
        </w:tc>
        <w:tc>
          <w:tcPr>
            <w:tcW w:type="dxa" w:w="1440"/>
            <w:shd w:fill="FFDCE0" w:val="clear"/>
          </w:tcPr>
          <w:p>
            <w:r>
              <w:rPr>
                <w:sz w:val="17"/>
              </w:rPr>
              <w:t>2026-09-22</w:t>
            </w:r>
          </w:p>
        </w:tc>
        <w:tc>
          <w:tcPr>
            <w:tcW w:type="dxa" w:w="1440"/>
            <w:shd w:fill="FFDCE0" w:val="clear"/>
          </w:tcPr>
          <w:p>
            <w:r>
              <w:rPr>
                <w:sz w:val="17"/>
              </w:rPr>
              <w:t>2,844</w:t>
            </w:r>
          </w:p>
        </w:tc>
        <w:tc>
          <w:tcPr>
            <w:tcW w:type="dxa" w:w="1440"/>
            <w:shd w:fill="FFDCE0" w:val="clear"/>
          </w:tcPr>
          <w:p>
            <w:r>
              <w:rPr>
                <w:b/>
                <w:sz w:val="17"/>
              </w:rPr>
              <w:t>3,293</w:t>
            </w:r>
          </w:p>
        </w:tc>
        <w:tc>
          <w:tcPr>
            <w:tcW w:type="dxa" w:w="1440"/>
            <w:shd w:fill="FFDCE0" w:val="clear"/>
          </w:tcPr>
          <w:p>
            <w:r>
              <w:rPr>
                <w:sz w:val="17"/>
              </w:rPr>
              <w:t>3,741</w:t>
            </w:r>
          </w:p>
        </w:tc>
        <w:tc>
          <w:tcPr>
            <w:tcW w:type="dxa" w:w="1440"/>
            <w:shd w:fill="FFDCE0" w:val="clear"/>
          </w:tcPr>
          <w:p>
            <w:r>
              <w:rPr>
                <w:b/>
                <w:color w:val="C00000"/>
                <w:sz w:val="17"/>
              </w:rPr>
              <w:t>-17.6%</w:t>
            </w:r>
          </w:p>
        </w:tc>
      </w:tr>
      <w:tr>
        <w:tc>
          <w:tcPr>
            <w:tcW w:type="dxa" w:w="1440"/>
            <w:shd w:fill="FFDCE0" w:val="clear"/>
          </w:tcPr>
          <w:p>
            <w:r>
              <w:rPr>
                <w:sz w:val="17"/>
              </w:rPr>
              <w:t>J+10  ⭐</w:t>
            </w:r>
          </w:p>
        </w:tc>
        <w:tc>
          <w:tcPr>
            <w:tcW w:type="dxa" w:w="1440"/>
            <w:shd w:fill="FFDCE0" w:val="clear"/>
          </w:tcPr>
          <w:p>
            <w:r>
              <w:rPr>
                <w:sz w:val="17"/>
              </w:rPr>
              <w:t>2026-09-23</w:t>
            </w:r>
          </w:p>
        </w:tc>
        <w:tc>
          <w:tcPr>
            <w:tcW w:type="dxa" w:w="1440"/>
            <w:shd w:fill="FFDCE0" w:val="clear"/>
          </w:tcPr>
          <w:p>
            <w:r>
              <w:rPr>
                <w:sz w:val="17"/>
              </w:rPr>
              <w:t>2,777</w:t>
            </w:r>
          </w:p>
        </w:tc>
        <w:tc>
          <w:tcPr>
            <w:tcW w:type="dxa" w:w="1440"/>
            <w:shd w:fill="FFDCE0" w:val="clear"/>
          </w:tcPr>
          <w:p>
            <w:r>
              <w:rPr>
                <w:b/>
                <w:sz w:val="17"/>
              </w:rPr>
              <w:t>3,243</w:t>
            </w:r>
          </w:p>
        </w:tc>
        <w:tc>
          <w:tcPr>
            <w:tcW w:type="dxa" w:w="1440"/>
            <w:shd w:fill="FFDCE0" w:val="clear"/>
          </w:tcPr>
          <w:p>
            <w:r>
              <w:rPr>
                <w:sz w:val="17"/>
              </w:rPr>
              <w:t>3,709</w:t>
            </w:r>
          </w:p>
        </w:tc>
        <w:tc>
          <w:tcPr>
            <w:tcW w:type="dxa" w:w="1440"/>
            <w:shd w:fill="FFDCE0" w:val="clear"/>
          </w:tcPr>
          <w:p>
            <w:r>
              <w:rPr>
                <w:b/>
                <w:color w:val="C00000"/>
                <w:sz w:val="17"/>
              </w:rPr>
              <w:t>-18.8%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SERVAIR ABIDJAN (ABJC)**</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43,59 milliards FCFA, Servair Abidjan se positionne parmi les valeurs moyennes du compartiment industriel/services de la BRVM, loin des mastodontes bancaires et télécoms mais avec une liquidité réelle (volume moyen de 3 493 titres/jour). Le BPA de 124 FCFA/action signifie que chaque titre génère un bénéfice net de 124 FCFA, ce qui, rapporté au cours actuel de 3 995 FCFA, donne un PER de 32,3x — soit près de trois fois la moyenne BRVM (8-12x), signalant que le marché intègre déjà une forte croissance future ou, plus probablement, une surévaluation spéculative. Le P/B de 8,45x confirme cette prime exigeante : les investisseurs paient plus de 8 fois la valeur comptable des fonds propres (5,159 Mds FCFA), un niveau rarement justifié hors secteurs à très forte rentabilité. Enfin, l'EV/EBITDA de 16,7x traduit une valorisation de la valeur d'entreprise (capitalisation + dette nette quasi nulle) très supérieure à la capacité opérationnelle dégagée (EBE de 2,375 Mds FCFA), ce qui rend le titre vulnérable à toute déception sur les marges.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ABJC affiche une progression totale de +16,47%, avec une dernière séance (J-1) stable à +0,00%, le cours clôturant à 3 995 FCFA — soit exactement son plus haut de période, ce qui témoigne d'un momentum haussier intact en fin de fenêtre. Le range de trading est large, entre un plus bas de 2 800 FCFA et un plus haut de 3 995 FCFA, soit une amplitude de 42,7% qui reflète une tendance nettement haussière mais ponctuée de corrections. Les statistiques descriptives révèlent une moyenne de 3 243 FCFA supérieure à la médiane de 3 182 FCFA, avec un mode à 3 150 FCFA : cet écart positif entre moyenne et médiane, combiné à un skewness de +0,841 (asymétrie positive), indique que la distribution des cours est tirée vers le haut par des pics haussiers, mais que la majorité des séances se sont déroulées sous la moyenne — signe d'une progression concentrée sur quelques séances fortes. L'écart-type de 294 FCFA (CV = 9,1%) traduit une dispersion modérée autour de la moyenne, tandis que le kurtosis de 0,140 (mésokurtique) suggère une distribution proche de la normale, sans risque extrême de pics violents. La volatilité annualisée de 49,3% classe le titre dans la catégorie **élevée** (&gt;30%), ce qui est cohérent avec une valeur de petite capitalisation sur la BRVM et impose une gestion stricte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(3 612 FCFA) et la MM50 (3 299,6 FCFA) sont toutes deux nettement inférieures au cours actuel (3 995 FCFA), et la MM20 surplombe la MM50 — configuration haussière classique en « golden cross ». Le cours évoluant 10,6% au-dessus de sa MM20, la décision « Achat » est techniquement justifiée, mais le risque de surchauffe à court terme est réel.</w:t>
      </w:r>
    </w:p>
    <w:p>
      <w:pPr>
        <w:spacing w:after="120" w:line="276" w:lineRule="auto"/>
      </w:pPr>
      <w:r>
        <w:t>**Bandes de Bollinger** : Le cours (3 995 FCFA) se situe à 95% de la borne supérieure (4 198 FCFA) et à 32% de la borne inférieure (3 026 FCFA), dans la partie haute du canal. La décision « Neutre » reflète cette position ambiguë : le titre n'a pas encore cassé la borne supérieure (pas de signal d'achat par breakout), mais il est trop proche pour envisager un retour à la moyenne sans correction préalable.</w:t>
      </w:r>
    </w:p>
    <w:p>
      <w:pPr>
        <w:spacing w:after="120" w:line="276" w:lineRule="auto"/>
      </w:pPr>
      <w:r>
        <w:t>**MACD** : La valeur du MACD (216,6) dépasse son signal (182,1), avec un histogramme positif de 34,5 points — configuration haussière confirmée. Le momentum reste donc favorable, et la décision « Achat » est cohérente, même si l'écart entre les deux lignes commence à se réduire, suggérant un essoufflement possible.</w:t>
      </w:r>
    </w:p>
    <w:p>
      <w:pPr>
        <w:spacing w:after="120" w:line="276" w:lineRule="auto"/>
      </w:pPr>
      <w:r>
        <w:t>**RSI** : À 83,15, le RSI est en zone de **surachat sévère** (&gt;70), ce qui déclenche logiquement une décision « Vente ». Un RSI aussi élevé sur un titre peu liquide signale un risque élevé de correction à court terme, d'autant que le cours est déjà à son plus haut de période.</w:t>
      </w:r>
    </w:p>
    <w:p>
      <w:pPr>
        <w:spacing w:after="120" w:line="276" w:lineRule="auto"/>
      </w:pPr>
      <w:r>
        <w:t>**Stochastique** : Le %K et le %D sont tous deux à 100,0, soit le maximum absolu de l'indicateur — situation extrême de surachat. La décision « Vente » est ici sans ambiguïté : un stochastique bloqué à 100 précède historiquement des retournements ou au minimum des consolidations.</w:t>
      </w:r>
    </w:p>
    <w:p>
      <w:pPr>
        <w:spacing w:after="120" w:line="276" w:lineRule="auto"/>
      </w:pPr>
      <w:r>
        <w:t>**Conclusion technique** : Les indicateurs de tendance (MM, MACD) restent haussiers et confirment le momentum positif, mais les oscillateurs (RSI à 83, Stochastique à 100) sont en zone de surachat extrême et signalent une correction imminente. Cette divergence classique entre tendance et momentum suggère que le titre peut encore progresser marginalement, mais que le rapport risque/rendement se dégrade fortement à court terme. La décision globale est donc **Neutre à Vendeuse** à court terme, avec un point d'entrée plus favorable autour de la MM20 (3 612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Servair Abidjan a enregistré un chiffre d'affaires de 13,298 milliards FCFA, en croissance de +6,67% sur un an, confirmant la dynamique commerciale du secteur aéroportuaire ivoirien. Le résultat net s'établit à 1,351 milliard FCFA, en recul de -12,1% selon le rapport financier 2025, principalement en raison d'une charge d'impôt en forte hausse (+46,7% à 839,75 millions FCFA). La rentabilité reste néanmoins solide avec un ROE de 26,18% (excellent, &gt;15%) et un ROA de 14,64%, tandis que la marge nette se maintient à 10,16% et la marge brute à 68,49%. Sur le plan bilanciel, la structure est très saine : autonomie financière de 55,92%, endettement financier quasi nul (65,89 millions FCFA de dettes financières totales, soit une dépendance de 1,28%), trésorerie nette de 4,035 milliards FCFA et liquidité générale de 218,37%. Les délais d'exploitation révèlent toutefois un point de vigilance : le délai clients est de 70,10 jours (élevé, risque de trésorerie) contre 92,11 jours pour les fournisseurs (favorable), avec un BFR maîtrisé de 257,45 millions FCFA. Les rapports trimestriels récents nuancent cependant ces bons fondamentaux annuels : le T1 2026 (publié en 2026) montre un CA de 3,237 milliards FCFA (+1,9% seulement) mais une chute du résultat net de -35,6% à 222,6 millions FCFA, pénalisé par les ajustements de redevances aéroportuaires d'avril 2025 et les tensions géopolitiques au Moyen-Orient. Le T3 2025 (rapport du 30/09/2025) avait pourtant affiché un rebond avec un CA trimestriel de 10,218 milliards FCFA (+10,3%) et un résultat net de 1,325 milliard FCFA (+17,1%), mais cette embellie ne s'est pas confirmée au T1 2026. On estime donc que l'exercice 2026 devrait être marqué par une stagnation du résultat net autour de 1,0-1,2 milliard FCFA si la pression sur les marges persiste, ce qui rendrait le PER actuel de 32,3x encore plus difficile à justifier. La solidité financière (trésorerie, absence de dette) reste un atout défensif, mais la dégradation récente de la rentabilité opérationnelle constitue un risque majeur.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clairement exigeante : PER de 32,3x, P/B de 8,45x et EV/EBITDA de 16,7x placent ABJC très au-dessus des standards de la BRVM, sans justification évidente par la croissance récente (+6,7% de CA en 2025 mais -35,6% de résultat net au T1 2026). Le comportement du cours (Partie 1) est haussier (+16,47% sur 100 jours) mais la volatilité annualisée de 49,3% et le skewness positif de 0,841 indiquent une progression fragile, concentrée sur quelques séances, avec un risque de correction. Les signaux techniques (Partie 2) sont divergents : les MM et le MACD confirment la tendance haussière, mais le RSI à 83,15 et le Stochastique à 100 sont en surachat extrême et annoncent une correction imminente. Les fondamentaux (Partie 3) sont mitigés : structure financière excellente (ROE 26,18%, trésorerie 4,035 Mds FCFA, endettement quasi nul) mais dégradation récente de la rentabilité (T1 2026 : résultat net -35,6%) et valorisation qui intègre déjà une reprise hypothétique. Les prédictions IA (J+1 à J+10) confirment cette analyse en projetant une baisse continue de 3 868 FCFA à 3 526 FCFA, soit une correction de -8,8% en 10 jours, ce qui valide le signal de surachat technique. Sur la base de cette synthèse globale, la recommandation finale est **CONSERVER** avec un biais vendeur à court terme : le titre est trop cher pour acheter, mais la solidité financière et la position de marché défendent une vente massive. Le niveau de confiance est **Moyen** (les fondamentaux long terme sont bons mais la dynamique récente est négative), le risque global est **Élevé** (volatilité 49,3%, surachat extrême, valorisation tendue), et l'horizon d'investissement optimal est **court terme (&lt;3 mois)** pour profiter d'une éventuelle correction vers 3 500-3 600 FCFA, ou **long terme (&gt;1 an)** pour les investisseurs patientant en attendant la confirmation d'un redressement des marges.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583.95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12,358 titres</w:t>
            </w:r>
          </w:p>
        </w:tc>
        <w:tc>
          <w:tcPr>
            <w:tcW w:type="dxa" w:w="2268"/>
            <w:shd w:fill="FFF2CC" w:val="clear"/>
          </w:tcPr>
          <w:p>
            <w:r>
              <w:rPr>
                <w:b/>
                <w:color w:val="503200"/>
                <w:sz w:val="16"/>
              </w:rPr>
              <w:t xml:space="preserve">Cours actuel : </w:t>
            </w:r>
            <w:r>
              <w:rPr>
                <w:color w:val="000000"/>
                <w:sz w:val="17"/>
              </w:rPr>
              <w:t>10,110 FCFA</w:t>
            </w:r>
          </w:p>
          <w:p>
            <w:r>
              <w:rPr>
                <w:b/>
                <w:color w:val="503200"/>
                <w:sz w:val="16"/>
              </w:rPr>
              <w:t xml:space="preserve">Var. 100 jours : </w:t>
            </w:r>
            <w:r>
              <w:rPr>
                <w:b/>
                <w:color w:val="007800"/>
                <w:sz w:val="17"/>
              </w:rPr>
              <w:t>+96.31%</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5,100 FCFA</w:t>
            </w:r>
          </w:p>
          <w:p>
            <w:r>
              <w:rPr>
                <w:b/>
                <w:color w:val="503200"/>
                <w:sz w:val="16"/>
              </w:rPr>
              <w:t xml:space="preserve">Volatilité ann. : </w:t>
            </w:r>
            <w:r>
              <w:rPr>
                <w:color w:val="000000"/>
                <w:sz w:val="17"/>
              </w:rPr>
              <w:t>34.5%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22.90% (Élevée) — μ=6,561 FCFA, σ=1,503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β=0.4645 (Défensif) — Cov=0.000017, Var(idx)=0.000036, ρ=0.132,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12,358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σ_j=2.17%/j (Stable) — Vol. annualisée≈34.5%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2026-09-10</w:t>
            </w:r>
          </w:p>
        </w:tc>
        <w:tc>
          <w:tcPr>
            <w:tcW w:type="dxa" w:w="1440"/>
            <w:shd w:fill="FFDCE0" w:val="clear"/>
          </w:tcPr>
          <w:p>
            <w:r>
              <w:rPr>
                <w:sz w:val="17"/>
              </w:rPr>
              <w:t>8,957</w:t>
            </w:r>
          </w:p>
        </w:tc>
        <w:tc>
          <w:tcPr>
            <w:tcW w:type="dxa" w:w="1440"/>
            <w:shd w:fill="FFDCE0" w:val="clear"/>
          </w:tcPr>
          <w:p>
            <w:r>
              <w:rPr>
                <w:b/>
                <w:sz w:val="17"/>
              </w:rPr>
              <w:t>9,352</w:t>
            </w:r>
          </w:p>
        </w:tc>
        <w:tc>
          <w:tcPr>
            <w:tcW w:type="dxa" w:w="1440"/>
            <w:shd w:fill="FFDCE0" w:val="clear"/>
          </w:tcPr>
          <w:p>
            <w:r>
              <w:rPr>
                <w:sz w:val="17"/>
              </w:rPr>
              <w:t>9,746</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2026-09-11</w:t>
            </w:r>
          </w:p>
        </w:tc>
        <w:tc>
          <w:tcPr>
            <w:tcW w:type="dxa" w:w="1440"/>
            <w:shd w:fill="FFDCE0" w:val="clear"/>
          </w:tcPr>
          <w:p>
            <w:r>
              <w:rPr>
                <w:sz w:val="17"/>
              </w:rPr>
              <w:t>8,134</w:t>
            </w:r>
          </w:p>
        </w:tc>
        <w:tc>
          <w:tcPr>
            <w:tcW w:type="dxa" w:w="1440"/>
            <w:shd w:fill="FFDCE0" w:val="clear"/>
          </w:tcPr>
          <w:p>
            <w:r>
              <w:rPr>
                <w:b/>
                <w:sz w:val="17"/>
              </w:rPr>
              <w:t>8,650</w:t>
            </w:r>
          </w:p>
        </w:tc>
        <w:tc>
          <w:tcPr>
            <w:tcW w:type="dxa" w:w="1440"/>
            <w:shd w:fill="FFDCE0" w:val="clear"/>
          </w:tcPr>
          <w:p>
            <w:r>
              <w:rPr>
                <w:sz w:val="17"/>
              </w:rPr>
              <w:t>9,167</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2026-09-14</w:t>
            </w:r>
          </w:p>
        </w:tc>
        <w:tc>
          <w:tcPr>
            <w:tcW w:type="dxa" w:w="1440"/>
            <w:shd w:fill="FFDCE0" w:val="clear"/>
          </w:tcPr>
          <w:p>
            <w:r>
              <w:rPr>
                <w:sz w:val="17"/>
              </w:rPr>
              <w:t>7,417</w:t>
            </w:r>
          </w:p>
        </w:tc>
        <w:tc>
          <w:tcPr>
            <w:tcW w:type="dxa" w:w="1440"/>
            <w:shd w:fill="FFDCE0" w:val="clear"/>
          </w:tcPr>
          <w:p>
            <w:r>
              <w:rPr>
                <w:b/>
                <w:sz w:val="17"/>
              </w:rPr>
              <w:t>8,002</w:t>
            </w:r>
          </w:p>
        </w:tc>
        <w:tc>
          <w:tcPr>
            <w:tcW w:type="dxa" w:w="1440"/>
            <w:shd w:fill="FFDCE0" w:val="clear"/>
          </w:tcPr>
          <w:p>
            <w:r>
              <w:rPr>
                <w:sz w:val="17"/>
              </w:rPr>
              <w:t>8,586</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2026-09-15</w:t>
            </w:r>
          </w:p>
        </w:tc>
        <w:tc>
          <w:tcPr>
            <w:tcW w:type="dxa" w:w="1440"/>
            <w:shd w:fill="FFDCE0" w:val="clear"/>
          </w:tcPr>
          <w:p>
            <w:r>
              <w:rPr>
                <w:sz w:val="17"/>
              </w:rPr>
              <w:t>6,777</w:t>
            </w:r>
          </w:p>
        </w:tc>
        <w:tc>
          <w:tcPr>
            <w:tcW w:type="dxa" w:w="1440"/>
            <w:shd w:fill="FFDCE0" w:val="clear"/>
          </w:tcPr>
          <w:p>
            <w:r>
              <w:rPr>
                <w:b/>
                <w:sz w:val="17"/>
              </w:rPr>
              <w:t>7,401</w:t>
            </w:r>
          </w:p>
        </w:tc>
        <w:tc>
          <w:tcPr>
            <w:tcW w:type="dxa" w:w="1440"/>
            <w:shd w:fill="FFDCE0" w:val="clear"/>
          </w:tcPr>
          <w:p>
            <w:r>
              <w:rPr>
                <w:sz w:val="17"/>
              </w:rPr>
              <w:t>8,026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2026-09-16</w:t>
            </w:r>
          </w:p>
        </w:tc>
        <w:tc>
          <w:tcPr>
            <w:tcW w:type="dxa" w:w="1440"/>
            <w:shd w:fill="FFDCE0" w:val="clear"/>
          </w:tcPr>
          <w:p>
            <w:r>
              <w:rPr>
                <w:sz w:val="17"/>
              </w:rPr>
              <w:t>6,200</w:t>
            </w:r>
          </w:p>
        </w:tc>
        <w:tc>
          <w:tcPr>
            <w:tcW w:type="dxa" w:w="1440"/>
            <w:shd w:fill="FFDCE0" w:val="clear"/>
          </w:tcPr>
          <w:p>
            <w:r>
              <w:rPr>
                <w:b/>
                <w:sz w:val="17"/>
              </w:rPr>
              <w:t>6,846</w:t>
            </w:r>
          </w:p>
        </w:tc>
        <w:tc>
          <w:tcPr>
            <w:tcW w:type="dxa" w:w="1440"/>
            <w:shd w:fill="FFDCE0" w:val="clear"/>
          </w:tcPr>
          <w:p>
            <w:r>
              <w:rPr>
                <w:sz w:val="17"/>
              </w:rPr>
              <w:t>7,492</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2026-09-17</w:t>
            </w:r>
          </w:p>
        </w:tc>
        <w:tc>
          <w:tcPr>
            <w:tcW w:type="dxa" w:w="1440"/>
            <w:shd w:fill="FFDCE0" w:val="clear"/>
          </w:tcPr>
          <w:p>
            <w:r>
              <w:rPr>
                <w:sz w:val="17"/>
              </w:rPr>
              <w:t>5,678</w:t>
            </w:r>
          </w:p>
        </w:tc>
        <w:tc>
          <w:tcPr>
            <w:tcW w:type="dxa" w:w="1440"/>
            <w:shd w:fill="FFDCE0" w:val="clear"/>
          </w:tcPr>
          <w:p>
            <w:r>
              <w:rPr>
                <w:b/>
                <w:sz w:val="17"/>
              </w:rPr>
              <w:t>6,333</w:t>
            </w:r>
          </w:p>
        </w:tc>
        <w:tc>
          <w:tcPr>
            <w:tcW w:type="dxa" w:w="1440"/>
            <w:shd w:fill="FFDCE0" w:val="clear"/>
          </w:tcPr>
          <w:p>
            <w:r>
              <w:rPr>
                <w:sz w:val="17"/>
              </w:rPr>
              <w:t>6,987</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2026-09-18</w:t>
            </w:r>
          </w:p>
        </w:tc>
        <w:tc>
          <w:tcPr>
            <w:tcW w:type="dxa" w:w="1440"/>
            <w:shd w:fill="FFDCE0" w:val="clear"/>
          </w:tcPr>
          <w:p>
            <w:r>
              <w:rPr>
                <w:sz w:val="17"/>
              </w:rPr>
              <w:t>5,364</w:t>
            </w:r>
          </w:p>
        </w:tc>
        <w:tc>
          <w:tcPr>
            <w:tcW w:type="dxa" w:w="1440"/>
            <w:shd w:fill="FFDCE0" w:val="clear"/>
          </w:tcPr>
          <w:p>
            <w:r>
              <w:rPr>
                <w:b/>
                <w:sz w:val="17"/>
              </w:rPr>
              <w:t>6,038</w:t>
            </w:r>
          </w:p>
        </w:tc>
        <w:tc>
          <w:tcPr>
            <w:tcW w:type="dxa" w:w="1440"/>
            <w:shd w:fill="FFDCE0" w:val="clear"/>
          </w:tcPr>
          <w:p>
            <w:r>
              <w:rPr>
                <w:sz w:val="17"/>
              </w:rPr>
              <w:t>6,712</w:t>
            </w:r>
          </w:p>
        </w:tc>
        <w:tc>
          <w:tcPr>
            <w:tcW w:type="dxa" w:w="1440"/>
            <w:shd w:fill="FFDCE0" w:val="clear"/>
          </w:tcPr>
          <w:p>
            <w:r>
              <w:rPr>
                <w:b/>
                <w:color w:val="C00000"/>
                <w:sz w:val="17"/>
              </w:rPr>
              <w:t>-40.3%</w:t>
            </w:r>
          </w:p>
        </w:tc>
      </w:tr>
      <w:tr>
        <w:tc>
          <w:tcPr>
            <w:tcW w:type="dxa" w:w="1440"/>
            <w:shd w:fill="FFDCE0" w:val="clear"/>
          </w:tcPr>
          <w:p>
            <w:r>
              <w:rPr>
                <w:sz w:val="17"/>
              </w:rPr>
              <w:t>J+8  ⭐</w:t>
            </w:r>
          </w:p>
        </w:tc>
        <w:tc>
          <w:tcPr>
            <w:tcW w:type="dxa" w:w="1440"/>
            <w:shd w:fill="FFDCE0" w:val="clear"/>
          </w:tcPr>
          <w:p>
            <w:r>
              <w:rPr>
                <w:sz w:val="17"/>
              </w:rPr>
              <w:t>2026-09-21</w:t>
            </w:r>
          </w:p>
        </w:tc>
        <w:tc>
          <w:tcPr>
            <w:tcW w:type="dxa" w:w="1440"/>
            <w:shd w:fill="FFDCE0" w:val="clear"/>
          </w:tcPr>
          <w:p>
            <w:r>
              <w:rPr>
                <w:sz w:val="17"/>
              </w:rPr>
              <w:t>5,192</w:t>
            </w:r>
          </w:p>
        </w:tc>
        <w:tc>
          <w:tcPr>
            <w:tcW w:type="dxa" w:w="1440"/>
            <w:shd w:fill="FFDCE0" w:val="clear"/>
          </w:tcPr>
          <w:p>
            <w:r>
              <w:rPr>
                <w:b/>
                <w:sz w:val="17"/>
              </w:rPr>
              <w:t>5,895</w:t>
            </w:r>
          </w:p>
        </w:tc>
        <w:tc>
          <w:tcPr>
            <w:tcW w:type="dxa" w:w="1440"/>
            <w:shd w:fill="FFDCE0" w:val="clear"/>
          </w:tcPr>
          <w:p>
            <w:r>
              <w:rPr>
                <w:sz w:val="17"/>
              </w:rPr>
              <w:t>6,599</w:t>
            </w:r>
          </w:p>
        </w:tc>
        <w:tc>
          <w:tcPr>
            <w:tcW w:type="dxa" w:w="1440"/>
            <w:shd w:fill="FFDCE0" w:val="clear"/>
          </w:tcPr>
          <w:p>
            <w:r>
              <w:rPr>
                <w:b/>
                <w:color w:val="C00000"/>
                <w:sz w:val="17"/>
              </w:rPr>
              <w:t>-41.7%</w:t>
            </w:r>
          </w:p>
        </w:tc>
      </w:tr>
      <w:tr>
        <w:tc>
          <w:tcPr>
            <w:tcW w:type="dxa" w:w="1440"/>
            <w:shd w:fill="FFDCE0" w:val="clear"/>
          </w:tcPr>
          <w:p>
            <w:r>
              <w:rPr>
                <w:sz w:val="17"/>
              </w:rPr>
              <w:t>J+9  ⭐</w:t>
            </w:r>
          </w:p>
        </w:tc>
        <w:tc>
          <w:tcPr>
            <w:tcW w:type="dxa" w:w="1440"/>
            <w:shd w:fill="FFDCE0" w:val="clear"/>
          </w:tcPr>
          <w:p>
            <w:r>
              <w:rPr>
                <w:sz w:val="17"/>
              </w:rPr>
              <w:t>2026-09-22</w:t>
            </w:r>
          </w:p>
        </w:tc>
        <w:tc>
          <w:tcPr>
            <w:tcW w:type="dxa" w:w="1440"/>
            <w:shd w:fill="FFDCE0" w:val="clear"/>
          </w:tcPr>
          <w:p>
            <w:r>
              <w:rPr>
                <w:sz w:val="17"/>
              </w:rPr>
              <w:t>5,042</w:t>
            </w:r>
          </w:p>
        </w:tc>
        <w:tc>
          <w:tcPr>
            <w:tcW w:type="dxa" w:w="1440"/>
            <w:shd w:fill="FFDCE0" w:val="clear"/>
          </w:tcPr>
          <w:p>
            <w:r>
              <w:rPr>
                <w:b/>
                <w:sz w:val="17"/>
              </w:rPr>
              <w:t>5,772</w:t>
            </w:r>
          </w:p>
        </w:tc>
        <w:tc>
          <w:tcPr>
            <w:tcW w:type="dxa" w:w="1440"/>
            <w:shd w:fill="FFDCE0" w:val="clear"/>
          </w:tcPr>
          <w:p>
            <w:r>
              <w:rPr>
                <w:sz w:val="17"/>
              </w:rPr>
              <w:t>6,503</w:t>
            </w:r>
          </w:p>
        </w:tc>
        <w:tc>
          <w:tcPr>
            <w:tcW w:type="dxa" w:w="1440"/>
            <w:shd w:fill="FFDCE0" w:val="clear"/>
          </w:tcPr>
          <w:p>
            <w:r>
              <w:rPr>
                <w:b/>
                <w:color w:val="C00000"/>
                <w:sz w:val="17"/>
              </w:rPr>
              <w:t>-42.9%</w:t>
            </w:r>
          </w:p>
        </w:tc>
      </w:tr>
      <w:tr>
        <w:tc>
          <w:tcPr>
            <w:tcW w:type="dxa" w:w="1440"/>
            <w:shd w:fill="FFDCE0" w:val="clear"/>
          </w:tcPr>
          <w:p>
            <w:r>
              <w:rPr>
                <w:sz w:val="17"/>
              </w:rPr>
              <w:t>J+10  ⭐</w:t>
            </w:r>
          </w:p>
        </w:tc>
        <w:tc>
          <w:tcPr>
            <w:tcW w:type="dxa" w:w="1440"/>
            <w:shd w:fill="FFDCE0" w:val="clear"/>
          </w:tcPr>
          <w:p>
            <w:r>
              <w:rPr>
                <w:sz w:val="17"/>
              </w:rPr>
              <w:t>2026-09-23</w:t>
            </w:r>
          </w:p>
        </w:tc>
        <w:tc>
          <w:tcPr>
            <w:tcW w:type="dxa" w:w="1440"/>
            <w:shd w:fill="FFDCE0" w:val="clear"/>
          </w:tcPr>
          <w:p>
            <w:r>
              <w:rPr>
                <w:sz w:val="17"/>
              </w:rPr>
              <w:t>4,910</w:t>
            </w:r>
          </w:p>
        </w:tc>
        <w:tc>
          <w:tcPr>
            <w:tcW w:type="dxa" w:w="1440"/>
            <w:shd w:fill="FFDCE0" w:val="clear"/>
          </w:tcPr>
          <w:p>
            <w:r>
              <w:rPr>
                <w:b/>
                <w:sz w:val="17"/>
              </w:rPr>
              <w:t>5,666</w:t>
            </w:r>
          </w:p>
        </w:tc>
        <w:tc>
          <w:tcPr>
            <w:tcW w:type="dxa" w:w="1440"/>
            <w:shd w:fill="FFDCE0" w:val="clear"/>
          </w:tcPr>
          <w:p>
            <w:r>
              <w:rPr>
                <w:sz w:val="17"/>
              </w:rPr>
              <w:t>6,422</w:t>
            </w:r>
          </w:p>
        </w:tc>
        <w:tc>
          <w:tcPr>
            <w:tcW w:type="dxa" w:w="1440"/>
            <w:shd w:fill="FFDCE0" w:val="clear"/>
          </w:tcPr>
          <w:p>
            <w:r>
              <w:rPr>
                <w:b/>
                <w:color w:val="C00000"/>
                <w:sz w:val="17"/>
              </w:rPr>
              <w:t>-44.0%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 RAPPORT D'ANALYSE FINANCIÈRE — BICB (BIIC Bénin)</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583,95 milliards FCFA, la BICB s'impose comme l'une des plus importantes capitalisations du compartiment bancaire de la BRVM, ce qui témoigne de la confiance des investisseurs dans le leader béninois du secteur. Le BPA de 627 FCFA/action signifie que chaque titre génère près de 627 FCFA de bénéfice net, un niveau élevé qui traduit la forte rentabilité de la banque. Le PER de 16,1x situe le titre au-dessus de la moyenne BRVM (généralement 8-12x), signalant que les investisseurs paient une prime pour la croissance et la qualité des bénéfices, mais sans excès déraisonnable. Le P/B de 4,32x indique que le marché valorise la banque à plus de quatre fois sa valeur comptable, une prime exigeante qui reflète la qualité du franchise et le ROE élevé (26,8%). Enfin, l'EV/EBITDA de 26,5x, très supérieur au seuil de 15x, confirme une valorisation tendue sur la capacité opérationnelle, ce qui laisse peu de marge d'erreur en cas de dégradation des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BICB a enregistré une progression spectaculaire de **+96,31%**, passant d'environ 5 100 FCFA à 10 110 FCFA, avec toutefois un repli de **-3,25%** lors de la dernière séance, signe d'une prise de profit après un rallye exceptionnel. Le range de trading est très large, entre un plus bas de 5 100 FCFA et un plus haut de 10 790 FCFA, soit un écart de plus de 110%, illustrant une dynamique haussière puissante mais aussi une forte amplitude. La tendance générale est clairement haussière, portée par la publication de résultats annuels 2025 solides et les perspectives favorables du T1 2026. Les statistiques descriptives révèlent une moyenne de 6 561 FCFA nettement supérieure à la médiane de 5 880 FCFA, ce qui traduit une distribution asymétrique avec des pics haussiers récents tirant la moyenne vers le haut. L'écart-type de 1 510 FCFA (CV=23,0%) indique une dispersion modérée à élevée du cours autour de sa moyenne, cohérente avec la volatilité annualisée de **34,5%**, classée comme **élevée** (&gt;30%). Le kurtosis de 0,027 (mésokurtique) suggère une distribution proche de la normale, sans risque extrême de pics, tandis que le skewness de 1,008 (asymétrie positive) indique que les journées sous la moyenne sont plus fréquentes, mais compensées par des hausses marquées — un profil typique d'un titre en forte tendance haussière.</w:t>
      </w:r>
    </w:p>
    <w:p>
      <w:pPr>
        <w:spacing w:after="120" w:line="276" w:lineRule="auto"/>
      </w:pPr>
      <w:r>
        <w:t>---</w:t>
      </w:r>
    </w:p>
    <w:p>
      <w:pPr>
        <w:spacing w:after="120" w:line="276" w:lineRule="auto"/>
      </w:pPr>
      <w:r>
        <w:t>## PARTIE 2 : ANALYSE TECHNIQUE DÉTAILLÉE</w:t>
      </w:r>
    </w:p>
    <w:p>
      <w:pPr>
        <w:spacing w:after="120" w:line="276" w:lineRule="auto"/>
      </w:pPr>
      <w:r>
        <w:t>**Moyennes Mobiles** : La MM20 (9 029 FCFA) et la MM50 (7 740 FCFA) sont toutes deux nettement inférieures au cours actuel (10 110 FCFA), confirmant une configuration haussière robuste où le prix évolue au-dessus de ses moyennes. La MM20 étant supérieure à la MM50, le croisement haussier est validé, justifiant la décision d'**Achat**.</w:t>
      </w:r>
    </w:p>
    <w:p>
      <w:pPr>
        <w:spacing w:after="120" w:line="276" w:lineRule="auto"/>
      </w:pPr>
      <w:r>
        <w:t>**Bandes de Bollinger** : Le cours (10 110 FCFA) se situe à l'intérieur des bandes, proche de la borne supérieure (10 785 FCFA) mais sans la franchir, ce qui indique une volatilité contenue et une possible zone de résistance. La décision est **Neutre**, car le titre n'est ni en surachat extrême ni en survente, mais la proximité de la borne haute appelle à la prudence.</w:t>
      </w:r>
    </w:p>
    <w:p>
      <w:pPr>
        <w:spacing w:after="120" w:line="276" w:lineRule="auto"/>
      </w:pPr>
      <w:r>
        <w:t>**MACD** : La valeur du MACD (765,025) est supérieure à son signal (643,869), avec un histogramme positif, confirmant un momentum haussier en cours. La décision d'**Achat** est justifiée par cette divergence positive qui indique que la dynamique haussière reste intacte.</w:t>
      </w:r>
    </w:p>
    <w:p>
      <w:pPr>
        <w:spacing w:after="120" w:line="276" w:lineRule="auto"/>
      </w:pPr>
      <w:r>
        <w:t>**RSI** : À 74,392, le RSI se situe en zone de **surachat** (&gt;70), signalant que le titre a peut-être trop monté à court terme et qu'un repli technique est possible. La décision de **Vente** reflète ce risque de correction, bien que le contexte fondamental reste porteur.</w:t>
      </w:r>
    </w:p>
    <w:p>
      <w:pPr>
        <w:spacing w:after="120" w:line="276" w:lineRule="auto"/>
      </w:pPr>
      <w:r>
        <w:t>**Stochastique** : Le %K (73,745) est inférieur au %D (86,873), avec un croisement baissier en zone haute, ce qui suggère un essoufflement de la dynamique haussière à court terme. La décision est **Neutre**, car le signal n'est pas encore confirmé par une divergence claire.</w:t>
      </w:r>
    </w:p>
    <w:p>
      <w:pPr>
        <w:spacing w:after="120" w:line="276" w:lineRule="auto"/>
      </w:pPr>
      <w:r>
        <w:t>**Conclusion technique** : Les indicateurs sont globalement haussiers (MM, MACD) mais montrent des signes de fatigue à court terme (RSI en surachat, Stochastique baissier). Le titre évolue dans une tendance haussière solide, mais une consolidation ou un repli technique est probable avant une nouvelle progression. La convergence des signaux à moyen terme reste positive, mais la prudence est de mise à court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BICB a réalisé un Produit Net Bancaire (PNB) de **52,805 milliards FCFA**, en croissance de **16,49%** par rapport à 2024, porté par une hausse des crédits clientèle (+37,3%) et des dépôts (+29,4%). Le résultat net s'établit à **36,237 milliards FCFA**, en progression de **24,7%**, avec un ROE exceptionnel de **26,82%** (largement supérieur au seuil de 15% considéré comme excellent) et un ROA de **1,96%**. Le coefficient d'exploitation de **31,12%** est excellent (&lt;60%), témoignant d'une grande efficacité opérationnelle. Le coût du risque, à **9,61%** des charges financières, reste élevé et constitue un point de vigilance, reflétant une politique de provisionnement prudente. Le ratio crédits nets/dépôts de **97,5%** indique une transformation tendue, avec une liquidité à surveiller (ratio de liquidité à 11,03%). Les capitaux propres s'élèvent à **135,118 milliards FCFA**, offrant une solvabilité solide (19,64% vs 11,5% réglementaire).</w:t>
      </w:r>
    </w:p>
    <w:p>
      <w:pPr>
        <w:spacing w:after="120" w:line="276" w:lineRule="auto"/>
      </w:pPr>
      <w:r>
        <w:t>**Estimations basées sur les rapports trimestriels** : Le rapport du **T1 2026** (publié en 2026) révèle un PNB de **14,6 milliards FCFA** (+35%) et un résultat net de **8,0 milliards FCFA** (+48%), confirmant une accélération de la croissance et une amélioration de la rentabilité après la période de provisionnement intense de 2025. Le rapport du **T3 2025** (30/09/2025) montrait déjà un PNB de 35,945 milliards FCFA (+26%) mais un résultat net en baisse de 9% à 13,128 milliards FCFA, en raison du coût du risque. Le **S1 2025** (30/06/2025) avait enregistré un PNB de 25,738 milliards FCFA (+28,1%) et un résultat net de 7,903 milliards FCFA (-26,7%), avec un coût du risque multiplié par 5. On estime donc que l'exercice 2026 devrait bénéficier d'un effet de base favorable, avec une normalisation progressive du coût du risque et une poursuite de la croissance du PNB, ce qui pourrait porter le résultat net annuel au-delà de 40 milliards FCFA si la tendance du T1 se confirme.</w:t>
      </w:r>
    </w:p>
    <w:p>
      <w:pPr>
        <w:spacing w:after="120" w:line="276" w:lineRule="auto"/>
      </w:pPr>
      <w:r>
        <w:t>**Recommandation fondamentale** : La BICB présente des fondamentaux solides (ROE élevé, croissance du PNB, solvabilité robuste) mais fait face à des risques de crédit et de liquidité qui nécessitent une surveillance attentive. La dynamique commerciale reste excellente, et la transition IFRS renforce la transparence. La recommandation fondamentale est **CONSERVER** avec un biais positif, en attendant la confirmation de la normalisation du coût du risque sur l'ensemble de l'exercice 2026.</w:t>
      </w:r>
    </w:p>
    <w:p>
      <w:pPr>
        <w:spacing w:after="120" w:line="276" w:lineRule="auto"/>
      </w:pPr>
      <w:r>
        <w:t>---</w:t>
      </w:r>
    </w:p>
    <w:p>
      <w:pPr>
        <w:spacing w:after="120" w:line="276" w:lineRule="auto"/>
      </w:pPr>
      <w:r>
        <w:t>## PARTIE 4 : CONCLUSION D'INVESTISSEMENT</w:t>
      </w:r>
    </w:p>
    <w:p>
      <w:pPr>
        <w:spacing w:after="120" w:line="276" w:lineRule="auto"/>
      </w:pPr>
      <w:r>
        <w:t>La valorisation de la BICB (PER 16,1x, P/B 4,32x, EV/EBITDA 26,5x) indique que le marché intègre déjà une prime de qualité et de croissance, ce qui limite le potentiel de revalorisation à court terme mais se justifie par les fondamentaux exceptionnels (ROE 26,8%, croissance du PNB à deux chiffres). Le comportement du cours sur 100 jours (+96,31%) est exceptionnellement haussier, avec une volatilité élevée (34,5%) et une asymétrie positive (skewness 1,008) qui suggère que les hausses sont plus marquées que les baisses, mais le RSI en surachat (74,4) et le repli de -3,25% en J-1 signalent une correction technique imminente. Les signaux techniques sont mitigés : les MM et le MACD confirment la tendance haussière, mais le RSI et le Stochastique appellent à la prudence à court terme. Les fondamentaux restent solides, avec un T1 2026 exceptionnel (+48% de résultat net) qui contraste avec la baisse de 2025 due aux provisions, suggérant que le pire est derrière. Les prédictions IA (J+1 à J+10) anticipent une correction significative vers 6 846 FCFA d'ici le 16 septembre 2026, ce qui contredit la tendance haussière actuelle et confirme les signaux de surachat. **Recommandation finale : CONSERVER** — la convergence entre valorisation exigeante, signaux techniques de fatigue et prédictions baissières à court terme suggère d'éviter un achat agressif, mais la solidité fondamentale et les perspectives 2026 justifient de conserver les positions existantes. Le niveau de confiance est **Moyen** (les fondamentaux sont solides mais la correction technique est probable), et le risque global est **Élevé** (volatilité 34,5%, valorisation tendue, prédictions baissières). L'horizon d'investissement optimal est **moyen terme (3-12 mois)**, en attendant la confirmation de la normalisation du coût du risque et une meilleure visibilité sur la politique de dividende (AG du 30 juin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566.67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646 titres</w:t>
            </w:r>
          </w:p>
        </w:tc>
        <w:tc>
          <w:tcPr>
            <w:tcW w:type="dxa" w:w="2268"/>
            <w:shd w:fill="FFF2CC" w:val="clear"/>
          </w:tcPr>
          <w:p>
            <w:r>
              <w:rPr>
                <w:b/>
                <w:color w:val="503200"/>
                <w:sz w:val="16"/>
              </w:rPr>
              <w:t xml:space="preserve">Cours actuel : </w:t>
            </w:r>
            <w:r>
              <w:rPr>
                <w:color w:val="000000"/>
                <w:sz w:val="17"/>
              </w:rPr>
              <w:t>34,000 FCFA</w:t>
            </w:r>
          </w:p>
          <w:p>
            <w:r>
              <w:rPr>
                <w:b/>
                <w:color w:val="503200"/>
                <w:sz w:val="16"/>
              </w:rPr>
              <w:t xml:space="preserve">Var. 100 jours : </w:t>
            </w:r>
            <w:r>
              <w:rPr>
                <w:b/>
                <w:color w:val="007800"/>
                <w:sz w:val="17"/>
              </w:rPr>
              <w:t>+46.24%</w:t>
            </w:r>
          </w:p>
          <w:p>
            <w:r>
              <w:rPr>
                <w:b/>
                <w:color w:val="503200"/>
                <w:sz w:val="16"/>
              </w:rPr>
              <w:t xml:space="preserve">Plus haut 100j : </w:t>
            </w:r>
            <w:r>
              <w:rPr>
                <w:color w:val="000000"/>
                <w:sz w:val="17"/>
              </w:rPr>
              <w:t>34,000 FCFA</w:t>
            </w:r>
          </w:p>
          <w:p>
            <w:r>
              <w:rPr>
                <w:b/>
                <w:color w:val="503200"/>
                <w:sz w:val="16"/>
              </w:rPr>
              <w:t xml:space="preserve">Plus bas 100j : </w:t>
            </w:r>
            <w:r>
              <w:rPr>
                <w:color w:val="000000"/>
                <w:sz w:val="17"/>
              </w:rPr>
              <w:t>23,250 FCFA</w:t>
            </w:r>
          </w:p>
          <w:p>
            <w:r>
              <w:rPr>
                <w:b/>
                <w:color w:val="503200"/>
                <w:sz w:val="16"/>
              </w:rPr>
              <w:t xml:space="preserve">Volatilité ann. : </w:t>
            </w:r>
            <w:r>
              <w:rPr>
                <w:color w:val="000000"/>
                <w:sz w:val="17"/>
              </w:rPr>
              <w:t>28.0%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7.54% (Moyenne) — μ=28,028 FCFA, σ=2,113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β=0.4879 (Défensif) — Cov=0.000018, Var(idx)=0.000036, ρ=0.165,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646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σ_j=1.76%/j (Stable) — Vol. annualisée≈28.0%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2026-09-10</w:t>
            </w:r>
          </w:p>
        </w:tc>
        <w:tc>
          <w:tcPr>
            <w:tcW w:type="dxa" w:w="1440"/>
            <w:shd w:fill="FFDCE0" w:val="clear"/>
          </w:tcPr>
          <w:p>
            <w:r>
              <w:rPr>
                <w:sz w:val="17"/>
              </w:rPr>
              <w:t>31,460</w:t>
            </w:r>
          </w:p>
        </w:tc>
        <w:tc>
          <w:tcPr>
            <w:tcW w:type="dxa" w:w="1440"/>
            <w:shd w:fill="FFDCE0" w:val="clear"/>
          </w:tcPr>
          <w:p>
            <w:r>
              <w:rPr>
                <w:b/>
                <w:sz w:val="17"/>
              </w:rPr>
              <w:t>32,342</w:t>
            </w:r>
          </w:p>
        </w:tc>
        <w:tc>
          <w:tcPr>
            <w:tcW w:type="dxa" w:w="1440"/>
            <w:shd w:fill="FFDCE0" w:val="clear"/>
          </w:tcPr>
          <w:p>
            <w:r>
              <w:rPr>
                <w:sz w:val="17"/>
              </w:rPr>
              <w:t>33,225</w:t>
            </w:r>
          </w:p>
        </w:tc>
        <w:tc>
          <w:tcPr>
            <w:tcW w:type="dxa" w:w="1440"/>
            <w:shd w:fill="FFDCE0" w:val="clear"/>
          </w:tcPr>
          <w:p>
            <w:r>
              <w:rPr>
                <w:b/>
                <w:color w:val="C00000"/>
                <w:sz w:val="17"/>
              </w:rPr>
              <w:t>-4.9%</w:t>
            </w:r>
          </w:p>
        </w:tc>
      </w:tr>
      <w:tr>
        <w:tc>
          <w:tcPr>
            <w:tcW w:type="dxa" w:w="1440"/>
            <w:shd w:fill="FFDCE0" w:val="clear"/>
          </w:tcPr>
          <w:p>
            <w:r>
              <w:rPr>
                <w:sz w:val="17"/>
              </w:rPr>
              <w:t>J+2  ⭐⭐⭐</w:t>
            </w:r>
          </w:p>
        </w:tc>
        <w:tc>
          <w:tcPr>
            <w:tcW w:type="dxa" w:w="1440"/>
            <w:shd w:fill="FFDCE0" w:val="clear"/>
          </w:tcPr>
          <w:p>
            <w:r>
              <w:rPr>
                <w:sz w:val="17"/>
              </w:rPr>
              <w:t>2026-09-11</w:t>
            </w:r>
          </w:p>
        </w:tc>
        <w:tc>
          <w:tcPr>
            <w:tcW w:type="dxa" w:w="1440"/>
            <w:shd w:fill="FFDCE0" w:val="clear"/>
          </w:tcPr>
          <w:p>
            <w:r>
              <w:rPr>
                <w:sz w:val="17"/>
              </w:rPr>
              <w:t>30,660</w:t>
            </w:r>
          </w:p>
        </w:tc>
        <w:tc>
          <w:tcPr>
            <w:tcW w:type="dxa" w:w="1440"/>
            <w:shd w:fill="FFDCE0" w:val="clear"/>
          </w:tcPr>
          <w:p>
            <w:r>
              <w:rPr>
                <w:b/>
                <w:sz w:val="17"/>
              </w:rPr>
              <w:t>31,891</w:t>
            </w:r>
          </w:p>
        </w:tc>
        <w:tc>
          <w:tcPr>
            <w:tcW w:type="dxa" w:w="1440"/>
            <w:shd w:fill="FFDCE0" w:val="clear"/>
          </w:tcPr>
          <w:p>
            <w:r>
              <w:rPr>
                <w:sz w:val="17"/>
              </w:rPr>
              <w:t>33,121</w:t>
            </w:r>
          </w:p>
        </w:tc>
        <w:tc>
          <w:tcPr>
            <w:tcW w:type="dxa" w:w="1440"/>
            <w:shd w:fill="FFDCE0" w:val="clear"/>
          </w:tcPr>
          <w:p>
            <w:r>
              <w:rPr>
                <w:b/>
                <w:color w:val="C00000"/>
                <w:sz w:val="17"/>
              </w:rPr>
              <w:t>-6.2%</w:t>
            </w:r>
          </w:p>
        </w:tc>
      </w:tr>
      <w:tr>
        <w:tc>
          <w:tcPr>
            <w:tcW w:type="dxa" w:w="1440"/>
            <w:shd w:fill="FFDCE0" w:val="clear"/>
          </w:tcPr>
          <w:p>
            <w:r>
              <w:rPr>
                <w:sz w:val="17"/>
              </w:rPr>
              <w:t>J+3  ⭐⭐⭐</w:t>
            </w:r>
          </w:p>
        </w:tc>
        <w:tc>
          <w:tcPr>
            <w:tcW w:type="dxa" w:w="1440"/>
            <w:shd w:fill="FFDCE0" w:val="clear"/>
          </w:tcPr>
          <w:p>
            <w:r>
              <w:rPr>
                <w:sz w:val="17"/>
              </w:rPr>
              <w:t>2026-09-14</w:t>
            </w:r>
          </w:p>
        </w:tc>
        <w:tc>
          <w:tcPr>
            <w:tcW w:type="dxa" w:w="1440"/>
            <w:shd w:fill="FFDCE0" w:val="clear"/>
          </w:tcPr>
          <w:p>
            <w:r>
              <w:rPr>
                <w:sz w:val="17"/>
              </w:rPr>
              <w:t>29,885</w:t>
            </w:r>
          </w:p>
        </w:tc>
        <w:tc>
          <w:tcPr>
            <w:tcW w:type="dxa" w:w="1440"/>
            <w:shd w:fill="FFDCE0" w:val="clear"/>
          </w:tcPr>
          <w:p>
            <w:r>
              <w:rPr>
                <w:b/>
                <w:sz w:val="17"/>
              </w:rPr>
              <w:t>31,367</w:t>
            </w:r>
          </w:p>
        </w:tc>
        <w:tc>
          <w:tcPr>
            <w:tcW w:type="dxa" w:w="1440"/>
            <w:shd w:fill="FFDCE0" w:val="clear"/>
          </w:tcPr>
          <w:p>
            <w:r>
              <w:rPr>
                <w:sz w:val="17"/>
              </w:rPr>
              <w:t>32,849</w:t>
            </w:r>
          </w:p>
        </w:tc>
        <w:tc>
          <w:tcPr>
            <w:tcW w:type="dxa" w:w="1440"/>
            <w:shd w:fill="FFDCE0" w:val="clear"/>
          </w:tcPr>
          <w:p>
            <w:r>
              <w:rPr>
                <w:b/>
                <w:color w:val="C00000"/>
                <w:sz w:val="17"/>
              </w:rPr>
              <w:t>-7.7%</w:t>
            </w:r>
          </w:p>
        </w:tc>
      </w:tr>
      <w:tr>
        <w:tc>
          <w:tcPr>
            <w:tcW w:type="dxa" w:w="1440"/>
            <w:shd w:fill="FFDCE0" w:val="clear"/>
          </w:tcPr>
          <w:p>
            <w:r>
              <w:rPr>
                <w:sz w:val="17"/>
              </w:rPr>
              <w:t>J+4  Moyenne</w:t>
            </w:r>
          </w:p>
        </w:tc>
        <w:tc>
          <w:tcPr>
            <w:tcW w:type="dxa" w:w="1440"/>
            <w:shd w:fill="FFDCE0" w:val="clear"/>
          </w:tcPr>
          <w:p>
            <w:r>
              <w:rPr>
                <w:sz w:val="17"/>
              </w:rPr>
              <w:t>2026-09-15</w:t>
            </w:r>
          </w:p>
        </w:tc>
        <w:tc>
          <w:tcPr>
            <w:tcW w:type="dxa" w:w="1440"/>
            <w:shd w:fill="FFDCE0" w:val="clear"/>
          </w:tcPr>
          <w:p>
            <w:r>
              <w:rPr>
                <w:sz w:val="17"/>
              </w:rPr>
              <w:t>29,227</w:t>
            </w:r>
          </w:p>
        </w:tc>
        <w:tc>
          <w:tcPr>
            <w:tcW w:type="dxa" w:w="1440"/>
            <w:shd w:fill="FFDCE0" w:val="clear"/>
          </w:tcPr>
          <w:p>
            <w:r>
              <w:rPr>
                <w:b/>
                <w:sz w:val="17"/>
              </w:rPr>
              <w:t>30,914</w:t>
            </w:r>
          </w:p>
        </w:tc>
        <w:tc>
          <w:tcPr>
            <w:tcW w:type="dxa" w:w="1440"/>
            <w:shd w:fill="FFDCE0" w:val="clear"/>
          </w:tcPr>
          <w:p>
            <w:r>
              <w:rPr>
                <w:sz w:val="17"/>
              </w:rPr>
              <w:t>32,601</w:t>
            </w:r>
          </w:p>
        </w:tc>
        <w:tc>
          <w:tcPr>
            <w:tcW w:type="dxa" w:w="1440"/>
            <w:shd w:fill="FFDCE0" w:val="clear"/>
          </w:tcPr>
          <w:p>
            <w:r>
              <w:rPr>
                <w:b/>
                <w:color w:val="C00000"/>
                <w:sz w:val="17"/>
              </w:rPr>
              <w:t>-9.1%</w:t>
            </w:r>
          </w:p>
        </w:tc>
      </w:tr>
      <w:tr>
        <w:tc>
          <w:tcPr>
            <w:tcW w:type="dxa" w:w="1440"/>
            <w:shd w:fill="FFDCE0" w:val="clear"/>
          </w:tcPr>
          <w:p>
            <w:r>
              <w:rPr>
                <w:sz w:val="17"/>
              </w:rPr>
              <w:t>J+5  Moyenne</w:t>
            </w:r>
          </w:p>
        </w:tc>
        <w:tc>
          <w:tcPr>
            <w:tcW w:type="dxa" w:w="1440"/>
            <w:shd w:fill="FFDCE0" w:val="clear"/>
          </w:tcPr>
          <w:p>
            <w:r>
              <w:rPr>
                <w:sz w:val="17"/>
              </w:rPr>
              <w:t>2026-09-16</w:t>
            </w:r>
          </w:p>
        </w:tc>
        <w:tc>
          <w:tcPr>
            <w:tcW w:type="dxa" w:w="1440"/>
            <w:shd w:fill="FFDCE0" w:val="clear"/>
          </w:tcPr>
          <w:p>
            <w:r>
              <w:rPr>
                <w:sz w:val="17"/>
              </w:rPr>
              <w:t>28,654</w:t>
            </w:r>
          </w:p>
        </w:tc>
        <w:tc>
          <w:tcPr>
            <w:tcW w:type="dxa" w:w="1440"/>
            <w:shd w:fill="FFDCE0" w:val="clear"/>
          </w:tcPr>
          <w:p>
            <w:r>
              <w:rPr>
                <w:b/>
                <w:sz w:val="17"/>
              </w:rPr>
              <w:t>30,516</w:t>
            </w:r>
          </w:p>
        </w:tc>
        <w:tc>
          <w:tcPr>
            <w:tcW w:type="dxa" w:w="1440"/>
            <w:shd w:fill="FFDCE0" w:val="clear"/>
          </w:tcPr>
          <w:p>
            <w:r>
              <w:rPr>
                <w:sz w:val="17"/>
              </w:rPr>
              <w:t>32,377</w:t>
            </w:r>
          </w:p>
        </w:tc>
        <w:tc>
          <w:tcPr>
            <w:tcW w:type="dxa" w:w="1440"/>
            <w:shd w:fill="FFDCE0" w:val="clear"/>
          </w:tcPr>
          <w:p>
            <w:r>
              <w:rPr>
                <w:b/>
                <w:color w:val="C00000"/>
                <w:sz w:val="17"/>
              </w:rPr>
              <w:t>-10.2%</w:t>
            </w:r>
          </w:p>
        </w:tc>
      </w:tr>
      <w:tr>
        <w:tc>
          <w:tcPr>
            <w:tcW w:type="dxa" w:w="1440"/>
            <w:shd w:fill="FFDCE0" w:val="clear"/>
          </w:tcPr>
          <w:p>
            <w:r>
              <w:rPr>
                <w:sz w:val="17"/>
              </w:rPr>
              <w:t>J+6  Moyenne</w:t>
            </w:r>
          </w:p>
        </w:tc>
        <w:tc>
          <w:tcPr>
            <w:tcW w:type="dxa" w:w="1440"/>
            <w:shd w:fill="FFDCE0" w:val="clear"/>
          </w:tcPr>
          <w:p>
            <w:r>
              <w:rPr>
                <w:sz w:val="17"/>
              </w:rPr>
              <w:t>2026-09-17</w:t>
            </w:r>
          </w:p>
        </w:tc>
        <w:tc>
          <w:tcPr>
            <w:tcW w:type="dxa" w:w="1440"/>
            <w:shd w:fill="FFDCE0" w:val="clear"/>
          </w:tcPr>
          <w:p>
            <w:r>
              <w:rPr>
                <w:sz w:val="17"/>
              </w:rPr>
              <w:t>28,131</w:t>
            </w:r>
          </w:p>
        </w:tc>
        <w:tc>
          <w:tcPr>
            <w:tcW w:type="dxa" w:w="1440"/>
            <w:shd w:fill="FFDCE0" w:val="clear"/>
          </w:tcPr>
          <w:p>
            <w:r>
              <w:rPr>
                <w:b/>
                <w:sz w:val="17"/>
              </w:rPr>
              <w:t>30,145</w:t>
            </w:r>
          </w:p>
        </w:tc>
        <w:tc>
          <w:tcPr>
            <w:tcW w:type="dxa" w:w="1440"/>
            <w:shd w:fill="FFDCE0" w:val="clear"/>
          </w:tcPr>
          <w:p>
            <w:r>
              <w:rPr>
                <w:sz w:val="17"/>
              </w:rPr>
              <w:t>32,160</w:t>
            </w:r>
          </w:p>
        </w:tc>
        <w:tc>
          <w:tcPr>
            <w:tcW w:type="dxa" w:w="1440"/>
            <w:shd w:fill="FFDCE0" w:val="clear"/>
          </w:tcPr>
          <w:p>
            <w:r>
              <w:rPr>
                <w:b/>
                <w:color w:val="C00000"/>
                <w:sz w:val="17"/>
              </w:rPr>
              <w:t>-11.3%</w:t>
            </w:r>
          </w:p>
        </w:tc>
      </w:tr>
      <w:tr>
        <w:tc>
          <w:tcPr>
            <w:tcW w:type="dxa" w:w="1440"/>
            <w:shd w:fill="FFDCE0" w:val="clear"/>
          </w:tcPr>
          <w:p>
            <w:r>
              <w:rPr>
                <w:sz w:val="17"/>
              </w:rPr>
              <w:t>J+7  Moyenne</w:t>
            </w:r>
          </w:p>
        </w:tc>
        <w:tc>
          <w:tcPr>
            <w:tcW w:type="dxa" w:w="1440"/>
            <w:shd w:fill="FFDCE0" w:val="clear"/>
          </w:tcPr>
          <w:p>
            <w:r>
              <w:rPr>
                <w:sz w:val="17"/>
              </w:rPr>
              <w:t>2026-09-18</w:t>
            </w:r>
          </w:p>
        </w:tc>
        <w:tc>
          <w:tcPr>
            <w:tcW w:type="dxa" w:w="1440"/>
            <w:shd w:fill="FFDCE0" w:val="clear"/>
          </w:tcPr>
          <w:p>
            <w:r>
              <w:rPr>
                <w:sz w:val="17"/>
              </w:rPr>
              <w:t>27,642</w:t>
            </w:r>
          </w:p>
        </w:tc>
        <w:tc>
          <w:tcPr>
            <w:tcW w:type="dxa" w:w="1440"/>
            <w:shd w:fill="FFDCE0" w:val="clear"/>
          </w:tcPr>
          <w:p>
            <w:r>
              <w:rPr>
                <w:b/>
                <w:sz w:val="17"/>
              </w:rPr>
              <w:t>29,793</w:t>
            </w:r>
          </w:p>
        </w:tc>
        <w:tc>
          <w:tcPr>
            <w:tcW w:type="dxa" w:w="1440"/>
            <w:shd w:fill="FFDCE0" w:val="clear"/>
          </w:tcPr>
          <w:p>
            <w:r>
              <w:rPr>
                <w:sz w:val="17"/>
              </w:rPr>
              <w:t>31,944</w:t>
            </w:r>
          </w:p>
        </w:tc>
        <w:tc>
          <w:tcPr>
            <w:tcW w:type="dxa" w:w="1440"/>
            <w:shd w:fill="FFDCE0" w:val="clear"/>
          </w:tcPr>
          <w:p>
            <w:r>
              <w:rPr>
                <w:b/>
                <w:color w:val="C00000"/>
                <w:sz w:val="17"/>
              </w:rPr>
              <w:t>-12.4%</w:t>
            </w:r>
          </w:p>
        </w:tc>
      </w:tr>
      <w:tr>
        <w:tc>
          <w:tcPr>
            <w:tcW w:type="dxa" w:w="1440"/>
            <w:shd w:fill="FFDCE0" w:val="clear"/>
          </w:tcPr>
          <w:p>
            <w:r>
              <w:rPr>
                <w:sz w:val="17"/>
              </w:rPr>
              <w:t>J+8  Moyenne</w:t>
            </w:r>
          </w:p>
        </w:tc>
        <w:tc>
          <w:tcPr>
            <w:tcW w:type="dxa" w:w="1440"/>
            <w:shd w:fill="FFDCE0" w:val="clear"/>
          </w:tcPr>
          <w:p>
            <w:r>
              <w:rPr>
                <w:sz w:val="17"/>
              </w:rPr>
              <w:t>2026-09-21</w:t>
            </w:r>
          </w:p>
        </w:tc>
        <w:tc>
          <w:tcPr>
            <w:tcW w:type="dxa" w:w="1440"/>
            <w:shd w:fill="FFDCE0" w:val="clear"/>
          </w:tcPr>
          <w:p>
            <w:r>
              <w:rPr>
                <w:sz w:val="17"/>
              </w:rPr>
              <w:t>27,183</w:t>
            </w:r>
          </w:p>
        </w:tc>
        <w:tc>
          <w:tcPr>
            <w:tcW w:type="dxa" w:w="1440"/>
            <w:shd w:fill="FFDCE0" w:val="clear"/>
          </w:tcPr>
          <w:p>
            <w:r>
              <w:rPr>
                <w:b/>
                <w:sz w:val="17"/>
              </w:rPr>
              <w:t>29,457</w:t>
            </w:r>
          </w:p>
        </w:tc>
        <w:tc>
          <w:tcPr>
            <w:tcW w:type="dxa" w:w="1440"/>
            <w:shd w:fill="FFDCE0" w:val="clear"/>
          </w:tcPr>
          <w:p>
            <w:r>
              <w:rPr>
                <w:sz w:val="17"/>
              </w:rPr>
              <w:t>31,730</w:t>
            </w:r>
          </w:p>
        </w:tc>
        <w:tc>
          <w:tcPr>
            <w:tcW w:type="dxa" w:w="1440"/>
            <w:shd w:fill="FFDCE0" w:val="clear"/>
          </w:tcPr>
          <w:p>
            <w:r>
              <w:rPr>
                <w:b/>
                <w:color w:val="C00000"/>
                <w:sz w:val="17"/>
              </w:rPr>
              <w:t>-13.4%</w:t>
            </w:r>
          </w:p>
        </w:tc>
      </w:tr>
      <w:tr>
        <w:tc>
          <w:tcPr>
            <w:tcW w:type="dxa" w:w="1440"/>
            <w:shd w:fill="FFDCE0" w:val="clear"/>
          </w:tcPr>
          <w:p>
            <w:r>
              <w:rPr>
                <w:sz w:val="17"/>
              </w:rPr>
              <w:t>J+9  Moyenne</w:t>
            </w:r>
          </w:p>
        </w:tc>
        <w:tc>
          <w:tcPr>
            <w:tcW w:type="dxa" w:w="1440"/>
            <w:shd w:fill="FFDCE0" w:val="clear"/>
          </w:tcPr>
          <w:p>
            <w:r>
              <w:rPr>
                <w:sz w:val="17"/>
              </w:rPr>
              <w:t>2026-09-22</w:t>
            </w:r>
          </w:p>
        </w:tc>
        <w:tc>
          <w:tcPr>
            <w:tcW w:type="dxa" w:w="1440"/>
            <w:shd w:fill="FFDCE0" w:val="clear"/>
          </w:tcPr>
          <w:p>
            <w:r>
              <w:rPr>
                <w:sz w:val="17"/>
              </w:rPr>
              <w:t>26,750</w:t>
            </w:r>
          </w:p>
        </w:tc>
        <w:tc>
          <w:tcPr>
            <w:tcW w:type="dxa" w:w="1440"/>
            <w:shd w:fill="FFDCE0" w:val="clear"/>
          </w:tcPr>
          <w:p>
            <w:r>
              <w:rPr>
                <w:b/>
                <w:sz w:val="17"/>
              </w:rPr>
              <w:t>29,135</w:t>
            </w:r>
          </w:p>
        </w:tc>
        <w:tc>
          <w:tcPr>
            <w:tcW w:type="dxa" w:w="1440"/>
            <w:shd w:fill="FFDCE0" w:val="clear"/>
          </w:tcPr>
          <w:p>
            <w:r>
              <w:rPr>
                <w:sz w:val="17"/>
              </w:rPr>
              <w:t>31,520</w:t>
            </w:r>
          </w:p>
        </w:tc>
        <w:tc>
          <w:tcPr>
            <w:tcW w:type="dxa" w:w="1440"/>
            <w:shd w:fill="FFDCE0" w:val="clear"/>
          </w:tcPr>
          <w:p>
            <w:r>
              <w:rPr>
                <w:b/>
                <w:color w:val="C00000"/>
                <w:sz w:val="17"/>
              </w:rPr>
              <w:t>-14.3%</w:t>
            </w:r>
          </w:p>
        </w:tc>
      </w:tr>
      <w:tr>
        <w:tc>
          <w:tcPr>
            <w:tcW w:type="dxa" w:w="1440"/>
            <w:shd w:fill="FFDCE0" w:val="clear"/>
          </w:tcPr>
          <w:p>
            <w:r>
              <w:rPr>
                <w:sz w:val="17"/>
              </w:rPr>
              <w:t>J+10  Moyenne</w:t>
            </w:r>
          </w:p>
        </w:tc>
        <w:tc>
          <w:tcPr>
            <w:tcW w:type="dxa" w:w="1440"/>
            <w:shd w:fill="FFDCE0" w:val="clear"/>
          </w:tcPr>
          <w:p>
            <w:r>
              <w:rPr>
                <w:sz w:val="17"/>
              </w:rPr>
              <w:t>2026-09-23</w:t>
            </w:r>
          </w:p>
        </w:tc>
        <w:tc>
          <w:tcPr>
            <w:tcW w:type="dxa" w:w="1440"/>
            <w:shd w:fill="FFDCE0" w:val="clear"/>
          </w:tcPr>
          <w:p>
            <w:r>
              <w:rPr>
                <w:sz w:val="17"/>
              </w:rPr>
              <w:t>26,340</w:t>
            </w:r>
          </w:p>
        </w:tc>
        <w:tc>
          <w:tcPr>
            <w:tcW w:type="dxa" w:w="1440"/>
            <w:shd w:fill="FFDCE0" w:val="clear"/>
          </w:tcPr>
          <w:p>
            <w:r>
              <w:rPr>
                <w:b/>
                <w:sz w:val="17"/>
              </w:rPr>
              <w:t>28,828</w:t>
            </w:r>
          </w:p>
        </w:tc>
        <w:tc>
          <w:tcPr>
            <w:tcW w:type="dxa" w:w="1440"/>
            <w:shd w:fill="FFDCE0" w:val="clear"/>
          </w:tcPr>
          <w:p>
            <w:r>
              <w:rPr>
                <w:sz w:val="17"/>
              </w:rPr>
              <w:t>31,315</w:t>
            </w:r>
          </w:p>
        </w:tc>
        <w:tc>
          <w:tcPr>
            <w:tcW w:type="dxa" w:w="1440"/>
            <w:shd w:fill="FFDCE0" w:val="clear"/>
          </w:tcPr>
          <w:p>
            <w:r>
              <w:rPr>
                <w:b/>
                <w:color w:val="C00000"/>
                <w:sz w:val="17"/>
              </w:rPr>
              <w:t>-15.2%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**RAPPORT D'ANALYSE FINANCIÈRE — ACTION BICC (BICICI)**</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566,67 milliards FCFA, BICC s'impose comme l'une des plus importantes capitalisations du compartiment bancaire de la BRVM, témoignant de la solidité et de la stature de l'établissement au sein de l'Union Économique et Monétaire Ouest-Africaine. Le BPA de 2 191 FCFA par action signifie que chaque titre génère près de 2 200 FCFA de bénéfice net, un niveau de rentabilité par action remarquable qui traduit l'excellence opérationnelle de la banque. Le PER de 15,5x situe le titre légèrement au-dessus de la moyenne du marché BRVM (8-12x), ce qui indique que les investisseurs acceptent de payer une prime pour la qualité de la croissance, mais sans exubérance excessive — la valorisation reste modérée au regard du profil de croissance à deux chiffres. Le P/B de 4,70x révèle en revanche une forte prime par rapport à la valeur comptable, le marché valorisant largement les actifs immatériels (franchise, réseau, qualité du management) et la rentabilité exceptionnelle des fonds propres (ROE de 30,3%). Enfin, l'EV/EBITDA de 11,4x, bien qu'élevé dans l'absolu, demeure cohérent avec les standards du secteur bancaire pour un établissement affichant une croissance soutenue et une maîtrise rigoureuse des coûts.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BICC a enregistré une progression spectaculaire de +46,24%, portée par une dernière séance positive de +0,55%, confirmant la dynamique haussière intacte. Le cours actuel de 34 000 FCFA se situe exactement au plus haut de la période, tandis que le plus bas a été touché à 23 250 FCFA, soit un range de trading de 10 750 FCFA (46,2% d'amplitude), illustrant une tendance franchement haussière avec des points d'entrée opportuns pour les investisseurs ayant su saisir la correction. La moyenne de 28 028 FCFA et la médiane de 28 455 FCFA sont très proches, avec un écart marginal de 427 FCFA (1,5%), ce qui indique une distribution quasi-symétrique du cours sur la période, sans biais directionnel marqué dans la répartition des prix. L'écart-type de 2 123 FCFA et le coefficient de variation de 7,6% traduisent une dispersion modérée du cours autour de sa moyenne, signe d'une volatilité contrôlée malgré la forte tendance haussière. Le kurtosis de 1,079 (leptokurtique) signale des queues épaisses, c'est-à-dire un risque de pics de volatilité soudains — un élément à surveiller pour les investisseurs à court terme. Le skewness de 0,005, quasi nul, confirme une distribution parfaitement symétrique, sans asymétrie positive ou négative. Enfin, la volatilité annualisée de 28,0% positionne le titre dans la catégorie des valeurs à volatilité modérée (15-30%), ce qui est remarquable pour une action ayant progressé de plus de 46% en 100 jours, suggérant une montée graduelle et ordonnée plutôt qu'une flambée spéculative.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(30 328,5 FCFA) et la MM50 (29 271,9 FCFA) sont toutes deux nettement inférieures au cours actuel de 34 000 FCFA, avec un écart respectif de 12,1% et 16,1%. La MM20 se situe au-dessus de la MM50, confirmant une configuration haussière (golden cross). Le signal d'achat est validé par le positionnement du cours au-dessus des deux moyennes, avec une dynamique ascendante bien établie.</w:t>
      </w:r>
    </w:p>
    <w:p>
      <w:pPr>
        <w:spacing w:after="120" w:line="276" w:lineRule="auto"/>
      </w:pPr>
      <w:r>
        <w:t>**Bandes de Bollinger** : Le cours actuel (34 000 FCFA) évolue à seulement 0,5% sous la borne supérieure (34 182,6 FCFA), tandis que la borne inférieure se situe à 26 474,4 FCFA. Cette position quasi-au sommet des bandes indique une forte pression acheteuse, mais la décision reste "Neutre" car le risque de correction technique augmente à mesure que le cours s'approche de la borne supérieure. La largeur des bandes (7 708 FCFA) reflète une volatilité modérée.</w:t>
      </w:r>
    </w:p>
    <w:p>
      <w:pPr>
        <w:spacing w:after="120" w:line="276" w:lineRule="auto"/>
      </w:pPr>
      <w:r>
        <w:t>**MACD** : La valeur du MACD (1 242,4) est nettement supérieure à son signal (745,3), avec un histogramme positif de 497 points. Cette divergence haussière confirme un momentum acheteur solide et croissant. Le signal d'achat est clairement justifié par la dynamique positive du MACD, qui ne montre aucun signe de retournement imminent.</w:t>
      </w:r>
    </w:p>
    <w:p>
      <w:pPr>
        <w:spacing w:after="120" w:line="276" w:lineRule="auto"/>
      </w:pPr>
      <w:r>
        <w:t>**RSI** : Avec une valeur de 84,09, le RSI se situe largement au-dessus du seuil de surachat (70), déclenchant un signal de vente technique. Cette lecture indique que le titre a été acheté de manière excessive à court terme et qu'une correction ou consolidation est probable. Cependant, dans un contexte de tendance haussière forte, un RSI élevé peut persister plusieurs séances avant tout retournement.</w:t>
      </w:r>
    </w:p>
    <w:p>
      <w:pPr>
        <w:spacing w:after="120" w:line="276" w:lineRule="auto"/>
      </w:pPr>
      <w:r>
        <w:t>**Stochastique** : Le %K (100,0) et le %D (100,0) sont tous deux au maximum absolu de leur échelle, confirmant un signal de vente technique. L'absence de croisement baissier pour l'instant signifie que la pression acheteuse reste dominante, mais la position extrême suggère une probabilité élevée de retournement à court terme. Le signal de vente est cohérent avec le RSI.</w:t>
      </w:r>
    </w:p>
    <w:p>
      <w:pPr>
        <w:spacing w:after="120" w:line="276" w:lineRule="auto"/>
      </w:pPr>
      <w:r>
        <w:t>**Conclusion technique** : Les indicateurs de tendance (Moyennes Mobiles, MACD) sont unanimement haussiers et confirment la solidité du mouvement en cours, tandis que les oscillateurs (RSI, Stochastique) affichent des signaux de vente en raison de conditions de surachat extrême. Cette divergence classique entre tendance et momentum suggère que la tendance haussière reste intacte à moyen terme, mais qu'une consolidation ou une correction technique à court terme est hautement probable. Les investisseurs déjà positionnés peuvent conserver leurs titres avec un stop de protection, tandis que les nouveaux entrants devraient attendre un repli vers la MM20 (30 328 FCFA) pour optimiser leur point d'entrée.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BICC affiche un Produit Net Bancaire (PNB) de 79,563 milliards FCFA, en croissance de 16,90% par rapport à 2024, confirmant la dynamique commerciale robuste de la banque. Le résultat net s'établit à 36,520 milliards FCFA, soit une marge nette exceptionnelle de 45,90% — l'une des plus élevées du secteur bancaire de la BRVM. Le ROE atteint 30,29%, largement supérieur au seuil d'excellence de 15%, tandis que le ROA de 3,24% témoigne d'une utilisation efficace des actifs. Le coefficient d'exploitation de 50,83% est inférieur au seuil de 60%, confirmant l'efficacité opérationnelle de la banque. Le coût du risque, mesuré par le ratio provisions/charges financières de -12,15%, reste contenu, bien qu'il signale une exposition résiduelle au risque de crédit. La structure financière montre une autonomie financière de 10,71% (inférieure au seuil de 30%), typique du modèle bancaire où les dépôts clientèle (952,87 milliards FCFA) constituent la principale ressource, face à des créances clientèle de 524,44 milliards FCFA, soit un ratio de transformation de 55% — la banque collecte plus de dépôts qu'elle n'accorde de crédits, ce qui constitue une réserve de liquidité importante mais aussi un manque à gagner potentiel en termes de marge d'intermédiation.</w:t>
      </w:r>
    </w:p>
    <w:p>
      <w:pPr>
        <w:spacing w:after="120" w:line="276" w:lineRule="auto"/>
      </w:pPr>
      <w:r>
        <w:t>**Estimations basées sur les rapports trimestriels** : Le rapport du T1 2026 (publié le 31 mars 2026) révèle un PNB de 21,214 milliards FCFA, en hausse de 17,01% sur un an, et un résultat net de 10,387 milliards FCFA (+29,66%), avec une marge nette de 49,0% — en amélioration de 5 points par rapport au T1 2025. Sur la base de ces performances, on peut estimer que l'exercice 2026 devrait enregistrer un PNB annuel de l'ordre de 85-88 milliards FCFA et un résultat net de 40-42 milliards FCFA, soit une croissance de 10-15% par rapport à 2025. Le rapport du T3 2025 (30 septembre 2025) confirmait déjà cette tendance avec un PNB cumulé de 58,119 milliards FCFA (+16,4%) et un résultat net de 27,402 milliards FCFA (+50,8%), avec une marge nette de 47,1%. Le rapport du S1 2025 (30 juin 2025) affichait un PNB de 37,146 milliards FCFA (+16,6%) et un résultat net de 16,253 milliards FCFA (+42,5%), avec une marge nette de 43,8%. L'évolution trimestrielle montre une accélération continue de la rentabilité, portée par la maîtrise des charges et la croissance des commissions nettes.</w:t>
      </w:r>
    </w:p>
    <w:p>
      <w:pPr>
        <w:spacing w:after="120" w:line="276" w:lineRule="auto"/>
      </w:pPr>
      <w:r>
        <w:t>**Recommandation fondamentale** : BICC présente un profil fondamental exceptionnel, avec une croissance à deux chiffres du PNB et du résultat net, une rentabilité parmi les meilleures de la BRVM (ROE &gt;30%, marge nette &gt;45%), et une efficacité opérationnelle confirmée (coefficient d'exploitation &lt;51%). Les principaux risques identifiés sont la baisse des encours de crédits (-4,5% au T1 2026) due aux remboursements anticipés, la dépendance à l'évolution des taux d'intérêt, et la concentration potentielle du portefeuille de crédits. Cependant, la forte croissance des dépôts (+14,5% au T1 2026) et la solidité du bilan (solvabilité générale de 112%) compensent ces risques. La recommandation fondamentale est **ACHAT**, avec une confiance élevée dans la capacité de la banque à maintenir sa trajectoire de croissance rentable.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révèle une convergence globalement positive, bien que nuancée par des signaux techniques de court terme contradictoires. La valorisation (Partie 0) apparaît modérément exigeante mais justifiée : le PER de 15,5x offre une prime raisonnable pour une croissance à deux chiffres, tandis que le P/B de 4,70x et l'EV/EBITDA de 11,4x reflètent la qualité exceptionnelle de la franchise bancaire et sa rentabilité supérieure. Le comportement du cours (Partie 1) est franchement haussier (+46,24% sur 100 jours), avec une volatilité modérée (28%) et une distribution symétrique (skewness ≈ 0), mais le kurtosis leptokurtique (1,079) appelle à la prudence face aux pics de volatilité potentiels. Les signaux techniques (Partie 2) sont mitigés : les indicateurs de tendance (MM, MACD) confirment la poursuite du mouvement haussier, tandis que les oscillateurs (RSI à 84, Stochastique à 100) signalent un surachat extrême et un risque de correction à court terme. Les fondamentaux (Partie 3) sont excellents : croissance du PNB (+16,9% en 2025, +17,0% au T1 2026), résultat net en forte hausse (+29,7% au T1 2026), ROE de 30,3%, marge nette de 45,9%, et coefficient d'exploitation de 50,8% — autant d'indicateurs qui positionnent BICC comme une valeur de qualité sur la BRVM. Les prédictions IA (J+1 à J+10) anticipent une correction progressive de 34 000 FCFA vers 30 516 FCFA (-10,2%), ce qui est cohérent avec les signaux de surachat des oscillateurs et pourrait offrir un point d'entrée attractif pour les investisseurs non positionnés.</w:t>
      </w:r>
    </w:p>
    <w:p>
      <w:pPr>
        <w:spacing w:after="120" w:line="276" w:lineRule="auto"/>
      </w:pPr>
      <w:r>
        <w:t>**Recommandation finale : ACHAT** — avec un niveau de confiance **Élevé** et un risque global **Moyen**. La convergence entre la solidité fondamentale, la tendance haussière de fond et la valorisation raisonnable justifie une exposition positive sur le titre. Cependant, le surachat technique à court terme et les prédictions IA de correction suggèrent que les investisseurs déjà positionnés peuvent conserver leurs titres avec un stop de protection, tandis que les nouveaux entrants devraient attendre un repli vers la zone des 30 000-31 000 FCFA (MM20 et support technique) pour optimiser leur point d'entrée. L'horizon d'investissement optimal est le **moyen terme (3-12 mois)**, le temps que la correction technique se résorbe et que la croissance fondamentale continue de se matérialiser dans les résultats trimestriels. À long terme (&gt;1 an), BICC reste une valeur de fond de portefeuille, portée par la dynamique du secteur bancaire en zone UEMOA et la qualité de sa gestion.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14.04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2,821 titres</w:t>
            </w:r>
          </w:p>
        </w:tc>
        <w:tc>
          <w:tcPr>
            <w:tcW w:type="dxa" w:w="2268"/>
            <w:shd w:fill="FFF2CC" w:val="clear"/>
          </w:tcPr>
          <w:p>
            <w:r>
              <w:rPr>
                <w:b/>
                <w:color w:val="503200"/>
                <w:sz w:val="16"/>
              </w:rPr>
              <w:t xml:space="preserve">Cours actuel : </w:t>
            </w:r>
            <w:r>
              <w:rPr>
                <w:color w:val="000000"/>
                <w:sz w:val="17"/>
              </w:rPr>
              <w:t>2,120 FCFA</w:t>
            </w:r>
          </w:p>
          <w:p>
            <w:r>
              <w:rPr>
                <w:b/>
                <w:color w:val="503200"/>
                <w:sz w:val="16"/>
              </w:rPr>
              <w:t xml:space="preserve">Var. 100 jours : </w:t>
            </w:r>
            <w:r>
              <w:rPr>
                <w:b/>
                <w:color w:val="007800"/>
                <w:sz w:val="17"/>
              </w:rPr>
              <w:t>+35.03%</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51.8%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13.22% (Moyenne) — μ=1,826 FCFA, σ=241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β=-0.0365 (Contre-cyclique) — Cov=-0.000001, Var(idx)=0.000036, ρ=-0.007,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2,821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σ_j=3.27%/j (Modérée) — Vol. annualisée≈51.8%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2026-09-10</w:t>
            </w:r>
          </w:p>
        </w:tc>
        <w:tc>
          <w:tcPr>
            <w:tcW w:type="dxa" w:w="1440"/>
            <w:shd w:fill="FAFAFA" w:val="clear"/>
          </w:tcPr>
          <w:p>
            <w:r>
              <w:rPr>
                <w:sz w:val="17"/>
              </w:rPr>
              <w:t>1,999</w:t>
            </w:r>
          </w:p>
        </w:tc>
        <w:tc>
          <w:tcPr>
            <w:tcW w:type="dxa" w:w="1440"/>
            <w:shd w:fill="FAFAFA" w:val="clear"/>
          </w:tcPr>
          <w:p>
            <w:r>
              <w:rPr>
                <w:b/>
                <w:sz w:val="17"/>
              </w:rPr>
              <w:t>2,097</w:t>
            </w:r>
          </w:p>
        </w:tc>
        <w:tc>
          <w:tcPr>
            <w:tcW w:type="dxa" w:w="1440"/>
            <w:shd w:fill="FAFAFA" w:val="clear"/>
          </w:tcPr>
          <w:p>
            <w:r>
              <w:rPr>
                <w:sz w:val="17"/>
              </w:rPr>
              <w:t>2,195</w:t>
            </w:r>
          </w:p>
        </w:tc>
        <w:tc>
          <w:tcPr>
            <w:tcW w:type="dxa" w:w="1440"/>
            <w:shd w:fill="FAFAFA" w:val="clear"/>
          </w:tcPr>
          <w:p>
            <w:r>
              <w:rPr>
                <w:b/>
                <w:color w:val="C00000"/>
                <w:sz w:val="17"/>
              </w:rPr>
              <w:t>-1.1%</w:t>
            </w:r>
          </w:p>
        </w:tc>
      </w:tr>
      <w:tr>
        <w:tc>
          <w:tcPr>
            <w:tcW w:type="dxa" w:w="1440"/>
            <w:shd w:fill="FAFAFA" w:val="clear"/>
          </w:tcPr>
          <w:p>
            <w:r>
              <w:rPr>
                <w:sz w:val="17"/>
              </w:rPr>
              <w:t>J+2  Moyenne</w:t>
            </w:r>
          </w:p>
        </w:tc>
        <w:tc>
          <w:tcPr>
            <w:tcW w:type="dxa" w:w="1440"/>
            <w:shd w:fill="FAFAFA" w:val="clear"/>
          </w:tcPr>
          <w:p>
            <w:r>
              <w:rPr>
                <w:sz w:val="17"/>
              </w:rPr>
              <w:t>2026-09-11</w:t>
            </w:r>
          </w:p>
        </w:tc>
        <w:tc>
          <w:tcPr>
            <w:tcW w:type="dxa" w:w="1440"/>
            <w:shd w:fill="FAFAFA" w:val="clear"/>
          </w:tcPr>
          <w:p>
            <w:r>
              <w:rPr>
                <w:sz w:val="17"/>
              </w:rPr>
              <w:t>1,961</w:t>
            </w:r>
          </w:p>
        </w:tc>
        <w:tc>
          <w:tcPr>
            <w:tcW w:type="dxa" w:w="1440"/>
            <w:shd w:fill="FAFAFA" w:val="clear"/>
          </w:tcPr>
          <w:p>
            <w:r>
              <w:rPr>
                <w:b/>
                <w:sz w:val="17"/>
              </w:rPr>
              <w:t>2,100</w:t>
            </w:r>
          </w:p>
        </w:tc>
        <w:tc>
          <w:tcPr>
            <w:tcW w:type="dxa" w:w="1440"/>
            <w:shd w:fill="FAFAFA" w:val="clear"/>
          </w:tcPr>
          <w:p>
            <w:r>
              <w:rPr>
                <w:sz w:val="17"/>
              </w:rPr>
              <w:t>2,239</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2026-09-14</w:t>
            </w:r>
          </w:p>
        </w:tc>
        <w:tc>
          <w:tcPr>
            <w:tcW w:type="dxa" w:w="1440"/>
            <w:shd w:fill="FAFAFA" w:val="clear"/>
          </w:tcPr>
          <w:p>
            <w:r>
              <w:rPr>
                <w:sz w:val="17"/>
              </w:rPr>
              <w:t>1,927</w:t>
            </w:r>
          </w:p>
        </w:tc>
        <w:tc>
          <w:tcPr>
            <w:tcW w:type="dxa" w:w="1440"/>
            <w:shd w:fill="FAFAFA" w:val="clear"/>
          </w:tcPr>
          <w:p>
            <w:r>
              <w:rPr>
                <w:b/>
                <w:sz w:val="17"/>
              </w:rPr>
              <w:t>2,097</w:t>
            </w:r>
          </w:p>
        </w:tc>
        <w:tc>
          <w:tcPr>
            <w:tcW w:type="dxa" w:w="1440"/>
            <w:shd w:fill="FAFAFA" w:val="clear"/>
          </w:tcPr>
          <w:p>
            <w:r>
              <w:rPr>
                <w:sz w:val="17"/>
              </w:rPr>
              <w:t>2,267</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2026-09-15</w:t>
            </w:r>
          </w:p>
        </w:tc>
        <w:tc>
          <w:tcPr>
            <w:tcW w:type="dxa" w:w="1440"/>
            <w:shd w:fill="FAFAFA" w:val="clear"/>
          </w:tcPr>
          <w:p>
            <w:r>
              <w:rPr>
                <w:sz w:val="17"/>
              </w:rPr>
              <w:t>1,897</w:t>
            </w:r>
          </w:p>
        </w:tc>
        <w:tc>
          <w:tcPr>
            <w:tcW w:type="dxa" w:w="1440"/>
            <w:shd w:fill="FAFAFA" w:val="clear"/>
          </w:tcPr>
          <w:p>
            <w:r>
              <w:rPr>
                <w:b/>
                <w:sz w:val="17"/>
              </w:rPr>
              <w:t>2,094</w:t>
            </w:r>
          </w:p>
        </w:tc>
        <w:tc>
          <w:tcPr>
            <w:tcW w:type="dxa" w:w="1440"/>
            <w:shd w:fill="FAFAFA" w:val="clear"/>
          </w:tcPr>
          <w:p>
            <w:r>
              <w:rPr>
                <w:sz w:val="17"/>
              </w:rPr>
              <w:t>2,290</w:t>
            </w:r>
          </w:p>
        </w:tc>
        <w:tc>
          <w:tcPr>
            <w:tcW w:type="dxa" w:w="1440"/>
            <w:shd w:fill="FAFAFA" w:val="clear"/>
          </w:tcPr>
          <w:p>
            <w:r>
              <w:rPr>
                <w:b/>
                <w:color w:val="C00000"/>
                <w:sz w:val="17"/>
              </w:rPr>
              <w:t>-1.2%</w:t>
            </w:r>
          </w:p>
        </w:tc>
      </w:tr>
      <w:tr>
        <w:tc>
          <w:tcPr>
            <w:tcW w:type="dxa" w:w="1440"/>
            <w:shd w:fill="FAFAFA" w:val="clear"/>
          </w:tcPr>
          <w:p>
            <w:r>
              <w:rPr>
                <w:sz w:val="17"/>
              </w:rPr>
              <w:t>J+5  ⭐</w:t>
            </w:r>
          </w:p>
        </w:tc>
        <w:tc>
          <w:tcPr>
            <w:tcW w:type="dxa" w:w="1440"/>
            <w:shd w:fill="FAFAFA" w:val="clear"/>
          </w:tcPr>
          <w:p>
            <w:r>
              <w:rPr>
                <w:sz w:val="17"/>
              </w:rPr>
              <w:t>2026-09-16</w:t>
            </w:r>
          </w:p>
        </w:tc>
        <w:tc>
          <w:tcPr>
            <w:tcW w:type="dxa" w:w="1440"/>
            <w:shd w:fill="FAFAFA" w:val="clear"/>
          </w:tcPr>
          <w:p>
            <w:r>
              <w:rPr>
                <w:sz w:val="17"/>
              </w:rPr>
              <w:t>1,871</w:t>
            </w:r>
          </w:p>
        </w:tc>
        <w:tc>
          <w:tcPr>
            <w:tcW w:type="dxa" w:w="1440"/>
            <w:shd w:fill="FAFAFA" w:val="clear"/>
          </w:tcPr>
          <w:p>
            <w:r>
              <w:rPr>
                <w:b/>
                <w:sz w:val="17"/>
              </w:rPr>
              <w:t>2,090</w:t>
            </w:r>
          </w:p>
        </w:tc>
        <w:tc>
          <w:tcPr>
            <w:tcW w:type="dxa" w:w="1440"/>
            <w:shd w:fill="FAFAFA" w:val="clear"/>
          </w:tcPr>
          <w:p>
            <w:r>
              <w:rPr>
                <w:sz w:val="17"/>
              </w:rPr>
              <w:t>2,309</w:t>
            </w:r>
          </w:p>
        </w:tc>
        <w:tc>
          <w:tcPr>
            <w:tcW w:type="dxa" w:w="1440"/>
            <w:shd w:fill="FAFAFA" w:val="clear"/>
          </w:tcPr>
          <w:p>
            <w:r>
              <w:rPr>
                <w:b/>
                <w:color w:val="C00000"/>
                <w:sz w:val="17"/>
              </w:rPr>
              <w:t>-1.4%</w:t>
            </w:r>
          </w:p>
        </w:tc>
      </w:tr>
      <w:tr>
        <w:tc>
          <w:tcPr>
            <w:tcW w:type="dxa" w:w="1440"/>
            <w:shd w:fill="FAFAFA" w:val="clear"/>
          </w:tcPr>
          <w:p>
            <w:r>
              <w:rPr>
                <w:sz w:val="17"/>
              </w:rPr>
              <w:t>J+6  ⭐</w:t>
            </w:r>
          </w:p>
        </w:tc>
        <w:tc>
          <w:tcPr>
            <w:tcW w:type="dxa" w:w="1440"/>
            <w:shd w:fill="FAFAFA" w:val="clear"/>
          </w:tcPr>
          <w:p>
            <w:r>
              <w:rPr>
                <w:sz w:val="17"/>
              </w:rPr>
              <w:t>2026-09-17</w:t>
            </w:r>
          </w:p>
        </w:tc>
        <w:tc>
          <w:tcPr>
            <w:tcW w:type="dxa" w:w="1440"/>
            <w:shd w:fill="FAFAFA" w:val="clear"/>
          </w:tcPr>
          <w:p>
            <w:r>
              <w:rPr>
                <w:sz w:val="17"/>
              </w:rPr>
              <w:t>1,847</w:t>
            </w:r>
          </w:p>
        </w:tc>
        <w:tc>
          <w:tcPr>
            <w:tcW w:type="dxa" w:w="1440"/>
            <w:shd w:fill="FAFAFA" w:val="clear"/>
          </w:tcPr>
          <w:p>
            <w:r>
              <w:rPr>
                <w:b/>
                <w:sz w:val="17"/>
              </w:rPr>
              <w:t>2,087</w:t>
            </w:r>
          </w:p>
        </w:tc>
        <w:tc>
          <w:tcPr>
            <w:tcW w:type="dxa" w:w="1440"/>
            <w:shd w:fill="FAFAFA" w:val="clear"/>
          </w:tcPr>
          <w:p>
            <w:r>
              <w:rPr>
                <w:sz w:val="17"/>
              </w:rPr>
              <w:t>2,327</w:t>
            </w:r>
          </w:p>
        </w:tc>
        <w:tc>
          <w:tcPr>
            <w:tcW w:type="dxa" w:w="1440"/>
            <w:shd w:fill="FAFAFA" w:val="clear"/>
          </w:tcPr>
          <w:p>
            <w:r>
              <w:rPr>
                <w:b/>
                <w:color w:val="C00000"/>
                <w:sz w:val="17"/>
              </w:rPr>
              <w:t>-1.6%</w:t>
            </w:r>
          </w:p>
        </w:tc>
      </w:tr>
      <w:tr>
        <w:tc>
          <w:tcPr>
            <w:tcW w:type="dxa" w:w="1440"/>
            <w:shd w:fill="FAFAFA" w:val="clear"/>
          </w:tcPr>
          <w:p>
            <w:r>
              <w:rPr>
                <w:sz w:val="17"/>
              </w:rPr>
              <w:t>J+7  ⭐</w:t>
            </w:r>
          </w:p>
        </w:tc>
        <w:tc>
          <w:tcPr>
            <w:tcW w:type="dxa" w:w="1440"/>
            <w:shd w:fill="FAFAFA" w:val="clear"/>
          </w:tcPr>
          <w:p>
            <w:r>
              <w:rPr>
                <w:sz w:val="17"/>
              </w:rPr>
              <w:t>2026-09-18</w:t>
            </w:r>
          </w:p>
        </w:tc>
        <w:tc>
          <w:tcPr>
            <w:tcW w:type="dxa" w:w="1440"/>
            <w:shd w:fill="FAFAFA" w:val="clear"/>
          </w:tcPr>
          <w:p>
            <w:r>
              <w:rPr>
                <w:sz w:val="17"/>
              </w:rPr>
              <w:t>1,825</w:t>
            </w:r>
          </w:p>
        </w:tc>
        <w:tc>
          <w:tcPr>
            <w:tcW w:type="dxa" w:w="1440"/>
            <w:shd w:fill="FAFAFA" w:val="clear"/>
          </w:tcPr>
          <w:p>
            <w:r>
              <w:rPr>
                <w:b/>
                <w:sz w:val="17"/>
              </w:rPr>
              <w:t>2,084</w:t>
            </w:r>
          </w:p>
        </w:tc>
        <w:tc>
          <w:tcPr>
            <w:tcW w:type="dxa" w:w="1440"/>
            <w:shd w:fill="FAFAFA" w:val="clear"/>
          </w:tcPr>
          <w:p>
            <w:r>
              <w:rPr>
                <w:sz w:val="17"/>
              </w:rPr>
              <w:t>2,342</w:t>
            </w:r>
          </w:p>
        </w:tc>
        <w:tc>
          <w:tcPr>
            <w:tcW w:type="dxa" w:w="1440"/>
            <w:shd w:fill="FAFAFA" w:val="clear"/>
          </w:tcPr>
          <w:p>
            <w:r>
              <w:rPr>
                <w:b/>
                <w:color w:val="C00000"/>
                <w:sz w:val="17"/>
              </w:rPr>
              <w:t>-1.7%</w:t>
            </w:r>
          </w:p>
        </w:tc>
      </w:tr>
      <w:tr>
        <w:tc>
          <w:tcPr>
            <w:tcW w:type="dxa" w:w="1440"/>
            <w:shd w:fill="FAFAFA" w:val="clear"/>
          </w:tcPr>
          <w:p>
            <w:r>
              <w:rPr>
                <w:sz w:val="17"/>
              </w:rPr>
              <w:t>J+8  ⭐</w:t>
            </w:r>
          </w:p>
        </w:tc>
        <w:tc>
          <w:tcPr>
            <w:tcW w:type="dxa" w:w="1440"/>
            <w:shd w:fill="FAFAFA" w:val="clear"/>
          </w:tcPr>
          <w:p>
            <w:r>
              <w:rPr>
                <w:sz w:val="17"/>
              </w:rPr>
              <w:t>2026-09-21</w:t>
            </w:r>
          </w:p>
        </w:tc>
        <w:tc>
          <w:tcPr>
            <w:tcW w:type="dxa" w:w="1440"/>
            <w:shd w:fill="FAFAFA" w:val="clear"/>
          </w:tcPr>
          <w:p>
            <w:r>
              <w:rPr>
                <w:sz w:val="17"/>
              </w:rPr>
              <w:t>1,805</w:t>
            </w:r>
          </w:p>
        </w:tc>
        <w:tc>
          <w:tcPr>
            <w:tcW w:type="dxa" w:w="1440"/>
            <w:shd w:fill="FAFAFA" w:val="clear"/>
          </w:tcPr>
          <w:p>
            <w:r>
              <w:rPr>
                <w:b/>
                <w:sz w:val="17"/>
              </w:rPr>
              <w:t>2,080</w:t>
            </w:r>
          </w:p>
        </w:tc>
        <w:tc>
          <w:tcPr>
            <w:tcW w:type="dxa" w:w="1440"/>
            <w:shd w:fill="FAFAFA" w:val="clear"/>
          </w:tcPr>
          <w:p>
            <w:r>
              <w:rPr>
                <w:sz w:val="17"/>
              </w:rPr>
              <w:t>2,356</w:t>
            </w:r>
          </w:p>
        </w:tc>
        <w:tc>
          <w:tcPr>
            <w:tcW w:type="dxa" w:w="1440"/>
            <w:shd w:fill="FAFAFA" w:val="clear"/>
          </w:tcPr>
          <w:p>
            <w:r>
              <w:rPr>
                <w:b/>
                <w:color w:val="C00000"/>
                <w:sz w:val="17"/>
              </w:rPr>
              <w:t>-1.9%</w:t>
            </w:r>
          </w:p>
        </w:tc>
      </w:tr>
      <w:tr>
        <w:tc>
          <w:tcPr>
            <w:tcW w:type="dxa" w:w="1440"/>
            <w:shd w:fill="FFDCE0" w:val="clear"/>
          </w:tcPr>
          <w:p>
            <w:r>
              <w:rPr>
                <w:sz w:val="17"/>
              </w:rPr>
              <w:t>J+9  ⭐</w:t>
            </w:r>
          </w:p>
        </w:tc>
        <w:tc>
          <w:tcPr>
            <w:tcW w:type="dxa" w:w="1440"/>
            <w:shd w:fill="FFDCE0" w:val="clear"/>
          </w:tcPr>
          <w:p>
            <w:r>
              <w:rPr>
                <w:sz w:val="17"/>
              </w:rPr>
              <w:t>2026-09-22</w:t>
            </w:r>
          </w:p>
        </w:tc>
        <w:tc>
          <w:tcPr>
            <w:tcW w:type="dxa" w:w="1440"/>
            <w:shd w:fill="FFDCE0" w:val="clear"/>
          </w:tcPr>
          <w:p>
            <w:r>
              <w:rPr>
                <w:sz w:val="17"/>
              </w:rPr>
              <w:t>1,785</w:t>
            </w:r>
          </w:p>
        </w:tc>
        <w:tc>
          <w:tcPr>
            <w:tcW w:type="dxa" w:w="1440"/>
            <w:shd w:fill="FFDCE0" w:val="clear"/>
          </w:tcPr>
          <w:p>
            <w:r>
              <w:rPr>
                <w:b/>
                <w:sz w:val="17"/>
              </w:rPr>
              <w:t>2,077</w:t>
            </w:r>
          </w:p>
        </w:tc>
        <w:tc>
          <w:tcPr>
            <w:tcW w:type="dxa" w:w="1440"/>
            <w:shd w:fill="FFDCE0" w:val="clear"/>
          </w:tcPr>
          <w:p>
            <w:r>
              <w:rPr>
                <w:sz w:val="17"/>
              </w:rPr>
              <w:t>2,370</w:t>
            </w:r>
          </w:p>
        </w:tc>
        <w:tc>
          <w:tcPr>
            <w:tcW w:type="dxa" w:w="1440"/>
            <w:shd w:fill="FFDCE0" w:val="clear"/>
          </w:tcPr>
          <w:p>
            <w:r>
              <w:rPr>
                <w:b/>
                <w:color w:val="C00000"/>
                <w:sz w:val="17"/>
              </w:rPr>
              <w:t>-2.0%</w:t>
            </w:r>
          </w:p>
        </w:tc>
      </w:tr>
      <w:tr>
        <w:tc>
          <w:tcPr>
            <w:tcW w:type="dxa" w:w="1440"/>
            <w:shd w:fill="FFDCE0" w:val="clear"/>
          </w:tcPr>
          <w:p>
            <w:r>
              <w:rPr>
                <w:sz w:val="17"/>
              </w:rPr>
              <w:t>J+10  ⭐</w:t>
            </w:r>
          </w:p>
        </w:tc>
        <w:tc>
          <w:tcPr>
            <w:tcW w:type="dxa" w:w="1440"/>
            <w:shd w:fill="FFDCE0" w:val="clear"/>
          </w:tcPr>
          <w:p>
            <w:r>
              <w:rPr>
                <w:sz w:val="17"/>
              </w:rPr>
              <w:t>2026-09-23</w:t>
            </w:r>
          </w:p>
        </w:tc>
        <w:tc>
          <w:tcPr>
            <w:tcW w:type="dxa" w:w="1440"/>
            <w:shd w:fill="FFDCE0" w:val="clear"/>
          </w:tcPr>
          <w:p>
            <w:r>
              <w:rPr>
                <w:sz w:val="17"/>
              </w:rPr>
              <w:t>1,767</w:t>
            </w:r>
          </w:p>
        </w:tc>
        <w:tc>
          <w:tcPr>
            <w:tcW w:type="dxa" w:w="1440"/>
            <w:shd w:fill="FFDCE0" w:val="clear"/>
          </w:tcPr>
          <w:p>
            <w:r>
              <w:rPr>
                <w:b/>
                <w:sz w:val="17"/>
              </w:rPr>
              <w:t>2,074</w:t>
            </w:r>
          </w:p>
        </w:tc>
        <w:tc>
          <w:tcPr>
            <w:tcW w:type="dxa" w:w="1440"/>
            <w:shd w:fill="FFDCE0" w:val="clear"/>
          </w:tcPr>
          <w:p>
            <w:r>
              <w:rPr>
                <w:sz w:val="17"/>
              </w:rPr>
              <w:t>2,382</w:t>
            </w:r>
          </w:p>
        </w:tc>
        <w:tc>
          <w:tcPr>
            <w:tcW w:type="dxa" w:w="1440"/>
            <w:shd w:fill="FFDCE0" w:val="clear"/>
          </w:tcPr>
          <w:p>
            <w:r>
              <w:rPr>
                <w:b/>
                <w:color w:val="C00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 RAPPORT D'ANALYSE FINANCIÈRE — BNBC (BERNABE Côte d'Ivoire)</w:t>
        <w:br/>
        <w:t>**Marché : BRVM | Secteur : Entreprise (Distribution de matériaux, équipements et métallurgie)**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14,04 Mds FCFA, BNBC se situe dans la catégorie des petites capitalisations de la BRVM, ce qui la rend vulnérable aux mouvements de faible volume et à la faible liquidité du marché. Le BPA de 3 FCFA/action signifie que chaque titre ne génère qu'un bénéfice net quasi symbolique, ce qui explique le PER de 629,2x — un niveau stratosphérique comparé à la moyenne BRVM (~8-12x), traduisant une valorisation totalement déconnectée des bénéfices actuels et un risque de bulle spéculative. À l'inverse, le P/B de 0,79x indique que le marché valorise l'entreprise à 21% en dessous de sa valeur comptable (capitaux propres de 17,77 Mds FCFA), ce qui constitue une opportunité potentielle en cas de redressement des marges. L'EV/EBITDA de 24,6x, très supérieur au seuil de 15x, montre que la valeur d'entreprise (incluant la dette nette) est très exigeante par rapport à la capacité opérationnelle réelle, confirmant que le marché intègre déjà des anticipations de forte reprise non encore matérialisées dans les comptes.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BNBC a enregistré une progression spectaculaire de **+35,03%**, avec une dernière séance en hausse de **+3,67%**, portant le cours actuel à **2 120 FCFA**. Le titre a évolué dans un range très large, entre un plus bas de **1 300 FCFA** et un plus haut de **2 400 FCFA**, soit une amplitude de 84,6% qui témoigne d'une forte nervosité du marché. La tendance générale est clairement haussière, portée par un intérêt spéculatif sur le dossier malgré des fondamentaux fragiles. Les statistiques descriptives révèlent une moyenne de **1 826 FCFA** légèrement inférieure à la médiane de **1 885 FCFA**, suggérant une distribution quasi symétrique (skewness de -0,164) avec une légère prédominance des cours élevés en fin de période. L'écart-type de **243 FCFA** (CV de 13,3%) indique une dispersion modérée autour de la moyenne, tandis que le kurtosis de -0,648 (mésokurtique) signale une distribution proche de la normale, sans risque de pics extrêmes marqués. La volatilité annualisée de **51,8%** classe le titre dans la catégorie des valeurs à volatilité élevée (&gt;30%), ce qui implique un risque de perte en capital significatif pour les investisseurs non avertis.</w:t>
      </w:r>
    </w:p>
    <w:p>
      <w:pPr>
        <w:spacing w:after="120" w:line="276" w:lineRule="auto"/>
      </w:pPr>
      <w:r>
        <w:t>---</w:t>
      </w:r>
    </w:p>
    <w:p>
      <w:pPr>
        <w:spacing w:after="120" w:line="276" w:lineRule="auto"/>
      </w:pPr>
      <w:r>
        <w:t>## PARTIE 2 : ANALYSE TECHNIQUE DÉTAILLÉE</w:t>
      </w:r>
    </w:p>
    <w:p>
      <w:pPr>
        <w:spacing w:after="120" w:line="276" w:lineRule="auto"/>
      </w:pPr>
      <w:r>
        <w:t>**Moyennes Mobiles** : La MM20 (2 111,25 FCFA) et la MM50 (1 994,0 FCFA) sont toutes deux inférieures au cours actuel (2 120 FCFA), avec une MM20 au-dessus de la MM50 — configuration haussière classique (golden cross). La décision technique est donc **Achat**, confirmant que la dynamique de court et moyen terme reste positive.</w:t>
      </w:r>
    </w:p>
    <w:p>
      <w:pPr>
        <w:spacing w:after="120" w:line="276" w:lineRule="auto"/>
      </w:pPr>
      <w:r>
        <w:t>**Bandes de Bollinger** : Le cours (2 120 FCFA) se situe dans la partie médiane de la bande, entre la borne inférieure (1 842,96 FCFA) et supérieure (2 379,54 FCFA), sans atteindre les extrêmes. La décision est **Neutre**, car le titre n'est ni en surachat ni en survente, et la volatilité actuelle (largeur des bandes) reste modérée.</w:t>
      </w:r>
    </w:p>
    <w:p>
      <w:pPr>
        <w:spacing w:after="120" w:line="276" w:lineRule="auto"/>
      </w:pPr>
      <w:r>
        <w:t>**MACD** : La valeur du MACD (52,325) est inférieure à son signal (67,238), générant une divergence baissière et une décision de **Vente**. Cela indique un essoufflement du momentum haussier, bien que le MACD reste en territoire positif, ce qui tempère le signal.</w:t>
      </w:r>
    </w:p>
    <w:p>
      <w:pPr>
        <w:spacing w:after="120" w:line="276" w:lineRule="auto"/>
      </w:pPr>
      <w:r>
        <w:t>**RSI** : À 57,647, le RSI se situe en zone neutre (30-70), sans signal de surachat (&gt;70) ni de survente (&lt;30). La décision est **Neutre**, reflétant un équilibre entre acheteurs et vendeurs.</w:t>
      </w:r>
    </w:p>
    <w:p>
      <w:pPr>
        <w:spacing w:after="120" w:line="276" w:lineRule="auto"/>
      </w:pPr>
      <w:r>
        <w:t>**Stochastique** : Le %K (31,707) est supérieur au %D (24,39), avec un croisement récent à la hausse en zone basse (proche de la survente). La décision est **Neutre**, mais ce croisement pourrait annoncer un rebond technique à court terme.</w:t>
      </w:r>
    </w:p>
    <w:p>
      <w:pPr>
        <w:spacing w:after="120" w:line="276" w:lineRule="auto"/>
      </w:pPr>
      <w:r>
        <w:t>**Conclusion technique** : Les indicateurs sont globalement mitigés, avec une tendance de fond haussière (MM) mais un momentum qui s'essouffle (MACD baissier) et des oscillateurs neutres (RSI, Stochastique). La configuration suggère une consolidation possible avant une nouvelle impulsion, avec un support clé à 1 843 FCFA (borne inférieure de Bollinger) et une résistance à 2 380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BNBC a réalisé un chiffre d'affaires de **42,454 Mds FCFA**, en **baisse de 6,31%** par rapport à 2024 (45,312 Mds FCFA), signalant une perte de dynamique commerciale. Le résultat net s'établit à **22,32 M FCFA**, en amélioration de 205% par rapport aux 7,31 M FCFA de 2024, mais la marge nette reste catastrophiquement faible à **0,0526%**. Le ROE est de **0,1256%** et le ROA de **0,0454%**, des niveaux dérisoires qui traduisent une rentabilité quasi nulle. La structure financière est préoccupante : la trésorerie nette est **négative de -16,689 Mds FCFA**, le BFR s'élève à **29,373 Mds FCFA** (avec un délai client de **104,40 jours** et une durée de stockage de **339,23 jours**, très élevés), et le ratio d'endettement atteint **105,48%**. Le flux opérationnel est négatif (-786,11 M FCFA) et le Free Cash Flow est de **-1,239 Mds FCFA**, confirmant une génération de trésorerie insuffisante.</w:t>
      </w:r>
    </w:p>
    <w:p>
      <w:pPr>
        <w:spacing w:after="120" w:line="276" w:lineRule="auto"/>
      </w:pPr>
      <w:r>
        <w:t>**Estimations basées sur les rapports trimestriels** : Le rapport du **T1 2026 (publié en 2026)** indique un chiffre d'affaires stable à **11,194 Mds FCFA** (-0,12% vs T1 2025) et un **résultat net positif de 65,566 M FCFA** contre une perte de 16,147 M FCFA au T1 2025, soit une amélioration spectaculaire de 81,7 M FCFA. Cette performance est toutefois à nuancer : elle est portée par l'intégration de la division Équipement (en phase de démarrage) et la non-reconduction d'affaires exceptionnelles. Le rapport du **T3 2025 (30/09/2025)** faisait état d'une perte nette cumulée de **-157,03 M FCFA** sur 9 mois, avec un CA en recul de 3% à 31,83 Mds FCFA. Le rapport du **S1 2025 (30/06/2025)** montrait une perte de **-139,57 M FCFA** pour un CA de 21,67 Mds FCFA (+3%). **On estime donc que l'exercice 2026 devrait bénéficier d'un effet base favorable au T1, mais la prudence reste de mise** : la rentabilité structurelle demeure fragile, et la dépendance aux affaires exceptionnelles et à la montée en puissance des nouvelles divisions (Équipement, Power, Matériaux) est un facteur d'incertitude majeur. La recommandation fondamentale est de **CONSERVER avec une surveillance accrue**, en attendant la confirmation d'une amélioration durable de la rentabilité et de la trésorerie.</w:t>
      </w:r>
    </w:p>
    <w:p>
      <w:pPr>
        <w:spacing w:after="120" w:line="276" w:lineRule="auto"/>
      </w:pPr>
      <w:r>
        <w:t>---</w:t>
      </w:r>
    </w:p>
    <w:p>
      <w:pPr>
        <w:spacing w:after="120" w:line="276" w:lineRule="auto"/>
      </w:pPr>
      <w:r>
        <w:t>## PARTIE 4 : CONCLUSION D'INVESTISSEMENT</w:t>
      </w:r>
    </w:p>
    <w:p>
      <w:pPr>
        <w:spacing w:after="120" w:line="276" w:lineRule="auto"/>
      </w:pPr>
      <w:r>
        <w:t>La valorisation (Partie 0) présente un paradoxe : un PER de 629,2x et un EV/EBITDA de 24,6x indiquent une **surévaluation manifeste** par rapport aux bénéfices, mais le P/B de 0,79x suggère une **sous-évaluation potentielle** par rapport à l'actif net. Le comportement du cours (Partie 1) est haussier (+35,03%) avec une volatilité élevée (51,8%) et une distribution symétrique (skewness -0,164, kurtosis -0,648), ce qui est **préoccupant** car la hausse n'est pas soutenue par des fondamentaux solides. Les signaux techniques (Partie 2) sont **divergents** : les MM sont haussières, mais le MACD est baissier et les oscillateurs sont neutres, suggérant une consolidation imminente. Les fondamentaux (Partie 3) restent **fragiles** : CA en baisse (-6,31% en 2025), rentabilité quasi nulle (marge nette 0,05%), trésorerie négative (-16,69 Mds FCFA) et endettement élevé (105,48%), même si le T1 2026 montre une amélioration ponctuelle. Les prédictions IA (J+1 à J+10) anticipent une **légère baisse** du cours (2 097 FCFA à 2 090 FCFA), ce qui **contredit** la tendance haussière récente et confirme la possibilité d'une correction technique. **Sur la base de cette synthèse globale, la recommandation finale est CONSERVER, avec un niveau de confiance Moyen et un risque global Élevé.** L'horizon d'investissement optimal est **moyen terme (3-12 mois)**, en attendant la publication des résultats du T2 2026 qui permettront de confirmer ou d'infirmer la reprise de la rentabilité. Une position **VENTE** serait justifiée si le cours venait à casser le support de 1 843 FCFA ou si les prochains résultats trimestriels décevaient.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413.72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5,989 titres</w:t>
            </w:r>
          </w:p>
        </w:tc>
        <w:tc>
          <w:tcPr>
            <w:tcW w:type="dxa" w:w="2268"/>
            <w:shd w:fill="FFF2CC" w:val="clear"/>
          </w:tcPr>
          <w:p>
            <w:r>
              <w:rPr>
                <w:b/>
                <w:color w:val="503200"/>
                <w:sz w:val="16"/>
              </w:rPr>
              <w:t xml:space="preserve">Cours actuel : </w:t>
            </w:r>
            <w:r>
              <w:rPr>
                <w:color w:val="000000"/>
                <w:sz w:val="17"/>
              </w:rPr>
              <w:t>10,200 FCFA</w:t>
            </w:r>
          </w:p>
          <w:p>
            <w:r>
              <w:rPr>
                <w:b/>
                <w:color w:val="503200"/>
                <w:sz w:val="16"/>
              </w:rPr>
              <w:t xml:space="preserve">Var. 100 jours : </w:t>
            </w:r>
            <w:r>
              <w:rPr>
                <w:b/>
                <w:color w:val="007800"/>
                <w:sz w:val="17"/>
              </w:rPr>
              <w:t>+33.33%</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7,650 FCFA</w:t>
            </w:r>
          </w:p>
          <w:p>
            <w:r>
              <w:rPr>
                <w:b/>
                <w:color w:val="503200"/>
                <w:sz w:val="16"/>
              </w:rPr>
              <w:t xml:space="preserve">Volatilité ann. : </w:t>
            </w:r>
            <w:r>
              <w:rPr>
                <w:color w:val="000000"/>
                <w:sz w:val="17"/>
              </w:rPr>
              <w:t>26.7%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6.39% (Moyenne) — μ=8,999 FCFA, σ=575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β=-0.3399 (Contre-cyclique) — Cov=-0.000012, Var(idx)=0.000036, ρ=-0.121,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5,989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σ_j=1.68%/j (Stable) — Vol. annualisée≈26.7%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2026-09-10</w:t>
            </w:r>
          </w:p>
        </w:tc>
        <w:tc>
          <w:tcPr>
            <w:tcW w:type="dxa" w:w="1440"/>
            <w:shd w:fill="FFDCE0" w:val="clear"/>
          </w:tcPr>
          <w:p>
            <w:r>
              <w:rPr>
                <w:sz w:val="17"/>
              </w:rPr>
              <w:t>9,454</w:t>
            </w:r>
          </w:p>
        </w:tc>
        <w:tc>
          <w:tcPr>
            <w:tcW w:type="dxa" w:w="1440"/>
            <w:shd w:fill="FFDCE0" w:val="clear"/>
          </w:tcPr>
          <w:p>
            <w:r>
              <w:rPr>
                <w:b/>
                <w:sz w:val="17"/>
              </w:rPr>
              <w:t>9,789</w:t>
            </w:r>
          </w:p>
        </w:tc>
        <w:tc>
          <w:tcPr>
            <w:tcW w:type="dxa" w:w="1440"/>
            <w:shd w:fill="FFDCE0" w:val="clear"/>
          </w:tcPr>
          <w:p>
            <w:r>
              <w:rPr>
                <w:sz w:val="17"/>
              </w:rPr>
              <w:t>10,125</w:t>
            </w:r>
          </w:p>
        </w:tc>
        <w:tc>
          <w:tcPr>
            <w:tcW w:type="dxa" w:w="1440"/>
            <w:shd w:fill="FFDCE0" w:val="clear"/>
          </w:tcPr>
          <w:p>
            <w:r>
              <w:rPr>
                <w:b/>
                <w:color w:val="C00000"/>
                <w:sz w:val="17"/>
              </w:rPr>
              <w:t>-4.0%</w:t>
            </w:r>
          </w:p>
        </w:tc>
      </w:tr>
      <w:tr>
        <w:tc>
          <w:tcPr>
            <w:tcW w:type="dxa" w:w="1440"/>
            <w:shd w:fill="FFDCE0" w:val="clear"/>
          </w:tcPr>
          <w:p>
            <w:r>
              <w:rPr>
                <w:sz w:val="17"/>
              </w:rPr>
              <w:t>J+2  Moyenne</w:t>
            </w:r>
          </w:p>
        </w:tc>
        <w:tc>
          <w:tcPr>
            <w:tcW w:type="dxa" w:w="1440"/>
            <w:shd w:fill="FFDCE0" w:val="clear"/>
          </w:tcPr>
          <w:p>
            <w:r>
              <w:rPr>
                <w:sz w:val="17"/>
              </w:rPr>
              <w:t>2026-09-11</w:t>
            </w:r>
          </w:p>
        </w:tc>
        <w:tc>
          <w:tcPr>
            <w:tcW w:type="dxa" w:w="1440"/>
            <w:shd w:fill="FFDCE0" w:val="clear"/>
          </w:tcPr>
          <w:p>
            <w:r>
              <w:rPr>
                <w:sz w:val="17"/>
              </w:rPr>
              <w:t>9,087</w:t>
            </w:r>
          </w:p>
        </w:tc>
        <w:tc>
          <w:tcPr>
            <w:tcW w:type="dxa" w:w="1440"/>
            <w:shd w:fill="FFDCE0" w:val="clear"/>
          </w:tcPr>
          <w:p>
            <w:r>
              <w:rPr>
                <w:b/>
                <w:sz w:val="17"/>
              </w:rPr>
              <w:t>9,551</w:t>
            </w:r>
          </w:p>
        </w:tc>
        <w:tc>
          <w:tcPr>
            <w:tcW w:type="dxa" w:w="1440"/>
            <w:shd w:fill="FFDCE0" w:val="clear"/>
          </w:tcPr>
          <w:p>
            <w:r>
              <w:rPr>
                <w:sz w:val="17"/>
              </w:rPr>
              <w:t>10,014</w:t>
            </w:r>
          </w:p>
        </w:tc>
        <w:tc>
          <w:tcPr>
            <w:tcW w:type="dxa" w:w="1440"/>
            <w:shd w:fill="FFDCE0" w:val="clear"/>
          </w:tcPr>
          <w:p>
            <w:r>
              <w:rPr>
                <w:b/>
                <w:color w:val="C00000"/>
                <w:sz w:val="17"/>
              </w:rPr>
              <w:t>-6.4%</w:t>
            </w:r>
          </w:p>
        </w:tc>
      </w:tr>
      <w:tr>
        <w:tc>
          <w:tcPr>
            <w:tcW w:type="dxa" w:w="1440"/>
            <w:shd w:fill="FFDCE0" w:val="clear"/>
          </w:tcPr>
          <w:p>
            <w:r>
              <w:rPr>
                <w:sz w:val="17"/>
              </w:rPr>
              <w:t>J+3  Moyenne</w:t>
            </w:r>
          </w:p>
        </w:tc>
        <w:tc>
          <w:tcPr>
            <w:tcW w:type="dxa" w:w="1440"/>
            <w:shd w:fill="FFDCE0" w:val="clear"/>
          </w:tcPr>
          <w:p>
            <w:r>
              <w:rPr>
                <w:sz w:val="17"/>
              </w:rPr>
              <w:t>2026-09-14</w:t>
            </w:r>
          </w:p>
        </w:tc>
        <w:tc>
          <w:tcPr>
            <w:tcW w:type="dxa" w:w="1440"/>
            <w:shd w:fill="FFDCE0" w:val="clear"/>
          </w:tcPr>
          <w:p>
            <w:r>
              <w:rPr>
                <w:sz w:val="17"/>
              </w:rPr>
              <w:t>8,794</w:t>
            </w:r>
          </w:p>
        </w:tc>
        <w:tc>
          <w:tcPr>
            <w:tcW w:type="dxa" w:w="1440"/>
            <w:shd w:fill="FFDCE0" w:val="clear"/>
          </w:tcPr>
          <w:p>
            <w:r>
              <w:rPr>
                <w:b/>
                <w:sz w:val="17"/>
              </w:rPr>
              <w:t>9,349</w:t>
            </w:r>
          </w:p>
        </w:tc>
        <w:tc>
          <w:tcPr>
            <w:tcW w:type="dxa" w:w="1440"/>
            <w:shd w:fill="FFDCE0" w:val="clear"/>
          </w:tcPr>
          <w:p>
            <w:r>
              <w:rPr>
                <w:sz w:val="17"/>
              </w:rPr>
              <w:t>9,905</w:t>
            </w:r>
          </w:p>
        </w:tc>
        <w:tc>
          <w:tcPr>
            <w:tcW w:type="dxa" w:w="1440"/>
            <w:shd w:fill="FFDCE0" w:val="clear"/>
          </w:tcPr>
          <w:p>
            <w:r>
              <w:rPr>
                <w:b/>
                <w:color w:val="C00000"/>
                <w:sz w:val="17"/>
              </w:rPr>
              <w:t>-8.3%</w:t>
            </w:r>
          </w:p>
        </w:tc>
      </w:tr>
      <w:tr>
        <w:tc>
          <w:tcPr>
            <w:tcW w:type="dxa" w:w="1440"/>
            <w:shd w:fill="FFDCE0" w:val="clear"/>
          </w:tcPr>
          <w:p>
            <w:r>
              <w:rPr>
                <w:sz w:val="17"/>
              </w:rPr>
              <w:t>J+4  ⭐</w:t>
            </w:r>
          </w:p>
        </w:tc>
        <w:tc>
          <w:tcPr>
            <w:tcW w:type="dxa" w:w="1440"/>
            <w:shd w:fill="FFDCE0" w:val="clear"/>
          </w:tcPr>
          <w:p>
            <w:r>
              <w:rPr>
                <w:sz w:val="17"/>
              </w:rPr>
              <w:t>2026-09-15</w:t>
            </w:r>
          </w:p>
        </w:tc>
        <w:tc>
          <w:tcPr>
            <w:tcW w:type="dxa" w:w="1440"/>
            <w:shd w:fill="FFDCE0" w:val="clear"/>
          </w:tcPr>
          <w:p>
            <w:r>
              <w:rPr>
                <w:sz w:val="17"/>
              </w:rPr>
              <w:t>8,556</w:t>
            </w:r>
          </w:p>
        </w:tc>
        <w:tc>
          <w:tcPr>
            <w:tcW w:type="dxa" w:w="1440"/>
            <w:shd w:fill="FFDCE0" w:val="clear"/>
          </w:tcPr>
          <w:p>
            <w:r>
              <w:rPr>
                <w:b/>
                <w:sz w:val="17"/>
              </w:rPr>
              <w:t>9,186</w:t>
            </w:r>
          </w:p>
        </w:tc>
        <w:tc>
          <w:tcPr>
            <w:tcW w:type="dxa" w:w="1440"/>
            <w:shd w:fill="FFDCE0" w:val="clear"/>
          </w:tcPr>
          <w:p>
            <w:r>
              <w:rPr>
                <w:sz w:val="17"/>
              </w:rPr>
              <w:t>9,816</w:t>
            </w:r>
          </w:p>
        </w:tc>
        <w:tc>
          <w:tcPr>
            <w:tcW w:type="dxa" w:w="1440"/>
            <w:shd w:fill="FFDCE0" w:val="clear"/>
          </w:tcPr>
          <w:p>
            <w:r>
              <w:rPr>
                <w:b/>
                <w:color w:val="C00000"/>
                <w:sz w:val="17"/>
              </w:rPr>
              <w:t>-9.9%</w:t>
            </w:r>
          </w:p>
        </w:tc>
      </w:tr>
      <w:tr>
        <w:tc>
          <w:tcPr>
            <w:tcW w:type="dxa" w:w="1440"/>
            <w:shd w:fill="FFDCE0" w:val="clear"/>
          </w:tcPr>
          <w:p>
            <w:r>
              <w:rPr>
                <w:sz w:val="17"/>
              </w:rPr>
              <w:t>J+5  ⭐</w:t>
            </w:r>
          </w:p>
        </w:tc>
        <w:tc>
          <w:tcPr>
            <w:tcW w:type="dxa" w:w="1440"/>
            <w:shd w:fill="FFDCE0" w:val="clear"/>
          </w:tcPr>
          <w:p>
            <w:r>
              <w:rPr>
                <w:sz w:val="17"/>
              </w:rPr>
              <w:t>2026-09-16</w:t>
            </w:r>
          </w:p>
        </w:tc>
        <w:tc>
          <w:tcPr>
            <w:tcW w:type="dxa" w:w="1440"/>
            <w:shd w:fill="FFDCE0" w:val="clear"/>
          </w:tcPr>
          <w:p>
            <w:r>
              <w:rPr>
                <w:sz w:val="17"/>
              </w:rPr>
              <w:t>8,348</w:t>
            </w:r>
          </w:p>
        </w:tc>
        <w:tc>
          <w:tcPr>
            <w:tcW w:type="dxa" w:w="1440"/>
            <w:shd w:fill="FFDCE0" w:val="clear"/>
          </w:tcPr>
          <w:p>
            <w:r>
              <w:rPr>
                <w:b/>
                <w:sz w:val="17"/>
              </w:rPr>
              <w:t>9,041</w:t>
            </w:r>
          </w:p>
        </w:tc>
        <w:tc>
          <w:tcPr>
            <w:tcW w:type="dxa" w:w="1440"/>
            <w:shd w:fill="FFDCE0" w:val="clear"/>
          </w:tcPr>
          <w:p>
            <w:r>
              <w:rPr>
                <w:sz w:val="17"/>
              </w:rPr>
              <w:t>9,734</w:t>
            </w:r>
          </w:p>
        </w:tc>
        <w:tc>
          <w:tcPr>
            <w:tcW w:type="dxa" w:w="1440"/>
            <w:shd w:fill="FFDCE0" w:val="clear"/>
          </w:tcPr>
          <w:p>
            <w:r>
              <w:rPr>
                <w:b/>
                <w:color w:val="C00000"/>
                <w:sz w:val="17"/>
              </w:rPr>
              <w:t>-11.4%</w:t>
            </w:r>
          </w:p>
        </w:tc>
      </w:tr>
      <w:tr>
        <w:tc>
          <w:tcPr>
            <w:tcW w:type="dxa" w:w="1440"/>
            <w:shd w:fill="FFDCE0" w:val="clear"/>
          </w:tcPr>
          <w:p>
            <w:r>
              <w:rPr>
                <w:sz w:val="17"/>
              </w:rPr>
              <w:t>J+6  ⭐</w:t>
            </w:r>
          </w:p>
        </w:tc>
        <w:tc>
          <w:tcPr>
            <w:tcW w:type="dxa" w:w="1440"/>
            <w:shd w:fill="FFDCE0" w:val="clear"/>
          </w:tcPr>
          <w:p>
            <w:r>
              <w:rPr>
                <w:sz w:val="17"/>
              </w:rPr>
              <w:t>2026-09-17</w:t>
            </w:r>
          </w:p>
        </w:tc>
        <w:tc>
          <w:tcPr>
            <w:tcW w:type="dxa" w:w="1440"/>
            <w:shd w:fill="FFDCE0" w:val="clear"/>
          </w:tcPr>
          <w:p>
            <w:r>
              <w:rPr>
                <w:sz w:val="17"/>
              </w:rPr>
              <w:t>8,159</w:t>
            </w:r>
          </w:p>
        </w:tc>
        <w:tc>
          <w:tcPr>
            <w:tcW w:type="dxa" w:w="1440"/>
            <w:shd w:fill="FFDCE0" w:val="clear"/>
          </w:tcPr>
          <w:p>
            <w:r>
              <w:rPr>
                <w:b/>
                <w:sz w:val="17"/>
              </w:rPr>
              <w:t>8,907</w:t>
            </w:r>
          </w:p>
        </w:tc>
        <w:tc>
          <w:tcPr>
            <w:tcW w:type="dxa" w:w="1440"/>
            <w:shd w:fill="FFDCE0" w:val="clear"/>
          </w:tcPr>
          <w:p>
            <w:r>
              <w:rPr>
                <w:sz w:val="17"/>
              </w:rPr>
              <w:t>9,655</w:t>
            </w:r>
          </w:p>
        </w:tc>
        <w:tc>
          <w:tcPr>
            <w:tcW w:type="dxa" w:w="1440"/>
            <w:shd w:fill="FFDCE0" w:val="clear"/>
          </w:tcPr>
          <w:p>
            <w:r>
              <w:rPr>
                <w:b/>
                <w:color w:val="C00000"/>
                <w:sz w:val="17"/>
              </w:rPr>
              <w:t>-12.7%</w:t>
            </w:r>
          </w:p>
        </w:tc>
      </w:tr>
      <w:tr>
        <w:tc>
          <w:tcPr>
            <w:tcW w:type="dxa" w:w="1440"/>
            <w:shd w:fill="FFDCE0" w:val="clear"/>
          </w:tcPr>
          <w:p>
            <w:r>
              <w:rPr>
                <w:sz w:val="17"/>
              </w:rPr>
              <w:t>J+7  ⭐</w:t>
            </w:r>
          </w:p>
        </w:tc>
        <w:tc>
          <w:tcPr>
            <w:tcW w:type="dxa" w:w="1440"/>
            <w:shd w:fill="FFDCE0" w:val="clear"/>
          </w:tcPr>
          <w:p>
            <w:r>
              <w:rPr>
                <w:sz w:val="17"/>
              </w:rPr>
              <w:t>2026-09-18</w:t>
            </w:r>
          </w:p>
        </w:tc>
        <w:tc>
          <w:tcPr>
            <w:tcW w:type="dxa" w:w="1440"/>
            <w:shd w:fill="FFDCE0" w:val="clear"/>
          </w:tcPr>
          <w:p>
            <w:r>
              <w:rPr>
                <w:sz w:val="17"/>
              </w:rPr>
              <w:t>7,985</w:t>
            </w:r>
          </w:p>
        </w:tc>
        <w:tc>
          <w:tcPr>
            <w:tcW w:type="dxa" w:w="1440"/>
            <w:shd w:fill="FFDCE0" w:val="clear"/>
          </w:tcPr>
          <w:p>
            <w:r>
              <w:rPr>
                <w:b/>
                <w:sz w:val="17"/>
              </w:rPr>
              <w:t>8,781</w:t>
            </w:r>
          </w:p>
        </w:tc>
        <w:tc>
          <w:tcPr>
            <w:tcW w:type="dxa" w:w="1440"/>
            <w:shd w:fill="FFDCE0" w:val="clear"/>
          </w:tcPr>
          <w:p>
            <w:r>
              <w:rPr>
                <w:sz w:val="17"/>
              </w:rPr>
              <w:t>9,578</w:t>
            </w:r>
          </w:p>
        </w:tc>
        <w:tc>
          <w:tcPr>
            <w:tcW w:type="dxa" w:w="1440"/>
            <w:shd w:fill="FFDCE0" w:val="clear"/>
          </w:tcPr>
          <w:p>
            <w:r>
              <w:rPr>
                <w:b/>
                <w:color w:val="C00000"/>
                <w:sz w:val="17"/>
              </w:rPr>
              <w:t>-13.9%</w:t>
            </w:r>
          </w:p>
        </w:tc>
      </w:tr>
      <w:tr>
        <w:tc>
          <w:tcPr>
            <w:tcW w:type="dxa" w:w="1440"/>
            <w:shd w:fill="FFDCE0" w:val="clear"/>
          </w:tcPr>
          <w:p>
            <w:r>
              <w:rPr>
                <w:sz w:val="17"/>
              </w:rPr>
              <w:t>J+8  ⭐</w:t>
            </w:r>
          </w:p>
        </w:tc>
        <w:tc>
          <w:tcPr>
            <w:tcW w:type="dxa" w:w="1440"/>
            <w:shd w:fill="FFDCE0" w:val="clear"/>
          </w:tcPr>
          <w:p>
            <w:r>
              <w:rPr>
                <w:sz w:val="17"/>
              </w:rPr>
              <w:t>2026-09-21</w:t>
            </w:r>
          </w:p>
        </w:tc>
        <w:tc>
          <w:tcPr>
            <w:tcW w:type="dxa" w:w="1440"/>
            <w:shd w:fill="FFDCE0" w:val="clear"/>
          </w:tcPr>
          <w:p>
            <w:r>
              <w:rPr>
                <w:sz w:val="17"/>
              </w:rPr>
              <w:t>7,823</w:t>
            </w:r>
          </w:p>
        </w:tc>
        <w:tc>
          <w:tcPr>
            <w:tcW w:type="dxa" w:w="1440"/>
            <w:shd w:fill="FFDCE0" w:val="clear"/>
          </w:tcPr>
          <w:p>
            <w:r>
              <w:rPr>
                <w:b/>
                <w:sz w:val="17"/>
              </w:rPr>
              <w:t>8,663</w:t>
            </w:r>
          </w:p>
        </w:tc>
        <w:tc>
          <w:tcPr>
            <w:tcW w:type="dxa" w:w="1440"/>
            <w:shd w:fill="FFDCE0" w:val="clear"/>
          </w:tcPr>
          <w:p>
            <w:r>
              <w:rPr>
                <w:sz w:val="17"/>
              </w:rPr>
              <w:t>9,504</w:t>
            </w:r>
          </w:p>
        </w:tc>
        <w:tc>
          <w:tcPr>
            <w:tcW w:type="dxa" w:w="1440"/>
            <w:shd w:fill="FFDCE0" w:val="clear"/>
          </w:tcPr>
          <w:p>
            <w:r>
              <w:rPr>
                <w:b/>
                <w:color w:val="C00000"/>
                <w:sz w:val="17"/>
              </w:rPr>
              <w:t>-15.1%</w:t>
            </w:r>
          </w:p>
        </w:tc>
      </w:tr>
      <w:tr>
        <w:tc>
          <w:tcPr>
            <w:tcW w:type="dxa" w:w="1440"/>
            <w:shd w:fill="FFDCE0" w:val="clear"/>
          </w:tcPr>
          <w:p>
            <w:r>
              <w:rPr>
                <w:sz w:val="17"/>
              </w:rPr>
              <w:t>J+9  ⭐</w:t>
            </w:r>
          </w:p>
        </w:tc>
        <w:tc>
          <w:tcPr>
            <w:tcW w:type="dxa" w:w="1440"/>
            <w:shd w:fill="FFDCE0" w:val="clear"/>
          </w:tcPr>
          <w:p>
            <w:r>
              <w:rPr>
                <w:sz w:val="17"/>
              </w:rPr>
              <w:t>2026-09-22</w:t>
            </w:r>
          </w:p>
        </w:tc>
        <w:tc>
          <w:tcPr>
            <w:tcW w:type="dxa" w:w="1440"/>
            <w:shd w:fill="FFDCE0" w:val="clear"/>
          </w:tcPr>
          <w:p>
            <w:r>
              <w:rPr>
                <w:sz w:val="17"/>
              </w:rPr>
              <w:t>7,673</w:t>
            </w:r>
          </w:p>
        </w:tc>
        <w:tc>
          <w:tcPr>
            <w:tcW w:type="dxa" w:w="1440"/>
            <w:shd w:fill="FFDCE0" w:val="clear"/>
          </w:tcPr>
          <w:p>
            <w:r>
              <w:rPr>
                <w:b/>
                <w:sz w:val="17"/>
              </w:rPr>
              <w:t>8,553</w:t>
            </w:r>
          </w:p>
        </w:tc>
        <w:tc>
          <w:tcPr>
            <w:tcW w:type="dxa" w:w="1440"/>
            <w:shd w:fill="FFDCE0" w:val="clear"/>
          </w:tcPr>
          <w:p>
            <w:r>
              <w:rPr>
                <w:sz w:val="17"/>
              </w:rPr>
              <w:t>9,432</w:t>
            </w:r>
          </w:p>
        </w:tc>
        <w:tc>
          <w:tcPr>
            <w:tcW w:type="dxa" w:w="1440"/>
            <w:shd w:fill="FFDCE0" w:val="clear"/>
          </w:tcPr>
          <w:p>
            <w:r>
              <w:rPr>
                <w:b/>
                <w:color w:val="C00000"/>
                <w:sz w:val="17"/>
              </w:rPr>
              <w:t>-16.2%</w:t>
            </w:r>
          </w:p>
        </w:tc>
      </w:tr>
      <w:tr>
        <w:tc>
          <w:tcPr>
            <w:tcW w:type="dxa" w:w="1440"/>
            <w:shd w:fill="FFDCE0" w:val="clear"/>
          </w:tcPr>
          <w:p>
            <w:r>
              <w:rPr>
                <w:sz w:val="17"/>
              </w:rPr>
              <w:t>J+10  ⭐</w:t>
            </w:r>
          </w:p>
        </w:tc>
        <w:tc>
          <w:tcPr>
            <w:tcW w:type="dxa" w:w="1440"/>
            <w:shd w:fill="FFDCE0" w:val="clear"/>
          </w:tcPr>
          <w:p>
            <w:r>
              <w:rPr>
                <w:sz w:val="17"/>
              </w:rPr>
              <w:t>2026-09-23</w:t>
            </w:r>
          </w:p>
        </w:tc>
        <w:tc>
          <w:tcPr>
            <w:tcW w:type="dxa" w:w="1440"/>
            <w:shd w:fill="FFDCE0" w:val="clear"/>
          </w:tcPr>
          <w:p>
            <w:r>
              <w:rPr>
                <w:sz w:val="17"/>
              </w:rPr>
              <w:t>7,532</w:t>
            </w:r>
          </w:p>
        </w:tc>
        <w:tc>
          <w:tcPr>
            <w:tcW w:type="dxa" w:w="1440"/>
            <w:shd w:fill="FFDCE0" w:val="clear"/>
          </w:tcPr>
          <w:p>
            <w:r>
              <w:rPr>
                <w:b/>
                <w:sz w:val="17"/>
              </w:rPr>
              <w:t>8,448</w:t>
            </w:r>
          </w:p>
        </w:tc>
        <w:tc>
          <w:tcPr>
            <w:tcW w:type="dxa" w:w="1440"/>
            <w:shd w:fill="FFDCE0" w:val="clear"/>
          </w:tcPr>
          <w:p>
            <w:r>
              <w:rPr>
                <w:sz w:val="17"/>
              </w:rPr>
              <w:t>9,364</w:t>
            </w:r>
          </w:p>
        </w:tc>
        <w:tc>
          <w:tcPr>
            <w:tcW w:type="dxa" w:w="1440"/>
            <w:shd w:fill="FFDCE0" w:val="clear"/>
          </w:tcPr>
          <w:p>
            <w:r>
              <w:rPr>
                <w:b/>
                <w:color w:val="C00000"/>
                <w:sz w:val="17"/>
              </w:rPr>
              <w:t>-17.2%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**RAPPORT D'ANALYSE FINANCIÈRE — BANK OF AFRICA BÉNIN (BOAB)**</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413,72 milliards FCFA, BOAB se positionne parmi les valeurs bancaires de premier plan de la cote BRVM, reflétant la solidité de son bilan de 964,663 milliards FCFA. Le BPA de 496 FCFA/action signifie que chaque titre génère près de 500 FCFA de bénéfice net, un niveau appréciable pour une banque de la zone UEMOA. Le PER de 20,6x traduit une prime très significative par rapport à la moyenne du marché BRVM (8-12x), signalant que les investisseurs anticipent une croissance soutenue ou que le titre est en phase de surévaluation. Le P/B de 3,52x confirme cette lecture : le marché valorise BOAB à plus de trois fois sa valeur comptable (117,507 Mds FCFA de capitaux propres), une prime de croissance rarement observée sur le compartiment bancaire régional. Enfin, l'EV/EBITDA de 20,8x, très exigeant (&gt;15x), indique que la valeur d'entreprise intègre déjà une forte capacité bénéficiaire future, ce qui réduit la marge de sécurité pour un nouvel investisseur.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BOAB affiche une performance remarquable de +33,33%, portant le cours à 10 200 FCFA, malgré un léger repli de -0,78% lors de la dernière séance. Le range de trading s'étend de 7 650 FCFA (plus bas) à 10 350 FCFA (plus haut), soit une amplitude de 35,3% qui témoigne d'une dynamique haussière puissante, le cours évoluant actuellement à seulement 1,5% de son sommet. La moyenne (8 999 FCFA) se situe au-dessus de la médiane (8 845 FCFA), et le mode (8 700 FCFA) est inférieur aux deux, confirmant une distribution asymétrique avec une concentration historique des échanges sur des niveaux inférieurs au cours actuel. L'écart-type de 578 FCFA avec un coefficient de variation de 6,4% indique une dispersion modérée du cours autour de sa moyenne, tandis que le kurtosis de 0,529 (mésokurtique) suggère une distribution proche de la normale, sans risque excessif de pics extrêmes. Le skewness positif de 0,774 révèle une asymétrie à droite : davantage de journées ont été enregistrées sous la moyenne, ce qui signifie que la récente flambée haussière est portée par un nombre limité de séances très positives. La volatilité annualisée de 26,7% classe BOAB dans la catégorie des titres à volatilité modérée (15-30%), cohérent avec un profil bancaire stable mais sensible aux cycles économiques régionaux.</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(9 775 FCFA) et la MM50 (9 175,4 FCFA) se situent toutes deux sous le cours actuel de 10 200 FCFA, avec la MM20 au-dessus de la MM50 — configuration haussière classique (golden cross). Le cours évolue 4,3% au-dessus de sa MM20 et 11,2% au-dessus de sa MM50, confirmant un momentum acheteur robuste qui justifie la décision technique d'**Achat**.</w:t>
      </w:r>
    </w:p>
    <w:p>
      <w:pPr>
        <w:spacing w:after="120" w:line="276" w:lineRule="auto"/>
      </w:pPr>
      <w:r>
        <w:t>**Bandes de Bollinger** : Le cours (10 200 FCFA) se situe dans la moitié supérieure de la bande, entre la borne inférieure (8 493,188 FCFA) et la borne supérieure (11 056,812 FCFA), sans la franchir. Cette position médiane-haute, combinée à une largeur de bande de 2 563 FCFA, indique une volatilité contenue et l'absence de signal de surachat extrême, justifiant la décision **Neutre** — le titre n'est ni en zone d'achat agressive, ni en zone de correction imminente.</w:t>
      </w:r>
    </w:p>
    <w:p>
      <w:pPr>
        <w:spacing w:after="120" w:line="276" w:lineRule="auto"/>
      </w:pPr>
      <w:r>
        <w:t>**MACD** : La valeur du MACD (373,721) dépasse son signal (364,569), avec un histogramme positif de 9,152 points. Cette divergence haussière confirme que le momentum de court terme reste favorable aux acheteurs, bien que l'écart relativement faible entre les deux lignes suggère un essoufflement possible de la dynamique — la décision technique reste néanmoins à l'**Achat**.</w:t>
      </w:r>
    </w:p>
    <w:p>
      <w:pPr>
        <w:spacing w:after="120" w:line="276" w:lineRule="auto"/>
      </w:pPr>
      <w:r>
        <w:t>**RSI** : À 75,229, le RSI franchit nettement le seuil de surachat (70), signalant que le titre a été acheté de manière excessive à court terme et qu'un repli technique est probable. Cette configuration justifie la décision de **Vente** à court terme, les acheteurs tardifs s'exposant à un risque de correction.</w:t>
      </w:r>
    </w:p>
    <w:p>
      <w:pPr>
        <w:spacing w:after="120" w:line="276" w:lineRule="auto"/>
      </w:pPr>
      <w:r>
        <w:t>**Stochastique** : Le %K (82,353) et le %D (89,318) évoluent tous deux en zone de surachat (&gt;80), avec le %K sous le %D — configuration baissière indiquant un croisement potentiel à la baisse. Cette dynamique confirme la décision de **Vente** et suggère qu'un retournement de court terme se prépare.</w:t>
      </w:r>
    </w:p>
    <w:p>
      <w:pPr>
        <w:spacing w:after="120" w:line="276" w:lineRule="auto"/>
      </w:pPr>
      <w:r>
        <w:t>**Conclusion technique** : Les indicateurs présentent une divergence notable : les moyennes mobiles et le MACD maintiennent un signal haussier de fond, tandis que le RSI et le stochastique alertent sur un surachat imminent. Cette configuration mixte — tendance haussière mature avec signaux de retournement à court terme — plaide pour une prudence tactique : le titre reste fondamentalement bien orienté, mais une consolidation ou un repli de 5-10% est probable avant toute nouvelle jambe haussière.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BOAB affiche un Produit Net Bancaire (PNB, équivalent du chiffre d'affaires pour une banque) de 51,274 milliards FCFA, en croissance de 10,20% sur un an, et un résultat net de 20,107 milliards FCFA, soit une marge nette exceptionnelle de 39,22%. Le ROE s'établit à 17,11% (&gt;15%, seuil d'excellence) et le ROA à 2,08%, confirmant une rentabilité solide des fonds propres (117,507 Mds FCFA) et des actifs (964,663 Mds FCFA). Le coefficient d'exploitation de 49,53% (&lt;50%) classe BOAB parmi les banques les plus efficaces du secteur, tandis que le coût du risque rapporté aux charges financières (22,50%) reste modéré, témoignant d'un portefeuille de crédits (391,724 Mds FCFA) globalement sain. La structure bilancielle révèle une forte dépendance aux dépôts clientèle (711,642 Mds FCFA, soit 73,8% du passif) face à des créances clientèle de 391,724 Mds FCFA, soit un ratio de transformation (crédits/dépôts) de 55% — une marge de manœuvre importante pour développer le crédit. Toutefois, l'autonomie financière de 12,18% (capitaux propres/total bilan) reste inférieure au seuil sain de 30%, et le ratio d'endettement de 98,77% (dettes totales/capitaux propres) souligne un levier élevé, typique du modèle bancaire mais à surveiller.</w:t>
      </w:r>
    </w:p>
    <w:p>
      <w:pPr>
        <w:spacing w:after="120" w:line="276" w:lineRule="auto"/>
      </w:pPr>
      <w:r>
        <w:t>**Évolution et estimations issues des rapports trimestriels** : Le rapport du **T1 2026 (publié en 2026)** confirme la dynamique avec un PNB de 12,329 milliards FCFA (+11%) et un résultat net de 4,502 milliards FCFA (+1%), soutenu par des commissions en hausse de 18,9% et une marge nette bancaire en progression de 8,5%. Les dépôts clientèle atteignent 753,7 milliards FCFA (+3,5%), mais les créances clientèle stagnent à 386,5 milliards FCFA, un point de vigilance. Le **rapport T3 2025 (30/09/2025)** affichait déjà un PNB trimestriel de 37,065 milliards FCFA (+9%) et un résultat net de 15,880 milliards FCFA (+13%), avec une contraction des crédits (-10%) et des dépôts (-5%) liée à des remboursements anticipés de crédits de campagne. Sur la base de ces rapports, on estime que l'exercice 2026 devrait enregistrer un PNB annuel compris entre 54 et 56 milliards FCFA (+6 à +9%) et un résultat net de l'ordre de 21-22 milliards FCFA, la croissance des commissions compensant partiellement la pression sur la marge d'intérêt. Le **rapport S1 2025 (30/06/2025)** soulignait un ROE de 20,3% et un coefficient d'exploitation de 46,1%, confirmant l'excellence opérationnelle, mais alertait sur une hausse du coût du risque (+394,66%) — un risque à surveiller pour 2026.</w:t>
      </w:r>
    </w:p>
    <w:p>
      <w:pPr>
        <w:spacing w:after="120" w:line="276" w:lineRule="auto"/>
      </w:pPr>
      <w:r>
        <w:t>**Recommandation fondamentale** : BOAB présente des fondamentaux solides (ROE &gt;17%, coefficient d'exploitation &lt;50%, croissance du PNB à deux chiffres) mais fait face à des défis : contraction du bilan de crédit, pression sur le résultat net (+1% au T1 2026), et valorisation exigeante. La solidité financière est réelle, mais la croissance future dépendra de la capacité à redynamiser les encours de crédit et à maîtriser le coût du risque. Recommandation fondamentale : **CONSERVER**, avec un biais positif pour les investisseurs de long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**Valorisation (Partie 0)** : le PER de 20,6x, le P/B de 3,52x et l'EV/EBITDA de 20,8x indiquent une surévaluation manifeste par rapport aux standards de la BRVM (PER moyen 8-12x), le marché ayant déjà intégré une prime de croissance significative. **Comportement du cours (Partie 1)** : la tendance haussière de +33,33% sur 100 jours est impressionnante, mais le skewness positif (0,774) et le RSI en surachat (75,2) suggèrent que la hausse est vulnérable à une correction, la volatilité modérée (26,7%) n'excluant pas des replis brutaux. **Signaux techniques (Partie 2)** : divergence entre les indicateurs de tendance (MM, MACD — Achat) et les oscillateurs (RSI, Stochastique — Vente), plaidant pour une consolidation imminente. **Fondamentaux (Partie 3)** : BOAB affiche une rentabilité excellente (ROE 17,11%, marge nette 39,22%) et une efficacité opérationnelle remarquable (coefficient d'exploitation 49,53%), mais la croissance du résultat net ralentit (+1% au T1 2026) et la contraction des crédits limite les perspectives. **Prédictions IA (J+1 à J+10)** : la trajectoire prédite (9 789 → 9 041 FCFA, soit -11,4% en 10 jours) confirme les signaux de correction technique et contredit la tendance haussière récente, validant l'alerte du RSI et du stochastique.</w:t>
      </w:r>
    </w:p>
    <w:p>
      <w:pPr>
        <w:spacing w:after="120" w:line="276" w:lineRule="auto"/>
      </w:pPr>
      <w:r>
        <w:t>**Recommandation finale** : **CONSERVER** (avec un biais tactique de prise de profit partielle à court terme). La convergence entre la surévaluation (Partie 0), le surachat technique (Parties 1-2), le ralentissement de la croissance bénéficiaire (Partie 3) et les prédictions baissières (Partie 4) suggère qu'un repli vers 9 000-9 200 FCFA est probable à court terme. Toutefois, la solidité fondamentale de la banque (ROE &gt;17%, efficacité opérationnelle) et sa capacité à générer des commissions croissantes (+18,9% au T1 2026) justifient de conserver le titre pour un investisseur de long terme, en profitant des replis pour renforcer. **Niveau de confiance : Moyen** (les fondamentaux sont solides mais la valorisation et le surachat limitent le potentiel à court terme). **Niveau de risque global : Moyen** (volatilité modérée, mais surévaluation et dépendance à l'environnement économique béninois). **Horizon d'investissement optimal : Moyen terme (3-12 mois)**, en attendant une correction technique pour se positionner à des niveaux plus attractifs (9 000-9 500 FCFA), avec un objectif de long terme (&gt;1 an) pour bénéficier de la croissance structurelle du secteur bancaire béninois.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395.56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6,855 titres</w:t>
            </w:r>
          </w:p>
        </w:tc>
        <w:tc>
          <w:tcPr>
            <w:tcW w:type="dxa" w:w="2268"/>
            <w:shd w:fill="FFF2CC" w:val="clear"/>
          </w:tcPr>
          <w:p>
            <w:r>
              <w:rPr>
                <w:b/>
                <w:color w:val="503200"/>
                <w:sz w:val="16"/>
              </w:rPr>
              <w:t xml:space="preserve">Cours actuel : </w:t>
            </w:r>
            <w:r>
              <w:rPr>
                <w:color w:val="000000"/>
                <w:sz w:val="17"/>
              </w:rPr>
              <w:t>8,990 FCFA</w:t>
            </w:r>
          </w:p>
          <w:p>
            <w:r>
              <w:rPr>
                <w:b/>
                <w:color w:val="503200"/>
                <w:sz w:val="16"/>
              </w:rPr>
              <w:t xml:space="preserve">Var. 100 jours : </w:t>
            </w:r>
            <w:r>
              <w:rPr>
                <w:b/>
                <w:color w:val="007800"/>
                <w:sz w:val="17"/>
              </w:rPr>
              <w:t>+59.68%</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5,235 FCFA</w:t>
            </w:r>
          </w:p>
          <w:p>
            <w:r>
              <w:rPr>
                <w:b/>
                <w:color w:val="503200"/>
                <w:sz w:val="16"/>
              </w:rPr>
              <w:t xml:space="preserve">Volatilité ann. : </w:t>
            </w:r>
            <w:r>
              <w:rPr>
                <w:color w:val="000000"/>
                <w:sz w:val="17"/>
              </w:rPr>
              <w:t>33.6%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28.1/100 → Moyen</w:t>
      </w:r>
    </w:p>
    <w:p>
      <w:pPr>
        <w:spacing w:before="40" w:after="80"/>
      </w:pPr>
      <w:r>
        <w:rPr>
          <w:rFonts w:ascii="Courier New" w:hAnsi="Courier New"/>
          <w:color w:val="825A00"/>
          <w:sz w:val="18"/>
        </w:rPr>
        <w:t>█████░░░░░░░░░░░░░░░  28.1/100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17.96% (Élevée) — μ=6,413 FCFA, σ=1,152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β=0.1189 (Défensif) — Cov=0.000004, Var(idx)=0.000036, ρ=0.034,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6,855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σ_j=2.11%/j (Stable) — Vol. annualisée≈33.6%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2026-09-10</w:t>
            </w:r>
          </w:p>
        </w:tc>
        <w:tc>
          <w:tcPr>
            <w:tcW w:type="dxa" w:w="1440"/>
            <w:shd w:fill="FFDCE0" w:val="clear"/>
          </w:tcPr>
          <w:p>
            <w:r>
              <w:rPr>
                <w:sz w:val="17"/>
              </w:rPr>
              <w:t>8,314</w:t>
            </w:r>
          </w:p>
        </w:tc>
        <w:tc>
          <w:tcPr>
            <w:tcW w:type="dxa" w:w="1440"/>
            <w:shd w:fill="FFDCE0" w:val="clear"/>
          </w:tcPr>
          <w:p>
            <w:r>
              <w:rPr>
                <w:b/>
                <w:sz w:val="17"/>
              </w:rPr>
              <w:t>8,633</w:t>
            </w:r>
          </w:p>
        </w:tc>
        <w:tc>
          <w:tcPr>
            <w:tcW w:type="dxa" w:w="1440"/>
            <w:shd w:fill="FFDCE0" w:val="clear"/>
          </w:tcPr>
          <w:p>
            <w:r>
              <w:rPr>
                <w:sz w:val="17"/>
              </w:rPr>
              <w:t>8,952</w:t>
            </w:r>
          </w:p>
        </w:tc>
        <w:tc>
          <w:tcPr>
            <w:tcW w:type="dxa" w:w="1440"/>
            <w:shd w:fill="FFDCE0" w:val="clear"/>
          </w:tcPr>
          <w:p>
            <w:r>
              <w:rPr>
                <w:b/>
                <w:color w:val="C00000"/>
                <w:sz w:val="17"/>
              </w:rPr>
              <w:t>-4.0%</w:t>
            </w:r>
          </w:p>
        </w:tc>
      </w:tr>
      <w:tr>
        <w:tc>
          <w:tcPr>
            <w:tcW w:type="dxa" w:w="1440"/>
            <w:shd w:fill="FFDCE0" w:val="clear"/>
          </w:tcPr>
          <w:p>
            <w:r>
              <w:rPr>
                <w:sz w:val="17"/>
              </w:rPr>
              <w:t>J+2  Moyenne</w:t>
            </w:r>
          </w:p>
        </w:tc>
        <w:tc>
          <w:tcPr>
            <w:tcW w:type="dxa" w:w="1440"/>
            <w:shd w:fill="FFDCE0" w:val="clear"/>
          </w:tcPr>
          <w:p>
            <w:r>
              <w:rPr>
                <w:sz w:val="17"/>
              </w:rPr>
              <w:t>2026-09-11</w:t>
            </w:r>
          </w:p>
        </w:tc>
        <w:tc>
          <w:tcPr>
            <w:tcW w:type="dxa" w:w="1440"/>
            <w:shd w:fill="FFDCE0" w:val="clear"/>
          </w:tcPr>
          <w:p>
            <w:r>
              <w:rPr>
                <w:sz w:val="17"/>
              </w:rPr>
              <w:t>7,929</w:t>
            </w:r>
          </w:p>
        </w:tc>
        <w:tc>
          <w:tcPr>
            <w:tcW w:type="dxa" w:w="1440"/>
            <w:shd w:fill="FFDCE0" w:val="clear"/>
          </w:tcPr>
          <w:p>
            <w:r>
              <w:rPr>
                <w:b/>
                <w:sz w:val="17"/>
              </w:rPr>
              <w:t>8,367</w:t>
            </w:r>
          </w:p>
        </w:tc>
        <w:tc>
          <w:tcPr>
            <w:tcW w:type="dxa" w:w="1440"/>
            <w:shd w:fill="FFDCE0" w:val="clear"/>
          </w:tcPr>
          <w:p>
            <w:r>
              <w:rPr>
                <w:sz w:val="17"/>
              </w:rPr>
              <w:t>8,804</w:t>
            </w:r>
          </w:p>
        </w:tc>
        <w:tc>
          <w:tcPr>
            <w:tcW w:type="dxa" w:w="1440"/>
            <w:shd w:fill="FFDCE0" w:val="clear"/>
          </w:tcPr>
          <w:p>
            <w:r>
              <w:rPr>
                <w:b/>
                <w:color w:val="C00000"/>
                <w:sz w:val="17"/>
              </w:rPr>
              <w:t>-6.9%</w:t>
            </w:r>
          </w:p>
        </w:tc>
      </w:tr>
      <w:tr>
        <w:tc>
          <w:tcPr>
            <w:tcW w:type="dxa" w:w="1440"/>
            <w:shd w:fill="FFDCE0" w:val="clear"/>
          </w:tcPr>
          <w:p>
            <w:r>
              <w:rPr>
                <w:sz w:val="17"/>
              </w:rPr>
              <w:t>J+3  Moyenne</w:t>
            </w:r>
          </w:p>
        </w:tc>
        <w:tc>
          <w:tcPr>
            <w:tcW w:type="dxa" w:w="1440"/>
            <w:shd w:fill="FFDCE0" w:val="clear"/>
          </w:tcPr>
          <w:p>
            <w:r>
              <w:rPr>
                <w:sz w:val="17"/>
              </w:rPr>
              <w:t>2026-09-14</w:t>
            </w:r>
          </w:p>
        </w:tc>
        <w:tc>
          <w:tcPr>
            <w:tcW w:type="dxa" w:w="1440"/>
            <w:shd w:fill="FFDCE0" w:val="clear"/>
          </w:tcPr>
          <w:p>
            <w:r>
              <w:rPr>
                <w:sz w:val="17"/>
              </w:rPr>
              <w:t>7,646</w:t>
            </w:r>
          </w:p>
        </w:tc>
        <w:tc>
          <w:tcPr>
            <w:tcW w:type="dxa" w:w="1440"/>
            <w:shd w:fill="FFDCE0" w:val="clear"/>
          </w:tcPr>
          <w:p>
            <w:r>
              <w:rPr>
                <w:b/>
                <w:sz w:val="17"/>
              </w:rPr>
              <w:t>8,168</w:t>
            </w:r>
          </w:p>
        </w:tc>
        <w:tc>
          <w:tcPr>
            <w:tcW w:type="dxa" w:w="1440"/>
            <w:shd w:fill="FFDCE0" w:val="clear"/>
          </w:tcPr>
          <w:p>
            <w:r>
              <w:rPr>
                <w:sz w:val="17"/>
              </w:rPr>
              <w:t>8,691</w:t>
            </w:r>
          </w:p>
        </w:tc>
        <w:tc>
          <w:tcPr>
            <w:tcW w:type="dxa" w:w="1440"/>
            <w:shd w:fill="FFDCE0" w:val="clear"/>
          </w:tcPr>
          <w:p>
            <w:r>
              <w:rPr>
                <w:b/>
                <w:color w:val="C00000"/>
                <w:sz w:val="17"/>
              </w:rPr>
              <w:t>-9.1%</w:t>
            </w:r>
          </w:p>
        </w:tc>
      </w:tr>
      <w:tr>
        <w:tc>
          <w:tcPr>
            <w:tcW w:type="dxa" w:w="1440"/>
            <w:shd w:fill="FFDCE0" w:val="clear"/>
          </w:tcPr>
          <w:p>
            <w:r>
              <w:rPr>
                <w:sz w:val="17"/>
              </w:rPr>
              <w:t>J+4  ⭐</w:t>
            </w:r>
          </w:p>
        </w:tc>
        <w:tc>
          <w:tcPr>
            <w:tcW w:type="dxa" w:w="1440"/>
            <w:shd w:fill="FFDCE0" w:val="clear"/>
          </w:tcPr>
          <w:p>
            <w:r>
              <w:rPr>
                <w:sz w:val="17"/>
              </w:rPr>
              <w:t>2026-09-15</w:t>
            </w:r>
          </w:p>
        </w:tc>
        <w:tc>
          <w:tcPr>
            <w:tcW w:type="dxa" w:w="1440"/>
            <w:shd w:fill="FFDCE0" w:val="clear"/>
          </w:tcPr>
          <w:p>
            <w:r>
              <w:rPr>
                <w:sz w:val="17"/>
              </w:rPr>
              <w:t>7,434</w:t>
            </w:r>
          </w:p>
        </w:tc>
        <w:tc>
          <w:tcPr>
            <w:tcW w:type="dxa" w:w="1440"/>
            <w:shd w:fill="FFDCE0" w:val="clear"/>
          </w:tcPr>
          <w:p>
            <w:r>
              <w:rPr>
                <w:b/>
                <w:sz w:val="17"/>
              </w:rPr>
              <w:t>8,027</w:t>
            </w:r>
          </w:p>
        </w:tc>
        <w:tc>
          <w:tcPr>
            <w:tcW w:type="dxa" w:w="1440"/>
            <w:shd w:fill="FFDCE0" w:val="clear"/>
          </w:tcPr>
          <w:p>
            <w:r>
              <w:rPr>
                <w:sz w:val="17"/>
              </w:rPr>
              <w:t>8,620</w:t>
            </w:r>
          </w:p>
        </w:tc>
        <w:tc>
          <w:tcPr>
            <w:tcW w:type="dxa" w:w="1440"/>
            <w:shd w:fill="FFDCE0" w:val="clear"/>
          </w:tcPr>
          <w:p>
            <w:r>
              <w:rPr>
                <w:b/>
                <w:color w:val="C00000"/>
                <w:sz w:val="17"/>
              </w:rPr>
              <w:t>-10.7%</w:t>
            </w:r>
          </w:p>
        </w:tc>
      </w:tr>
      <w:tr>
        <w:tc>
          <w:tcPr>
            <w:tcW w:type="dxa" w:w="1440"/>
            <w:shd w:fill="FFDCE0" w:val="clear"/>
          </w:tcPr>
          <w:p>
            <w:r>
              <w:rPr>
                <w:sz w:val="17"/>
              </w:rPr>
              <w:t>J+5  ⭐</w:t>
            </w:r>
          </w:p>
        </w:tc>
        <w:tc>
          <w:tcPr>
            <w:tcW w:type="dxa" w:w="1440"/>
            <w:shd w:fill="FFDCE0" w:val="clear"/>
          </w:tcPr>
          <w:p>
            <w:r>
              <w:rPr>
                <w:sz w:val="17"/>
              </w:rPr>
              <w:t>2026-09-16</w:t>
            </w:r>
          </w:p>
        </w:tc>
        <w:tc>
          <w:tcPr>
            <w:tcW w:type="dxa" w:w="1440"/>
            <w:shd w:fill="FFDCE0" w:val="clear"/>
          </w:tcPr>
          <w:p>
            <w:r>
              <w:rPr>
                <w:sz w:val="17"/>
              </w:rPr>
              <w:t>7,260</w:t>
            </w:r>
          </w:p>
        </w:tc>
        <w:tc>
          <w:tcPr>
            <w:tcW w:type="dxa" w:w="1440"/>
            <w:shd w:fill="FFDCE0" w:val="clear"/>
          </w:tcPr>
          <w:p>
            <w:r>
              <w:rPr>
                <w:b/>
                <w:sz w:val="17"/>
              </w:rPr>
              <w:t>7,914</w:t>
            </w:r>
          </w:p>
        </w:tc>
        <w:tc>
          <w:tcPr>
            <w:tcW w:type="dxa" w:w="1440"/>
            <w:shd w:fill="FFDCE0" w:val="clear"/>
          </w:tcPr>
          <w:p>
            <w:r>
              <w:rPr>
                <w:sz w:val="17"/>
              </w:rPr>
              <w:t>8,568</w:t>
            </w:r>
          </w:p>
        </w:tc>
        <w:tc>
          <w:tcPr>
            <w:tcW w:type="dxa" w:w="1440"/>
            <w:shd w:fill="FFDCE0" w:val="clear"/>
          </w:tcPr>
          <w:p>
            <w:r>
              <w:rPr>
                <w:b/>
                <w:color w:val="C00000"/>
                <w:sz w:val="17"/>
              </w:rPr>
              <w:t>-12.0%</w:t>
            </w:r>
          </w:p>
        </w:tc>
      </w:tr>
      <w:tr>
        <w:tc>
          <w:tcPr>
            <w:tcW w:type="dxa" w:w="1440"/>
            <w:shd w:fill="FFDCE0" w:val="clear"/>
          </w:tcPr>
          <w:p>
            <w:r>
              <w:rPr>
                <w:sz w:val="17"/>
              </w:rPr>
              <w:t>J+6  ⭐</w:t>
            </w:r>
          </w:p>
        </w:tc>
        <w:tc>
          <w:tcPr>
            <w:tcW w:type="dxa" w:w="1440"/>
            <w:shd w:fill="FFDCE0" w:val="clear"/>
          </w:tcPr>
          <w:p>
            <w:r>
              <w:rPr>
                <w:sz w:val="17"/>
              </w:rPr>
              <w:t>2026-09-17</w:t>
            </w:r>
          </w:p>
        </w:tc>
        <w:tc>
          <w:tcPr>
            <w:tcW w:type="dxa" w:w="1440"/>
            <w:shd w:fill="FFDCE0" w:val="clear"/>
          </w:tcPr>
          <w:p>
            <w:r>
              <w:rPr>
                <w:sz w:val="17"/>
              </w:rPr>
              <w:t>7,105</w:t>
            </w:r>
          </w:p>
        </w:tc>
        <w:tc>
          <w:tcPr>
            <w:tcW w:type="dxa" w:w="1440"/>
            <w:shd w:fill="FFDCE0" w:val="clear"/>
          </w:tcPr>
          <w:p>
            <w:r>
              <w:rPr>
                <w:b/>
                <w:sz w:val="17"/>
              </w:rPr>
              <w:t>7,812</w:t>
            </w:r>
          </w:p>
        </w:tc>
        <w:tc>
          <w:tcPr>
            <w:tcW w:type="dxa" w:w="1440"/>
            <w:shd w:fill="FFDCE0" w:val="clear"/>
          </w:tcPr>
          <w:p>
            <w:r>
              <w:rPr>
                <w:sz w:val="17"/>
              </w:rPr>
              <w:t>8,519</w:t>
            </w:r>
          </w:p>
        </w:tc>
        <w:tc>
          <w:tcPr>
            <w:tcW w:type="dxa" w:w="1440"/>
            <w:shd w:fill="FFDCE0" w:val="clear"/>
          </w:tcPr>
          <w:p>
            <w:r>
              <w:rPr>
                <w:b/>
                <w:color w:val="C00000"/>
                <w:sz w:val="17"/>
              </w:rPr>
              <w:t>-13.1%</w:t>
            </w:r>
          </w:p>
        </w:tc>
      </w:tr>
      <w:tr>
        <w:tc>
          <w:tcPr>
            <w:tcW w:type="dxa" w:w="1440"/>
            <w:shd w:fill="FFDCE0" w:val="clear"/>
          </w:tcPr>
          <w:p>
            <w:r>
              <w:rPr>
                <w:sz w:val="17"/>
              </w:rPr>
              <w:t>J+7  ⭐</w:t>
            </w:r>
          </w:p>
        </w:tc>
        <w:tc>
          <w:tcPr>
            <w:tcW w:type="dxa" w:w="1440"/>
            <w:shd w:fill="FFDCE0" w:val="clear"/>
          </w:tcPr>
          <w:p>
            <w:r>
              <w:rPr>
                <w:sz w:val="17"/>
              </w:rPr>
              <w:t>2026-09-18</w:t>
            </w:r>
          </w:p>
        </w:tc>
        <w:tc>
          <w:tcPr>
            <w:tcW w:type="dxa" w:w="1440"/>
            <w:shd w:fill="FFDCE0" w:val="clear"/>
          </w:tcPr>
          <w:p>
            <w:r>
              <w:rPr>
                <w:sz w:val="17"/>
              </w:rPr>
              <w:t>6,962</w:t>
            </w:r>
          </w:p>
        </w:tc>
        <w:tc>
          <w:tcPr>
            <w:tcW w:type="dxa" w:w="1440"/>
            <w:shd w:fill="FFDCE0" w:val="clear"/>
          </w:tcPr>
          <w:p>
            <w:r>
              <w:rPr>
                <w:b/>
                <w:sz w:val="17"/>
              </w:rPr>
              <w:t>7,717</w:t>
            </w:r>
          </w:p>
        </w:tc>
        <w:tc>
          <w:tcPr>
            <w:tcW w:type="dxa" w:w="1440"/>
            <w:shd w:fill="FFDCE0" w:val="clear"/>
          </w:tcPr>
          <w:p>
            <w:r>
              <w:rPr>
                <w:sz w:val="17"/>
              </w:rPr>
              <w:t>8,471</w:t>
            </w:r>
          </w:p>
        </w:tc>
        <w:tc>
          <w:tcPr>
            <w:tcW w:type="dxa" w:w="1440"/>
            <w:shd w:fill="FFDCE0" w:val="clear"/>
          </w:tcPr>
          <w:p>
            <w:r>
              <w:rPr>
                <w:b/>
                <w:color w:val="C00000"/>
                <w:sz w:val="17"/>
              </w:rPr>
              <w:t>-14.2%</w:t>
            </w:r>
          </w:p>
        </w:tc>
      </w:tr>
      <w:tr>
        <w:tc>
          <w:tcPr>
            <w:tcW w:type="dxa" w:w="1440"/>
            <w:shd w:fill="FFDCE0" w:val="clear"/>
          </w:tcPr>
          <w:p>
            <w:r>
              <w:rPr>
                <w:sz w:val="17"/>
              </w:rPr>
              <w:t>J+8  ⭐</w:t>
            </w:r>
          </w:p>
        </w:tc>
        <w:tc>
          <w:tcPr>
            <w:tcW w:type="dxa" w:w="1440"/>
            <w:shd w:fill="FFDCE0" w:val="clear"/>
          </w:tcPr>
          <w:p>
            <w:r>
              <w:rPr>
                <w:sz w:val="17"/>
              </w:rPr>
              <w:t>2026-09-21</w:t>
            </w:r>
          </w:p>
        </w:tc>
        <w:tc>
          <w:tcPr>
            <w:tcW w:type="dxa" w:w="1440"/>
            <w:shd w:fill="FFDCE0" w:val="clear"/>
          </w:tcPr>
          <w:p>
            <w:r>
              <w:rPr>
                <w:sz w:val="17"/>
              </w:rPr>
              <w:t>6,829</w:t>
            </w:r>
          </w:p>
        </w:tc>
        <w:tc>
          <w:tcPr>
            <w:tcW w:type="dxa" w:w="1440"/>
            <w:shd w:fill="FFDCE0" w:val="clear"/>
          </w:tcPr>
          <w:p>
            <w:r>
              <w:rPr>
                <w:b/>
                <w:sz w:val="17"/>
              </w:rPr>
              <w:t>7,626</w:t>
            </w:r>
          </w:p>
        </w:tc>
        <w:tc>
          <w:tcPr>
            <w:tcW w:type="dxa" w:w="1440"/>
            <w:shd w:fill="FFDCE0" w:val="clear"/>
          </w:tcPr>
          <w:p>
            <w:r>
              <w:rPr>
                <w:sz w:val="17"/>
              </w:rPr>
              <w:t>8,423</w:t>
            </w:r>
          </w:p>
        </w:tc>
        <w:tc>
          <w:tcPr>
            <w:tcW w:type="dxa" w:w="1440"/>
            <w:shd w:fill="FFDCE0" w:val="clear"/>
          </w:tcPr>
          <w:p>
            <w:r>
              <w:rPr>
                <w:b/>
                <w:color w:val="C00000"/>
                <w:sz w:val="17"/>
              </w:rPr>
              <w:t>-15.2%</w:t>
            </w:r>
          </w:p>
        </w:tc>
      </w:tr>
      <w:tr>
        <w:tc>
          <w:tcPr>
            <w:tcW w:type="dxa" w:w="1440"/>
            <w:shd w:fill="FFDCE0" w:val="clear"/>
          </w:tcPr>
          <w:p>
            <w:r>
              <w:rPr>
                <w:sz w:val="17"/>
              </w:rPr>
              <w:t>J+9  ⭐</w:t>
            </w:r>
          </w:p>
        </w:tc>
        <w:tc>
          <w:tcPr>
            <w:tcW w:type="dxa" w:w="1440"/>
            <w:shd w:fill="FFDCE0" w:val="clear"/>
          </w:tcPr>
          <w:p>
            <w:r>
              <w:rPr>
                <w:sz w:val="17"/>
              </w:rPr>
              <w:t>2026-09-22</w:t>
            </w:r>
          </w:p>
        </w:tc>
        <w:tc>
          <w:tcPr>
            <w:tcW w:type="dxa" w:w="1440"/>
            <w:shd w:fill="FFDCE0" w:val="clear"/>
          </w:tcPr>
          <w:p>
            <w:r>
              <w:rPr>
                <w:sz w:val="17"/>
              </w:rPr>
              <w:t>6,702</w:t>
            </w:r>
          </w:p>
        </w:tc>
        <w:tc>
          <w:tcPr>
            <w:tcW w:type="dxa" w:w="1440"/>
            <w:shd w:fill="FFDCE0" w:val="clear"/>
          </w:tcPr>
          <w:p>
            <w:r>
              <w:rPr>
                <w:b/>
                <w:sz w:val="17"/>
              </w:rPr>
              <w:t>7,537</w:t>
            </w:r>
          </w:p>
        </w:tc>
        <w:tc>
          <w:tcPr>
            <w:tcW w:type="dxa" w:w="1440"/>
            <w:shd w:fill="FFDCE0" w:val="clear"/>
          </w:tcPr>
          <w:p>
            <w:r>
              <w:rPr>
                <w:sz w:val="17"/>
              </w:rPr>
              <w:t>8,373</w:t>
            </w:r>
          </w:p>
        </w:tc>
        <w:tc>
          <w:tcPr>
            <w:tcW w:type="dxa" w:w="1440"/>
            <w:shd w:fill="FFDCE0" w:val="clear"/>
          </w:tcPr>
          <w:p>
            <w:r>
              <w:rPr>
                <w:b/>
                <w:color w:val="C00000"/>
                <w:sz w:val="17"/>
              </w:rPr>
              <w:t>-16.2%</w:t>
            </w:r>
          </w:p>
        </w:tc>
      </w:tr>
      <w:tr>
        <w:tc>
          <w:tcPr>
            <w:tcW w:type="dxa" w:w="1440"/>
            <w:shd w:fill="FFDCE0" w:val="clear"/>
          </w:tcPr>
          <w:p>
            <w:r>
              <w:rPr>
                <w:sz w:val="17"/>
              </w:rPr>
              <w:t>J+10  ⭐</w:t>
            </w:r>
          </w:p>
        </w:tc>
        <w:tc>
          <w:tcPr>
            <w:tcW w:type="dxa" w:w="1440"/>
            <w:shd w:fill="FFDCE0" w:val="clear"/>
          </w:tcPr>
          <w:p>
            <w:r>
              <w:rPr>
                <w:sz w:val="17"/>
              </w:rPr>
              <w:t>2026-09-23</w:t>
            </w:r>
          </w:p>
        </w:tc>
        <w:tc>
          <w:tcPr>
            <w:tcW w:type="dxa" w:w="1440"/>
            <w:shd w:fill="FFDCE0" w:val="clear"/>
          </w:tcPr>
          <w:p>
            <w:r>
              <w:rPr>
                <w:sz w:val="17"/>
              </w:rPr>
              <w:t>6,582</w:t>
            </w:r>
          </w:p>
        </w:tc>
        <w:tc>
          <w:tcPr>
            <w:tcW w:type="dxa" w:w="1440"/>
            <w:shd w:fill="FFDCE0" w:val="clear"/>
          </w:tcPr>
          <w:p>
            <w:r>
              <w:rPr>
                <w:b/>
                <w:sz w:val="17"/>
              </w:rPr>
              <w:t>7,453</w:t>
            </w:r>
          </w:p>
        </w:tc>
        <w:tc>
          <w:tcPr>
            <w:tcW w:type="dxa" w:w="1440"/>
            <w:shd w:fill="FFDCE0" w:val="clear"/>
          </w:tcPr>
          <w:p>
            <w:r>
              <w:rPr>
                <w:sz w:val="17"/>
              </w:rPr>
              <w:t>8,323</w:t>
            </w:r>
          </w:p>
        </w:tc>
        <w:tc>
          <w:tcPr>
            <w:tcW w:type="dxa" w:w="1440"/>
            <w:shd w:fill="FFDCE0" w:val="clear"/>
          </w:tcPr>
          <w:p>
            <w:r>
              <w:rPr>
                <w:b/>
                <w:color w:val="C00000"/>
                <w:sz w:val="17"/>
              </w:rPr>
              <w:t>-17.1%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 📊 RAPPORT D'ANALYSE FINANCIÈRE — BOABF (Bank of Africa Burkina Faso)</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395,56 milliards FCFA, BOABF figure parmi les valeurs bancaires de premier plan de la cote BRVM, ce qui en fait un titre de référence pour les investisseurs institutionnels régionaux. Le BPA de 438 FCFA/action signifie que chaque titre génère près de 438 FCFA de bénéfice net, un niveau confortable qui traduit la rentabilité intrinsèque de la banque. Le PER de 20,5x est nettement supérieur à la moyenne du marché BRVM (généralement située entre 8 et 12x), ce qui indique que les investisseurs paient une prime significative pour les bénéfices futurs attendus — soit une anticipation de croissance, soit une surévaluation manifeste. Le P/B de 3,13x confirme cette prime de croissance : le marché valorise la banque à plus de trois fois sa valeur comptable, un niveau qui se situe dans la fourchette 2-4x typique des valeurs de qualité. Enfin, l'EV/EBITDA de 9,5x apparaît raisonnable dans la fourchette 5-10x, suggérant que la valeur d'entreprise reste cohérente avec la capacité opérationnelle de la banque, bien que cet indicateur soit moins pertinent pour un établissement bancaire où le PNB et le coût du risque sont les vrais moteurs.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BOABF affiche une performance spectaculaire de +59,68%, avec une dernière séance en légère hausse de +0,45%, portant le cours à 8 990 FCFA. Le titre a évolué dans un range très large, entre un plus bas de 5 235 FCFA et un plus haut de 9 090 FCFA, soit un écart de plus de 73% entre les deux extrêmes — signe d'une tendance nettement haussière soutenue par un volume moyen quotidien de 6 855 titres. Les statistiques descriptives révèlent une distribution asymétrique : la moyenne (6 413 FCFA) est nettement supérieure à la médiane (5 775 FCFA) et au mode (5 400 FCFA), ce qui confirme que le cours a passé plus de temps dans les niveaux bas avant de s'envoler en fin de période — cohérent avec le skewness positif de 0,990 indiquant davantage de journées sous la moyenne. L'écart-type de 1 158 FCFA et le coefficient de variation de 18,1% traduisent une dispersion modérée du cours, tandis que le kurtosis de -0,198 (mésokurtique) suggère une distribution proche de la normale, sans risque excessif de pics extrêmes. La volatilité annualisée de 33,6% classe le titre dans la catégorie des valeurs à volatilité élevée (&gt;30%), ce qui implique un risque de correction significatif après une telle progression.</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8 220 FCFA et la MM50 à 7 324 FCFA, toutes deux nettement inférieures au cours actuel de 8 990 FCFA. Cette configuration en « golden cross » (MM20 &gt; MM50) avec un cours au-dessus des deux moyennes confirme une dynamique haussière solide et justifie la décision d'**Achat** émise par cet indicateur.</w:t>
      </w:r>
    </w:p>
    <w:p>
      <w:pPr>
        <w:spacing w:after="120" w:line="276" w:lineRule="auto"/>
      </w:pPr>
      <w:r>
        <w:t>**Bandes de Bollinger :** Le cours (8 990 FCFA) se situe entre la borne inférieure (6 589,88 FCFA) et la borne supérieure (9 850,12 FCFA), mais plus proche de la borne haute, ce qui traduit une pression acheteuse soutenue. La largeur des bandes reflète une volatilité importante, et la décision **Neutre** suggère que le titre approche d'une zone de résistance potentielle sans signal de retournement clair.</w:t>
      </w:r>
    </w:p>
    <w:p>
      <w:pPr>
        <w:spacing w:after="120" w:line="276" w:lineRule="auto"/>
      </w:pPr>
      <w:r>
        <w:t>**MACD :** La valeur du MACD (530,23) dépasse son signal (513,15), confirmant un momentum haussier toujours actif bien que la divergence entre les deux lignes se réduise. Cette configuration justifie la décision d'**Achat**, mais la proximité des deux courbes appelle à la prudence sur la durabilité du mouvement.</w:t>
      </w:r>
    </w:p>
    <w:p>
      <w:pPr>
        <w:spacing w:after="120" w:line="276" w:lineRule="auto"/>
      </w:pPr>
      <w:r>
        <w:t>**RSI :** À 83,67, le RSI se situe largement au-dessus du seuil de surachat (70), signalant que le titre est techniquement surchauffé après sa forte progression. La décision de **Vente** émise par cet indicateur est un avertissement clair sur un risque de correction à court terme.</w:t>
      </w:r>
    </w:p>
    <w:p>
      <w:pPr>
        <w:spacing w:after="120" w:line="276" w:lineRule="auto"/>
      </w:pPr>
      <w:r>
        <w:t>**Stochastique :** Le %K (93,71) et le %D (91,76) sont tous deux en zone de surachat extrême, avec un croisement potentiel à surveiller. La décision de **Vente** confirme la pression baissière imminente signalée par le RSI.</w:t>
      </w:r>
    </w:p>
    <w:p>
      <w:pPr>
        <w:spacing w:after="120" w:line="276" w:lineRule="auto"/>
      </w:pPr>
      <w:r>
        <w:t>**Conclusion technique :** Les indicateurs de tendance (MM, MACD) restent haussiers et soutiennent le mouvement en cours, mais les oscillateurs (RSI à 83,67, Stochastique à 93,71) sont en zone de surachat extrême et émettent des signaux de vente convergents. Cette divergence classique entre tendance et momentum suggère que le titre pourrait connaître une correction technique à court terme, même si la tendance de fond demeure positive. La prudence est de mise pour les acheteurs tardifs.</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BOABF affiche un Produit Net Bancaire (PNB) de 57 820 millions FCFA, quasi stable par rapport à 2024 (+0,6%), et un résultat net de 19 252 millions FCFA, en recul de -14,1% sur un an. Le ROE s'établit à 15,22% (niveau excellent, &gt;15%) et le ROA à 1,68%, confirmant la rentabilité solide de la banque malgré la pression sur les résultats. Le coefficient d'exploitation de 47,19% est excellent (&lt;50%), témoignant d'une grande efficacité opérationnelle. Le coût du risque rapporté aux charges financières atteint 33,92%, un niveau élevé qui traduit un risque de crédit significatif — c'est d'ailleurs la cause principale de la baisse du résultat net 2025, les provisions étant passées de 4 303 à 8 355 millions FCFA. La structure financière reste solide avec une autonomie financière de 11,01% (faible mais typique du secteur bancaire) et une capacité de remboursement de 5,79 années.</w:t>
      </w:r>
    </w:p>
    <w:p>
      <w:pPr>
        <w:spacing w:after="120" w:line="276" w:lineRule="auto"/>
      </w:pPr>
      <w:r>
        <w:t>**Adaptation au secteur bancaire :** Le ratio dépôts/crédits s'établit à 877 822 / 474 064 = 1,85x, indiquant une surliquidité confortable mais aussi une sous-utilisation des dépôts pour la transformation crédit. Les créances interbancaires ont bondi à 213 132 millions FCFA (vs 53 994 en 2024), signe que la banque place massivement sa liquidité sur le marché interbancaire plutôt que dans le crédit client, ce qui limite la marge d'intérêt mais réduit le risque.</w:t>
      </w:r>
    </w:p>
    <w:p>
      <w:pPr>
        <w:spacing w:after="120" w:line="276" w:lineRule="auto"/>
      </w:pPr>
      <w:r>
        <w:t>**Estimations basées sur les rapports trimestriels :** Le rapport du T1 2026 (publié le 31/03/2026) montre un PNB de 12 694 millions FCFA en repli de -10,75% et un résultat net de 4 520 millions FCFA (-12,99%). Le rapport du S1 2026 (publié le 30/06/2026) confirme cette tendance avec un PNB de 27 539 millions FCFA (-5,2%) mais un résultat net en hausse de +31,0% à 10 770 millions FCFA, grâce à une amélioration de 65,2% du coût du risque (-2 396 vs -6 876 millions). On estime donc que l'exercice 2026 devrait afficher un PNB en contraction de -5% à -8% (autour de 53-55 milliards FCFA) mais un résultat net en rebond de +15% à +25% (autour de 22-24 milliards FCFA), porté par la normalisation du coût du risque. Le dividende versé au titre de 2025 s'élève à 397 FCFA/action (paiement le 23/04/2026), soit un rendement de 4,4% au cours actuel de 8 990 FCFA.</w:t>
      </w:r>
    </w:p>
    <w:p>
      <w:pPr>
        <w:spacing w:after="120" w:line="276" w:lineRule="auto"/>
      </w:pPr>
      <w:r>
        <w:t>**Recommandation fondamentale :** La banque présente des fondamentaux solides (ROE &gt;15%, coefficient d'exploitation &lt;50%, surliquidité), mais fait face à une contraction structurelle de son PNB et à une dépendance à la normalisation du coût du risque pour soutenir ses résultats. Le rapport du S1 2026 recommande de **CONSERVER**, soulignant que « l'essentiel du gain de rentabilité vient d'une base de comparaison favorable sur le risque, pas d'une accélération commerciale ». Les risques principaux restent la stagnation des crédits clientèle (+1,3% au S1 2026) et l'environnement sécuritaire burkinabè.</w:t>
      </w:r>
    </w:p>
    <w:p>
      <w:pPr>
        <w:spacing w:after="120" w:line="276" w:lineRule="auto"/>
      </w:pPr>
      <w:r>
        <w:t>---</w:t>
      </w:r>
    </w:p>
    <w:p>
      <w:pPr>
        <w:spacing w:after="120" w:line="276" w:lineRule="auto"/>
      </w:pPr>
      <w:r>
        <w:t>## PARTIE 4 : CONCLUSION D'INVESTISSEMENT</w:t>
      </w:r>
    </w:p>
    <w:p>
      <w:pPr>
        <w:spacing w:after="120" w:line="276" w:lineRule="auto"/>
      </w:pPr>
      <w:r>
        <w:t>La valorisation de BOABF apparaît tendue : le PER de 20,5x et le P/B de 3,13x intègrent déjà une prime de croissance significative, tandis que l'EV/EBITDA de 9,5x reste raisonnable mais peu pertinent pour une banque. Le comportement du cours sur 100 jours est exceptionnel (+59,68%) mais les statistiques révèlent une distribution asymétrique (skewness +0,990) et une volatilité élevée (33,6%), ce qui suggère que le titre a peut-être surréagi à court terme. Les signaux techniques sont mitigés : les moyennes mobiles et le MACD restent haussiers, mais le RSI (83,67) et le Stochastique (93,71) sont en zone de surachat extrême et émettent des signaux de vente convergents, annonçant une correction probable. Les fondamentaux sont solides (ROE 15,22%, coefficient d'exploitation 47,19%) mais fragilisés par la contraction du PNB (-5,2% au S1 2026) et la dépendance à la normalisation du coût du risque. Les prédictions IA anticipent une trajectoire baissière sur 10 jours (8 633 → 7 914 FCFA, soit -12% depuis le cours actuel), ce qui confirme les signaux de surachat techniques et contredit la tendance haussière récente. **Sur la base de cette synthèse globale, la recommandation finale est CONSERVER avec un biais baissier à court terme.** La convergence entre le surachat technique, la valorisation tendue et les prédictions baissières l'emporte sur la solidité fondamentale, qui reste néanmoins un argument pour ne pas vendre massivement. Le niveau de confiance est **Moyen** (les fondamentaux solides limitent le risque de effondrement), le niveau de risque global est **Élevé** (volatilité 33,6%, surachat extrême, valorisation tendue), et l'horizon d'investissement optimal est **moyen terme (3-12 mois)** pour laisser la correction technique se matérialiser et permettre un point d'entrée plus favorable autour de 7 500-8 000 FCFA.</w:t>
      </w:r>
    </w:p>
    <w:p>
      <w:pPr>
        <w:spacing w:after="120" w:line="276" w:lineRule="auto"/>
      </w:pPr>
      <w:r>
        <w:t>---</w:t>
      </w:r>
    </w:p>
    <w:p>
      <w:pPr>
        <w:spacing w:after="120" w:line="276" w:lineRule="auto"/>
      </w:pPr>
      <w:r>
        <w:t>*Rapport généré le 10 septembre 2026 — Sources : BRVM, états financiers BOABF 2025, rapports trimestriels T1/S1 2026, calendrier dividendes BRVM.*</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499.80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11,603 titres</w:t>
            </w:r>
          </w:p>
        </w:tc>
        <w:tc>
          <w:tcPr>
            <w:tcW w:type="dxa" w:w="2268"/>
            <w:shd w:fill="FFF2CC" w:val="clear"/>
          </w:tcPr>
          <w:p>
            <w:r>
              <w:rPr>
                <w:b/>
                <w:color w:val="503200"/>
                <w:sz w:val="16"/>
              </w:rPr>
              <w:t xml:space="preserve">Cours actuel : </w:t>
            </w:r>
            <w:r>
              <w:rPr>
                <w:color w:val="000000"/>
                <w:sz w:val="17"/>
              </w:rPr>
              <w:t>12,495 FCFA</w:t>
            </w:r>
          </w:p>
          <w:p>
            <w:r>
              <w:rPr>
                <w:b/>
                <w:color w:val="503200"/>
                <w:sz w:val="16"/>
              </w:rPr>
              <w:t xml:space="preserve">Var. 100 jours : </w:t>
            </w:r>
            <w:r>
              <w:rPr>
                <w:b/>
                <w:color w:val="007800"/>
                <w:sz w:val="17"/>
              </w:rPr>
              <w:t>+48.75%</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8,400 FCFA</w:t>
            </w:r>
          </w:p>
          <w:p>
            <w:r>
              <w:rPr>
                <w:b/>
                <w:color w:val="503200"/>
                <w:sz w:val="16"/>
              </w:rPr>
              <w:t xml:space="preserve">Volatilité ann. : </w:t>
            </w:r>
            <w:r>
              <w:rPr>
                <w:color w:val="000000"/>
                <w:sz w:val="17"/>
              </w:rPr>
              <w:t>25.7%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27.3/100 → Moyen</w:t>
      </w:r>
    </w:p>
    <w:p>
      <w:pPr>
        <w:spacing w:before="40" w:after="80"/>
      </w:pPr>
      <w:r>
        <w:rPr>
          <w:rFonts w:ascii="Courier New" w:hAnsi="Courier New"/>
          <w:color w:val="825A00"/>
          <w:sz w:val="18"/>
        </w:rPr>
        <w:t>█████░░░░░░░░░░░░░░░  27.3/100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15.65% (Élevée) — μ=10,041 FCFA, σ=1,572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β=-0.0293 (Contre-cyclique) — Cov=-0.000001, Var(idx)=0.000036, ρ=-0.011,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11,603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σ_j=1.62%/j (Stable) — Vol. annualisée≈25.7%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80/100  (Excellent)</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2026-09-10</w:t>
            </w:r>
          </w:p>
        </w:tc>
        <w:tc>
          <w:tcPr>
            <w:tcW w:type="dxa" w:w="1440"/>
            <w:shd w:fill="FFDCE0" w:val="clear"/>
          </w:tcPr>
          <w:p>
            <w:r>
              <w:rPr>
                <w:sz w:val="17"/>
              </w:rPr>
              <w:t>11,435</w:t>
            </w:r>
          </w:p>
        </w:tc>
        <w:tc>
          <w:tcPr>
            <w:tcW w:type="dxa" w:w="1440"/>
            <w:shd w:fill="FFDCE0" w:val="clear"/>
          </w:tcPr>
          <w:p>
            <w:r>
              <w:rPr>
                <w:b/>
                <w:sz w:val="17"/>
              </w:rPr>
              <w:t>11,820</w:t>
            </w:r>
          </w:p>
        </w:tc>
        <w:tc>
          <w:tcPr>
            <w:tcW w:type="dxa" w:w="1440"/>
            <w:shd w:fill="FFDCE0" w:val="clear"/>
          </w:tcPr>
          <w:p>
            <w:r>
              <w:rPr>
                <w:sz w:val="17"/>
              </w:rPr>
              <w:t>12,204</w:t>
            </w:r>
          </w:p>
        </w:tc>
        <w:tc>
          <w:tcPr>
            <w:tcW w:type="dxa" w:w="1440"/>
            <w:shd w:fill="FFDCE0" w:val="clear"/>
          </w:tcPr>
          <w:p>
            <w:r>
              <w:rPr>
                <w:b/>
                <w:color w:val="C00000"/>
                <w:sz w:val="17"/>
              </w:rPr>
              <w:t>-5.4%</w:t>
            </w:r>
          </w:p>
        </w:tc>
      </w:tr>
      <w:tr>
        <w:tc>
          <w:tcPr>
            <w:tcW w:type="dxa" w:w="1440"/>
            <w:shd w:fill="FFDCE0" w:val="clear"/>
          </w:tcPr>
          <w:p>
            <w:r>
              <w:rPr>
                <w:sz w:val="17"/>
              </w:rPr>
              <w:t>J+2  ⭐⭐⭐</w:t>
            </w:r>
          </w:p>
        </w:tc>
        <w:tc>
          <w:tcPr>
            <w:tcW w:type="dxa" w:w="1440"/>
            <w:shd w:fill="FFDCE0" w:val="clear"/>
          </w:tcPr>
          <w:p>
            <w:r>
              <w:rPr>
                <w:sz w:val="17"/>
              </w:rPr>
              <w:t>2026-09-11</w:t>
            </w:r>
          </w:p>
        </w:tc>
        <w:tc>
          <w:tcPr>
            <w:tcW w:type="dxa" w:w="1440"/>
            <w:shd w:fill="FFDCE0" w:val="clear"/>
          </w:tcPr>
          <w:p>
            <w:r>
              <w:rPr>
                <w:sz w:val="17"/>
              </w:rPr>
              <w:t>10,809</w:t>
            </w:r>
          </w:p>
        </w:tc>
        <w:tc>
          <w:tcPr>
            <w:tcW w:type="dxa" w:w="1440"/>
            <w:shd w:fill="FFDCE0" w:val="clear"/>
          </w:tcPr>
          <w:p>
            <w:r>
              <w:rPr>
                <w:b/>
                <w:sz w:val="17"/>
              </w:rPr>
              <w:t>11,330</w:t>
            </w:r>
          </w:p>
        </w:tc>
        <w:tc>
          <w:tcPr>
            <w:tcW w:type="dxa" w:w="1440"/>
            <w:shd w:fill="FFDCE0" w:val="clear"/>
          </w:tcPr>
          <w:p>
            <w:r>
              <w:rPr>
                <w:sz w:val="17"/>
              </w:rPr>
              <w:t>11,851</w:t>
            </w:r>
          </w:p>
        </w:tc>
        <w:tc>
          <w:tcPr>
            <w:tcW w:type="dxa" w:w="1440"/>
            <w:shd w:fill="FFDCE0" w:val="clear"/>
          </w:tcPr>
          <w:p>
            <w:r>
              <w:rPr>
                <w:b/>
                <w:color w:val="C00000"/>
                <w:sz w:val="17"/>
              </w:rPr>
              <w:t>-9.3%</w:t>
            </w:r>
          </w:p>
        </w:tc>
      </w:tr>
      <w:tr>
        <w:tc>
          <w:tcPr>
            <w:tcW w:type="dxa" w:w="1440"/>
            <w:shd w:fill="FFDCE0" w:val="clear"/>
          </w:tcPr>
          <w:p>
            <w:r>
              <w:rPr>
                <w:sz w:val="17"/>
              </w:rPr>
              <w:t>J+3  ⭐⭐⭐</w:t>
            </w:r>
          </w:p>
        </w:tc>
        <w:tc>
          <w:tcPr>
            <w:tcW w:type="dxa" w:w="1440"/>
            <w:shd w:fill="FFDCE0" w:val="clear"/>
          </w:tcPr>
          <w:p>
            <w:r>
              <w:rPr>
                <w:sz w:val="17"/>
              </w:rPr>
              <w:t>2026-09-14</w:t>
            </w:r>
          </w:p>
        </w:tc>
        <w:tc>
          <w:tcPr>
            <w:tcW w:type="dxa" w:w="1440"/>
            <w:shd w:fill="FFDCE0" w:val="clear"/>
          </w:tcPr>
          <w:p>
            <w:r>
              <w:rPr>
                <w:sz w:val="17"/>
              </w:rPr>
              <w:t>10,227</w:t>
            </w:r>
          </w:p>
        </w:tc>
        <w:tc>
          <w:tcPr>
            <w:tcW w:type="dxa" w:w="1440"/>
            <w:shd w:fill="FFDCE0" w:val="clear"/>
          </w:tcPr>
          <w:p>
            <w:r>
              <w:rPr>
                <w:b/>
                <w:sz w:val="17"/>
              </w:rPr>
              <w:t>10,837</w:t>
            </w:r>
          </w:p>
        </w:tc>
        <w:tc>
          <w:tcPr>
            <w:tcW w:type="dxa" w:w="1440"/>
            <w:shd w:fill="FFDCE0" w:val="clear"/>
          </w:tcPr>
          <w:p>
            <w:r>
              <w:rPr>
                <w:sz w:val="17"/>
              </w:rPr>
              <w:t>11,448</w:t>
            </w:r>
          </w:p>
        </w:tc>
        <w:tc>
          <w:tcPr>
            <w:tcW w:type="dxa" w:w="1440"/>
            <w:shd w:fill="FFDCE0" w:val="clear"/>
          </w:tcPr>
          <w:p>
            <w:r>
              <w:rPr>
                <w:b/>
                <w:color w:val="C00000"/>
                <w:sz w:val="17"/>
              </w:rPr>
              <w:t>-13.3%</w:t>
            </w:r>
          </w:p>
        </w:tc>
      </w:tr>
      <w:tr>
        <w:tc>
          <w:tcPr>
            <w:tcW w:type="dxa" w:w="1440"/>
            <w:shd w:fill="FFDCE0" w:val="clear"/>
          </w:tcPr>
          <w:p>
            <w:r>
              <w:rPr>
                <w:sz w:val="17"/>
              </w:rPr>
              <w:t>J+4  Moyenne</w:t>
            </w:r>
          </w:p>
        </w:tc>
        <w:tc>
          <w:tcPr>
            <w:tcW w:type="dxa" w:w="1440"/>
            <w:shd w:fill="FFDCE0" w:val="clear"/>
          </w:tcPr>
          <w:p>
            <w:r>
              <w:rPr>
                <w:sz w:val="17"/>
              </w:rPr>
              <w:t>2026-09-15</w:t>
            </w:r>
          </w:p>
        </w:tc>
        <w:tc>
          <w:tcPr>
            <w:tcW w:type="dxa" w:w="1440"/>
            <w:shd w:fill="FFDCE0" w:val="clear"/>
          </w:tcPr>
          <w:p>
            <w:r>
              <w:rPr>
                <w:sz w:val="17"/>
              </w:rPr>
              <w:t>9,728</w:t>
            </w:r>
          </w:p>
        </w:tc>
        <w:tc>
          <w:tcPr>
            <w:tcW w:type="dxa" w:w="1440"/>
            <w:shd w:fill="FFDCE0" w:val="clear"/>
          </w:tcPr>
          <w:p>
            <w:r>
              <w:rPr>
                <w:b/>
                <w:sz w:val="17"/>
              </w:rPr>
              <w:t>10,404</w:t>
            </w:r>
          </w:p>
        </w:tc>
        <w:tc>
          <w:tcPr>
            <w:tcW w:type="dxa" w:w="1440"/>
            <w:shd w:fill="FFDCE0" w:val="clear"/>
          </w:tcPr>
          <w:p>
            <w:r>
              <w:rPr>
                <w:sz w:val="17"/>
              </w:rPr>
              <w:t>11,081</w:t>
            </w:r>
          </w:p>
        </w:tc>
        <w:tc>
          <w:tcPr>
            <w:tcW w:type="dxa" w:w="1440"/>
            <w:shd w:fill="FFDCE0" w:val="clear"/>
          </w:tcPr>
          <w:p>
            <w:r>
              <w:rPr>
                <w:b/>
                <w:color w:val="C00000"/>
                <w:sz w:val="17"/>
              </w:rPr>
              <w:t>-16.7%</w:t>
            </w:r>
          </w:p>
        </w:tc>
      </w:tr>
      <w:tr>
        <w:tc>
          <w:tcPr>
            <w:tcW w:type="dxa" w:w="1440"/>
            <w:shd w:fill="FFDCE0" w:val="clear"/>
          </w:tcPr>
          <w:p>
            <w:r>
              <w:rPr>
                <w:sz w:val="17"/>
              </w:rPr>
              <w:t>J+5  Moyenne</w:t>
            </w:r>
          </w:p>
        </w:tc>
        <w:tc>
          <w:tcPr>
            <w:tcW w:type="dxa" w:w="1440"/>
            <w:shd w:fill="FFDCE0" w:val="clear"/>
          </w:tcPr>
          <w:p>
            <w:r>
              <w:rPr>
                <w:sz w:val="17"/>
              </w:rPr>
              <w:t>2026-09-16</w:t>
            </w:r>
          </w:p>
        </w:tc>
        <w:tc>
          <w:tcPr>
            <w:tcW w:type="dxa" w:w="1440"/>
            <w:shd w:fill="FFDCE0" w:val="clear"/>
          </w:tcPr>
          <w:p>
            <w:r>
              <w:rPr>
                <w:sz w:val="17"/>
              </w:rPr>
              <w:t>9,300</w:t>
            </w:r>
          </w:p>
        </w:tc>
        <w:tc>
          <w:tcPr>
            <w:tcW w:type="dxa" w:w="1440"/>
            <w:shd w:fill="FFDCE0" w:val="clear"/>
          </w:tcPr>
          <w:p>
            <w:r>
              <w:rPr>
                <w:b/>
                <w:sz w:val="17"/>
              </w:rPr>
              <w:t>10,029</w:t>
            </w:r>
          </w:p>
        </w:tc>
        <w:tc>
          <w:tcPr>
            <w:tcW w:type="dxa" w:w="1440"/>
            <w:shd w:fill="FFDCE0" w:val="clear"/>
          </w:tcPr>
          <w:p>
            <w:r>
              <w:rPr>
                <w:sz w:val="17"/>
              </w:rPr>
              <w:t>10,758</w:t>
            </w:r>
          </w:p>
        </w:tc>
        <w:tc>
          <w:tcPr>
            <w:tcW w:type="dxa" w:w="1440"/>
            <w:shd w:fill="FFDCE0" w:val="clear"/>
          </w:tcPr>
          <w:p>
            <w:r>
              <w:rPr>
                <w:b/>
                <w:color w:val="C00000"/>
                <w:sz w:val="17"/>
              </w:rPr>
              <w:t>-19.7%</w:t>
            </w:r>
          </w:p>
        </w:tc>
      </w:tr>
      <w:tr>
        <w:tc>
          <w:tcPr>
            <w:tcW w:type="dxa" w:w="1440"/>
            <w:shd w:fill="FFDCE0" w:val="clear"/>
          </w:tcPr>
          <w:p>
            <w:r>
              <w:rPr>
                <w:sz w:val="17"/>
              </w:rPr>
              <w:t>J+6  Moyenne</w:t>
            </w:r>
          </w:p>
        </w:tc>
        <w:tc>
          <w:tcPr>
            <w:tcW w:type="dxa" w:w="1440"/>
            <w:shd w:fill="FFDCE0" w:val="clear"/>
          </w:tcPr>
          <w:p>
            <w:r>
              <w:rPr>
                <w:sz w:val="17"/>
              </w:rPr>
              <w:t>2026-09-17</w:t>
            </w:r>
          </w:p>
        </w:tc>
        <w:tc>
          <w:tcPr>
            <w:tcW w:type="dxa" w:w="1440"/>
            <w:shd w:fill="FFDCE0" w:val="clear"/>
          </w:tcPr>
          <w:p>
            <w:r>
              <w:rPr>
                <w:sz w:val="17"/>
              </w:rPr>
              <w:t>8,932</w:t>
            </w:r>
          </w:p>
        </w:tc>
        <w:tc>
          <w:tcPr>
            <w:tcW w:type="dxa" w:w="1440"/>
            <w:shd w:fill="FFDCE0" w:val="clear"/>
          </w:tcPr>
          <w:p>
            <w:r>
              <w:rPr>
                <w:b/>
                <w:sz w:val="17"/>
              </w:rPr>
              <w:t>9,705</w:t>
            </w:r>
          </w:p>
        </w:tc>
        <w:tc>
          <w:tcPr>
            <w:tcW w:type="dxa" w:w="1440"/>
            <w:shd w:fill="FFDCE0" w:val="clear"/>
          </w:tcPr>
          <w:p>
            <w:r>
              <w:rPr>
                <w:sz w:val="17"/>
              </w:rPr>
              <w:t>10,478</w:t>
            </w:r>
          </w:p>
        </w:tc>
        <w:tc>
          <w:tcPr>
            <w:tcW w:type="dxa" w:w="1440"/>
            <w:shd w:fill="FFDCE0" w:val="clear"/>
          </w:tcPr>
          <w:p>
            <w:r>
              <w:rPr>
                <w:b/>
                <w:color w:val="C00000"/>
                <w:sz w:val="17"/>
              </w:rPr>
              <w:t>-22.3%</w:t>
            </w:r>
          </w:p>
        </w:tc>
      </w:tr>
      <w:tr>
        <w:tc>
          <w:tcPr>
            <w:tcW w:type="dxa" w:w="1440"/>
            <w:shd w:fill="FFDCE0" w:val="clear"/>
          </w:tcPr>
          <w:p>
            <w:r>
              <w:rPr>
                <w:sz w:val="17"/>
              </w:rPr>
              <w:t>J+7  Moyenne</w:t>
            </w:r>
          </w:p>
        </w:tc>
        <w:tc>
          <w:tcPr>
            <w:tcW w:type="dxa" w:w="1440"/>
            <w:shd w:fill="FFDCE0" w:val="clear"/>
          </w:tcPr>
          <w:p>
            <w:r>
              <w:rPr>
                <w:sz w:val="17"/>
              </w:rPr>
              <w:t>2026-09-18</w:t>
            </w:r>
          </w:p>
        </w:tc>
        <w:tc>
          <w:tcPr>
            <w:tcW w:type="dxa" w:w="1440"/>
            <w:shd w:fill="FFDCE0" w:val="clear"/>
          </w:tcPr>
          <w:p>
            <w:r>
              <w:rPr>
                <w:sz w:val="17"/>
              </w:rPr>
              <w:t>8,612</w:t>
            </w:r>
          </w:p>
        </w:tc>
        <w:tc>
          <w:tcPr>
            <w:tcW w:type="dxa" w:w="1440"/>
            <w:shd w:fill="FFDCE0" w:val="clear"/>
          </w:tcPr>
          <w:p>
            <w:r>
              <w:rPr>
                <w:b/>
                <w:sz w:val="17"/>
              </w:rPr>
              <w:t>9,423</w:t>
            </w:r>
          </w:p>
        </w:tc>
        <w:tc>
          <w:tcPr>
            <w:tcW w:type="dxa" w:w="1440"/>
            <w:shd w:fill="FFDCE0" w:val="clear"/>
          </w:tcPr>
          <w:p>
            <w:r>
              <w:rPr>
                <w:sz w:val="17"/>
              </w:rPr>
              <w:t>10,233</w:t>
            </w:r>
          </w:p>
        </w:tc>
        <w:tc>
          <w:tcPr>
            <w:tcW w:type="dxa" w:w="1440"/>
            <w:shd w:fill="FFDCE0" w:val="clear"/>
          </w:tcPr>
          <w:p>
            <w:r>
              <w:rPr>
                <w:b/>
                <w:color w:val="C00000"/>
                <w:sz w:val="17"/>
              </w:rPr>
              <w:t>-24.6%</w:t>
            </w:r>
          </w:p>
        </w:tc>
      </w:tr>
      <w:tr>
        <w:tc>
          <w:tcPr>
            <w:tcW w:type="dxa" w:w="1440"/>
            <w:shd w:fill="FFDCE0" w:val="clear"/>
          </w:tcPr>
          <w:p>
            <w:r>
              <w:rPr>
                <w:sz w:val="17"/>
              </w:rPr>
              <w:t>J+8  Moyenne</w:t>
            </w:r>
          </w:p>
        </w:tc>
        <w:tc>
          <w:tcPr>
            <w:tcW w:type="dxa" w:w="1440"/>
            <w:shd w:fill="FFDCE0" w:val="clear"/>
          </w:tcPr>
          <w:p>
            <w:r>
              <w:rPr>
                <w:sz w:val="17"/>
              </w:rPr>
              <w:t>2026-09-21</w:t>
            </w:r>
          </w:p>
        </w:tc>
        <w:tc>
          <w:tcPr>
            <w:tcW w:type="dxa" w:w="1440"/>
            <w:shd w:fill="FFDCE0" w:val="clear"/>
          </w:tcPr>
          <w:p>
            <w:r>
              <w:rPr>
                <w:sz w:val="17"/>
              </w:rPr>
              <w:t>8,332</w:t>
            </w:r>
          </w:p>
        </w:tc>
        <w:tc>
          <w:tcPr>
            <w:tcW w:type="dxa" w:w="1440"/>
            <w:shd w:fill="FFDCE0" w:val="clear"/>
          </w:tcPr>
          <w:p>
            <w:r>
              <w:rPr>
                <w:b/>
                <w:sz w:val="17"/>
              </w:rPr>
              <w:t>9,176</w:t>
            </w:r>
          </w:p>
        </w:tc>
        <w:tc>
          <w:tcPr>
            <w:tcW w:type="dxa" w:w="1440"/>
            <w:shd w:fill="FFDCE0" w:val="clear"/>
          </w:tcPr>
          <w:p>
            <w:r>
              <w:rPr>
                <w:sz w:val="17"/>
              </w:rPr>
              <w:t>10,020</w:t>
            </w:r>
          </w:p>
        </w:tc>
        <w:tc>
          <w:tcPr>
            <w:tcW w:type="dxa" w:w="1440"/>
            <w:shd w:fill="FFDCE0" w:val="clear"/>
          </w:tcPr>
          <w:p>
            <w:r>
              <w:rPr>
                <w:b/>
                <w:color w:val="C00000"/>
                <w:sz w:val="17"/>
              </w:rPr>
              <w:t>-26.6%</w:t>
            </w:r>
          </w:p>
        </w:tc>
      </w:tr>
      <w:tr>
        <w:tc>
          <w:tcPr>
            <w:tcW w:type="dxa" w:w="1440"/>
            <w:shd w:fill="FFDCE0" w:val="clear"/>
          </w:tcPr>
          <w:p>
            <w:r>
              <w:rPr>
                <w:sz w:val="17"/>
              </w:rPr>
              <w:t>J+9  Moyenne</w:t>
            </w:r>
          </w:p>
        </w:tc>
        <w:tc>
          <w:tcPr>
            <w:tcW w:type="dxa" w:w="1440"/>
            <w:shd w:fill="FFDCE0" w:val="clear"/>
          </w:tcPr>
          <w:p>
            <w:r>
              <w:rPr>
                <w:sz w:val="17"/>
              </w:rPr>
              <w:t>2026-09-22</w:t>
            </w:r>
          </w:p>
        </w:tc>
        <w:tc>
          <w:tcPr>
            <w:tcW w:type="dxa" w:w="1440"/>
            <w:shd w:fill="FFDCE0" w:val="clear"/>
          </w:tcPr>
          <w:p>
            <w:r>
              <w:rPr>
                <w:sz w:val="17"/>
              </w:rPr>
              <w:t>8,085</w:t>
            </w:r>
          </w:p>
        </w:tc>
        <w:tc>
          <w:tcPr>
            <w:tcW w:type="dxa" w:w="1440"/>
            <w:shd w:fill="FFDCE0" w:val="clear"/>
          </w:tcPr>
          <w:p>
            <w:r>
              <w:rPr>
                <w:b/>
                <w:sz w:val="17"/>
              </w:rPr>
              <w:t>8,958</w:t>
            </w:r>
          </w:p>
        </w:tc>
        <w:tc>
          <w:tcPr>
            <w:tcW w:type="dxa" w:w="1440"/>
            <w:shd w:fill="FFDCE0" w:val="clear"/>
          </w:tcPr>
          <w:p>
            <w:r>
              <w:rPr>
                <w:sz w:val="17"/>
              </w:rPr>
              <w:t>9,832</w:t>
            </w:r>
          </w:p>
        </w:tc>
        <w:tc>
          <w:tcPr>
            <w:tcW w:type="dxa" w:w="1440"/>
            <w:shd w:fill="FFDCE0" w:val="clear"/>
          </w:tcPr>
          <w:p>
            <w:r>
              <w:rPr>
                <w:b/>
                <w:color w:val="C00000"/>
                <w:sz w:val="17"/>
              </w:rPr>
              <w:t>-28.3%</w:t>
            </w:r>
          </w:p>
        </w:tc>
      </w:tr>
      <w:tr>
        <w:tc>
          <w:tcPr>
            <w:tcW w:type="dxa" w:w="1440"/>
            <w:shd w:fill="FFDCE0" w:val="clear"/>
          </w:tcPr>
          <w:p>
            <w:r>
              <w:rPr>
                <w:sz w:val="17"/>
              </w:rPr>
              <w:t>J+10  Moyenne</w:t>
            </w:r>
          </w:p>
        </w:tc>
        <w:tc>
          <w:tcPr>
            <w:tcW w:type="dxa" w:w="1440"/>
            <w:shd w:fill="FFDCE0" w:val="clear"/>
          </w:tcPr>
          <w:p>
            <w:r>
              <w:rPr>
                <w:sz w:val="17"/>
              </w:rPr>
              <w:t>2026-09-23</w:t>
            </w:r>
          </w:p>
        </w:tc>
        <w:tc>
          <w:tcPr>
            <w:tcW w:type="dxa" w:w="1440"/>
            <w:shd w:fill="FFDCE0" w:val="clear"/>
          </w:tcPr>
          <w:p>
            <w:r>
              <w:rPr>
                <w:sz w:val="17"/>
              </w:rPr>
              <w:t>7,864</w:t>
            </w:r>
          </w:p>
        </w:tc>
        <w:tc>
          <w:tcPr>
            <w:tcW w:type="dxa" w:w="1440"/>
            <w:shd w:fill="FFDCE0" w:val="clear"/>
          </w:tcPr>
          <w:p>
            <w:r>
              <w:rPr>
                <w:b/>
                <w:sz w:val="17"/>
              </w:rPr>
              <w:t>8,765</w:t>
            </w:r>
          </w:p>
        </w:tc>
        <w:tc>
          <w:tcPr>
            <w:tcW w:type="dxa" w:w="1440"/>
            <w:shd w:fill="FFDCE0" w:val="clear"/>
          </w:tcPr>
          <w:p>
            <w:r>
              <w:rPr>
                <w:sz w:val="17"/>
              </w:rPr>
              <w:t>9,666</w:t>
            </w:r>
          </w:p>
        </w:tc>
        <w:tc>
          <w:tcPr>
            <w:tcW w:type="dxa" w:w="1440"/>
            <w:shd w:fill="FFDCE0" w:val="clear"/>
          </w:tcPr>
          <w:p>
            <w:r>
              <w:rPr>
                <w:b/>
                <w:color w:val="C00000"/>
                <w:sz w:val="17"/>
              </w:rPr>
              <w:t>-29.9%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 📊 RAPPORT D'ANALYSE FINANCIÈRE — BOAC (Bank of Africa Côte d'Ivoire)</w:t>
        <w:br/>
        <w:t>**Bourse Régionale des Valeurs Mobilières (BRVM) — Secteur : Banque**</w:t>
        <w:br/>
        <w:t>*Cours de référence : 12 495 FCFA — Capitalisation : 499,80 Mds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499,80 Mds FCFA, BOAC figure parmi les valeurs bancaires les plus capitalisées de la BRVM, ce qui lui confère une liquidité relative et une visibilité institutionnelle appréciables. Le BPA de 888 FCFA/action signifie que chaque titre génère près de neuf cents francs de bénéfice net, un niveau élevé qui traduit la forte rentabilité de la banque. Le PER de 14,1x se situe au-dessus de la moyenne du marché BRVM (estimée entre 8 et 12x), ce qui indique que les investisseurs acceptent de payer une prime pour la qualité de la signature BOAC — la valorisation reste toutefois « modérée » au regard des standards internationaux du secteur bancaire. Le P/B de 3,92x montre que le marché valorise la banque à près de quatre fois sa valeur comptable, une prime de croissance significative qui suppose que le marché anticipe une poursuite de la rentabilité élevée (ROE ~28%). En revanche, l'EV/EBITDA de 27,4x apparaît très exigeant (&gt;15x), signalant que la valeur d'entreprise intègre déjà une bonne partie des perspectives de croissance — un point de vigilance pour les investisseurs cherchant une marge de sécurité.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BOAC affiche une performance spectaculaire de **+48,75%**, portant le cours à 12 495 FCFA, malgré une quasi-stabilité sur la dernière séance (-0,04%). Le titre a évolué dans un range très large de 8 400 FCFA (plus bas) à 13 450 FCFA (plus haut), soit un écart de plus de 5 000 FCFA qui témoigne d'un fort momentum haussier entrecoupé de corrections. La tendance générale est donc clairement haussière, soutenue par des publications fondamentales solides et un intérêt croissant pour les valeurs bancaires de la zone UEMOA. Les statistiques descriptives révèlent une moyenne de 10 041 FCFA nettement supérieure à la médiane de 9 250 FCFA, ce qui confirme une distribution asymétrique : le cours a passé plus de temps dans les niveaux bas avant de s'envoler en fin de période. L'écart-type de 1 580 FCFA (CV = 15,7%) indique une dispersion modérée du cours autour de sa moyenne, tandis que le kurtosis de -0,756 (mésokurtique) suggère une distribution proche de la normale, sans pics extrêmes marqués — un profil rassurant pour la gestion du risque. Le skewness positif de 0,901 confirme cette asymétrie : davantage de journées se sont situées sous la moyenne, ce qui signifie que la hausse récente est concentrée sur une phase courte et puissante. Enfin, la volatilité annualisée de 25,7% place BOAC dans la catégorie des titres à volatilité **modérée** (15-30%), cohérente avec son statut de valeur bancaire de premier plan.</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12 751,75 FCFA et la MM50 à 11 232,70 FCFA, toutes deux inférieures au cours actuel de 12 495 FCFA pour la MM20 (léger repli) mais nettement en dessous pour la MM50. La configuration MM20 &gt; MM50 confirme une structure haussière de moyen terme, et la décision technique affichée est **Achat** : le titre reste soutenu par sa tendance de fond malgré une consolidation récente sous la MM20.</w:t>
      </w:r>
    </w:p>
    <w:p>
      <w:pPr>
        <w:spacing w:after="120" w:line="276" w:lineRule="auto"/>
      </w:pPr>
      <w:r>
        <w:t>**Bandes de Bollinger** — Les bornes supérieure (13 488,39 FCFA) et inférieure (12 015,11 FCFA) encadrent un cours de 12 495 FCFA, situé dans la moitié basse du canal. La largeur des bandes traduit une volatilité encore présente, et la décision **Neutre** reflète l'absence de signal directionnel fort : le titre n'est ni en surachat ni en survente par rapport à ses bandes, ce qui invite à la prudence avant tout nouvel engagement.</w:t>
      </w:r>
    </w:p>
    <w:p>
      <w:pPr>
        <w:spacing w:after="120" w:line="276" w:lineRule="auto"/>
      </w:pPr>
      <w:r>
        <w:t>**MACD** — La valeur du MACD (311,33) est inférieure à son signal (453,19), générant une divergence baissière et une décision **Vente**. Ce croisement négatif indique un essoufflement du momentum haussier à court terme, bien que le MACD reste en territoire positif — il s'agit donc davantage d'une correction technique que d'un retournement de tendance.</w:t>
      </w:r>
    </w:p>
    <w:p>
      <w:pPr>
        <w:spacing w:after="120" w:line="276" w:lineRule="auto"/>
      </w:pPr>
      <w:r>
        <w:t>**RSI** — À 17,14, le RSI se situe très largement en zone de **survente** (&lt;30), ce qui déclenche une décision **Achat**. Ce niveau extrême suggère que le titre a été excessivement vendu à court terme et qu'un rebond technique est probable, surtout après la forte hausse des mois précédents.</w:t>
      </w:r>
    </w:p>
    <w:p>
      <w:pPr>
        <w:spacing w:after="120" w:line="276" w:lineRule="auto"/>
      </w:pPr>
      <w:r>
        <w:t>**Stochastique** — Le %K (19,9) et le %D (19,21) sont tous deux en zone basse, proches l'un de l'autre, avec une décision **Achat**. L'absence de croisement baissier marqué et la position en survente confortent l'idée d'un potentiel rebond à court terme.</w:t>
      </w:r>
    </w:p>
    <w:p>
      <w:pPr>
        <w:spacing w:after="120" w:line="276" w:lineRule="auto"/>
      </w:pPr>
      <w:r>
        <w:t>**Conclusion technique** — Les indicateurs sont **partagés** : les moyennes mobiles et le RSI/Stochastique plaident pour un achat (survente + tendance de fond haussière), tandis que le MACD et les Bandes de Bollinger incitent à la neutralité/vente à court terme. Cette divergence suggère une phase de consolidation après la forte hausse, avec un potentiel de rebond technique mais sans signal directionnel fort — la prudence reste de mise à court terme.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BOAC affiche un Produit Net Bancaire (PNB, équivalent du chiffre d'affaires pour une banque) de **73 545 Mds FCFA** en 2025, en légère hausse de +1,1% par rapport à 2024 (72 724 Mds FCFA). Le résultat net s'élève à **35 540 Mds FCFA**, en progression de +10,9% sur un an, portant le BPA à 889 FCFA. La rentabilité est exceptionnelle : le **ROE atteint 27,91%** (largement supérieur au seuil de 15% considéré comme excellent) et le **ROA s'établit à 3,22%**, confirmant l'efficacité de l'utilisation des actifs. Le **coefficient d'exploitation de 36,70%** est excellent pour une banque (&lt;50%), témoignant d'une grande maîtrise des charges. Le coût du risque, à 6,67% des charges financières, reste contenu mais mérite une surveillance : les créances en souffrance ont bondi de +52,1% sur l'année, avec un taux de sinistralité de 8,59% et un taux de provisionnement de 65,76%. La structure bilancielle est solide : les dépôts clientèle (850 548 Mds FCFA) couvrent largement les créances clientèle (430 433 Mds FCFA), avec un ratio de transformation de 50,6%, et la liquidité générale (3 684%) est très confortable. L'autonomie financière (11,54%) reste toutefois faible, typique du modèle bancaire, mais la solvabilité générale (113,05%) est assurée.</w:t>
      </w:r>
    </w:p>
    <w:p>
      <w:pPr>
        <w:spacing w:after="120" w:line="276" w:lineRule="auto"/>
      </w:pPr>
      <w:r>
        <w:t>**Estimations basées sur les rapports trimestriels** : Le rapport du **T1 2026 (daté du 31/03/2026)** indique un PNB de 18 960 Mds FCFA (+3,09% sur un an) et un résultat net de 10 801 Mds FCFA (+0,91%), avec un coefficient d'exploitation stable à 35,68%. Point d'alerte : le coût net du risque bondit de +314,75% (-652 vs -157 Mds FCFA), une dégradation marquée qui, si elle se confirme, pourrait peser sur les trimestres suivants. Les dépôts clientèle bondissent de +21,44% (923 307 Mds FCFA), tandis que les crédits nets restent quasi stables (-0,29% à 442 169 Mds FCFA). Le rapport annuel 2025 (daté du 31/12/2025) confirme la solidité avec une recommandation **ACHAT**, soulignant la croissance rentable, l'amélioration du coût du risque comptable et un dividende en hausse (684 FCFA/action au titre de 2024, soit un rendement d'environ 5,5% au cours actuel). Le rapport du **T3 2025 (30/09/2025)** affichait un PNB cumulé de 53 494 Mds FCFA (+0,23%) et un résultat net de 26 632 Mds FCFA (+1,29%), avec un coût du risque en amélioration (+10,18%). **On estime donc que l'exercice 2026 devrait maintenir une croissance modérée du PNB (+2 à +4%) et du résultat net (+1 à +3%), sous réserve que la dégradation du coût du risque au T1 2026 ne s'amplifie pas.** La recommandation fondamentale est **CONSERVER** : la banque est solide, rentable et bien capitalisée, mais la valorisation exigeante et la montée des créances en souffrance limitent le potentiel de re-rating à court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La **valorisation (Partie 0)** est exigeante : PER de 14,1x (au-dessus de la moyenne BRVM), P/B de 3,92x et EV/EBITDA de 27,4x intègrent déjà une prime de qualité, ce qui limite la marge de sécurité. Le **comportement du cours (Partie 1)** est haussier (+48,75% sur 100 jours) avec une volatilité modérée (25,7%) et des statistiques rassurantes (kurtosis proche de la normale, skewness positif), mais le titre approche de ses plus hauts, ce qui expose à des prises de bénéfices. Les **signaux techniques (Partie 2)** sont divergents : RSI en survente (17,14) et Stochastique bas plaident pour un rebond, tandis que le MACD baissier et les Bandes de Bollinger neutres suggèrent une consolidation — la convergence n'est pas totale. Les **fondamentaux (Partie 3)** sont solides : ROE de 27,91%, coefficient d'exploitation de 36,70%, résultat net en hausse de +10,9% en 2025, mais le coût du risque au T1 2026 (+314,75%) constitue un signal d'alerte. Les **prédictions IA (J+1 à J+10)** anticipent une baisse progressive de 11 820 FCFA à 10 029 FCFA, ce qui **contredit** les signaux d'achat techniques à court terme et suggère une correction en cours. **Recommandation finale : CONSERVER** — la convergence entre valorisation exigeante, technique mitigée, fondamentaux solides mais risqués et prédictions baissières ne justifie ni un achat agressif ni une vente. Le niveau de confiance est **Moyen** (divergence des signaux) et le risque global **Moyen** (volatilité modérée, mais valorisation tendue et coût du risque en hausse). L'horizon optimal est le **moyen terme (3-12 mois)**, en attendant la confirmation de la tendance du coût du risque et une meilleure visibilité sur l'exercice 2026.</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192.29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6,295 titres</w:t>
            </w:r>
          </w:p>
        </w:tc>
        <w:tc>
          <w:tcPr>
            <w:tcW w:type="dxa" w:w="2268"/>
            <w:shd w:fill="FFF2CC" w:val="clear"/>
          </w:tcPr>
          <w:p>
            <w:r>
              <w:rPr>
                <w:b/>
                <w:color w:val="503200"/>
                <w:sz w:val="16"/>
              </w:rPr>
              <w:t xml:space="preserve">Cours actuel : </w:t>
            </w:r>
            <w:r>
              <w:rPr>
                <w:color w:val="000000"/>
                <w:sz w:val="17"/>
              </w:rPr>
              <w:t>7,005 FCFA</w:t>
            </w:r>
          </w:p>
          <w:p>
            <w:r>
              <w:rPr>
                <w:b/>
                <w:color w:val="503200"/>
                <w:sz w:val="16"/>
              </w:rPr>
              <w:t xml:space="preserve">Var. 100 jours : </w:t>
            </w:r>
            <w:r>
              <w:rPr>
                <w:b/>
                <w:color w:val="007800"/>
                <w:sz w:val="17"/>
              </w:rPr>
              <w:t>+52.61%</w:t>
            </w:r>
          </w:p>
          <w:p>
            <w:r>
              <w:rPr>
                <w:b/>
                <w:color w:val="503200"/>
                <w:sz w:val="16"/>
              </w:rPr>
              <w:t xml:space="preserve">Plus haut 100j : </w:t>
            </w:r>
            <w:r>
              <w:rPr>
                <w:color w:val="000000"/>
                <w:sz w:val="17"/>
              </w:rPr>
              <w:t>7,005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13.28% (Moyenne) — μ=5,304 FCFA, σ=704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β=0.3347 (Défensif) — Cov=0.000012, Var(idx)=0.000036, ρ=0.094,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6,295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σ_j=2.14%/j (Stable) — Vol. annualisée≈34.0%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2026-09-10</w:t>
            </w:r>
          </w:p>
        </w:tc>
        <w:tc>
          <w:tcPr>
            <w:tcW w:type="dxa" w:w="1440"/>
            <w:shd w:fill="FAFAFA" w:val="clear"/>
          </w:tcPr>
          <w:p>
            <w:r>
              <w:rPr>
                <w:sz w:val="17"/>
              </w:rPr>
              <w:t>6,684</w:t>
            </w:r>
          </w:p>
        </w:tc>
        <w:tc>
          <w:tcPr>
            <w:tcW w:type="dxa" w:w="1440"/>
            <w:shd w:fill="FAFAFA" w:val="clear"/>
          </w:tcPr>
          <w:p>
            <w:r>
              <w:rPr>
                <w:b/>
                <w:sz w:val="17"/>
              </w:rPr>
              <w:t>6,911</w:t>
            </w:r>
          </w:p>
        </w:tc>
        <w:tc>
          <w:tcPr>
            <w:tcW w:type="dxa" w:w="1440"/>
            <w:shd w:fill="FAFAFA" w:val="clear"/>
          </w:tcPr>
          <w:p>
            <w:r>
              <w:rPr>
                <w:sz w:val="17"/>
              </w:rPr>
              <w:t>7,138</w:t>
            </w:r>
          </w:p>
        </w:tc>
        <w:tc>
          <w:tcPr>
            <w:tcW w:type="dxa" w:w="1440"/>
            <w:shd w:fill="FAFAFA" w:val="clear"/>
          </w:tcPr>
          <w:p>
            <w:r>
              <w:rPr>
                <w:b/>
                <w:color w:val="C00000"/>
                <w:sz w:val="17"/>
              </w:rPr>
              <w:t>-1.3%</w:t>
            </w:r>
          </w:p>
        </w:tc>
      </w:tr>
      <w:tr>
        <w:tc>
          <w:tcPr>
            <w:tcW w:type="dxa" w:w="1440"/>
            <w:shd w:fill="FFDCE0" w:val="clear"/>
          </w:tcPr>
          <w:p>
            <w:r>
              <w:rPr>
                <w:sz w:val="17"/>
              </w:rPr>
              <w:t>J+2  ⭐⭐⭐</w:t>
            </w:r>
          </w:p>
        </w:tc>
        <w:tc>
          <w:tcPr>
            <w:tcW w:type="dxa" w:w="1440"/>
            <w:shd w:fill="FFDCE0" w:val="clear"/>
          </w:tcPr>
          <w:p>
            <w:r>
              <w:rPr>
                <w:sz w:val="17"/>
              </w:rPr>
              <w:t>2026-09-11</w:t>
            </w:r>
          </w:p>
        </w:tc>
        <w:tc>
          <w:tcPr>
            <w:tcW w:type="dxa" w:w="1440"/>
            <w:shd w:fill="FFDCE0" w:val="clear"/>
          </w:tcPr>
          <w:p>
            <w:r>
              <w:rPr>
                <w:sz w:val="17"/>
              </w:rPr>
              <w:t>6,391</w:t>
            </w:r>
          </w:p>
        </w:tc>
        <w:tc>
          <w:tcPr>
            <w:tcW w:type="dxa" w:w="1440"/>
            <w:shd w:fill="FFDCE0" w:val="clear"/>
          </w:tcPr>
          <w:p>
            <w:r>
              <w:rPr>
                <w:b/>
                <w:sz w:val="17"/>
              </w:rPr>
              <w:t>6,702</w:t>
            </w:r>
          </w:p>
        </w:tc>
        <w:tc>
          <w:tcPr>
            <w:tcW w:type="dxa" w:w="1440"/>
            <w:shd w:fill="FFDCE0" w:val="clear"/>
          </w:tcPr>
          <w:p>
            <w:r>
              <w:rPr>
                <w:sz w:val="17"/>
              </w:rPr>
              <w:t>7,014</w:t>
            </w:r>
          </w:p>
        </w:tc>
        <w:tc>
          <w:tcPr>
            <w:tcW w:type="dxa" w:w="1440"/>
            <w:shd w:fill="FFDCE0" w:val="clear"/>
          </w:tcPr>
          <w:p>
            <w:r>
              <w:rPr>
                <w:b/>
                <w:color w:val="C00000"/>
                <w:sz w:val="17"/>
              </w:rPr>
              <w:t>-4.3%</w:t>
            </w:r>
          </w:p>
        </w:tc>
      </w:tr>
      <w:tr>
        <w:tc>
          <w:tcPr>
            <w:tcW w:type="dxa" w:w="1440"/>
            <w:shd w:fill="FFDCE0" w:val="clear"/>
          </w:tcPr>
          <w:p>
            <w:r>
              <w:rPr>
                <w:sz w:val="17"/>
              </w:rPr>
              <w:t>J+3  ⭐⭐⭐</w:t>
            </w:r>
          </w:p>
        </w:tc>
        <w:tc>
          <w:tcPr>
            <w:tcW w:type="dxa" w:w="1440"/>
            <w:shd w:fill="FFDCE0" w:val="clear"/>
          </w:tcPr>
          <w:p>
            <w:r>
              <w:rPr>
                <w:sz w:val="17"/>
              </w:rPr>
              <w:t>2026-09-14</w:t>
            </w:r>
          </w:p>
        </w:tc>
        <w:tc>
          <w:tcPr>
            <w:tcW w:type="dxa" w:w="1440"/>
            <w:shd w:fill="FFDCE0" w:val="clear"/>
          </w:tcPr>
          <w:p>
            <w:r>
              <w:rPr>
                <w:sz w:val="17"/>
              </w:rPr>
              <w:t>6,122</w:t>
            </w:r>
          </w:p>
        </w:tc>
        <w:tc>
          <w:tcPr>
            <w:tcW w:type="dxa" w:w="1440"/>
            <w:shd w:fill="FFDCE0" w:val="clear"/>
          </w:tcPr>
          <w:p>
            <w:r>
              <w:rPr>
                <w:b/>
                <w:sz w:val="17"/>
              </w:rPr>
              <w:t>6,491</w:t>
            </w:r>
          </w:p>
        </w:tc>
        <w:tc>
          <w:tcPr>
            <w:tcW w:type="dxa" w:w="1440"/>
            <w:shd w:fill="FFDCE0" w:val="clear"/>
          </w:tcPr>
          <w:p>
            <w:r>
              <w:rPr>
                <w:sz w:val="17"/>
              </w:rPr>
              <w:t>6,861</w:t>
            </w:r>
          </w:p>
        </w:tc>
        <w:tc>
          <w:tcPr>
            <w:tcW w:type="dxa" w:w="1440"/>
            <w:shd w:fill="FFDCE0" w:val="clear"/>
          </w:tcPr>
          <w:p>
            <w:r>
              <w:rPr>
                <w:b/>
                <w:color w:val="C00000"/>
                <w:sz w:val="17"/>
              </w:rPr>
              <w:t>-7.3%</w:t>
            </w:r>
          </w:p>
        </w:tc>
      </w:tr>
      <w:tr>
        <w:tc>
          <w:tcPr>
            <w:tcW w:type="dxa" w:w="1440"/>
            <w:shd w:fill="FFDCE0" w:val="clear"/>
          </w:tcPr>
          <w:p>
            <w:r>
              <w:rPr>
                <w:sz w:val="17"/>
              </w:rPr>
              <w:t>J+4  Moyenne</w:t>
            </w:r>
          </w:p>
        </w:tc>
        <w:tc>
          <w:tcPr>
            <w:tcW w:type="dxa" w:w="1440"/>
            <w:shd w:fill="FFDCE0" w:val="clear"/>
          </w:tcPr>
          <w:p>
            <w:r>
              <w:rPr>
                <w:sz w:val="17"/>
              </w:rPr>
              <w:t>2026-09-15</w:t>
            </w:r>
          </w:p>
        </w:tc>
        <w:tc>
          <w:tcPr>
            <w:tcW w:type="dxa" w:w="1440"/>
            <w:shd w:fill="FFDCE0" w:val="clear"/>
          </w:tcPr>
          <w:p>
            <w:r>
              <w:rPr>
                <w:sz w:val="17"/>
              </w:rPr>
              <w:t>5,902</w:t>
            </w:r>
          </w:p>
        </w:tc>
        <w:tc>
          <w:tcPr>
            <w:tcW w:type="dxa" w:w="1440"/>
            <w:shd w:fill="FFDCE0" w:val="clear"/>
          </w:tcPr>
          <w:p>
            <w:r>
              <w:rPr>
                <w:b/>
                <w:sz w:val="17"/>
              </w:rPr>
              <w:t>6,317</w:t>
            </w:r>
          </w:p>
        </w:tc>
        <w:tc>
          <w:tcPr>
            <w:tcW w:type="dxa" w:w="1440"/>
            <w:shd w:fill="FFDCE0" w:val="clear"/>
          </w:tcPr>
          <w:p>
            <w:r>
              <w:rPr>
                <w:sz w:val="17"/>
              </w:rPr>
              <w:t>6,732</w:t>
            </w:r>
          </w:p>
        </w:tc>
        <w:tc>
          <w:tcPr>
            <w:tcW w:type="dxa" w:w="1440"/>
            <w:shd w:fill="FFDCE0" w:val="clear"/>
          </w:tcPr>
          <w:p>
            <w:r>
              <w:rPr>
                <w:b/>
                <w:color w:val="C00000"/>
                <w:sz w:val="17"/>
              </w:rPr>
              <w:t>-9.8%</w:t>
            </w:r>
          </w:p>
        </w:tc>
      </w:tr>
      <w:tr>
        <w:tc>
          <w:tcPr>
            <w:tcW w:type="dxa" w:w="1440"/>
            <w:shd w:fill="FFDCE0" w:val="clear"/>
          </w:tcPr>
          <w:p>
            <w:r>
              <w:rPr>
                <w:sz w:val="17"/>
              </w:rPr>
              <w:t>J+5  Moyenne</w:t>
            </w:r>
          </w:p>
        </w:tc>
        <w:tc>
          <w:tcPr>
            <w:tcW w:type="dxa" w:w="1440"/>
            <w:shd w:fill="FFDCE0" w:val="clear"/>
          </w:tcPr>
          <w:p>
            <w:r>
              <w:rPr>
                <w:sz w:val="17"/>
              </w:rPr>
              <w:t>2026-09-16</w:t>
            </w:r>
          </w:p>
        </w:tc>
        <w:tc>
          <w:tcPr>
            <w:tcW w:type="dxa" w:w="1440"/>
            <w:shd w:fill="FFDCE0" w:val="clear"/>
          </w:tcPr>
          <w:p>
            <w:r>
              <w:rPr>
                <w:sz w:val="17"/>
              </w:rPr>
              <w:t>5,722</w:t>
            </w:r>
          </w:p>
        </w:tc>
        <w:tc>
          <w:tcPr>
            <w:tcW w:type="dxa" w:w="1440"/>
            <w:shd w:fill="FFDCE0" w:val="clear"/>
          </w:tcPr>
          <w:p>
            <w:r>
              <w:rPr>
                <w:b/>
                <w:sz w:val="17"/>
              </w:rPr>
              <w:t>6,176</w:t>
            </w:r>
          </w:p>
        </w:tc>
        <w:tc>
          <w:tcPr>
            <w:tcW w:type="dxa" w:w="1440"/>
            <w:shd w:fill="FFDCE0" w:val="clear"/>
          </w:tcPr>
          <w:p>
            <w:r>
              <w:rPr>
                <w:sz w:val="17"/>
              </w:rPr>
              <w:t>6,630</w:t>
            </w:r>
          </w:p>
        </w:tc>
        <w:tc>
          <w:tcPr>
            <w:tcW w:type="dxa" w:w="1440"/>
            <w:shd w:fill="FFDCE0" w:val="clear"/>
          </w:tcPr>
          <w:p>
            <w:r>
              <w:rPr>
                <w:b/>
                <w:color w:val="C00000"/>
                <w:sz w:val="17"/>
              </w:rPr>
              <w:t>-11.8%</w:t>
            </w:r>
          </w:p>
        </w:tc>
      </w:tr>
      <w:tr>
        <w:tc>
          <w:tcPr>
            <w:tcW w:type="dxa" w:w="1440"/>
            <w:shd w:fill="FFDCE0" w:val="clear"/>
          </w:tcPr>
          <w:p>
            <w:r>
              <w:rPr>
                <w:sz w:val="17"/>
              </w:rPr>
              <w:t>J+6  Moyenne</w:t>
            </w:r>
          </w:p>
        </w:tc>
        <w:tc>
          <w:tcPr>
            <w:tcW w:type="dxa" w:w="1440"/>
            <w:shd w:fill="FFDCE0" w:val="clear"/>
          </w:tcPr>
          <w:p>
            <w:r>
              <w:rPr>
                <w:sz w:val="17"/>
              </w:rPr>
              <w:t>2026-09-17</w:t>
            </w:r>
          </w:p>
        </w:tc>
        <w:tc>
          <w:tcPr>
            <w:tcW w:type="dxa" w:w="1440"/>
            <w:shd w:fill="FFDCE0" w:val="clear"/>
          </w:tcPr>
          <w:p>
            <w:r>
              <w:rPr>
                <w:sz w:val="17"/>
              </w:rPr>
              <w:t>5,568</w:t>
            </w:r>
          </w:p>
        </w:tc>
        <w:tc>
          <w:tcPr>
            <w:tcW w:type="dxa" w:w="1440"/>
            <w:shd w:fill="FFDCE0" w:val="clear"/>
          </w:tcPr>
          <w:p>
            <w:r>
              <w:rPr>
                <w:b/>
                <w:sz w:val="17"/>
              </w:rPr>
              <w:t>6,056</w:t>
            </w:r>
          </w:p>
        </w:tc>
        <w:tc>
          <w:tcPr>
            <w:tcW w:type="dxa" w:w="1440"/>
            <w:shd w:fill="FFDCE0" w:val="clear"/>
          </w:tcPr>
          <w:p>
            <w:r>
              <w:rPr>
                <w:sz w:val="17"/>
              </w:rPr>
              <w:t>6,543</w:t>
            </w:r>
          </w:p>
        </w:tc>
        <w:tc>
          <w:tcPr>
            <w:tcW w:type="dxa" w:w="1440"/>
            <w:shd w:fill="FFDCE0" w:val="clear"/>
          </w:tcPr>
          <w:p>
            <w:r>
              <w:rPr>
                <w:b/>
                <w:color w:val="C00000"/>
                <w:sz w:val="17"/>
              </w:rPr>
              <w:t>-13.6%</w:t>
            </w:r>
          </w:p>
        </w:tc>
      </w:tr>
      <w:tr>
        <w:tc>
          <w:tcPr>
            <w:tcW w:type="dxa" w:w="1440"/>
            <w:shd w:fill="FFDCE0" w:val="clear"/>
          </w:tcPr>
          <w:p>
            <w:r>
              <w:rPr>
                <w:sz w:val="17"/>
              </w:rPr>
              <w:t>J+7  Moyenne</w:t>
            </w:r>
          </w:p>
        </w:tc>
        <w:tc>
          <w:tcPr>
            <w:tcW w:type="dxa" w:w="1440"/>
            <w:shd w:fill="FFDCE0" w:val="clear"/>
          </w:tcPr>
          <w:p>
            <w:r>
              <w:rPr>
                <w:sz w:val="17"/>
              </w:rPr>
              <w:t>2026-09-18</w:t>
            </w:r>
          </w:p>
        </w:tc>
        <w:tc>
          <w:tcPr>
            <w:tcW w:type="dxa" w:w="1440"/>
            <w:shd w:fill="FFDCE0" w:val="clear"/>
          </w:tcPr>
          <w:p>
            <w:r>
              <w:rPr>
                <w:sz w:val="17"/>
              </w:rPr>
              <w:t>5,431</w:t>
            </w:r>
          </w:p>
        </w:tc>
        <w:tc>
          <w:tcPr>
            <w:tcW w:type="dxa" w:w="1440"/>
            <w:shd w:fill="FFDCE0" w:val="clear"/>
          </w:tcPr>
          <w:p>
            <w:r>
              <w:rPr>
                <w:b/>
                <w:sz w:val="17"/>
              </w:rPr>
              <w:t>5,948</w:t>
            </w:r>
          </w:p>
        </w:tc>
        <w:tc>
          <w:tcPr>
            <w:tcW w:type="dxa" w:w="1440"/>
            <w:shd w:fill="FFDCE0" w:val="clear"/>
          </w:tcPr>
          <w:p>
            <w:r>
              <w:rPr>
                <w:sz w:val="17"/>
              </w:rPr>
              <w:t>6,465</w:t>
            </w:r>
          </w:p>
        </w:tc>
        <w:tc>
          <w:tcPr>
            <w:tcW w:type="dxa" w:w="1440"/>
            <w:shd w:fill="FFDCE0" w:val="clear"/>
          </w:tcPr>
          <w:p>
            <w:r>
              <w:rPr>
                <w:b/>
                <w:color w:val="C00000"/>
                <w:sz w:val="17"/>
              </w:rPr>
              <w:t>-15.1%</w:t>
            </w:r>
          </w:p>
        </w:tc>
      </w:tr>
      <w:tr>
        <w:tc>
          <w:tcPr>
            <w:tcW w:type="dxa" w:w="1440"/>
            <w:shd w:fill="FFDCE0" w:val="clear"/>
          </w:tcPr>
          <w:p>
            <w:r>
              <w:rPr>
                <w:sz w:val="17"/>
              </w:rPr>
              <w:t>J+8  Moyenne</w:t>
            </w:r>
          </w:p>
        </w:tc>
        <w:tc>
          <w:tcPr>
            <w:tcW w:type="dxa" w:w="1440"/>
            <w:shd w:fill="FFDCE0" w:val="clear"/>
          </w:tcPr>
          <w:p>
            <w:r>
              <w:rPr>
                <w:sz w:val="17"/>
              </w:rPr>
              <w:t>2026-09-21</w:t>
            </w:r>
          </w:p>
        </w:tc>
        <w:tc>
          <w:tcPr>
            <w:tcW w:type="dxa" w:w="1440"/>
            <w:shd w:fill="FFDCE0" w:val="clear"/>
          </w:tcPr>
          <w:p>
            <w:r>
              <w:rPr>
                <w:sz w:val="17"/>
              </w:rPr>
              <w:t>5,305</w:t>
            </w:r>
          </w:p>
        </w:tc>
        <w:tc>
          <w:tcPr>
            <w:tcW w:type="dxa" w:w="1440"/>
            <w:shd w:fill="FFDCE0" w:val="clear"/>
          </w:tcPr>
          <w:p>
            <w:r>
              <w:rPr>
                <w:b/>
                <w:sz w:val="17"/>
              </w:rPr>
              <w:t>5,849</w:t>
            </w:r>
          </w:p>
        </w:tc>
        <w:tc>
          <w:tcPr>
            <w:tcW w:type="dxa" w:w="1440"/>
            <w:shd w:fill="FFDCE0" w:val="clear"/>
          </w:tcPr>
          <w:p>
            <w:r>
              <w:rPr>
                <w:sz w:val="17"/>
              </w:rPr>
              <w:t>6,392</w:t>
            </w:r>
          </w:p>
        </w:tc>
        <w:tc>
          <w:tcPr>
            <w:tcW w:type="dxa" w:w="1440"/>
            <w:shd w:fill="FFDCE0" w:val="clear"/>
          </w:tcPr>
          <w:p>
            <w:r>
              <w:rPr>
                <w:b/>
                <w:color w:val="C00000"/>
                <w:sz w:val="17"/>
              </w:rPr>
              <w:t>-16.5%</w:t>
            </w:r>
          </w:p>
        </w:tc>
      </w:tr>
      <w:tr>
        <w:tc>
          <w:tcPr>
            <w:tcW w:type="dxa" w:w="1440"/>
            <w:shd w:fill="FFDCE0" w:val="clear"/>
          </w:tcPr>
          <w:p>
            <w:r>
              <w:rPr>
                <w:sz w:val="17"/>
              </w:rPr>
              <w:t>J+9  Moyenne</w:t>
            </w:r>
          </w:p>
        </w:tc>
        <w:tc>
          <w:tcPr>
            <w:tcW w:type="dxa" w:w="1440"/>
            <w:shd w:fill="FFDCE0" w:val="clear"/>
          </w:tcPr>
          <w:p>
            <w:r>
              <w:rPr>
                <w:sz w:val="17"/>
              </w:rPr>
              <w:t>2026-09-22</w:t>
            </w:r>
          </w:p>
        </w:tc>
        <w:tc>
          <w:tcPr>
            <w:tcW w:type="dxa" w:w="1440"/>
            <w:shd w:fill="FFDCE0" w:val="clear"/>
          </w:tcPr>
          <w:p>
            <w:r>
              <w:rPr>
                <w:sz w:val="17"/>
              </w:rPr>
              <w:t>5,189</w:t>
            </w:r>
          </w:p>
        </w:tc>
        <w:tc>
          <w:tcPr>
            <w:tcW w:type="dxa" w:w="1440"/>
            <w:shd w:fill="FFDCE0" w:val="clear"/>
          </w:tcPr>
          <w:p>
            <w:r>
              <w:rPr>
                <w:b/>
                <w:sz w:val="17"/>
              </w:rPr>
              <w:t>5,756</w:t>
            </w:r>
          </w:p>
        </w:tc>
        <w:tc>
          <w:tcPr>
            <w:tcW w:type="dxa" w:w="1440"/>
            <w:shd w:fill="FFDCE0" w:val="clear"/>
          </w:tcPr>
          <w:p>
            <w:r>
              <w:rPr>
                <w:sz w:val="17"/>
              </w:rPr>
              <w:t>6,324</w:t>
            </w:r>
          </w:p>
        </w:tc>
        <w:tc>
          <w:tcPr>
            <w:tcW w:type="dxa" w:w="1440"/>
            <w:shd w:fill="FFDCE0" w:val="clear"/>
          </w:tcPr>
          <w:p>
            <w:r>
              <w:rPr>
                <w:b/>
                <w:color w:val="C00000"/>
                <w:sz w:val="17"/>
              </w:rPr>
              <w:t>-17.8%</w:t>
            </w:r>
          </w:p>
        </w:tc>
      </w:tr>
      <w:tr>
        <w:tc>
          <w:tcPr>
            <w:tcW w:type="dxa" w:w="1440"/>
            <w:shd w:fill="FFDCE0" w:val="clear"/>
          </w:tcPr>
          <w:p>
            <w:r>
              <w:rPr>
                <w:sz w:val="17"/>
              </w:rPr>
              <w:t>J+10  Moyenne</w:t>
            </w:r>
          </w:p>
        </w:tc>
        <w:tc>
          <w:tcPr>
            <w:tcW w:type="dxa" w:w="1440"/>
            <w:shd w:fill="FFDCE0" w:val="clear"/>
          </w:tcPr>
          <w:p>
            <w:r>
              <w:rPr>
                <w:sz w:val="17"/>
              </w:rPr>
              <w:t>2026-09-23</w:t>
            </w:r>
          </w:p>
        </w:tc>
        <w:tc>
          <w:tcPr>
            <w:tcW w:type="dxa" w:w="1440"/>
            <w:shd w:fill="FFDCE0" w:val="clear"/>
          </w:tcPr>
          <w:p>
            <w:r>
              <w:rPr>
                <w:sz w:val="17"/>
              </w:rPr>
              <w:t>5,081</w:t>
            </w:r>
          </w:p>
        </w:tc>
        <w:tc>
          <w:tcPr>
            <w:tcW w:type="dxa" w:w="1440"/>
            <w:shd w:fill="FFDCE0" w:val="clear"/>
          </w:tcPr>
          <w:p>
            <w:r>
              <w:rPr>
                <w:b/>
                <w:sz w:val="17"/>
              </w:rPr>
              <w:t>5,671</w:t>
            </w:r>
          </w:p>
        </w:tc>
        <w:tc>
          <w:tcPr>
            <w:tcW w:type="dxa" w:w="1440"/>
            <w:shd w:fill="FFDCE0" w:val="clear"/>
          </w:tcPr>
          <w:p>
            <w:r>
              <w:rPr>
                <w:sz w:val="17"/>
              </w:rPr>
              <w:t>6,260</w:t>
            </w:r>
          </w:p>
        </w:tc>
        <w:tc>
          <w:tcPr>
            <w:tcW w:type="dxa" w:w="1440"/>
            <w:shd w:fill="FFDCE0" w:val="clear"/>
          </w:tcPr>
          <w:p>
            <w:r>
              <w:rPr>
                <w:b/>
                <w:color w:val="C00000"/>
                <w:sz w:val="17"/>
              </w:rPr>
              <w:t>-19.0%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 RAPPORT D'ANALYSE FINANCIÈRE — BOA MALI (BOAM)</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192,29 milliards FCFA, BOA Mali s'affirme comme une valeur de premier plan du compartiment bancaire de la BRVM, ce qui témoigne d'une liquidité et d'une notoriété institutionnelle solides. Le BPA de 404 FCFA/action signifie que chaque titre détenu génère près de 404 FCFA de bénéfice net, un niveau de rentabilité par action appréciable dans le contexte bancaire ouest-africain. Le PER de 17,4x traduit une valorisation supérieure à la moyenne du marché BRVM (estimée entre 8 et 12x), ce qui indique que les investisseurs consentent une prime pour la qualité des bénéfices et la résilience démontrée de la banque, sans pour autant basculer dans une bulle spéculative. Le P/B de 3,86x confirme cette prime de croissance : le marché valorise BOAM près de quatre fois ses fonds propres comptables, ce qui est cohérent avec un ROE supérieur à 22% (largement au-dessus du coût des fonds propres). Enfin, l'EV/EBITDA de 9,5x, situé dans la fourchette raisonnable de 5-10x, suggère que la valeur d'entreprise reste proportionnée à la capacité opérationnelle de génération de cash-flows, sans exagération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BOAM a enregistré une progression spectaculaire de +52,61%, avec une dernière séance encore positive de +1,97%, portant le cours actuel à 7 005 FCFA — soit précisément le plus haut de la période, contre un plus bas de 4 425 FCFA, matérialisant un range de trading de 2 580 FCFA (58% d'amplitude). La tendance générale est donc clairement haussière, soutenue par un volume moyen quotidien de 6 295 titres qui confirme un intérêt réel des investisseurs. L'analyse des statistiques descriptives révèle une moyenne de 5 304 FCFA nettement supérieure à la médiane de 4 995 FCFA et au mode de 4 670 FCFA, ce qui traduit une distribution asymétrique avec une concentration des échanges sur des niveaux bas mais des poussées haussières récentes qui tirent la moyenne vers le haut. L'écart-type de 708 FCFA (CV = 13,3%) indique une dispersion modérée du cours, tandis que le kurtosis de -0,717 (mésokurtique) suggère une distribution proche de la normale, donc sans risque excessif de pics extrêmes, et le skewness de +0,701 (asymétrie positive) confirme que davantage de journées se sont situées sous la moyenne, avec quelques séances de forte hausse. La volatilité annualisée de 34,0% positionne le titre dans la catégorie des valeurs à volatilité élevée (&gt;30%), ce qui est cohérent avec un marché frontière comme la BRVM et appelle à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(6 460,5 FCFA) et la MM50 (5 880,2 FCFA) sont toutes deux nettement inférieures au cours actuel de 7 005 FCFA, et la MM20 se situe au-dessus de la MM50, configurant un croisement haussier classique (golden cross). Cette configuration confirme une dynamique positive de court et moyen terme, justifiant la décision technique d'ACHAT.</w:t>
      </w:r>
    </w:p>
    <w:p>
      <w:pPr>
        <w:spacing w:after="120" w:line="276" w:lineRule="auto"/>
      </w:pPr>
      <w:r>
        <w:t>**Bandes de Bollinger** : Le cours (7 005 FCFA) évolue légèrement au-dessus de la borne supérieure (6 991,6 FCFA), tandis que la borne inférieure se situe à 5 929,4 FCFA, ce qui signale une volatilité en expansion et un débordement haussier. Cette position en zone haute justifie la décision de VENTE technique, car un retour vers la moyenne est statistiquement probable à court terme.</w:t>
      </w:r>
    </w:p>
    <w:p>
      <w:pPr>
        <w:spacing w:after="120" w:line="276" w:lineRule="auto"/>
      </w:pPr>
      <w:r>
        <w:t>**MACD** : La valeur du MACD (280,036) dépasse son signal (260,575), avec un histogramme positif, confirmant un momentum haussier toujours actif. La divergence reste toutefois modérée, ce qui justifie la décision d'ACHAT tout en appelant à la vigilance sur un éventuel aplatissement.</w:t>
      </w:r>
    </w:p>
    <w:p>
      <w:pPr>
        <w:spacing w:after="120" w:line="276" w:lineRule="auto"/>
      </w:pPr>
      <w:r>
        <w:t>**RSI** : À 75,265, le RSI se situe nettement au-dessus du seuil de surachat (70), signalant que le titre a été acheté de manière excessive à court terme et qu'une correction ou consolidation est probable. Cette lecture justifie pleinement la décision de VENTE technique.</w:t>
      </w:r>
    </w:p>
    <w:p>
      <w:pPr>
        <w:spacing w:after="120" w:line="276" w:lineRule="auto"/>
      </w:pPr>
      <w:r>
        <w:t>**Stochastique** : Le %K et le %D sont tous deux à 100,0, soit le niveau maximal absolu de la fourchette, indiquant que le cours clôture systématiquement près de ses plus hauts récents. Cette configuration extrême, sans croisement baissier encore visible, justifie la décision de VENTE en anticipation d'un retournement.</w:t>
      </w:r>
    </w:p>
    <w:p>
      <w:pPr>
        <w:spacing w:after="120" w:line="276" w:lineRule="auto"/>
      </w:pPr>
      <w:r>
        <w:t>**Conclusion technique** : Les indicateurs présentent une divergence caractéristique : les moyennes mobiles et le MACD confirment la tendance haussière de fond (ACHAT), tandis que le RSI en surachat, le stochastique à 100 et le débordement des bandes de Bollinger signalent une exhaustion à court terme (VENTE). Cette configuration suggère que la tendance reste intacte mais qu'un repli technique vers la MM20 (6 460 FCFA) est hautement probable avant toute reprise durable.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 Mali affiche un Produit Net Bancaire (équivalent du chiffre d'affaires pour une banque) de 37,996 milliards FCFA, un résultat net de 11,081 milliards FCFA, un ROE exceptionnel de 22,24% (largement supérieur au seuil de 15% considéré comme excellent) et un ROA de 1,87%. Le coefficient d'exploitation s'établit à 63,14%, légèrement au-dessus du seuil de 60% qui distingue les banques efficaces, ce qui indique une marge d'optimisation opérationnelle encore possible. Le coût du risque rapporté aux charges financières atteint 43,39%, un niveau élevé qui traduit un risque de crédit significatif, mais qui est compensé par une marge nette confortable de 29,16% et une marge opérationnelle de 24,78%. La structure bilancielle révèle une forte dépendance aux dépôts clientèle (502,89 milliards FCFA) face à des créances clientèle de 253,65 milliards FCFA, soit un ratio de transformation de 50,4% — la banque collecte deux fois plus qu'elle ne prête, ce qui constitue une réserve de liquidité importante mais aussi un manque de déploiement des ressources. Le portefeuille de titres d'État (185,70 milliards FCFA) et la trésorerie nette positive (86,37 milliards FCFA) renforcent la solidité financière, tandis que l'autonomie financière de 8,40% reste faible (norme bancaire) et la capacité de remboursement de 1,79 année est satisfaisante.</w:t>
      </w:r>
    </w:p>
    <w:p>
      <w:pPr>
        <w:spacing w:after="120" w:line="276" w:lineRule="auto"/>
      </w:pPr>
      <w:r>
        <w:t>**Estimations basées sur les rapports trimestriels** : Le rapport du 3ème trimestre 2025 (publié au 30/09/2025) indique un PNB cumulé de 28,52 milliards FCFA (+5,8% sur un an) et un résultat net de 9,16 milliards FCFA (+26,2%), avec un coût du risque contenu (+2,7%) et une collecte de dépôts en hausse de +9,2% depuis fin 2024. Sur cette base, on peut estimer que l'exercice 2025 complet devrait confirmer un résultat net annuel supérieur à 11 milliards FCFA (cohérent avec les 11,081 milliards publiés), porté par la maîtrise des charges et l'amélioration de la qualité du portefeuille. Le rapport semestriel 2025 (30/06/2025) confirmait déjà cette dynamique avec un résultat net de 6,21 milliards FCFA (+28,8%) et une baisse spectaculaire du coût du risque de -32,7%. Le rapport du 1er trimestre 2025 (31/03/2025) montrait un résultat net de 3,021 milliards FCFA (+91,18%) malgré un PNB en recul de -3,11%, illustrant la capacité de la banque à convertir son activité en profit grâce à une gestion rigoureuse des risques. Les états financiers certifiés 2024 (31/12/2024) affichaient un PNB de 36,16 milliards FCFA (+1,80%) et un résultat net de 9,12 milliards FCFA (+57,89%), avec un ROE estimé à 21,1% — confirmant la trajectoire de rentabilité durable. **Recommandation fondamentale** : BOA Mali présente des fondamentaux solides (ROE &gt;22%, marge nette &gt;29%, trésorerie nette positive), une résilience remarquable dans un contexte malien difficile (insécurité, inflation), mais des risques persistants liés au coût du risque élevé (43,39%) et à la faible autonomie financière. La dynamique des rapports trimestriels 2025 est clairement positive et devrait soutenir la valorisation à moyen terme.</w:t>
      </w:r>
    </w:p>
    <w:p>
      <w:pPr>
        <w:spacing w:after="120" w:line="276" w:lineRule="auto"/>
      </w:pPr>
      <w:r>
        <w:t>---</w:t>
      </w:r>
    </w:p>
    <w:p>
      <w:pPr>
        <w:spacing w:after="120" w:line="276" w:lineRule="auto"/>
      </w:pPr>
      <w:r>
        <w:t>## PARTIE 4 : CONCLUSION D'INVESTISSEMENT</w:t>
      </w:r>
    </w:p>
    <w:p>
      <w:pPr>
        <w:spacing w:after="120" w:line="276" w:lineRule="auto"/>
      </w:pPr>
      <w:r>
        <w:t>La valorisation de BOAM (Partie 0) apparaît raisonnable mais non bon marché : le PER de 17,4x et le P/B de 3,86x intègrent déjà une prime de qualité, tandis que l'EV/EBITDA de 9,5x reste dans les normes. Le comportement du cours (Partie 1) est nettement haussier (+52,61% sur 100 jours) avec une volatilité élevée (34%) et une asymétrie positive (skewness +0,701), mais le cours évolue précisément à son plus haut historique de la période, ce qui constitue un signal de prudence. Les indicateurs techniques (Partie 2) sont divergents : les moyennes mobiles et le MACD confirment la tendance haussière, mais le RSI en surachat (75,3), le stochastique à 100 et le débordement des bandes de Bollinger signalent une exhaustion imminente et un repli probable vers la MM20 (6 460 FCFA). Les fondamentaux (Partie 3) sont solides : ROE de 22,24%, résultat net de 11,08 milliards FCFA en 2025, dynamique trimestrielle positive (+26,2% au T3 2025), mais le coût du risque élevé et la faible autonomie financière tempèrent l'enthousiasme. Les prédictions IA (J+1 à J+10) anticipent une correction baissière marquée, de 6 911 FCFA à 6 176 FCFA, ce qui **confirme** les signaux techniques de vente à court terme et **contredit** la tendance haussière actuelle. **Recommandation finale : CONSERVER** — la convergence entre la valorisation correcte, les fondamentaux solides et les prédictions de correction à court terme plaide pour une prise de profits partielle ou une attente d'un repli vers 6 200-6 500 FCFA avant tout renforcement. Le niveau de confiance est **Moyen** (les fondamentaux soutiennent le titre mais la technique est en surachat), le risque global est **Élevé** (volatilité de 34%, contexte malien incertain, coût du risque élevé), et l'horizon d'investissement optimal est **moyen terme (3-12 mois)** pour profiter de la correction attendue et de la poursuite de la croissance des bénéfices.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113.78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10,020 titres</w:t>
            </w:r>
          </w:p>
        </w:tc>
        <w:tc>
          <w:tcPr>
            <w:tcW w:type="dxa" w:w="2268"/>
            <w:shd w:fill="FFF2CC" w:val="clear"/>
          </w:tcPr>
          <w:p>
            <w:r>
              <w:rPr>
                <w:b/>
                <w:color w:val="503200"/>
                <w:sz w:val="16"/>
              </w:rPr>
              <w:t xml:space="preserve">Cours actuel : </w:t>
            </w:r>
            <w:r>
              <w:rPr>
                <w:color w:val="000000"/>
                <w:sz w:val="17"/>
              </w:rPr>
              <w:t>5,470 FCFA</w:t>
            </w:r>
          </w:p>
          <w:p>
            <w:r>
              <w:rPr>
                <w:b/>
                <w:color w:val="503200"/>
                <w:sz w:val="16"/>
              </w:rPr>
              <w:t xml:space="preserve">Var. 100 jours : </w:t>
            </w:r>
            <w:r>
              <w:rPr>
                <w:b/>
                <w:color w:val="007800"/>
                <w:sz w:val="17"/>
              </w:rPr>
              <w:t>+93.29%</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2,830 FCFA</w:t>
            </w:r>
          </w:p>
          <w:p>
            <w:r>
              <w:rPr>
                <w:b/>
                <w:color w:val="503200"/>
                <w:sz w:val="16"/>
              </w:rPr>
              <w:t xml:space="preserve">Volatilité ann. : </w:t>
            </w:r>
            <w:r>
              <w:rPr>
                <w:color w:val="000000"/>
                <w:sz w:val="17"/>
              </w:rPr>
              <w:t>39.1%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18.52% (Élevée) — μ=4,362 FCFA, σ=808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β=0.2282 (Défensif) — Cov=0.000008, Var(idx)=0.000036, ρ=0.055,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10,020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σ_j=2.47%/j (Stable) — Vol. annualisée≈39.1%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2026-09-10</w:t>
            </w:r>
          </w:p>
        </w:tc>
        <w:tc>
          <w:tcPr>
            <w:tcW w:type="dxa" w:w="1440"/>
            <w:shd w:fill="FAFAFA" w:val="clear"/>
          </w:tcPr>
          <w:p>
            <w:r>
              <w:rPr>
                <w:sz w:val="17"/>
              </w:rPr>
              <w:t>5,308</w:t>
            </w:r>
          </w:p>
        </w:tc>
        <w:tc>
          <w:tcPr>
            <w:tcW w:type="dxa" w:w="1440"/>
            <w:shd w:fill="FAFAFA" w:val="clear"/>
          </w:tcPr>
          <w:p>
            <w:r>
              <w:rPr>
                <w:b/>
                <w:sz w:val="17"/>
              </w:rPr>
              <w:t>5,449</w:t>
            </w:r>
          </w:p>
        </w:tc>
        <w:tc>
          <w:tcPr>
            <w:tcW w:type="dxa" w:w="1440"/>
            <w:shd w:fill="FAFAFA" w:val="clear"/>
          </w:tcPr>
          <w:p>
            <w:r>
              <w:rPr>
                <w:sz w:val="17"/>
              </w:rPr>
              <w:t>5,589</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2026-09-11</w:t>
            </w:r>
          </w:p>
        </w:tc>
        <w:tc>
          <w:tcPr>
            <w:tcW w:type="dxa" w:w="1440"/>
            <w:shd w:fill="FAFAFA" w:val="clear"/>
          </w:tcPr>
          <w:p>
            <w:r>
              <w:rPr>
                <w:sz w:val="17"/>
              </w:rPr>
              <w:t>5,239</w:t>
            </w:r>
          </w:p>
        </w:tc>
        <w:tc>
          <w:tcPr>
            <w:tcW w:type="dxa" w:w="1440"/>
            <w:shd w:fill="FAFAFA" w:val="clear"/>
          </w:tcPr>
          <w:p>
            <w:r>
              <w:rPr>
                <w:b/>
                <w:sz w:val="17"/>
              </w:rPr>
              <w:t>5,437</w:t>
            </w:r>
          </w:p>
        </w:tc>
        <w:tc>
          <w:tcPr>
            <w:tcW w:type="dxa" w:w="1440"/>
            <w:shd w:fill="FAFAFA" w:val="clear"/>
          </w:tcPr>
          <w:p>
            <w:r>
              <w:rPr>
                <w:sz w:val="17"/>
              </w:rPr>
              <w:t>5,635</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2026-09-14</w:t>
            </w:r>
          </w:p>
        </w:tc>
        <w:tc>
          <w:tcPr>
            <w:tcW w:type="dxa" w:w="1440"/>
            <w:shd w:fill="FAFAFA" w:val="clear"/>
          </w:tcPr>
          <w:p>
            <w:r>
              <w:rPr>
                <w:sz w:val="17"/>
              </w:rPr>
              <w:t>5,181</w:t>
            </w:r>
          </w:p>
        </w:tc>
        <w:tc>
          <w:tcPr>
            <w:tcW w:type="dxa" w:w="1440"/>
            <w:shd w:fill="FAFAFA" w:val="clear"/>
          </w:tcPr>
          <w:p>
            <w:r>
              <w:rPr>
                <w:b/>
                <w:sz w:val="17"/>
              </w:rPr>
              <w:t>5,423</w:t>
            </w:r>
          </w:p>
        </w:tc>
        <w:tc>
          <w:tcPr>
            <w:tcW w:type="dxa" w:w="1440"/>
            <w:shd w:fill="FAFAFA" w:val="clear"/>
          </w:tcPr>
          <w:p>
            <w:r>
              <w:rPr>
                <w:sz w:val="17"/>
              </w:rPr>
              <w:t>5,665</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2026-09-15</w:t>
            </w:r>
          </w:p>
        </w:tc>
        <w:tc>
          <w:tcPr>
            <w:tcW w:type="dxa" w:w="1440"/>
            <w:shd w:fill="FAFAFA" w:val="clear"/>
          </w:tcPr>
          <w:p>
            <w:r>
              <w:rPr>
                <w:sz w:val="17"/>
              </w:rPr>
              <w:t>5,130</w:t>
            </w:r>
          </w:p>
        </w:tc>
        <w:tc>
          <w:tcPr>
            <w:tcW w:type="dxa" w:w="1440"/>
            <w:shd w:fill="FAFAFA" w:val="clear"/>
          </w:tcPr>
          <w:p>
            <w:r>
              <w:rPr>
                <w:b/>
                <w:sz w:val="17"/>
              </w:rPr>
              <w:t>5,409</w:t>
            </w:r>
          </w:p>
        </w:tc>
        <w:tc>
          <w:tcPr>
            <w:tcW w:type="dxa" w:w="1440"/>
            <w:shd w:fill="FAFAFA" w:val="clear"/>
          </w:tcPr>
          <w:p>
            <w:r>
              <w:rPr>
                <w:sz w:val="17"/>
              </w:rPr>
              <w:t>5,688</w:t>
            </w:r>
          </w:p>
        </w:tc>
        <w:tc>
          <w:tcPr>
            <w:tcW w:type="dxa" w:w="1440"/>
            <w:shd w:fill="FAFAFA" w:val="clear"/>
          </w:tcPr>
          <w:p>
            <w:r>
              <w:rPr>
                <w:b/>
                <w:color w:val="C00000"/>
                <w:sz w:val="17"/>
              </w:rPr>
              <w:t>-1.1%</w:t>
            </w:r>
          </w:p>
        </w:tc>
      </w:tr>
      <w:tr>
        <w:tc>
          <w:tcPr>
            <w:tcW w:type="dxa" w:w="1440"/>
            <w:shd w:fill="FAFAFA" w:val="clear"/>
          </w:tcPr>
          <w:p>
            <w:r>
              <w:rPr>
                <w:sz w:val="17"/>
              </w:rPr>
              <w:t>J+5  ⭐</w:t>
            </w:r>
          </w:p>
        </w:tc>
        <w:tc>
          <w:tcPr>
            <w:tcW w:type="dxa" w:w="1440"/>
            <w:shd w:fill="FAFAFA" w:val="clear"/>
          </w:tcPr>
          <w:p>
            <w:r>
              <w:rPr>
                <w:sz w:val="17"/>
              </w:rPr>
              <w:t>2026-09-16</w:t>
            </w:r>
          </w:p>
        </w:tc>
        <w:tc>
          <w:tcPr>
            <w:tcW w:type="dxa" w:w="1440"/>
            <w:shd w:fill="FAFAFA" w:val="clear"/>
          </w:tcPr>
          <w:p>
            <w:r>
              <w:rPr>
                <w:sz w:val="17"/>
              </w:rPr>
              <w:t>5,083</w:t>
            </w:r>
          </w:p>
        </w:tc>
        <w:tc>
          <w:tcPr>
            <w:tcW w:type="dxa" w:w="1440"/>
            <w:shd w:fill="FAFAFA" w:val="clear"/>
          </w:tcPr>
          <w:p>
            <w:r>
              <w:rPr>
                <w:b/>
                <w:sz w:val="17"/>
              </w:rPr>
              <w:t>5,394</w:t>
            </w:r>
          </w:p>
        </w:tc>
        <w:tc>
          <w:tcPr>
            <w:tcW w:type="dxa" w:w="1440"/>
            <w:shd w:fill="FAFAFA" w:val="clear"/>
          </w:tcPr>
          <w:p>
            <w:r>
              <w:rPr>
                <w:sz w:val="17"/>
              </w:rPr>
              <w:t>5,706</w:t>
            </w:r>
          </w:p>
        </w:tc>
        <w:tc>
          <w:tcPr>
            <w:tcW w:type="dxa" w:w="1440"/>
            <w:shd w:fill="FAFAFA" w:val="clear"/>
          </w:tcPr>
          <w:p>
            <w:r>
              <w:rPr>
                <w:b/>
                <w:color w:val="C00000"/>
                <w:sz w:val="17"/>
              </w:rPr>
              <w:t>-1.4%</w:t>
            </w:r>
          </w:p>
        </w:tc>
      </w:tr>
      <w:tr>
        <w:tc>
          <w:tcPr>
            <w:tcW w:type="dxa" w:w="1440"/>
            <w:shd w:fill="FAFAFA" w:val="clear"/>
          </w:tcPr>
          <w:p>
            <w:r>
              <w:rPr>
                <w:sz w:val="17"/>
              </w:rPr>
              <w:t>J+6  ⭐</w:t>
            </w:r>
          </w:p>
        </w:tc>
        <w:tc>
          <w:tcPr>
            <w:tcW w:type="dxa" w:w="1440"/>
            <w:shd w:fill="FAFAFA" w:val="clear"/>
          </w:tcPr>
          <w:p>
            <w:r>
              <w:rPr>
                <w:sz w:val="17"/>
              </w:rPr>
              <w:t>2026-09-17</w:t>
            </w:r>
          </w:p>
        </w:tc>
        <w:tc>
          <w:tcPr>
            <w:tcW w:type="dxa" w:w="1440"/>
            <w:shd w:fill="FAFAFA" w:val="clear"/>
          </w:tcPr>
          <w:p>
            <w:r>
              <w:rPr>
                <w:sz w:val="17"/>
              </w:rPr>
              <w:t>5,041</w:t>
            </w:r>
          </w:p>
        </w:tc>
        <w:tc>
          <w:tcPr>
            <w:tcW w:type="dxa" w:w="1440"/>
            <w:shd w:fill="FAFAFA" w:val="clear"/>
          </w:tcPr>
          <w:p>
            <w:r>
              <w:rPr>
                <w:b/>
                <w:sz w:val="17"/>
              </w:rPr>
              <w:t>5,381</w:t>
            </w:r>
          </w:p>
        </w:tc>
        <w:tc>
          <w:tcPr>
            <w:tcW w:type="dxa" w:w="1440"/>
            <w:shd w:fill="FAFAFA" w:val="clear"/>
          </w:tcPr>
          <w:p>
            <w:r>
              <w:rPr>
                <w:sz w:val="17"/>
              </w:rPr>
              <w:t>5,720</w:t>
            </w:r>
          </w:p>
        </w:tc>
        <w:tc>
          <w:tcPr>
            <w:tcW w:type="dxa" w:w="1440"/>
            <w:shd w:fill="FAFAFA" w:val="clear"/>
          </w:tcPr>
          <w:p>
            <w:r>
              <w:rPr>
                <w:b/>
                <w:color w:val="C00000"/>
                <w:sz w:val="17"/>
              </w:rPr>
              <w:t>-1.6%</w:t>
            </w:r>
          </w:p>
        </w:tc>
      </w:tr>
      <w:tr>
        <w:tc>
          <w:tcPr>
            <w:tcW w:type="dxa" w:w="1440"/>
            <w:shd w:fill="FAFAFA" w:val="clear"/>
          </w:tcPr>
          <w:p>
            <w:r>
              <w:rPr>
                <w:sz w:val="17"/>
              </w:rPr>
              <w:t>J+7  ⭐</w:t>
            </w:r>
          </w:p>
        </w:tc>
        <w:tc>
          <w:tcPr>
            <w:tcW w:type="dxa" w:w="1440"/>
            <w:shd w:fill="FAFAFA" w:val="clear"/>
          </w:tcPr>
          <w:p>
            <w:r>
              <w:rPr>
                <w:sz w:val="17"/>
              </w:rPr>
              <w:t>2026-09-18</w:t>
            </w:r>
          </w:p>
        </w:tc>
        <w:tc>
          <w:tcPr>
            <w:tcW w:type="dxa" w:w="1440"/>
            <w:shd w:fill="FAFAFA" w:val="clear"/>
          </w:tcPr>
          <w:p>
            <w:r>
              <w:rPr>
                <w:sz w:val="17"/>
              </w:rPr>
              <w:t>5,001</w:t>
            </w:r>
          </w:p>
        </w:tc>
        <w:tc>
          <w:tcPr>
            <w:tcW w:type="dxa" w:w="1440"/>
            <w:shd w:fill="FAFAFA" w:val="clear"/>
          </w:tcPr>
          <w:p>
            <w:r>
              <w:rPr>
                <w:b/>
                <w:sz w:val="17"/>
              </w:rPr>
              <w:t>5,367</w:t>
            </w:r>
          </w:p>
        </w:tc>
        <w:tc>
          <w:tcPr>
            <w:tcW w:type="dxa" w:w="1440"/>
            <w:shd w:fill="FAFAFA" w:val="clear"/>
          </w:tcPr>
          <w:p>
            <w:r>
              <w:rPr>
                <w:sz w:val="17"/>
              </w:rPr>
              <w:t>5,733</w:t>
            </w:r>
          </w:p>
        </w:tc>
        <w:tc>
          <w:tcPr>
            <w:tcW w:type="dxa" w:w="1440"/>
            <w:shd w:fill="FAFAFA" w:val="clear"/>
          </w:tcPr>
          <w:p>
            <w:r>
              <w:rPr>
                <w:b/>
                <w:color w:val="C00000"/>
                <w:sz w:val="17"/>
              </w:rPr>
              <w:t>-1.9%</w:t>
            </w:r>
          </w:p>
        </w:tc>
      </w:tr>
      <w:tr>
        <w:tc>
          <w:tcPr>
            <w:tcW w:type="dxa" w:w="1440"/>
            <w:shd w:fill="FFDCE0" w:val="clear"/>
          </w:tcPr>
          <w:p>
            <w:r>
              <w:rPr>
                <w:sz w:val="17"/>
              </w:rPr>
              <w:t>J+8  ⭐</w:t>
            </w:r>
          </w:p>
        </w:tc>
        <w:tc>
          <w:tcPr>
            <w:tcW w:type="dxa" w:w="1440"/>
            <w:shd w:fill="FFDCE0" w:val="clear"/>
          </w:tcPr>
          <w:p>
            <w:r>
              <w:rPr>
                <w:sz w:val="17"/>
              </w:rPr>
              <w:t>2026-09-21</w:t>
            </w:r>
          </w:p>
        </w:tc>
        <w:tc>
          <w:tcPr>
            <w:tcW w:type="dxa" w:w="1440"/>
            <w:shd w:fill="FFDCE0" w:val="clear"/>
          </w:tcPr>
          <w:p>
            <w:r>
              <w:rPr>
                <w:sz w:val="17"/>
              </w:rPr>
              <w:t>4,963</w:t>
            </w:r>
          </w:p>
        </w:tc>
        <w:tc>
          <w:tcPr>
            <w:tcW w:type="dxa" w:w="1440"/>
            <w:shd w:fill="FFDCE0" w:val="clear"/>
          </w:tcPr>
          <w:p>
            <w:r>
              <w:rPr>
                <w:b/>
                <w:sz w:val="17"/>
              </w:rPr>
              <w:t>5,353</w:t>
            </w:r>
          </w:p>
        </w:tc>
        <w:tc>
          <w:tcPr>
            <w:tcW w:type="dxa" w:w="1440"/>
            <w:shd w:fill="FFDCE0" w:val="clear"/>
          </w:tcPr>
          <w:p>
            <w:r>
              <w:rPr>
                <w:sz w:val="17"/>
              </w:rPr>
              <w:t>5,744</w:t>
            </w:r>
          </w:p>
        </w:tc>
        <w:tc>
          <w:tcPr>
            <w:tcW w:type="dxa" w:w="1440"/>
            <w:shd w:fill="FFDCE0" w:val="clear"/>
          </w:tcPr>
          <w:p>
            <w:r>
              <w:rPr>
                <w:b/>
                <w:color w:val="C00000"/>
                <w:sz w:val="17"/>
              </w:rPr>
              <w:t>-2.1%</w:t>
            </w:r>
          </w:p>
        </w:tc>
      </w:tr>
      <w:tr>
        <w:tc>
          <w:tcPr>
            <w:tcW w:type="dxa" w:w="1440"/>
            <w:shd w:fill="FFDCE0" w:val="clear"/>
          </w:tcPr>
          <w:p>
            <w:r>
              <w:rPr>
                <w:sz w:val="17"/>
              </w:rPr>
              <w:t>J+9  ⭐</w:t>
            </w:r>
          </w:p>
        </w:tc>
        <w:tc>
          <w:tcPr>
            <w:tcW w:type="dxa" w:w="1440"/>
            <w:shd w:fill="FFDCE0" w:val="clear"/>
          </w:tcPr>
          <w:p>
            <w:r>
              <w:rPr>
                <w:sz w:val="17"/>
              </w:rPr>
              <w:t>2026-09-22</w:t>
            </w:r>
          </w:p>
        </w:tc>
        <w:tc>
          <w:tcPr>
            <w:tcW w:type="dxa" w:w="1440"/>
            <w:shd w:fill="FFDCE0" w:val="clear"/>
          </w:tcPr>
          <w:p>
            <w:r>
              <w:rPr>
                <w:sz w:val="17"/>
              </w:rPr>
              <w:t>4,927</w:t>
            </w:r>
          </w:p>
        </w:tc>
        <w:tc>
          <w:tcPr>
            <w:tcW w:type="dxa" w:w="1440"/>
            <w:shd w:fill="FFDCE0" w:val="clear"/>
          </w:tcPr>
          <w:p>
            <w:r>
              <w:rPr>
                <w:b/>
                <w:sz w:val="17"/>
              </w:rPr>
              <w:t>5,340</w:t>
            </w:r>
          </w:p>
        </w:tc>
        <w:tc>
          <w:tcPr>
            <w:tcW w:type="dxa" w:w="1440"/>
            <w:shd w:fill="FFDCE0" w:val="clear"/>
          </w:tcPr>
          <w:p>
            <w:r>
              <w:rPr>
                <w:sz w:val="17"/>
              </w:rPr>
              <w:t>5,753</w:t>
            </w:r>
          </w:p>
        </w:tc>
        <w:tc>
          <w:tcPr>
            <w:tcW w:type="dxa" w:w="1440"/>
            <w:shd w:fill="FFDCE0" w:val="clear"/>
          </w:tcPr>
          <w:p>
            <w:r>
              <w:rPr>
                <w:b/>
                <w:color w:val="C00000"/>
                <w:sz w:val="17"/>
              </w:rPr>
              <w:t>-2.4%</w:t>
            </w:r>
          </w:p>
        </w:tc>
      </w:tr>
      <w:tr>
        <w:tc>
          <w:tcPr>
            <w:tcW w:type="dxa" w:w="1440"/>
            <w:shd w:fill="FFDCE0" w:val="clear"/>
          </w:tcPr>
          <w:p>
            <w:r>
              <w:rPr>
                <w:sz w:val="17"/>
              </w:rPr>
              <w:t>J+10  ⭐</w:t>
            </w:r>
          </w:p>
        </w:tc>
        <w:tc>
          <w:tcPr>
            <w:tcW w:type="dxa" w:w="1440"/>
            <w:shd w:fill="FFDCE0" w:val="clear"/>
          </w:tcPr>
          <w:p>
            <w:r>
              <w:rPr>
                <w:sz w:val="17"/>
              </w:rPr>
              <w:t>2026-09-23</w:t>
            </w:r>
          </w:p>
        </w:tc>
        <w:tc>
          <w:tcPr>
            <w:tcW w:type="dxa" w:w="1440"/>
            <w:shd w:fill="FFDCE0" w:val="clear"/>
          </w:tcPr>
          <w:p>
            <w:r>
              <w:rPr>
                <w:sz w:val="17"/>
              </w:rPr>
              <w:t>4,893</w:t>
            </w:r>
          </w:p>
        </w:tc>
        <w:tc>
          <w:tcPr>
            <w:tcW w:type="dxa" w:w="1440"/>
            <w:shd w:fill="FFDCE0" w:val="clear"/>
          </w:tcPr>
          <w:p>
            <w:r>
              <w:rPr>
                <w:b/>
                <w:sz w:val="17"/>
              </w:rPr>
              <w:t>5,327</w:t>
            </w:r>
          </w:p>
        </w:tc>
        <w:tc>
          <w:tcPr>
            <w:tcW w:type="dxa" w:w="1440"/>
            <w:shd w:fill="FFDCE0" w:val="clear"/>
          </w:tcPr>
          <w:p>
            <w:r>
              <w:rPr>
                <w:sz w:val="17"/>
              </w:rPr>
              <w:t>5,762</w:t>
            </w:r>
          </w:p>
        </w:tc>
        <w:tc>
          <w:tcPr>
            <w:tcW w:type="dxa" w:w="1440"/>
            <w:shd w:fill="FFDCE0" w:val="clear"/>
          </w:tcPr>
          <w:p>
            <w:r>
              <w:rPr>
                <w:b/>
                <w:color w:val="C00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113,78 milliards FCFA, BOAN se situe dans la catégorie des valeurs moyennes de la cote BRVM, ce qui reste modeste au regard de son total bilan de 291,75 milliards FCFA. Le BPA de 20 FCFA/action traduit un bénéfice net par titre extrêmement faible, cohérent avec le résultat net effondré de 409 millions FCFA en 2025. Le PER de 278,2x est anormalement élevé — très loin de la moyenne BRVM (~8-12x) — et signale que le marché paie le titre près de 280 fois les bénéfices actuels, ce qui n'est justifiable que par l'anticipation d'un rebond spectaculaire des profits (le budget 2026 vise un résultat avant impôt de 7 280 M FCFA, soit +515%). Le P/B de 3,15x indique que le marché valorise la banque à plus de trois fois ses fonds propres comptables (36,06 Mds FCFA), une prime de croissance qui paraît exigeante au vu de la rentabilité actuelle (ROE de 1,13%). Enfin, l'EV/EBITDA de 41,0x, très supérieur au seuil de 15x, confirme une valorisation tendue par rapport à la capacité opérationnelle générée, rendant le titre vulnérable à toute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BOAN affiche une performance exceptionnelle de +93,29%, portée par un cours actuel de 5 470 FCFA, malgré un léger repli de -0,36% lors de la dernière séance. Le titre a évolué dans un range très large, entre un plus bas de 2 830 FCFA et un plus haut de 5 645 FCFA, soit un écart de plus de 99%, témoignant d'une dynamique haussière puissante mais aussi d'une forte amplitude de trading. La moyenne du cours (4 362 FCFA) se situe au-dessus de la médiane (4 182 FCFA), tandis que le mode (3 500 FCFA) est nettement inférieur : cet écart suggère que la hausse récente a tiré la moyenne vers le haut, la distribution restant toutefois globalement symétrique (skewness de 0,132). L'écart-type de 812 FCFA et le coefficient de variation de 18,6% indiquent une dispersion modérée du cours autour de sa moyenne. Le kurtosis négatif (-1,587, distribution platykurtique) signale une faible concentration des rendements extrêmes, c'est-à-dire un risque de pics brusques limité mais des variations réparties de façon aplatie. Enfin, la volatilité annualisée de 39,1% classe le titre dans la catégorie des valeurs à volatilité élevée (&gt;30%), ce qui impose une gestion prudente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(5 338,25 FCFA) et la MM50 (5 094,60 FCFA) se situent toutes deux sous le cours actuel (5 470 FCFA), avec la MM20 au-dessus de la MM50 — configuration haussière classique (croisement doré). Le cours évoluant au-dessus de ses deux moyennes, la tendance de fond reste positive, ce qui justifie la décision technique d'**Achat**.</w:t>
      </w:r>
    </w:p>
    <w:p>
      <w:pPr>
        <w:spacing w:after="120" w:line="276" w:lineRule="auto"/>
      </w:pPr>
      <w:r>
        <w:t>**Bandes de Bollinger** : Le cours (5 470 FCFA) évolue dans la partie haute du canal, entre la borne inférieure (5 010,64 FCFA) et la borne supérieure (5 665,86 FCFA), sans franchir cette dernière. Cette position médiane-haute, avec un cours à environ 70% de la largeur du canal, traduit une absence de signal extrême, d'où la décision **Neutre** : ni suracheté, ni survendu.</w:t>
      </w:r>
    </w:p>
    <w:p>
      <w:pPr>
        <w:spacing w:after="120" w:line="276" w:lineRule="auto"/>
      </w:pPr>
      <w:r>
        <w:t>**MACD** : La valeur du MACD (117,872) est inférieure à sa ligne de signal (129,265), générant un croisement baissier et une divergence négative. Ce positionnement indique un essoufflement du momentum haussier malgré la tendance de fond positive, justifiant la décision de **Vente** à court terme.</w:t>
      </w:r>
    </w:p>
    <w:p>
      <w:pPr>
        <w:spacing w:after="120" w:line="276" w:lineRule="auto"/>
      </w:pPr>
      <w:r>
        <w:t>**RSI** : À 68,391, le RSI se situe juste en dessous du seuil de surachat (70), dans une zone haute mais encore neutre. Le titre conserve de la vigueur sans être techniquement épuisé, ce qui explique la décision **Neutre** — une prudence s'impose à l'approche des 70.</w:t>
      </w:r>
    </w:p>
    <w:p>
      <w:pPr>
        <w:spacing w:after="120" w:line="276" w:lineRule="auto"/>
      </w:pPr>
      <w:r>
        <w:t>**Stochastique** : Le %K (55,696) est inférieur au %D (61,326), avec un croisement baissier en zone médiane. Cette configuration indique une perte de dynamique à court terme sans signal de survente, d'où la décision **Neutre**.</w:t>
      </w:r>
    </w:p>
    <w:p>
      <w:pPr>
        <w:spacing w:after="120" w:line="276" w:lineRule="auto"/>
      </w:pPr>
      <w:r>
        <w:t>**Conclusion technique** : Les indicateurs sont globalement mitigés. La structure des moyennes mobiles reste haussière (cours &gt; MM20 &gt; MM50) et soutient la tendance de fond, mais le MACD baissier, le RSI proche de la surachat et le stochastique en croisement négatif signalent un essoufflement du momentum à court terme. Le titre se trouve dans une phase de consolidation haute, avec un biais haussier de moyen terme mais un risque de correction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(états financiers annuels 2025)** : En 2025, BOAN affiche un Produit Net Bancaire (équivalent du chiffre d'affaires pour une banque) de 21 125 M FCFA, en léger repli de -1,19% sur un an, et un résultat net effondré à 409 M FCFA, soit une marge nette de seulement 1,94%. La rentabilité des fonds propres (ROE) s'établit à 1,13% et celle des actifs (ROA) à 0,14%, des niveaux très faibles (le seuil d'excellence étant &gt;15% pour le ROE). Le coefficient d'exploitation de 74,37% est nettement supérieur au seuil de 60% d'efficacité, révélant une structure de coûts trop lourde par rapport aux revenus. Le coût du risque rapporté aux charges financières atteint 67,30%, un niveau élevé qui traduit un portefeuille de crédits dégradé, cohérent avec le taux sectoriel de créances en souffrance de 24% mentionné dans les rapports. La structure financière reste néanmoins solide : autonomie financière de 12,36%, solvabilité générale de 114,10% (&gt;1, donc solvable) et financement des immobilisations assuré à 217,06% par les capitaux permanents. Les dépôts clientèle (183,28 Mds FCFA) couvrent largement les créances sur la clientèle (128,45 Mds FCFA), mais la trésorerie nette est négative à -43,52 Mds FCFA, reflétant une dépendance aux dettes interbancaires (64,41 Mds FCFA).</w:t>
      </w:r>
    </w:p>
    <w:p>
      <w:pPr>
        <w:spacing w:after="120" w:line="276" w:lineRule="auto"/>
      </w:pPr>
      <w:r>
        <w:t>**Évolution et estimations issues des rapports trimestriels** : Le rapport du 2nd semestre 2025 (daté du 31/12/2025) confirme l'effondrement du résultat net de -91,8% (409 M FCFA contre 5 002 M FCFA en 2024), imputable à une provision exceptionnelle de 4,8 Mds FCFA et à un coût du risque plus que doublé (+121,5%). Le rapport du 3e trimestre 2025 (30/09/2025) montrait déjà un résultat net cumulé de 2,84 Mds FCFA en baisse de 33,1%. Toutefois, le rapport du 1er trimestre 2026 (31/03/2026) marque un net redressement : PNB en hausse de +7,9% à 5 170 M FCFA, résultat net en progression de +28,9% à 1 467,3 M FCFA, et coefficient d'exploitation ramené à 56,2% (contre 66,8% un an plus tôt), repassant sous le seuil de 60%. Sur la base de ce T1 2026, on peut estimer que l'exercice 2026 devrait amorcer une reprise, avec un PNB annualisé proche de 22 327 M FCFA (objectif budgétaire +6,4%) et un résultat net potentiellement multiplié par plusieurs si la réduction du coût du risque (-65,7% visé) se confirme. La recommandation fondamentale reste donc **CONSERVER sous surveillance rapprochée** : la solidité bilancielle et le soutien du groupe BOA constituent des atouts, mais la faiblesse de la rentabilité, le risque de crédit élevé et l'absence de dividende depuis trois ans imposent la prudence, en attendant confirmation du redressement sur au moins deux trimestres supplémentaires.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dimensions analysées révèle un profil d'investissement contrasté. Sur le plan de la **valorisation (Partie 0)**, les ratios sont nettement surévalués : PER de 278,2x, P/B de 3,15x et EV/EBITDA de 41,0x traduisent une anticipation très optimiste du marché, sans marge de sécurité en cas de déception. Le **comportement du cours (Partie 1)** est fortement haussier (+93,29% sur 100 jours) mais avec une volatilité élevée (39,1%) et une distribution platykurtique (kurtosis -1,587) qui limite le risque de pics extrêmes tout en maintenant une dispersion notable. Les **signaux techniques (Partie 2)** sont mitigés : la structure des moyennes mobiles reste haussière (Achat), mais le MACD baissier (Vente) et le RSI proche de la surachat (68,4) signalent un essoufflement du momentum, plaidant pour une consolidation. Les **fondamentaux (Partie 3)** demeurent fragiles pour 2025 (ROE de 1,13%, coefficient d'exploitation de 74,37%, résultat net de 409 M FCFA), mais le rapport T1 2026 (daté du 31/03/2026) apporte un signal encourageant de redressement (+28,9% de résultat net, coefficient d'exploitation à 56,2%). Enfin, les **prédictions IA (J+1 à J+10)** anticipent une légère dérive baissière de 5 449 FCFA à 5 394 FCFA, confirmant la thèse d'une consolidation court terme après le rallye.</w:t>
      </w:r>
    </w:p>
    <w:p>
      <w:pPr>
        <w:spacing w:after="120" w:line="276" w:lineRule="auto"/>
      </w:pPr>
      <w:r>
        <w:t>Sur la base de cette synthèse, la recommandation finale est **CONSERVER**, avec un **niveau de confiance Moyen** et un **risque global Élevé**. La convergence entre la surévaluation boursière, l'essoufflement technique court terme et la fragilité des fondamentaux 2025 tempère l'optimisme suscité par le rebond du T1 2026 et la tendance haussière de fond. L'horizon d'investissement optimal est le **moyen terme (3-12 mois)**, le temps de confirmer la trajectoire de redressement sur plusieurs trimestres ; les investisseurs en quête de rendement immédiat ou de dividende devront s'abstenir, aucun dividende n'ayant été distribué depuis trois ans.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295.20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10,284 titres</w:t>
            </w:r>
          </w:p>
        </w:tc>
        <w:tc>
          <w:tcPr>
            <w:tcW w:type="dxa" w:w="2268"/>
            <w:shd w:fill="FFF2CC" w:val="clear"/>
          </w:tcPr>
          <w:p>
            <w:r>
              <w:rPr>
                <w:b/>
                <w:color w:val="503200"/>
                <w:sz w:val="16"/>
              </w:rPr>
              <w:t xml:space="preserve">Cours actuel : </w:t>
            </w:r>
            <w:r>
              <w:rPr>
                <w:color w:val="000000"/>
                <w:sz w:val="17"/>
              </w:rPr>
              <w:t>8,200 FCFA</w:t>
            </w:r>
          </w:p>
          <w:p>
            <w:r>
              <w:rPr>
                <w:b/>
                <w:color w:val="503200"/>
                <w:sz w:val="16"/>
              </w:rPr>
              <w:t xml:space="preserve">Var. 100 jours : </w:t>
            </w:r>
            <w:r>
              <w:rPr>
                <w:b/>
                <w:color w:val="007800"/>
                <w:sz w:val="17"/>
              </w:rPr>
              <w:t>+21.48%</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6,735 FCFA</w:t>
            </w:r>
          </w:p>
          <w:p>
            <w:r>
              <w:rPr>
                <w:b/>
                <w:color w:val="503200"/>
                <w:sz w:val="16"/>
              </w:rPr>
              <w:t xml:space="preserve">Volatilité ann. : </w:t>
            </w:r>
            <w:r>
              <w:rPr>
                <w:color w:val="000000"/>
                <w:sz w:val="17"/>
              </w:rPr>
              <w:t>24.5%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5.55% (Moyenne) — μ=7,542 FCFA, σ=418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β=0.2863 (Défensif) — Cov=0.000010, Var(idx)=0.000036, ρ=0.111,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10,284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σ_j=1.54%/j (Stable) — Vol. annualisée≈24.5%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2026-09-10</w:t>
            </w:r>
          </w:p>
        </w:tc>
        <w:tc>
          <w:tcPr>
            <w:tcW w:type="dxa" w:w="1440"/>
            <w:shd w:fill="FFDCE0" w:val="clear"/>
          </w:tcPr>
          <w:p>
            <w:r>
              <w:rPr>
                <w:sz w:val="17"/>
              </w:rPr>
              <w:t>7,800</w:t>
            </w:r>
          </w:p>
        </w:tc>
        <w:tc>
          <w:tcPr>
            <w:tcW w:type="dxa" w:w="1440"/>
            <w:shd w:fill="FFDCE0" w:val="clear"/>
          </w:tcPr>
          <w:p>
            <w:r>
              <w:rPr>
                <w:b/>
                <w:sz w:val="17"/>
              </w:rPr>
              <w:t>8,004</w:t>
            </w:r>
          </w:p>
        </w:tc>
        <w:tc>
          <w:tcPr>
            <w:tcW w:type="dxa" w:w="1440"/>
            <w:shd w:fill="FFDCE0" w:val="clear"/>
          </w:tcPr>
          <w:p>
            <w:r>
              <w:rPr>
                <w:sz w:val="17"/>
              </w:rPr>
              <w:t>8,208</w:t>
            </w:r>
          </w:p>
        </w:tc>
        <w:tc>
          <w:tcPr>
            <w:tcW w:type="dxa" w:w="1440"/>
            <w:shd w:fill="FFDCE0" w:val="clear"/>
          </w:tcPr>
          <w:p>
            <w:r>
              <w:rPr>
                <w:b/>
                <w:color w:val="C00000"/>
                <w:sz w:val="17"/>
              </w:rPr>
              <w:t>-2.4%</w:t>
            </w:r>
          </w:p>
        </w:tc>
      </w:tr>
      <w:tr>
        <w:tc>
          <w:tcPr>
            <w:tcW w:type="dxa" w:w="1440"/>
            <w:shd w:fill="FFDCE0" w:val="clear"/>
          </w:tcPr>
          <w:p>
            <w:r>
              <w:rPr>
                <w:sz w:val="17"/>
              </w:rPr>
              <w:t>J+2  ⭐⭐⭐</w:t>
            </w:r>
          </w:p>
        </w:tc>
        <w:tc>
          <w:tcPr>
            <w:tcW w:type="dxa" w:w="1440"/>
            <w:shd w:fill="FFDCE0" w:val="clear"/>
          </w:tcPr>
          <w:p>
            <w:r>
              <w:rPr>
                <w:sz w:val="17"/>
              </w:rPr>
              <w:t>2026-09-11</w:t>
            </w:r>
          </w:p>
        </w:tc>
        <w:tc>
          <w:tcPr>
            <w:tcW w:type="dxa" w:w="1440"/>
            <w:shd w:fill="FFDCE0" w:val="clear"/>
          </w:tcPr>
          <w:p>
            <w:r>
              <w:rPr>
                <w:sz w:val="17"/>
              </w:rPr>
              <w:t>7,575</w:t>
            </w:r>
          </w:p>
        </w:tc>
        <w:tc>
          <w:tcPr>
            <w:tcW w:type="dxa" w:w="1440"/>
            <w:shd w:fill="FFDCE0" w:val="clear"/>
          </w:tcPr>
          <w:p>
            <w:r>
              <w:rPr>
                <w:b/>
                <w:sz w:val="17"/>
              </w:rPr>
              <w:t>7,858</w:t>
            </w:r>
          </w:p>
        </w:tc>
        <w:tc>
          <w:tcPr>
            <w:tcW w:type="dxa" w:w="1440"/>
            <w:shd w:fill="FFDCE0" w:val="clear"/>
          </w:tcPr>
          <w:p>
            <w:r>
              <w:rPr>
                <w:sz w:val="17"/>
              </w:rPr>
              <w:t>8,141</w:t>
            </w:r>
          </w:p>
        </w:tc>
        <w:tc>
          <w:tcPr>
            <w:tcW w:type="dxa" w:w="1440"/>
            <w:shd w:fill="FFDCE0" w:val="clear"/>
          </w:tcPr>
          <w:p>
            <w:r>
              <w:rPr>
                <w:b/>
                <w:color w:val="C00000"/>
                <w:sz w:val="17"/>
              </w:rPr>
              <w:t>-4.2%</w:t>
            </w:r>
          </w:p>
        </w:tc>
      </w:tr>
      <w:tr>
        <w:tc>
          <w:tcPr>
            <w:tcW w:type="dxa" w:w="1440"/>
            <w:shd w:fill="FFDCE0" w:val="clear"/>
          </w:tcPr>
          <w:p>
            <w:r>
              <w:rPr>
                <w:sz w:val="17"/>
              </w:rPr>
              <w:t>J+3  ⭐⭐⭐</w:t>
            </w:r>
          </w:p>
        </w:tc>
        <w:tc>
          <w:tcPr>
            <w:tcW w:type="dxa" w:w="1440"/>
            <w:shd w:fill="FFDCE0" w:val="clear"/>
          </w:tcPr>
          <w:p>
            <w:r>
              <w:rPr>
                <w:sz w:val="17"/>
              </w:rPr>
              <w:t>2026-09-14</w:t>
            </w:r>
          </w:p>
        </w:tc>
        <w:tc>
          <w:tcPr>
            <w:tcW w:type="dxa" w:w="1440"/>
            <w:shd w:fill="FFDCE0" w:val="clear"/>
          </w:tcPr>
          <w:p>
            <w:r>
              <w:rPr>
                <w:sz w:val="17"/>
              </w:rPr>
              <w:t>7,380</w:t>
            </w:r>
          </w:p>
        </w:tc>
        <w:tc>
          <w:tcPr>
            <w:tcW w:type="dxa" w:w="1440"/>
            <w:shd w:fill="FFDCE0" w:val="clear"/>
          </w:tcPr>
          <w:p>
            <w:r>
              <w:rPr>
                <w:b/>
                <w:sz w:val="17"/>
              </w:rPr>
              <w:t>7,721</w:t>
            </w:r>
          </w:p>
        </w:tc>
        <w:tc>
          <w:tcPr>
            <w:tcW w:type="dxa" w:w="1440"/>
            <w:shd w:fill="FFDCE0" w:val="clear"/>
          </w:tcPr>
          <w:p>
            <w:r>
              <w:rPr>
                <w:sz w:val="17"/>
              </w:rPr>
              <w:t>8,062</w:t>
            </w:r>
          </w:p>
        </w:tc>
        <w:tc>
          <w:tcPr>
            <w:tcW w:type="dxa" w:w="1440"/>
            <w:shd w:fill="FFDCE0" w:val="clear"/>
          </w:tcPr>
          <w:p>
            <w:r>
              <w:rPr>
                <w:b/>
                <w:color w:val="C00000"/>
                <w:sz w:val="17"/>
              </w:rPr>
              <w:t>-5.8%</w:t>
            </w:r>
          </w:p>
        </w:tc>
      </w:tr>
      <w:tr>
        <w:tc>
          <w:tcPr>
            <w:tcW w:type="dxa" w:w="1440"/>
            <w:shd w:fill="FFDCE0" w:val="clear"/>
          </w:tcPr>
          <w:p>
            <w:r>
              <w:rPr>
                <w:sz w:val="17"/>
              </w:rPr>
              <w:t>J+4  Moyenne</w:t>
            </w:r>
          </w:p>
        </w:tc>
        <w:tc>
          <w:tcPr>
            <w:tcW w:type="dxa" w:w="1440"/>
            <w:shd w:fill="FFDCE0" w:val="clear"/>
          </w:tcPr>
          <w:p>
            <w:r>
              <w:rPr>
                <w:sz w:val="17"/>
              </w:rPr>
              <w:t>2026-09-15</w:t>
            </w:r>
          </w:p>
        </w:tc>
        <w:tc>
          <w:tcPr>
            <w:tcW w:type="dxa" w:w="1440"/>
            <w:shd w:fill="FFDCE0" w:val="clear"/>
          </w:tcPr>
          <w:p>
            <w:r>
              <w:rPr>
                <w:sz w:val="17"/>
              </w:rPr>
              <w:t>7,208</w:t>
            </w:r>
          </w:p>
        </w:tc>
        <w:tc>
          <w:tcPr>
            <w:tcW w:type="dxa" w:w="1440"/>
            <w:shd w:fill="FFDCE0" w:val="clear"/>
          </w:tcPr>
          <w:p>
            <w:r>
              <w:rPr>
                <w:b/>
                <w:sz w:val="17"/>
              </w:rPr>
              <w:t>7,596</w:t>
            </w:r>
          </w:p>
        </w:tc>
        <w:tc>
          <w:tcPr>
            <w:tcW w:type="dxa" w:w="1440"/>
            <w:shd w:fill="FFDCE0" w:val="clear"/>
          </w:tcPr>
          <w:p>
            <w:r>
              <w:rPr>
                <w:sz w:val="17"/>
              </w:rPr>
              <w:t>7,983</w:t>
            </w:r>
          </w:p>
        </w:tc>
        <w:tc>
          <w:tcPr>
            <w:tcW w:type="dxa" w:w="1440"/>
            <w:shd w:fill="FFDCE0" w:val="clear"/>
          </w:tcPr>
          <w:p>
            <w:r>
              <w:rPr>
                <w:b/>
                <w:color w:val="C00000"/>
                <w:sz w:val="17"/>
              </w:rPr>
              <w:t>-7.4%</w:t>
            </w:r>
          </w:p>
        </w:tc>
      </w:tr>
      <w:tr>
        <w:tc>
          <w:tcPr>
            <w:tcW w:type="dxa" w:w="1440"/>
            <w:shd w:fill="FFDCE0" w:val="clear"/>
          </w:tcPr>
          <w:p>
            <w:r>
              <w:rPr>
                <w:sz w:val="17"/>
              </w:rPr>
              <w:t>J+5  Moyenne</w:t>
            </w:r>
          </w:p>
        </w:tc>
        <w:tc>
          <w:tcPr>
            <w:tcW w:type="dxa" w:w="1440"/>
            <w:shd w:fill="FFDCE0" w:val="clear"/>
          </w:tcPr>
          <w:p>
            <w:r>
              <w:rPr>
                <w:sz w:val="17"/>
              </w:rPr>
              <w:t>2026-09-16</w:t>
            </w:r>
          </w:p>
        </w:tc>
        <w:tc>
          <w:tcPr>
            <w:tcW w:type="dxa" w:w="1440"/>
            <w:shd w:fill="FFDCE0" w:val="clear"/>
          </w:tcPr>
          <w:p>
            <w:r>
              <w:rPr>
                <w:sz w:val="17"/>
              </w:rPr>
              <w:t>7,053</w:t>
            </w:r>
          </w:p>
        </w:tc>
        <w:tc>
          <w:tcPr>
            <w:tcW w:type="dxa" w:w="1440"/>
            <w:shd w:fill="FFDCE0" w:val="clear"/>
          </w:tcPr>
          <w:p>
            <w:r>
              <w:rPr>
                <w:b/>
                <w:sz w:val="17"/>
              </w:rPr>
              <w:t>7,479</w:t>
            </w:r>
          </w:p>
        </w:tc>
        <w:tc>
          <w:tcPr>
            <w:tcW w:type="dxa" w:w="1440"/>
            <w:shd w:fill="FFDCE0" w:val="clear"/>
          </w:tcPr>
          <w:p>
            <w:r>
              <w:rPr>
                <w:sz w:val="17"/>
              </w:rPr>
              <w:t>7,905</w:t>
            </w:r>
          </w:p>
        </w:tc>
        <w:tc>
          <w:tcPr>
            <w:tcW w:type="dxa" w:w="1440"/>
            <w:shd w:fill="FFDCE0" w:val="clear"/>
          </w:tcPr>
          <w:p>
            <w:r>
              <w:rPr>
                <w:b/>
                <w:color w:val="C00000"/>
                <w:sz w:val="17"/>
              </w:rPr>
              <w:t>-8.8%</w:t>
            </w:r>
          </w:p>
        </w:tc>
      </w:tr>
      <w:tr>
        <w:tc>
          <w:tcPr>
            <w:tcW w:type="dxa" w:w="1440"/>
            <w:shd w:fill="FFDCE0" w:val="clear"/>
          </w:tcPr>
          <w:p>
            <w:r>
              <w:rPr>
                <w:sz w:val="17"/>
              </w:rPr>
              <w:t>J+6  Moyenne</w:t>
            </w:r>
          </w:p>
        </w:tc>
        <w:tc>
          <w:tcPr>
            <w:tcW w:type="dxa" w:w="1440"/>
            <w:shd w:fill="FFDCE0" w:val="clear"/>
          </w:tcPr>
          <w:p>
            <w:r>
              <w:rPr>
                <w:sz w:val="17"/>
              </w:rPr>
              <w:t>2026-09-17</w:t>
            </w:r>
          </w:p>
        </w:tc>
        <w:tc>
          <w:tcPr>
            <w:tcW w:type="dxa" w:w="1440"/>
            <w:shd w:fill="FFDCE0" w:val="clear"/>
          </w:tcPr>
          <w:p>
            <w:r>
              <w:rPr>
                <w:sz w:val="17"/>
              </w:rPr>
              <w:t>6,909</w:t>
            </w:r>
          </w:p>
        </w:tc>
        <w:tc>
          <w:tcPr>
            <w:tcW w:type="dxa" w:w="1440"/>
            <w:shd w:fill="FFDCE0" w:val="clear"/>
          </w:tcPr>
          <w:p>
            <w:r>
              <w:rPr>
                <w:b/>
                <w:sz w:val="17"/>
              </w:rPr>
              <w:t>7,369</w:t>
            </w:r>
          </w:p>
        </w:tc>
        <w:tc>
          <w:tcPr>
            <w:tcW w:type="dxa" w:w="1440"/>
            <w:shd w:fill="FFDCE0" w:val="clear"/>
          </w:tcPr>
          <w:p>
            <w:r>
              <w:rPr>
                <w:sz w:val="17"/>
              </w:rPr>
              <w:t>7,829</w:t>
            </w:r>
          </w:p>
        </w:tc>
        <w:tc>
          <w:tcPr>
            <w:tcW w:type="dxa" w:w="1440"/>
            <w:shd w:fill="FFDCE0" w:val="clear"/>
          </w:tcPr>
          <w:p>
            <w:r>
              <w:rPr>
                <w:b/>
                <w:color w:val="C00000"/>
                <w:sz w:val="17"/>
              </w:rPr>
              <w:t>-10.1%</w:t>
            </w:r>
          </w:p>
        </w:tc>
      </w:tr>
      <w:tr>
        <w:tc>
          <w:tcPr>
            <w:tcW w:type="dxa" w:w="1440"/>
            <w:shd w:fill="FFDCE0" w:val="clear"/>
          </w:tcPr>
          <w:p>
            <w:r>
              <w:rPr>
                <w:sz w:val="17"/>
              </w:rPr>
              <w:t>J+7  Moyenne</w:t>
            </w:r>
          </w:p>
        </w:tc>
        <w:tc>
          <w:tcPr>
            <w:tcW w:type="dxa" w:w="1440"/>
            <w:shd w:fill="FFDCE0" w:val="clear"/>
          </w:tcPr>
          <w:p>
            <w:r>
              <w:rPr>
                <w:sz w:val="17"/>
              </w:rPr>
              <w:t>2026-09-18</w:t>
            </w:r>
          </w:p>
        </w:tc>
        <w:tc>
          <w:tcPr>
            <w:tcW w:type="dxa" w:w="1440"/>
            <w:shd w:fill="FFDCE0" w:val="clear"/>
          </w:tcPr>
          <w:p>
            <w:r>
              <w:rPr>
                <w:sz w:val="17"/>
              </w:rPr>
              <w:t>6,776</w:t>
            </w:r>
          </w:p>
        </w:tc>
        <w:tc>
          <w:tcPr>
            <w:tcW w:type="dxa" w:w="1440"/>
            <w:shd w:fill="FFDCE0" w:val="clear"/>
          </w:tcPr>
          <w:p>
            <w:r>
              <w:rPr>
                <w:b/>
                <w:sz w:val="17"/>
              </w:rPr>
              <w:t>7,266</w:t>
            </w:r>
          </w:p>
        </w:tc>
        <w:tc>
          <w:tcPr>
            <w:tcW w:type="dxa" w:w="1440"/>
            <w:shd w:fill="FFDCE0" w:val="clear"/>
          </w:tcPr>
          <w:p>
            <w:r>
              <w:rPr>
                <w:sz w:val="17"/>
              </w:rPr>
              <w:t>7,756</w:t>
            </w:r>
          </w:p>
        </w:tc>
        <w:tc>
          <w:tcPr>
            <w:tcW w:type="dxa" w:w="1440"/>
            <w:shd w:fill="FFDCE0" w:val="clear"/>
          </w:tcPr>
          <w:p>
            <w:r>
              <w:rPr>
                <w:b/>
                <w:color w:val="C00000"/>
                <w:sz w:val="17"/>
              </w:rPr>
              <w:t>-11.4%</w:t>
            </w:r>
          </w:p>
        </w:tc>
      </w:tr>
      <w:tr>
        <w:tc>
          <w:tcPr>
            <w:tcW w:type="dxa" w:w="1440"/>
            <w:shd w:fill="FFDCE0" w:val="clear"/>
          </w:tcPr>
          <w:p>
            <w:r>
              <w:rPr>
                <w:sz w:val="17"/>
              </w:rPr>
              <w:t>J+8  Moyenne</w:t>
            </w:r>
          </w:p>
        </w:tc>
        <w:tc>
          <w:tcPr>
            <w:tcW w:type="dxa" w:w="1440"/>
            <w:shd w:fill="FFDCE0" w:val="clear"/>
          </w:tcPr>
          <w:p>
            <w:r>
              <w:rPr>
                <w:sz w:val="17"/>
              </w:rPr>
              <w:t>2026-09-21</w:t>
            </w:r>
          </w:p>
        </w:tc>
        <w:tc>
          <w:tcPr>
            <w:tcW w:type="dxa" w:w="1440"/>
            <w:shd w:fill="FFDCE0" w:val="clear"/>
          </w:tcPr>
          <w:p>
            <w:r>
              <w:rPr>
                <w:sz w:val="17"/>
              </w:rPr>
              <w:t>6,651</w:t>
            </w:r>
          </w:p>
        </w:tc>
        <w:tc>
          <w:tcPr>
            <w:tcW w:type="dxa" w:w="1440"/>
            <w:shd w:fill="FFDCE0" w:val="clear"/>
          </w:tcPr>
          <w:p>
            <w:r>
              <w:rPr>
                <w:b/>
                <w:sz w:val="17"/>
              </w:rPr>
              <w:t>7,168</w:t>
            </w:r>
          </w:p>
        </w:tc>
        <w:tc>
          <w:tcPr>
            <w:tcW w:type="dxa" w:w="1440"/>
            <w:shd w:fill="FFDCE0" w:val="clear"/>
          </w:tcPr>
          <w:p>
            <w:r>
              <w:rPr>
                <w:sz w:val="17"/>
              </w:rPr>
              <w:t>7,685</w:t>
            </w:r>
          </w:p>
        </w:tc>
        <w:tc>
          <w:tcPr>
            <w:tcW w:type="dxa" w:w="1440"/>
            <w:shd w:fill="FFDCE0" w:val="clear"/>
          </w:tcPr>
          <w:p>
            <w:r>
              <w:rPr>
                <w:b/>
                <w:color w:val="C00000"/>
                <w:sz w:val="17"/>
              </w:rPr>
              <w:t>-12.6%</w:t>
            </w:r>
          </w:p>
        </w:tc>
      </w:tr>
      <w:tr>
        <w:tc>
          <w:tcPr>
            <w:tcW w:type="dxa" w:w="1440"/>
            <w:shd w:fill="FFDCE0" w:val="clear"/>
          </w:tcPr>
          <w:p>
            <w:r>
              <w:rPr>
                <w:sz w:val="17"/>
              </w:rPr>
              <w:t>J+9  Moyenne</w:t>
            </w:r>
          </w:p>
        </w:tc>
        <w:tc>
          <w:tcPr>
            <w:tcW w:type="dxa" w:w="1440"/>
            <w:shd w:fill="FFDCE0" w:val="clear"/>
          </w:tcPr>
          <w:p>
            <w:r>
              <w:rPr>
                <w:sz w:val="17"/>
              </w:rPr>
              <w:t>2026-09-22</w:t>
            </w:r>
          </w:p>
        </w:tc>
        <w:tc>
          <w:tcPr>
            <w:tcW w:type="dxa" w:w="1440"/>
            <w:shd w:fill="FFDCE0" w:val="clear"/>
          </w:tcPr>
          <w:p>
            <w:r>
              <w:rPr>
                <w:sz w:val="17"/>
              </w:rPr>
              <w:t>6,535</w:t>
            </w:r>
          </w:p>
        </w:tc>
        <w:tc>
          <w:tcPr>
            <w:tcW w:type="dxa" w:w="1440"/>
            <w:shd w:fill="FFDCE0" w:val="clear"/>
          </w:tcPr>
          <w:p>
            <w:r>
              <w:rPr>
                <w:b/>
                <w:sz w:val="17"/>
              </w:rPr>
              <w:t>7,076</w:t>
            </w:r>
          </w:p>
        </w:tc>
        <w:tc>
          <w:tcPr>
            <w:tcW w:type="dxa" w:w="1440"/>
            <w:shd w:fill="FFDCE0" w:val="clear"/>
          </w:tcPr>
          <w:p>
            <w:r>
              <w:rPr>
                <w:sz w:val="17"/>
              </w:rPr>
              <w:t>7,617</w:t>
            </w:r>
          </w:p>
        </w:tc>
        <w:tc>
          <w:tcPr>
            <w:tcW w:type="dxa" w:w="1440"/>
            <w:shd w:fill="FFDCE0" w:val="clear"/>
          </w:tcPr>
          <w:p>
            <w:r>
              <w:rPr>
                <w:b/>
                <w:color w:val="C00000"/>
                <w:sz w:val="17"/>
              </w:rPr>
              <w:t>-13.7%</w:t>
            </w:r>
          </w:p>
        </w:tc>
      </w:tr>
      <w:tr>
        <w:tc>
          <w:tcPr>
            <w:tcW w:type="dxa" w:w="1440"/>
            <w:shd w:fill="FFDCE0" w:val="clear"/>
          </w:tcPr>
          <w:p>
            <w:r>
              <w:rPr>
                <w:sz w:val="17"/>
              </w:rPr>
              <w:t>J+10  Moyenne</w:t>
            </w:r>
          </w:p>
        </w:tc>
        <w:tc>
          <w:tcPr>
            <w:tcW w:type="dxa" w:w="1440"/>
            <w:shd w:fill="FFDCE0" w:val="clear"/>
          </w:tcPr>
          <w:p>
            <w:r>
              <w:rPr>
                <w:sz w:val="17"/>
              </w:rPr>
              <w:t>2026-09-23</w:t>
            </w:r>
          </w:p>
        </w:tc>
        <w:tc>
          <w:tcPr>
            <w:tcW w:type="dxa" w:w="1440"/>
            <w:shd w:fill="FFDCE0" w:val="clear"/>
          </w:tcPr>
          <w:p>
            <w:r>
              <w:rPr>
                <w:sz w:val="17"/>
              </w:rPr>
              <w:t>6,425</w:t>
            </w:r>
          </w:p>
        </w:tc>
        <w:tc>
          <w:tcPr>
            <w:tcW w:type="dxa" w:w="1440"/>
            <w:shd w:fill="FFDCE0" w:val="clear"/>
          </w:tcPr>
          <w:p>
            <w:r>
              <w:rPr>
                <w:b/>
                <w:sz w:val="17"/>
              </w:rPr>
              <w:t>6,989</w:t>
            </w:r>
          </w:p>
        </w:tc>
        <w:tc>
          <w:tcPr>
            <w:tcW w:type="dxa" w:w="1440"/>
            <w:shd w:fill="FFDCE0" w:val="clear"/>
          </w:tcPr>
          <w:p>
            <w:r>
              <w:rPr>
                <w:sz w:val="17"/>
              </w:rPr>
              <w:t>7,552</w:t>
            </w:r>
          </w:p>
        </w:tc>
        <w:tc>
          <w:tcPr>
            <w:tcW w:type="dxa" w:w="1440"/>
            <w:shd w:fill="FFDCE0" w:val="clear"/>
          </w:tcPr>
          <w:p>
            <w:r>
              <w:rPr>
                <w:b/>
                <w:color w:val="C00000"/>
                <w:sz w:val="17"/>
              </w:rPr>
              <w:t>-14.8%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BANK OF AFRICA SÉNÉGAL (BOAS)**</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295,20 milliards FCFA, BOAS s'impose comme l'une des valeurs bancaires de référence de la cote BRVM, témoignant d'une liquidité et d'une profondeur de marché appréciables. Le BPA de 608 FCFA par action signifie que chaque titre génère près de 608 FCFA de bénéfice net, un niveau de rentabilité par action particulièrement élevé pour le secteur. Le PER de 13,5x se situe légèrement au-dessus de la moyenne BRVM (8-12x), ce qui traduit une prime de qualité modérée mais non excessive : les investisseurs acceptent de payer un multiple raisonnable pour une banque affichant une croissance régulière de ses résultats. Le P/B de 3,06x indique que le marché valorise la banque à environ trois fois sa valeur comptable, une prime de croissance justifiée par un ROE de 22,69% nettement supérieur au coût des fonds propres. Enfin, l'EV/EBITDA de 8,8x, dans la fourchette raisonnable de 5-10x, confirme que la valeur d'entreprise reste cohérente avec la capacité opérationnelle de la banque, sans surévaluation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BOAS a enregistré une progression spectaculaire de +21,48%, passant d'un plus bas de 6 735 FCFA à un plus haut de 8 500 FCFA, pour un cours actuel de 8 200 FCFA — la dernière séance ayant toutefois cédé -0,91%, signalant une légère prise de bénéfices après le rallye. Le range de trading de 1 765 FCFA (environ 26% d'amplitude) témoigne d'une dynamique haussière soutenue, le cours évoluant dans la partie supérieure de sa fourchette. Les statistiques descriptives révèlent une moyenne de 7 542 FCFA légèrement supérieure à la médiane de 7 450 FCFA, avec un mode à 7 700 FCFA : cet écart modéré entre moyenne et médiane, couplé à un skewness de 0,275 (distribution symétrique), indique une progression équilibrée sans emballement spéculatif excessif. L'écart-type de 421 FCFA (CV de 5,6%) traduit une dispersion relativement contenue du cours autour de sa tendance, tandis que le kurtosis de -0,253 (mésokurtique) suggère une distribution proche de la normale, donc un risque de pics extrêmes limité. La volatilité annualisée de 24,5% positionne le titre dans la catégorie modérée (15-30%), ce qui est cohérent avec un profil de valeur bancaire stable mais néanmoins exposée aux aléas du marché ouest-africain.</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8 114,5 FCFA et la MM50 à 7 774,2 FCFA, toutes deux inférieures au cours actuel de 8 200 FCFA, ce qui confirme une configuration haussière (golden cross) où le cours surperforme ses moyennes. La MM20 étant elle-même au-dessus de la MM50, la dynamique de court terme reste positive, justifiant la décision d'**Achat**.</w:t>
      </w:r>
    </w:p>
    <w:p>
      <w:pPr>
        <w:spacing w:after="120" w:line="276" w:lineRule="auto"/>
      </w:pPr>
      <w:r>
        <w:t>**Bandes de Bollinger** : La borne supérieure se situe à 8 670,5 FCFA et la borne inférieure à 7 558,5 FCFA, encadrant un cours actuel de 8 200 FCFA positionné dans la moitié supérieure du canal. Cette position, sans contact avec la borne haute, indique que le titre n'est pas en zone de surachat extrême, d'où la décision **Neutre** qui invite à la prudence sans signaler de retournement.</w:t>
      </w:r>
    </w:p>
    <w:p>
      <w:pPr>
        <w:spacing w:after="120" w:line="276" w:lineRule="auto"/>
      </w:pPr>
      <w:r>
        <w:t>**MACD** : La valeur du MACD (149,34) est inférieure à son signal (167,18), générant un croisement baissier qui traduit un essoufflement du momentum haussier. Cette divergence négative, bien que modérée, justifie la décision de **Vente** à court terme, suggérant une consolidation possible avant reprise.</w:t>
      </w:r>
    </w:p>
    <w:p>
      <w:pPr>
        <w:spacing w:after="120" w:line="276" w:lineRule="auto"/>
      </w:pPr>
      <w:r>
        <w:t>**RSI** : À 66,81, le RSI se situe en zone neutre haute, proche mais sans atteindre le seuil de surachat de 70. Cette configuration indique que le titre conserve un potentiel de hausse résiduel tout en approchant d'une zone de vigilance, d'où la décision **Neutre** qui recommande l'observation.</w:t>
      </w:r>
    </w:p>
    <w:p>
      <w:pPr>
        <w:spacing w:after="120" w:line="276" w:lineRule="auto"/>
      </w:pPr>
      <w:r>
        <w:t>**Stochastique** : Le %K (40,0) est nettement inférieur au %D (58,1), avec un croisement baissier en zone médiane. Cette configuration signale une perte de vitesse de la dynamique haussière à court terme, justifiant la décision **Neutre** qui appelle à la patience avant tout renforcement.</w:t>
      </w:r>
    </w:p>
    <w:p>
      <w:pPr>
        <w:spacing w:after="120" w:line="276" w:lineRule="auto"/>
      </w:pPr>
      <w:r>
        <w:t>**Conclusion technique** : Les indicateurs présentent un tableau mitigé — les moyennes mobiles confirment la tendance haussière de fond, mais le MACD baissier et le stochastique en croisement négatif signalent un essoufflement à court terme. Le RSI et les Bandes de Bollinger en zone neutre suggèrent une consolidation probable avant une nouvelle impulsion. La convergence partielle des signaux plaide pour une posture attentiste à court terme, avec un biais haussier préservé sur le moyen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BOAS affiche un Produit Net Bancaire (équivalent du chiffre d'affaires pour une banque) de 51,926 milliards FCFA et un résultat net de 21,905 milliards FCFA, soit une marge nette remarquable de 42,19%. Le ROE s'élève à 22,69% (largement supérieur au seuil d'excellence de 15%) et le ROA à 2,62%, confirmant une rentabilité des actifs solide pour le secteur. Le coefficient d'exploitation de 44,02% place la banque en zone d'excellence (&lt; 50%), témoignant d'une efficacité opérationnelle remarquable. Le coût du risque rapporté aux charges financières s'établit à 23,31%, un niveau élevé qui appelle une surveillance accrue de la qualité du portefeuille de crédits. La structure financière montre une autonomie financière de 11,54% (inférieure au seuil sain de 30%, mais caractéristique du modèle bancaire où les dépôts clientèle de 686,927 milliards FCFA constituent la ressource principale) et une solvabilité générale de 113,05%, confirmant la capacité de la banque à honorer ses engagements.</w:t>
      </w:r>
    </w:p>
    <w:p>
      <w:pPr>
        <w:spacing w:after="120" w:line="276" w:lineRule="auto"/>
      </w:pPr>
      <w:r>
        <w:t>**Estimations basées sur les rapports trimestriels** : Le rapport du T1 2026 (publié en 2026) révèle un PNB de 12,580 milliards FCFA (+6,82% sur un an) et un résultat net de 5,741 milliards FCFA (+9,78%), avec un coefficient d'exploitation amélioré à 42,1% (contre 42,8% au T1 2025). Les dépôts clientèle progressent fortement de +16,68% à 648,038 milliards FCFA, tandis que les emplois (crédits) n'augmentent que de +4,76% à 408,143 milliards FCFA — un déséquilibre qui pourrait peser sur la marge d'intermédiation future. Le rapport du T3 2025 (daté du 30 septembre 2025) confirme la tendance avec un PNB cumulé de 37,44 milliards FCFA (+6,71%) et un résultat net de 16,37 milliards FCFA (+10,01%), ainsi qu'une baisse du coût du risque de -1,8% à -0,5% du PNB. Sur la base de ces performances trimestrielles, on estime que l'exercice 2026 devrait enregistrer un PNB annuel d'environ 53-54 milliards FCFA et un résultat net de l'ordre de 23-24 milliards FCFA, prolongeant la trajectoire de croissance à deux chiffres.</w:t>
      </w:r>
    </w:p>
    <w:p>
      <w:pPr>
        <w:spacing w:after="120" w:line="276" w:lineRule="auto"/>
      </w:pPr>
      <w:r>
        <w:t>**Évolution pluriannuelle** : Les rapports antérieurs (2021, 2025) montrent une progression constante : le résultat net est passé de 11,070 milliards FCFA en 2021 à 21,905 milliards FCFA en 2025, soit un doublement en quatre ans, avec une accélération notable de la rentabilité (+44,4% en 2021, +12,7% au S1 2025, +10,0% au T3 2025). Cette dynamique témoigne d'un modèle économique robuste, porté par la collecte de dépôts et l'amélioration continue de l'efficacité opérationnelle.</w:t>
      </w:r>
    </w:p>
    <w:p>
      <w:pPr>
        <w:spacing w:after="120" w:line="276" w:lineRule="auto"/>
      </w:pPr>
      <w:r>
        <w:t>**Recommandation fondamentale** : BOAS présente un profil de solidité financière élevé, avec une rentabilité exceptionnelle (ROE &gt; 20%), une efficacité opérationnelle remarquable (coefficient &lt; 45%) et une croissance régulière de ses résultats. Les principaux risques résident dans le coût du risque élevé (23,31% des charges financières), la dépendance au marché sénégalais et le déséquilibre croissant entre dépôts et crédits. Néanmoins, la trajectoire fondamentales reste très favorable, justifiant une opinion positive sur le titre.</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révèle un profil d'investissement attractif mais nuancé. **Sur le plan de la valorisation (Partie 0)**, le PER de 13,5x et le P/B de 3,06x indiquent une valorisation raisonnable, légèrement supérieure à la moyenne du marché mais justifiée par la qualité des fondamentaux — ni sous-évaluation flagrante, ni surévaluation excessive. **Le comportement du cours (Partie 1)** est nettement favorable : +21,48% sur 100 jours, volatilité modérée (24,5%), distribution symétrique (skewness 0,275) et absence de risque de pics extrêmes (kurtosis -0,253), bien que la légère baisse de -0,91% en J-1 et la position haute du cours invitent à la prudence. **Les signaux techniques (Partie 2)** sont mitigés : les moyennes mobiles confirment la tendance haussière, mais le MACD baissier et le stochastique en croisement négatif signalent un essoufflement à court terme, tandis que le RSI et les Bandes de Bollinger restent neutres — une divergence qui plaide pour une consolidation avant reprise. **Les fondamentaux (Partie 3)** sont excellents : ROE de 22,69%, coefficient d'exploitation de 44,02%, croissance du résultat net de +9,78% au T1 2026, avec des estimations 2026 favorables (PNB ~53-54 Mds FCFA, résultat net ~23-24 Mds FCFA). **Les prédictions IA (J+1 à J+10)** anticipent une correction baissière de 8 004 FCFA à 7 479 FCFA, soit une baisse d'environ 8,8% sur dix séances, ce qui contredit la tendance haussière récente mais s'aligne sur les signaux techniques baissiers à court terme (MACD, stochastique).</w:t>
      </w:r>
    </w:p>
    <w:p>
      <w:pPr>
        <w:spacing w:after="120" w:line="276" w:lineRule="auto"/>
      </w:pPr>
      <w:r>
        <w:t>**Recommandation finale** : **CONSERVER** avec un biais haussier sur le moyen terme. La convergence entre valorisation raisonnable, fondamentaux solides et tendance de fond haussière est contrariée par les signaux techniques baissiers à court terme et les prédictions IA correctives. Les investisseurs déjà positionnés sont invités à conserver leurs titres en profitant d'un éventuel repli vers 7 500-7 600 FCFA pour renforcer, tandis que les nouveaux entrants attendront une stabilisation technique avant d'initier une position. **Niveau de confiance** : Moyen (les fondamentaux sont solides mais l'incertitude technique à court terme est réelle). **Niveau de risque global** : Moyen (volatilité modérée, exposition au risque de crédit et au marché sénégalais). **Horizon d'investissement optimal** : Moyen à long terme (6 à 18 mois), le temps que la consolidation technique s'achève et que la croissance fondamentale se matérialise dans les cours.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2,151 titres</w:t>
            </w:r>
          </w:p>
        </w:tc>
        <w:tc>
          <w:tcPr>
            <w:tcW w:type="dxa" w:w="2268"/>
            <w:shd w:fill="FFF2CC" w:val="clear"/>
          </w:tcPr>
          <w:p>
            <w:r>
              <w:rPr>
                <w:b/>
                <w:color w:val="503200"/>
                <w:sz w:val="16"/>
              </w:rPr>
              <w:t xml:space="preserve">Cours actuel : </w:t>
            </w:r>
            <w:r>
              <w:rPr>
                <w:color w:val="000000"/>
                <w:sz w:val="17"/>
              </w:rPr>
              <w:t>3,490 FCFA</w:t>
            </w:r>
          </w:p>
          <w:p>
            <w:r>
              <w:rPr>
                <w:b/>
                <w:color w:val="503200"/>
                <w:sz w:val="16"/>
              </w:rPr>
              <w:t xml:space="preserve">Var. 100 jours : </w:t>
            </w:r>
            <w:r>
              <w:rPr>
                <w:b/>
                <w:color w:val="B40000"/>
                <w:sz w:val="17"/>
              </w:rPr>
              <w:t>-10.40%</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3,350 FCFA</w:t>
            </w:r>
          </w:p>
          <w:p>
            <w:r>
              <w:rPr>
                <w:b/>
                <w:color w:val="503200"/>
                <w:sz w:val="16"/>
              </w:rPr>
              <w:t xml:space="preserve">Volatilité ann. : </w:t>
            </w:r>
            <w:r>
              <w:rPr>
                <w:color w:val="000000"/>
                <w:sz w:val="17"/>
              </w:rPr>
              <w:t>48.1%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7.16% (Moyenne) — μ=3,722 FCFA, σ=266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β=0.1415 (Défensif) — Cov=0.000005, Var(idx)=0.000036, ρ=0.028,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2,151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σ_j=3.03%/j (Modérée) — Vol. annualisée≈48.1%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2026-09-10</w:t>
            </w:r>
          </w:p>
        </w:tc>
        <w:tc>
          <w:tcPr>
            <w:tcW w:type="dxa" w:w="1440"/>
            <w:shd w:fill="C6EFCE" w:val="clear"/>
          </w:tcPr>
          <w:p>
            <w:r>
              <w:rPr>
                <w:sz w:val="17"/>
              </w:rPr>
              <w:t>3,527</w:t>
            </w:r>
          </w:p>
        </w:tc>
        <w:tc>
          <w:tcPr>
            <w:tcW w:type="dxa" w:w="1440"/>
            <w:shd w:fill="C6EFCE" w:val="clear"/>
          </w:tcPr>
          <w:p>
            <w:r>
              <w:rPr>
                <w:b/>
                <w:sz w:val="17"/>
              </w:rPr>
              <w:t>3,632</w:t>
            </w:r>
          </w:p>
        </w:tc>
        <w:tc>
          <w:tcPr>
            <w:tcW w:type="dxa" w:w="1440"/>
            <w:shd w:fill="C6EFCE" w:val="clear"/>
          </w:tcPr>
          <w:p>
            <w:r>
              <w:rPr>
                <w:sz w:val="17"/>
              </w:rPr>
              <w:t>3,737</w:t>
            </w:r>
          </w:p>
        </w:tc>
        <w:tc>
          <w:tcPr>
            <w:tcW w:type="dxa" w:w="1440"/>
            <w:shd w:fill="C6EFCE" w:val="clear"/>
          </w:tcPr>
          <w:p>
            <w:r>
              <w:rPr>
                <w:b/>
                <w:color w:val="008000"/>
                <w:sz w:val="17"/>
              </w:rPr>
              <w:t>+4.1%</w:t>
            </w:r>
          </w:p>
        </w:tc>
      </w:tr>
      <w:tr>
        <w:tc>
          <w:tcPr>
            <w:tcW w:type="dxa" w:w="1440"/>
            <w:shd w:fill="C6EFCE" w:val="clear"/>
          </w:tcPr>
          <w:p>
            <w:r>
              <w:rPr>
                <w:sz w:val="17"/>
              </w:rPr>
              <w:t>J+2  ⭐⭐⭐</w:t>
            </w:r>
          </w:p>
        </w:tc>
        <w:tc>
          <w:tcPr>
            <w:tcW w:type="dxa" w:w="1440"/>
            <w:shd w:fill="C6EFCE" w:val="clear"/>
          </w:tcPr>
          <w:p>
            <w:r>
              <w:rPr>
                <w:sz w:val="17"/>
              </w:rPr>
              <w:t>2026-09-11</w:t>
            </w:r>
          </w:p>
        </w:tc>
        <w:tc>
          <w:tcPr>
            <w:tcW w:type="dxa" w:w="1440"/>
            <w:shd w:fill="C6EFCE" w:val="clear"/>
          </w:tcPr>
          <w:p>
            <w:r>
              <w:rPr>
                <w:sz w:val="17"/>
              </w:rPr>
              <w:t>3,619</w:t>
            </w:r>
          </w:p>
        </w:tc>
        <w:tc>
          <w:tcPr>
            <w:tcW w:type="dxa" w:w="1440"/>
            <w:shd w:fill="C6EFCE" w:val="clear"/>
          </w:tcPr>
          <w:p>
            <w:r>
              <w:rPr>
                <w:b/>
                <w:sz w:val="17"/>
              </w:rPr>
              <w:t>3,773</w:t>
            </w:r>
          </w:p>
        </w:tc>
        <w:tc>
          <w:tcPr>
            <w:tcW w:type="dxa" w:w="1440"/>
            <w:shd w:fill="C6EFCE" w:val="clear"/>
          </w:tcPr>
          <w:p>
            <w:r>
              <w:rPr>
                <w:sz w:val="17"/>
              </w:rPr>
              <w:t>3,927</w:t>
            </w:r>
          </w:p>
        </w:tc>
        <w:tc>
          <w:tcPr>
            <w:tcW w:type="dxa" w:w="1440"/>
            <w:shd w:fill="C6EFCE" w:val="clear"/>
          </w:tcPr>
          <w:p>
            <w:r>
              <w:rPr>
                <w:b/>
                <w:color w:val="008000"/>
                <w:sz w:val="17"/>
              </w:rPr>
              <w:t>+8.1%</w:t>
            </w:r>
          </w:p>
        </w:tc>
      </w:tr>
      <w:tr>
        <w:tc>
          <w:tcPr>
            <w:tcW w:type="dxa" w:w="1440"/>
            <w:shd w:fill="C6EFCE" w:val="clear"/>
          </w:tcPr>
          <w:p>
            <w:r>
              <w:rPr>
                <w:sz w:val="17"/>
              </w:rPr>
              <w:t>J+3  ⭐⭐⭐</w:t>
            </w:r>
          </w:p>
        </w:tc>
        <w:tc>
          <w:tcPr>
            <w:tcW w:type="dxa" w:w="1440"/>
            <w:shd w:fill="C6EFCE" w:val="clear"/>
          </w:tcPr>
          <w:p>
            <w:r>
              <w:rPr>
                <w:sz w:val="17"/>
              </w:rPr>
              <w:t>2026-09-14</w:t>
            </w:r>
          </w:p>
        </w:tc>
        <w:tc>
          <w:tcPr>
            <w:tcW w:type="dxa" w:w="1440"/>
            <w:shd w:fill="C6EFCE" w:val="clear"/>
          </w:tcPr>
          <w:p>
            <w:r>
              <w:rPr>
                <w:sz w:val="17"/>
              </w:rPr>
              <w:t>3,747</w:t>
            </w:r>
          </w:p>
        </w:tc>
        <w:tc>
          <w:tcPr>
            <w:tcW w:type="dxa" w:w="1440"/>
            <w:shd w:fill="C6EFCE" w:val="clear"/>
          </w:tcPr>
          <w:p>
            <w:r>
              <w:rPr>
                <w:b/>
                <w:sz w:val="17"/>
              </w:rPr>
              <w:t>3,945</w:t>
            </w:r>
          </w:p>
        </w:tc>
        <w:tc>
          <w:tcPr>
            <w:tcW w:type="dxa" w:w="1440"/>
            <w:shd w:fill="C6EFCE" w:val="clear"/>
          </w:tcPr>
          <w:p>
            <w:r>
              <w:rPr>
                <w:sz w:val="17"/>
              </w:rPr>
              <w:t>4,142</w:t>
            </w:r>
          </w:p>
        </w:tc>
        <w:tc>
          <w:tcPr>
            <w:tcW w:type="dxa" w:w="1440"/>
            <w:shd w:fill="C6EFCE" w:val="clear"/>
          </w:tcPr>
          <w:p>
            <w:r>
              <w:rPr>
                <w:b/>
                <w:color w:val="008000"/>
                <w:sz w:val="17"/>
              </w:rPr>
              <w:t>+13.0%</w:t>
            </w:r>
          </w:p>
        </w:tc>
      </w:tr>
      <w:tr>
        <w:tc>
          <w:tcPr>
            <w:tcW w:type="dxa" w:w="1440"/>
            <w:shd w:fill="C6EFCE" w:val="clear"/>
          </w:tcPr>
          <w:p>
            <w:r>
              <w:rPr>
                <w:sz w:val="17"/>
              </w:rPr>
              <w:t>J+4  Moyenne</w:t>
            </w:r>
          </w:p>
        </w:tc>
        <w:tc>
          <w:tcPr>
            <w:tcW w:type="dxa" w:w="1440"/>
            <w:shd w:fill="C6EFCE" w:val="clear"/>
          </w:tcPr>
          <w:p>
            <w:r>
              <w:rPr>
                <w:sz w:val="17"/>
              </w:rPr>
              <w:t>2026-09-15</w:t>
            </w:r>
          </w:p>
        </w:tc>
        <w:tc>
          <w:tcPr>
            <w:tcW w:type="dxa" w:w="1440"/>
            <w:shd w:fill="C6EFCE" w:val="clear"/>
          </w:tcPr>
          <w:p>
            <w:r>
              <w:rPr>
                <w:sz w:val="17"/>
              </w:rPr>
              <w:t>3,901</w:t>
            </w:r>
          </w:p>
        </w:tc>
        <w:tc>
          <w:tcPr>
            <w:tcW w:type="dxa" w:w="1440"/>
            <w:shd w:fill="C6EFCE" w:val="clear"/>
          </w:tcPr>
          <w:p>
            <w:r>
              <w:rPr>
                <w:b/>
                <w:sz w:val="17"/>
              </w:rPr>
              <w:t>4,141</w:t>
            </w:r>
          </w:p>
        </w:tc>
        <w:tc>
          <w:tcPr>
            <w:tcW w:type="dxa" w:w="1440"/>
            <w:shd w:fill="C6EFCE" w:val="clear"/>
          </w:tcPr>
          <w:p>
            <w:r>
              <w:rPr>
                <w:sz w:val="17"/>
              </w:rPr>
              <w:t>4,380</w:t>
            </w:r>
          </w:p>
        </w:tc>
        <w:tc>
          <w:tcPr>
            <w:tcW w:type="dxa" w:w="1440"/>
            <w:shd w:fill="C6EFCE" w:val="clear"/>
          </w:tcPr>
          <w:p>
            <w:r>
              <w:rPr>
                <w:b/>
                <w:color w:val="008000"/>
                <w:sz w:val="17"/>
              </w:rPr>
              <w:t>+18.6%</w:t>
            </w:r>
          </w:p>
        </w:tc>
      </w:tr>
      <w:tr>
        <w:tc>
          <w:tcPr>
            <w:tcW w:type="dxa" w:w="1440"/>
            <w:shd w:fill="C6EFCE" w:val="clear"/>
          </w:tcPr>
          <w:p>
            <w:r>
              <w:rPr>
                <w:sz w:val="17"/>
              </w:rPr>
              <w:t>J+5  Moyenne</w:t>
            </w:r>
          </w:p>
        </w:tc>
        <w:tc>
          <w:tcPr>
            <w:tcW w:type="dxa" w:w="1440"/>
            <w:shd w:fill="C6EFCE" w:val="clear"/>
          </w:tcPr>
          <w:p>
            <w:r>
              <w:rPr>
                <w:sz w:val="17"/>
              </w:rPr>
              <w:t>2026-09-16</w:t>
            </w:r>
          </w:p>
        </w:tc>
        <w:tc>
          <w:tcPr>
            <w:tcW w:type="dxa" w:w="1440"/>
            <w:shd w:fill="C6EFCE" w:val="clear"/>
          </w:tcPr>
          <w:p>
            <w:r>
              <w:rPr>
                <w:sz w:val="17"/>
              </w:rPr>
              <w:t>4,079</w:t>
            </w:r>
          </w:p>
        </w:tc>
        <w:tc>
          <w:tcPr>
            <w:tcW w:type="dxa" w:w="1440"/>
            <w:shd w:fill="C6EFCE" w:val="clear"/>
          </w:tcPr>
          <w:p>
            <w:r>
              <w:rPr>
                <w:b/>
                <w:sz w:val="17"/>
              </w:rPr>
              <w:t>4,361</w:t>
            </w:r>
          </w:p>
        </w:tc>
        <w:tc>
          <w:tcPr>
            <w:tcW w:type="dxa" w:w="1440"/>
            <w:shd w:fill="C6EFCE" w:val="clear"/>
          </w:tcPr>
          <w:p>
            <w:r>
              <w:rPr>
                <w:sz w:val="17"/>
              </w:rPr>
              <w:t>4,644</w:t>
            </w:r>
          </w:p>
        </w:tc>
        <w:tc>
          <w:tcPr>
            <w:tcW w:type="dxa" w:w="1440"/>
            <w:shd w:fill="C6EFCE" w:val="clear"/>
          </w:tcPr>
          <w:p>
            <w:r>
              <w:rPr>
                <w:b/>
                <w:color w:val="008000"/>
                <w:sz w:val="17"/>
              </w:rPr>
              <w:t>+25.0%</w:t>
            </w:r>
          </w:p>
        </w:tc>
      </w:tr>
      <w:tr>
        <w:tc>
          <w:tcPr>
            <w:tcW w:type="dxa" w:w="1440"/>
            <w:shd w:fill="C6EFCE" w:val="clear"/>
          </w:tcPr>
          <w:p>
            <w:r>
              <w:rPr>
                <w:sz w:val="17"/>
              </w:rPr>
              <w:t>J+6  Moyenne</w:t>
            </w:r>
          </w:p>
        </w:tc>
        <w:tc>
          <w:tcPr>
            <w:tcW w:type="dxa" w:w="1440"/>
            <w:shd w:fill="C6EFCE" w:val="clear"/>
          </w:tcPr>
          <w:p>
            <w:r>
              <w:rPr>
                <w:sz w:val="17"/>
              </w:rPr>
              <w:t>2026-09-17</w:t>
            </w:r>
          </w:p>
        </w:tc>
        <w:tc>
          <w:tcPr>
            <w:tcW w:type="dxa" w:w="1440"/>
            <w:shd w:fill="C6EFCE" w:val="clear"/>
          </w:tcPr>
          <w:p>
            <w:r>
              <w:rPr>
                <w:sz w:val="17"/>
              </w:rPr>
              <w:t>4,285</w:t>
            </w:r>
          </w:p>
        </w:tc>
        <w:tc>
          <w:tcPr>
            <w:tcW w:type="dxa" w:w="1440"/>
            <w:shd w:fill="C6EFCE" w:val="clear"/>
          </w:tcPr>
          <w:p>
            <w:r>
              <w:rPr>
                <w:b/>
                <w:sz w:val="17"/>
              </w:rPr>
              <w:t>4,612</w:t>
            </w:r>
          </w:p>
        </w:tc>
        <w:tc>
          <w:tcPr>
            <w:tcW w:type="dxa" w:w="1440"/>
            <w:shd w:fill="C6EFCE" w:val="clear"/>
          </w:tcPr>
          <w:p>
            <w:r>
              <w:rPr>
                <w:sz w:val="17"/>
              </w:rPr>
              <w:t>4,939</w:t>
            </w:r>
          </w:p>
        </w:tc>
        <w:tc>
          <w:tcPr>
            <w:tcW w:type="dxa" w:w="1440"/>
            <w:shd w:fill="C6EFCE" w:val="clear"/>
          </w:tcPr>
          <w:p>
            <w:r>
              <w:rPr>
                <w:b/>
                <w:color w:val="008000"/>
                <w:sz w:val="17"/>
              </w:rPr>
              <w:t>+32.1%</w:t>
            </w:r>
          </w:p>
        </w:tc>
      </w:tr>
      <w:tr>
        <w:tc>
          <w:tcPr>
            <w:tcW w:type="dxa" w:w="1440"/>
            <w:shd w:fill="C6EFCE" w:val="clear"/>
          </w:tcPr>
          <w:p>
            <w:r>
              <w:rPr>
                <w:sz w:val="17"/>
              </w:rPr>
              <w:t>J+7  Moyenne</w:t>
            </w:r>
          </w:p>
        </w:tc>
        <w:tc>
          <w:tcPr>
            <w:tcW w:type="dxa" w:w="1440"/>
            <w:shd w:fill="C6EFCE" w:val="clear"/>
          </w:tcPr>
          <w:p>
            <w:r>
              <w:rPr>
                <w:sz w:val="17"/>
              </w:rPr>
              <w:t>2026-09-18</w:t>
            </w:r>
          </w:p>
        </w:tc>
        <w:tc>
          <w:tcPr>
            <w:tcW w:type="dxa" w:w="1440"/>
            <w:shd w:fill="C6EFCE" w:val="clear"/>
          </w:tcPr>
          <w:p>
            <w:r>
              <w:rPr>
                <w:sz w:val="17"/>
              </w:rPr>
              <w:t>4,525</w:t>
            </w:r>
          </w:p>
        </w:tc>
        <w:tc>
          <w:tcPr>
            <w:tcW w:type="dxa" w:w="1440"/>
            <w:shd w:fill="C6EFCE" w:val="clear"/>
          </w:tcPr>
          <w:p>
            <w:r>
              <w:rPr>
                <w:b/>
                <w:sz w:val="17"/>
              </w:rPr>
              <w:t>4,900</w:t>
            </w:r>
          </w:p>
        </w:tc>
        <w:tc>
          <w:tcPr>
            <w:tcW w:type="dxa" w:w="1440"/>
            <w:shd w:fill="C6EFCE" w:val="clear"/>
          </w:tcPr>
          <w:p>
            <w:r>
              <w:rPr>
                <w:sz w:val="17"/>
              </w:rPr>
              <w:t>5,275</w:t>
            </w:r>
          </w:p>
        </w:tc>
        <w:tc>
          <w:tcPr>
            <w:tcW w:type="dxa" w:w="1440"/>
            <w:shd w:fill="C6EFCE" w:val="clear"/>
          </w:tcPr>
          <w:p>
            <w:r>
              <w:rPr>
                <w:b/>
                <w:color w:val="008000"/>
                <w:sz w:val="17"/>
              </w:rPr>
              <w:t>+40.4%</w:t>
            </w:r>
          </w:p>
        </w:tc>
      </w:tr>
      <w:tr>
        <w:tc>
          <w:tcPr>
            <w:tcW w:type="dxa" w:w="1440"/>
            <w:shd w:fill="C6EFCE" w:val="clear"/>
          </w:tcPr>
          <w:p>
            <w:r>
              <w:rPr>
                <w:sz w:val="17"/>
              </w:rPr>
              <w:t>J+8  Moyenne</w:t>
            </w:r>
          </w:p>
        </w:tc>
        <w:tc>
          <w:tcPr>
            <w:tcW w:type="dxa" w:w="1440"/>
            <w:shd w:fill="C6EFCE" w:val="clear"/>
          </w:tcPr>
          <w:p>
            <w:r>
              <w:rPr>
                <w:sz w:val="17"/>
              </w:rPr>
              <w:t>2026-09-21</w:t>
            </w:r>
          </w:p>
        </w:tc>
        <w:tc>
          <w:tcPr>
            <w:tcW w:type="dxa" w:w="1440"/>
            <w:shd w:fill="C6EFCE" w:val="clear"/>
          </w:tcPr>
          <w:p>
            <w:r>
              <w:rPr>
                <w:sz w:val="17"/>
              </w:rPr>
              <w:t>4,810</w:t>
            </w:r>
          </w:p>
        </w:tc>
        <w:tc>
          <w:tcPr>
            <w:tcW w:type="dxa" w:w="1440"/>
            <w:shd w:fill="C6EFCE" w:val="clear"/>
          </w:tcPr>
          <w:p>
            <w:r>
              <w:rPr>
                <w:b/>
                <w:sz w:val="17"/>
              </w:rPr>
              <w:t>5,239</w:t>
            </w:r>
          </w:p>
        </w:tc>
        <w:tc>
          <w:tcPr>
            <w:tcW w:type="dxa" w:w="1440"/>
            <w:shd w:fill="C6EFCE" w:val="clear"/>
          </w:tcPr>
          <w:p>
            <w:r>
              <w:rPr>
                <w:sz w:val="17"/>
              </w:rPr>
              <w:t>5,668</w:t>
            </w:r>
          </w:p>
        </w:tc>
        <w:tc>
          <w:tcPr>
            <w:tcW w:type="dxa" w:w="1440"/>
            <w:shd w:fill="C6EFCE" w:val="clear"/>
          </w:tcPr>
          <w:p>
            <w:r>
              <w:rPr>
                <w:b/>
                <w:color w:val="008000"/>
                <w:sz w:val="17"/>
              </w:rPr>
              <w:t>+50.1%</w:t>
            </w:r>
          </w:p>
        </w:tc>
      </w:tr>
      <w:tr>
        <w:tc>
          <w:tcPr>
            <w:tcW w:type="dxa" w:w="1440"/>
            <w:shd w:fill="C6EFCE" w:val="clear"/>
          </w:tcPr>
          <w:p>
            <w:r>
              <w:rPr>
                <w:sz w:val="17"/>
              </w:rPr>
              <w:t>J+9  Moyenne</w:t>
            </w:r>
          </w:p>
        </w:tc>
        <w:tc>
          <w:tcPr>
            <w:tcW w:type="dxa" w:w="1440"/>
            <w:shd w:fill="C6EFCE" w:val="clear"/>
          </w:tcPr>
          <w:p>
            <w:r>
              <w:rPr>
                <w:sz w:val="17"/>
              </w:rPr>
              <w:t>2026-09-22</w:t>
            </w:r>
          </w:p>
        </w:tc>
        <w:tc>
          <w:tcPr>
            <w:tcW w:type="dxa" w:w="1440"/>
            <w:shd w:fill="C6EFCE" w:val="clear"/>
          </w:tcPr>
          <w:p>
            <w:r>
              <w:rPr>
                <w:sz w:val="17"/>
              </w:rPr>
              <w:t>5,143</w:t>
            </w:r>
          </w:p>
        </w:tc>
        <w:tc>
          <w:tcPr>
            <w:tcW w:type="dxa" w:w="1440"/>
            <w:shd w:fill="C6EFCE" w:val="clear"/>
          </w:tcPr>
          <w:p>
            <w:r>
              <w:rPr>
                <w:b/>
                <w:sz w:val="17"/>
              </w:rPr>
              <w:t>5,632</w:t>
            </w:r>
          </w:p>
        </w:tc>
        <w:tc>
          <w:tcPr>
            <w:tcW w:type="dxa" w:w="1440"/>
            <w:shd w:fill="C6EFCE" w:val="clear"/>
          </w:tcPr>
          <w:p>
            <w:r>
              <w:rPr>
                <w:sz w:val="17"/>
              </w:rPr>
              <w:t>6,121</w:t>
            </w:r>
          </w:p>
        </w:tc>
        <w:tc>
          <w:tcPr>
            <w:tcW w:type="dxa" w:w="1440"/>
            <w:shd w:fill="C6EFCE" w:val="clear"/>
          </w:tcPr>
          <w:p>
            <w:r>
              <w:rPr>
                <w:b/>
                <w:color w:val="008000"/>
                <w:sz w:val="17"/>
              </w:rPr>
              <w:t>+61.4%</w:t>
            </w:r>
          </w:p>
        </w:tc>
      </w:tr>
      <w:tr>
        <w:tc>
          <w:tcPr>
            <w:tcW w:type="dxa" w:w="1440"/>
            <w:shd w:fill="C6EFCE" w:val="clear"/>
          </w:tcPr>
          <w:p>
            <w:r>
              <w:rPr>
                <w:sz w:val="17"/>
              </w:rPr>
              <w:t>J+10  Moyenne</w:t>
            </w:r>
          </w:p>
        </w:tc>
        <w:tc>
          <w:tcPr>
            <w:tcW w:type="dxa" w:w="1440"/>
            <w:shd w:fill="C6EFCE" w:val="clear"/>
          </w:tcPr>
          <w:p>
            <w:r>
              <w:rPr>
                <w:sz w:val="17"/>
              </w:rPr>
              <w:t>2026-09-23</w:t>
            </w:r>
          </w:p>
        </w:tc>
        <w:tc>
          <w:tcPr>
            <w:tcW w:type="dxa" w:w="1440"/>
            <w:shd w:fill="C6EFCE" w:val="clear"/>
          </w:tcPr>
          <w:p>
            <w:r>
              <w:rPr>
                <w:sz w:val="17"/>
              </w:rPr>
              <w:t>5,500</w:t>
            </w:r>
          </w:p>
        </w:tc>
        <w:tc>
          <w:tcPr>
            <w:tcW w:type="dxa" w:w="1440"/>
            <w:shd w:fill="C6EFCE" w:val="clear"/>
          </w:tcPr>
          <w:p>
            <w:r>
              <w:rPr>
                <w:b/>
                <w:sz w:val="17"/>
              </w:rPr>
              <w:t>6,054</w:t>
            </w:r>
          </w:p>
        </w:tc>
        <w:tc>
          <w:tcPr>
            <w:tcW w:type="dxa" w:w="1440"/>
            <w:shd w:fill="C6EFCE" w:val="clear"/>
          </w:tcPr>
          <w:p>
            <w:r>
              <w:rPr>
                <w:sz w:val="17"/>
              </w:rPr>
              <w:t>6,608</w:t>
            </w:r>
          </w:p>
        </w:tc>
        <w:tc>
          <w:tcPr>
            <w:tcW w:type="dxa" w:w="1440"/>
            <w:shd w:fill="C6EFCE" w:val="clear"/>
          </w:tcPr>
          <w:p>
            <w:r>
              <w:rPr>
                <w:b/>
                <w:color w:val="008000"/>
                <w:sz w:val="17"/>
              </w:rPr>
              <w:t>+73.5%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20,66 milliards FCFA, CABC se positionne comme une valeur de taille moyenne sur la BRVM, loin des poids lourds comme SONATEL mais suffisamment liquide pour intéresser les investisseurs institutionnels régionaux. Le BPA de 243 FCFA/action indique que chaque titre génère près d'un quart de millier de francs de bénéfice net, ce qui, rapporté au cours actuel de 3 490 FCFA, donne un PER de 14,4x — soit une valorisation modérément supérieure à la moyenne BRVM (8-12x), suggérant que le marché intègre déjà une prime de croissance. Le P/B de 2,21x confirme cette lecture : les investisseurs paient plus de deux fois la valeur comptable des fonds propres (9,346 Mds FCFA), ce qui traduit une confiance dans la capacité bénéficiaire future de l'entreprise. Enfin, l'EV/EBITDA de 7,3x situe la valeur d'entreprise (capitalisation + dette nette) à un niveau raisonnable par rapport à la capacité opérationnelle dégagée (EBE de 2,195 Mds FCFA), cohérent avec les standards du secteur industriel ouest-africain.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CABC affiche une variation totale de -10,40%, avec une dernière séance stable à +0,00%, clôturant à 3 490 FCFA. Le range de trading s'étend de 3 350 FCFA (plus bas) à 4 500 FCFA (plus haut), soit une amplitude de 34%, reflétant une tendance générale baissière mais avec des rebonds ponctuels. La moyenne des cours (3 722 FCFA) est supérieure à la médiane (3 648 FCFA), ce qui indique une distribution asymétrique avec quelques journées de forte hausse tirant la moyenne vers le haut — confirmé par le skewness de 1,041 (asymétrie positive, plus de journées sous la moyenne). L'écart-type de 268 FCFA et le coefficient de variation de 7,2% témoignent d'une dispersion modérée du cours autour de sa tendance, tandis que le kurtosis de 0,672 (mésokurtique) suggère une distribution proche de la normale, sans risque excessif de pics extrêmes. La volatilité annualisée de 48,1% classe le titre dans la catégorie des valeurs très volatiles (&gt;30%), ce qui implique un risque de perte en capital significatif à court terme, mais aussi des opportunités de trading pour les investisseurs aguerris.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(3 546,25 FCFA) et la MM50 (3 725,1 FCFA) sont toutes deux supérieures au cours actuel (3 490 FCFA), avec une MM20 en dessous de la MM50 — configuration baissière classique. Le cours évolue sous ses deux moyennes, confirmant la pression vendeuse et justifiant la décision technique de **Vente**.</w:t>
      </w:r>
    </w:p>
    <w:p>
      <w:pPr>
        <w:spacing w:after="120" w:line="276" w:lineRule="auto"/>
      </w:pPr>
      <w:r>
        <w:t>**Bandes de Bollinger** : Le cours (3 490 FCFA) se situe dans la partie basse de la bande, entre la borne inférieure (3 405,24 FCFA) et la borne supérieure (3 687,26 FCFA), sans franchissement des limites. Cette position neutre indique une absence de signal fort, mais la proximité de la borne basse suggère une possible zone de support.</w:t>
      </w:r>
    </w:p>
    <w:p>
      <w:pPr>
        <w:spacing w:after="120" w:line="276" w:lineRule="auto"/>
      </w:pPr>
      <w:r>
        <w:t>**MACD** : La valeur du MACD (-45,826) est supérieure à son signal (-50,889), générant un croisement haussier (MACD &gt; Signal) bien que les deux restent en territoire négatif. Ce momentum positif émergent justifie la décision d'**Achat** technique, mais la faiblesse des valeurs absolues appelle à la prudence.</w:t>
      </w:r>
    </w:p>
    <w:p>
      <w:pPr>
        <w:spacing w:after="120" w:line="276" w:lineRule="auto"/>
      </w:pPr>
      <w:r>
        <w:t>**RSI** : À 20,588, le RSI est en zone de survente sévère (&lt;30), signalant un épuisement probable de la pression vendeuse et une opportunité d'achat à court terme. La décision technique est donc **Achat**, avec un potentiel de rebond technique.</w:t>
      </w:r>
    </w:p>
    <w:p>
      <w:pPr>
        <w:spacing w:after="120" w:line="276" w:lineRule="auto"/>
      </w:pPr>
      <w:r>
        <w:t>**Stochastique** : Le %K (0,0) et le %D (4,762) sont tous deux en zone extrême de survente, avec un %K au plancher absolu. Cette configuration précède souvent un retournement haussier, justifiant la décision d'**Achat** technique.</w:t>
      </w:r>
    </w:p>
    <w:p>
      <w:pPr>
        <w:spacing w:after="120" w:line="276" w:lineRule="auto"/>
      </w:pPr>
      <w:r>
        <w:t>**Conclusion technique** : Les indicateurs présentent une divergence notable : les moyennes mobiles restent baissières (Vente), tandis que le MACD, le RSI et le Stochastique génèrent des signaux d'achat en raison de la survente extrême. Cette configuration suggère un possible rebond technique à court terme, mais la tendance de fond demeure fragile tant que le cours n'aura pas reconquis la MM20 (3 546 FCFA) et la MM50 (3 725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(source : brvm_donnees_financieres) révèlent une entreprise industrielle solide malgré un contexte difficile. Le chiffre d'affaires s'établit à **21,263 Mds FCFA** en 2025, en croissance de **+11,18%** par rapport à 2024 (19,125 Mds FCFA), porté par la demande en infrastructures électriques et télécoms. Le résultat net atteint **1,439 Mds FCFA**, soit une marge nette de **6,77%**, avec un ROE de **15,40%** (excellent, &gt;15%) et un ROA de **6,10%**. La structure financière est saine : autonomie financière de **39,58%** (&gt;30%), liquidité générale de **242,60%** (&gt;1), et un BFR de **7,186 Mds FCFA** — bien que positif, il reste financé par un fonds de roulement de 12,325 Mds FCFA. Les délais clients (**144,69 jours**) et de stockage (**152,12 jours**) sont élevés, signalant un risque de trésorerie, confirmé par un flux opérationnel négatif de **-819,66 M FCFA** et un Free Cash Flow de **-982,71 M FCFA**. Le rapport annuel certifié 2024 (daté du 31/12/2024) mentionnait déjà une perte nette de **-1,225 Md FCFA** (vs -1,430 Md en 2023), mais les données 2025 montrent un retour à la profitabilité — une amélioration spectaculaire. Le rapport T3 2025 (daté du 30/09/2025) confirme cette dynamique : CA de **16,630 Mds FCFA** (+13,7%), résultat net de **1,329 Md FCFA** (+26,0%), avec une marge nette de **8,0%**. On estime donc que l'exercice 2025 devrait clôturer avec un résultat net proche de **1,4-1,5 Md FCFA**, confirmant le redressement. Cependant, le rapport T1 2026 (daté du 31/03/2026) signale un brusque retournement : CA en baisse de **-26,5%** à **3,794 Mds FCFA**, perte d'exploitation de **-237 M FCFA** (vs +432 M FCFA au T1 2025), et résultat net déficitaire de **-222 M FCFA**. Cette dégradation est attribuée à une maintenance planifiée du parc machines et à l'inflation des cours des métaux (+23% en 3 mois). La direction anticipe une normalisation dès le T2 2026, mais le risque de prolongation des difficultés opérationnelles reste élevé. **Recommandation fondamentale** : la solidité du bilan (capitaux propres de 9,346 Mds FCFA, trésorerie de 5,139 Mds FCFA) et le redressement de 2025 sont des points forts, mais la volatilité des résultats trimestriels et la dépendance aux matières premières appellent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indique une légère surévaluation avec un PER de 14,4x (supérieur à la moyenne BRVM) et un P/B de 2,21x, bien que l'EV/EBITDA de 7,3x reste raisonnable. Le comportement du cours (Partie 1) est préoccupant : tendance baissière (-10,40% sur 100 jours), volatilité élevée (48,1%), et skewness positive (1,041) suggérant une pression vendeuse persistante. Les signaux techniques (Partie 2) sont divergents : les moyennes mobiles confirment la tendance baissière, mais le RSI (20,59), le Stochastique (0,0) et le MACD (croisement haussier) génèrent des signaux d'achat en survente — une configuration typique de rebond technique à court terme. Les fondamentaux (Partie 3) sont mitigés : l'exercice 2025 montre un redressement spectaculaire (CA +11,18%, résultat net de 1,439 Md FCFA, ROE de 15,40%), mais le T1 2026 plonge dans le rouge (perte de -222 M FCFA) en raison de facteurs temporaires (maintenance, inflation des métaux). Les prédictions IA (J+1 à J+10) anticipent une hausse progressive de 3 632 FCFA à 4 361 FCFA, soit un potentiel de +25% — ce qui contredit la tendance baissière récente mais s'aligne sur les signaux techniques de survente. **Recommandation finale : CONSERVER** (avec surveillance active). La convergence entre les signaux techniques d'achat (RSI, Stochastique, MACD) et les prédictions IA haussières est tempérée par la dégradation des fondamentaux au T1 2026 et la tendance baissière des moyennes mobiles. Le niveau de confiance est **Moyen**, le risque global est **Élevé** (volatilité de 48,1%, dépendance aux matières premières, résultats trimestriels erratiques), et l'horizon d'investissement optimal est **court terme** (&lt;3 mois) pour profiter du rebond technique, avec une surveillance étroite des prochains rapports trimestriels pour confirmer ou infirmer la normalisation attendue au T2 2026.</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1072.00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1,496 titres</w:t>
            </w:r>
          </w:p>
        </w:tc>
        <w:tc>
          <w:tcPr>
            <w:tcW w:type="dxa" w:w="2268"/>
            <w:shd w:fill="FFF2CC" w:val="clear"/>
          </w:tcPr>
          <w:p>
            <w:r>
              <w:rPr>
                <w:b/>
                <w:color w:val="503200"/>
                <w:sz w:val="16"/>
              </w:rPr>
              <w:t xml:space="preserve">Cours actuel : </w:t>
            </w:r>
            <w:r>
              <w:rPr>
                <w:color w:val="000000"/>
                <w:sz w:val="17"/>
              </w:rPr>
              <w:t>33,500 FCFA</w:t>
            </w:r>
          </w:p>
          <w:p>
            <w:r>
              <w:rPr>
                <w:b/>
                <w:color w:val="503200"/>
                <w:sz w:val="16"/>
              </w:rPr>
              <w:t xml:space="preserve">Var. 100 jours : </w:t>
            </w:r>
            <w:r>
              <w:rPr>
                <w:b/>
                <w:color w:val="007800"/>
                <w:sz w:val="17"/>
              </w:rPr>
              <w:t>+113.38%</w:t>
            </w:r>
          </w:p>
          <w:p>
            <w:r>
              <w:rPr>
                <w:b/>
                <w:color w:val="503200"/>
                <w:sz w:val="16"/>
              </w:rPr>
              <w:t xml:space="preserve">Plus haut 100j : </w:t>
            </w:r>
            <w:r>
              <w:rPr>
                <w:color w:val="000000"/>
                <w:sz w:val="17"/>
              </w:rPr>
              <w:t>33,500 FCFA</w:t>
            </w:r>
          </w:p>
          <w:p>
            <w:r>
              <w:rPr>
                <w:b/>
                <w:color w:val="503200"/>
                <w:sz w:val="16"/>
              </w:rPr>
              <w:t xml:space="preserve">Plus bas 100j : </w:t>
            </w:r>
            <w:r>
              <w:rPr>
                <w:color w:val="000000"/>
                <w:sz w:val="17"/>
              </w:rPr>
              <w:t>15,600 FCFA</w:t>
            </w:r>
          </w:p>
          <w:p>
            <w:r>
              <w:rPr>
                <w:b/>
                <w:color w:val="503200"/>
                <w:sz w:val="16"/>
              </w:rPr>
              <w:t xml:space="preserve">Volatilité ann. : </w:t>
            </w:r>
            <w:r>
              <w:rPr>
                <w:color w:val="000000"/>
                <w:sz w:val="17"/>
              </w:rPr>
              <w:t>42.6%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28.1/100 → Moyen</w:t>
      </w:r>
    </w:p>
    <w:p>
      <w:pPr>
        <w:spacing w:before="40" w:after="80"/>
      </w:pPr>
      <w:r>
        <w:rPr>
          <w:rFonts w:ascii="Courier New" w:hAnsi="Courier New"/>
          <w:color w:val="825A00"/>
          <w:sz w:val="18"/>
        </w:rPr>
        <w:t>█████░░░░░░░░░░░░░░░  28.1/100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21.37% (Élevée) — μ=24,054 FCFA, σ=5,141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β=0.7981 (Défensif) — Cov=0.000029, Var(idx)=0.000036, ρ=0.178,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1,496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2026-09-10</w:t>
            </w:r>
          </w:p>
        </w:tc>
        <w:tc>
          <w:tcPr>
            <w:tcW w:type="dxa" w:w="1440"/>
            <w:shd w:fill="FFDCE0" w:val="clear"/>
          </w:tcPr>
          <w:p>
            <w:r>
              <w:rPr>
                <w:sz w:val="17"/>
              </w:rPr>
              <w:t>30,098</w:t>
            </w:r>
          </w:p>
        </w:tc>
        <w:tc>
          <w:tcPr>
            <w:tcW w:type="dxa" w:w="1440"/>
            <w:shd w:fill="FFDCE0" w:val="clear"/>
          </w:tcPr>
          <w:p>
            <w:r>
              <w:rPr>
                <w:b/>
                <w:sz w:val="17"/>
              </w:rPr>
              <w:t>30,988</w:t>
            </w:r>
          </w:p>
        </w:tc>
        <w:tc>
          <w:tcPr>
            <w:tcW w:type="dxa" w:w="1440"/>
            <w:shd w:fill="FFDCE0" w:val="clear"/>
          </w:tcPr>
          <w:p>
            <w:r>
              <w:rPr>
                <w:sz w:val="17"/>
              </w:rPr>
              <w:t>31,876</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2026-09-11</w:t>
            </w:r>
          </w:p>
        </w:tc>
        <w:tc>
          <w:tcPr>
            <w:tcW w:type="dxa" w:w="1440"/>
            <w:shd w:fill="FFDCE0" w:val="clear"/>
          </w:tcPr>
          <w:p>
            <w:r>
              <w:rPr>
                <w:sz w:val="17"/>
              </w:rPr>
              <w:t>27,500</w:t>
            </w:r>
          </w:p>
        </w:tc>
        <w:tc>
          <w:tcPr>
            <w:tcW w:type="dxa" w:w="1440"/>
            <w:shd w:fill="FFDCE0" w:val="clear"/>
          </w:tcPr>
          <w:p>
            <w:r>
              <w:rPr>
                <w:b/>
                <w:sz w:val="17"/>
              </w:rPr>
              <w:t>28,663</w:t>
            </w:r>
          </w:p>
        </w:tc>
        <w:tc>
          <w:tcPr>
            <w:tcW w:type="dxa" w:w="1440"/>
            <w:shd w:fill="FFDCE0" w:val="clear"/>
          </w:tcPr>
          <w:p>
            <w:r>
              <w:rPr>
                <w:sz w:val="17"/>
              </w:rPr>
              <w:t>29,826</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2026-09-14</w:t>
            </w:r>
          </w:p>
        </w:tc>
        <w:tc>
          <w:tcPr>
            <w:tcW w:type="dxa" w:w="1440"/>
            <w:shd w:fill="FFDCE0" w:val="clear"/>
          </w:tcPr>
          <w:p>
            <w:r>
              <w:rPr>
                <w:sz w:val="17"/>
              </w:rPr>
              <w:t>25,196</w:t>
            </w:r>
          </w:p>
        </w:tc>
        <w:tc>
          <w:tcPr>
            <w:tcW w:type="dxa" w:w="1440"/>
            <w:shd w:fill="FFDCE0" w:val="clear"/>
          </w:tcPr>
          <w:p>
            <w:r>
              <w:rPr>
                <w:b/>
                <w:sz w:val="17"/>
              </w:rPr>
              <w:t>26,514</w:t>
            </w:r>
          </w:p>
        </w:tc>
        <w:tc>
          <w:tcPr>
            <w:tcW w:type="dxa" w:w="1440"/>
            <w:shd w:fill="FFDCE0" w:val="clear"/>
          </w:tcPr>
          <w:p>
            <w:r>
              <w:rPr>
                <w:sz w:val="17"/>
              </w:rPr>
              <w:t>27,831</w:t>
            </w:r>
          </w:p>
        </w:tc>
        <w:tc>
          <w:tcPr>
            <w:tcW w:type="dxa" w:w="1440"/>
            <w:shd w:fill="FFDCE0" w:val="clear"/>
          </w:tcPr>
          <w:p>
            <w:r>
              <w:rPr>
                <w:b/>
                <w:color w:val="C00000"/>
                <w:sz w:val="17"/>
              </w:rPr>
              <w:t>-20.9%</w:t>
            </w:r>
          </w:p>
        </w:tc>
      </w:tr>
      <w:tr>
        <w:tc>
          <w:tcPr>
            <w:tcW w:type="dxa" w:w="1440"/>
            <w:shd w:fill="FFDCE0" w:val="clear"/>
          </w:tcPr>
          <w:p>
            <w:r>
              <w:rPr>
                <w:sz w:val="17"/>
              </w:rPr>
              <w:t>J+4  Moyenne</w:t>
            </w:r>
          </w:p>
        </w:tc>
        <w:tc>
          <w:tcPr>
            <w:tcW w:type="dxa" w:w="1440"/>
            <w:shd w:fill="FFDCE0" w:val="clear"/>
          </w:tcPr>
          <w:p>
            <w:r>
              <w:rPr>
                <w:sz w:val="17"/>
              </w:rPr>
              <w:t>2026-09-15</w:t>
            </w:r>
          </w:p>
        </w:tc>
        <w:tc>
          <w:tcPr>
            <w:tcW w:type="dxa" w:w="1440"/>
            <w:shd w:fill="FFDCE0" w:val="clear"/>
          </w:tcPr>
          <w:p>
            <w:r>
              <w:rPr>
                <w:sz w:val="17"/>
              </w:rPr>
              <w:t>23,118</w:t>
            </w:r>
          </w:p>
        </w:tc>
        <w:tc>
          <w:tcPr>
            <w:tcW w:type="dxa" w:w="1440"/>
            <w:shd w:fill="FFDCE0" w:val="clear"/>
          </w:tcPr>
          <w:p>
            <w:r>
              <w:rPr>
                <w:b/>
                <w:sz w:val="17"/>
              </w:rPr>
              <w:t>24,525</w:t>
            </w:r>
          </w:p>
        </w:tc>
        <w:tc>
          <w:tcPr>
            <w:tcW w:type="dxa" w:w="1440"/>
            <w:shd w:fill="FFDCE0" w:val="clear"/>
          </w:tcPr>
          <w:p>
            <w:r>
              <w:rPr>
                <w:sz w:val="17"/>
              </w:rPr>
              <w:t>25,932</w:t>
            </w:r>
          </w:p>
        </w:tc>
        <w:tc>
          <w:tcPr>
            <w:tcW w:type="dxa" w:w="1440"/>
            <w:shd w:fill="FFDCE0" w:val="clear"/>
          </w:tcPr>
          <w:p>
            <w:r>
              <w:rPr>
                <w:b/>
                <w:color w:val="C00000"/>
                <w:sz w:val="17"/>
              </w:rPr>
              <w:t>-26.8%</w:t>
            </w:r>
          </w:p>
        </w:tc>
      </w:tr>
      <w:tr>
        <w:tc>
          <w:tcPr>
            <w:tcW w:type="dxa" w:w="1440"/>
            <w:shd w:fill="FFDCE0" w:val="clear"/>
          </w:tcPr>
          <w:p>
            <w:r>
              <w:rPr>
                <w:sz w:val="17"/>
              </w:rPr>
              <w:t>J+5  Moyenne</w:t>
            </w:r>
          </w:p>
        </w:tc>
        <w:tc>
          <w:tcPr>
            <w:tcW w:type="dxa" w:w="1440"/>
            <w:shd w:fill="FFDCE0" w:val="clear"/>
          </w:tcPr>
          <w:p>
            <w:r>
              <w:rPr>
                <w:sz w:val="17"/>
              </w:rPr>
              <w:t>2026-09-16</w:t>
            </w:r>
          </w:p>
        </w:tc>
        <w:tc>
          <w:tcPr>
            <w:tcW w:type="dxa" w:w="1440"/>
            <w:shd w:fill="FFDCE0" w:val="clear"/>
          </w:tcPr>
          <w:p>
            <w:r>
              <w:rPr>
                <w:sz w:val="17"/>
              </w:rPr>
              <w:t>21,230</w:t>
            </w:r>
          </w:p>
        </w:tc>
        <w:tc>
          <w:tcPr>
            <w:tcW w:type="dxa" w:w="1440"/>
            <w:shd w:fill="FFDCE0" w:val="clear"/>
          </w:tcPr>
          <w:p>
            <w:r>
              <w:rPr>
                <w:b/>
                <w:sz w:val="17"/>
              </w:rPr>
              <w:t>22,686</w:t>
            </w:r>
          </w:p>
        </w:tc>
        <w:tc>
          <w:tcPr>
            <w:tcW w:type="dxa" w:w="1440"/>
            <w:shd w:fill="FFDCE0" w:val="clear"/>
          </w:tcPr>
          <w:p>
            <w:r>
              <w:rPr>
                <w:sz w:val="17"/>
              </w:rPr>
              <w:t>24,141</w:t>
            </w:r>
          </w:p>
        </w:tc>
        <w:tc>
          <w:tcPr>
            <w:tcW w:type="dxa" w:w="1440"/>
            <w:shd w:fill="FFDCE0" w:val="clear"/>
          </w:tcPr>
          <w:p>
            <w:r>
              <w:rPr>
                <w:b/>
                <w:color w:val="C00000"/>
                <w:sz w:val="17"/>
              </w:rPr>
              <w:t>-32.3%</w:t>
            </w:r>
          </w:p>
        </w:tc>
      </w:tr>
      <w:tr>
        <w:tc>
          <w:tcPr>
            <w:tcW w:type="dxa" w:w="1440"/>
            <w:shd w:fill="FFDCE0" w:val="clear"/>
          </w:tcPr>
          <w:p>
            <w:r>
              <w:rPr>
                <w:sz w:val="17"/>
              </w:rPr>
              <w:t>J+6  Moyenne</w:t>
            </w:r>
          </w:p>
        </w:tc>
        <w:tc>
          <w:tcPr>
            <w:tcW w:type="dxa" w:w="1440"/>
            <w:shd w:fill="FFDCE0" w:val="clear"/>
          </w:tcPr>
          <w:p>
            <w:r>
              <w:rPr>
                <w:sz w:val="17"/>
              </w:rPr>
              <w:t>2026-09-17</w:t>
            </w:r>
          </w:p>
        </w:tc>
        <w:tc>
          <w:tcPr>
            <w:tcW w:type="dxa" w:w="1440"/>
            <w:shd w:fill="FFDCE0" w:val="clear"/>
          </w:tcPr>
          <w:p>
            <w:r>
              <w:rPr>
                <w:sz w:val="17"/>
              </w:rPr>
              <w:t>19,510</w:t>
            </w:r>
          </w:p>
        </w:tc>
        <w:tc>
          <w:tcPr>
            <w:tcW w:type="dxa" w:w="1440"/>
            <w:shd w:fill="FFDCE0" w:val="clear"/>
          </w:tcPr>
          <w:p>
            <w:r>
              <w:rPr>
                <w:b/>
                <w:sz w:val="17"/>
              </w:rPr>
              <w:t>20,984</w:t>
            </w:r>
          </w:p>
        </w:tc>
        <w:tc>
          <w:tcPr>
            <w:tcW w:type="dxa" w:w="1440"/>
            <w:shd w:fill="FFDCE0" w:val="clear"/>
          </w:tcPr>
          <w:p>
            <w:r>
              <w:rPr>
                <w:sz w:val="17"/>
              </w:rPr>
              <w:t>22,459</w:t>
            </w:r>
          </w:p>
        </w:tc>
        <w:tc>
          <w:tcPr>
            <w:tcW w:type="dxa" w:w="1440"/>
            <w:shd w:fill="FFDCE0" w:val="clear"/>
          </w:tcPr>
          <w:p>
            <w:r>
              <w:rPr>
                <w:b/>
                <w:color w:val="C00000"/>
                <w:sz w:val="17"/>
              </w:rPr>
              <w:t>-37.4%</w:t>
            </w:r>
          </w:p>
        </w:tc>
      </w:tr>
      <w:tr>
        <w:tc>
          <w:tcPr>
            <w:tcW w:type="dxa" w:w="1440"/>
            <w:shd w:fill="FFDCE0" w:val="clear"/>
          </w:tcPr>
          <w:p>
            <w:r>
              <w:rPr>
                <w:sz w:val="17"/>
              </w:rPr>
              <w:t>J+7  Moyenne</w:t>
            </w:r>
          </w:p>
        </w:tc>
        <w:tc>
          <w:tcPr>
            <w:tcW w:type="dxa" w:w="1440"/>
            <w:shd w:fill="FFDCE0" w:val="clear"/>
          </w:tcPr>
          <w:p>
            <w:r>
              <w:rPr>
                <w:sz w:val="17"/>
              </w:rPr>
              <w:t>2026-09-18</w:t>
            </w:r>
          </w:p>
        </w:tc>
        <w:tc>
          <w:tcPr>
            <w:tcW w:type="dxa" w:w="1440"/>
            <w:shd w:fill="FFDCE0" w:val="clear"/>
          </w:tcPr>
          <w:p>
            <w:r>
              <w:rPr>
                <w:sz w:val="17"/>
              </w:rPr>
              <w:t>17,937</w:t>
            </w:r>
          </w:p>
        </w:tc>
        <w:tc>
          <w:tcPr>
            <w:tcW w:type="dxa" w:w="1440"/>
            <w:shd w:fill="FFDCE0" w:val="clear"/>
          </w:tcPr>
          <w:p>
            <w:r>
              <w:rPr>
                <w:b/>
                <w:sz w:val="17"/>
              </w:rPr>
              <w:t>19,411</w:t>
            </w:r>
          </w:p>
        </w:tc>
        <w:tc>
          <w:tcPr>
            <w:tcW w:type="dxa" w:w="1440"/>
            <w:shd w:fill="FFDCE0" w:val="clear"/>
          </w:tcPr>
          <w:p>
            <w:r>
              <w:rPr>
                <w:sz w:val="17"/>
              </w:rPr>
              <w:t>20,884</w:t>
            </w:r>
          </w:p>
        </w:tc>
        <w:tc>
          <w:tcPr>
            <w:tcW w:type="dxa" w:w="1440"/>
            <w:shd w:fill="FFDCE0" w:val="clear"/>
          </w:tcPr>
          <w:p>
            <w:r>
              <w:rPr>
                <w:b/>
                <w:color w:val="C00000"/>
                <w:sz w:val="17"/>
              </w:rPr>
              <w:t>-42.1%</w:t>
            </w:r>
          </w:p>
        </w:tc>
      </w:tr>
      <w:tr>
        <w:tc>
          <w:tcPr>
            <w:tcW w:type="dxa" w:w="1440"/>
            <w:shd w:fill="FFDCE0" w:val="clear"/>
          </w:tcPr>
          <w:p>
            <w:r>
              <w:rPr>
                <w:sz w:val="17"/>
              </w:rPr>
              <w:t>J+8  Moyenne</w:t>
            </w:r>
          </w:p>
        </w:tc>
        <w:tc>
          <w:tcPr>
            <w:tcW w:type="dxa" w:w="1440"/>
            <w:shd w:fill="FFDCE0" w:val="clear"/>
          </w:tcPr>
          <w:p>
            <w:r>
              <w:rPr>
                <w:sz w:val="17"/>
              </w:rPr>
              <w:t>2026-09-21</w:t>
            </w:r>
          </w:p>
        </w:tc>
        <w:tc>
          <w:tcPr>
            <w:tcW w:type="dxa" w:w="1440"/>
            <w:shd w:fill="FFDCE0" w:val="clear"/>
          </w:tcPr>
          <w:p>
            <w:r>
              <w:rPr>
                <w:sz w:val="17"/>
              </w:rPr>
              <w:t>17,165</w:t>
            </w:r>
          </w:p>
        </w:tc>
        <w:tc>
          <w:tcPr>
            <w:tcW w:type="dxa" w:w="1440"/>
            <w:shd w:fill="FFDCE0" w:val="clear"/>
          </w:tcPr>
          <w:p>
            <w:r>
              <w:rPr>
                <w:b/>
                <w:sz w:val="17"/>
              </w:rPr>
              <w:t>18,681</w:t>
            </w:r>
          </w:p>
        </w:tc>
        <w:tc>
          <w:tcPr>
            <w:tcW w:type="dxa" w:w="1440"/>
            <w:shd w:fill="FFDCE0" w:val="clear"/>
          </w:tcPr>
          <w:p>
            <w:r>
              <w:rPr>
                <w:sz w:val="17"/>
              </w:rPr>
              <w:t>20,197</w:t>
            </w:r>
          </w:p>
        </w:tc>
        <w:tc>
          <w:tcPr>
            <w:tcW w:type="dxa" w:w="1440"/>
            <w:shd w:fill="FFDCE0" w:val="clear"/>
          </w:tcPr>
          <w:p>
            <w:r>
              <w:rPr>
                <w:b/>
                <w:color w:val="C00000"/>
                <w:sz w:val="17"/>
              </w:rPr>
              <w:t>-44.2%</w:t>
            </w:r>
          </w:p>
        </w:tc>
      </w:tr>
      <w:tr>
        <w:tc>
          <w:tcPr>
            <w:tcW w:type="dxa" w:w="1440"/>
            <w:shd w:fill="FFDCE0" w:val="clear"/>
          </w:tcPr>
          <w:p>
            <w:r>
              <w:rPr>
                <w:sz w:val="17"/>
              </w:rPr>
              <w:t>J+9  Moyenne</w:t>
            </w:r>
          </w:p>
        </w:tc>
        <w:tc>
          <w:tcPr>
            <w:tcW w:type="dxa" w:w="1440"/>
            <w:shd w:fill="FFDCE0" w:val="clear"/>
          </w:tcPr>
          <w:p>
            <w:r>
              <w:rPr>
                <w:sz w:val="17"/>
              </w:rPr>
              <w:t>2026-09-22</w:t>
            </w:r>
          </w:p>
        </w:tc>
        <w:tc>
          <w:tcPr>
            <w:tcW w:type="dxa" w:w="1440"/>
            <w:shd w:fill="FFDCE0" w:val="clear"/>
          </w:tcPr>
          <w:p>
            <w:r>
              <w:rPr>
                <w:sz w:val="17"/>
              </w:rPr>
              <w:t>16,669</w:t>
            </w:r>
          </w:p>
        </w:tc>
        <w:tc>
          <w:tcPr>
            <w:tcW w:type="dxa" w:w="1440"/>
            <w:shd w:fill="FFDCE0" w:val="clear"/>
          </w:tcPr>
          <w:p>
            <w:r>
              <w:rPr>
                <w:b/>
                <w:sz w:val="17"/>
              </w:rPr>
              <w:t>18,239</w:t>
            </w:r>
          </w:p>
        </w:tc>
        <w:tc>
          <w:tcPr>
            <w:tcW w:type="dxa" w:w="1440"/>
            <w:shd w:fill="FFDCE0" w:val="clear"/>
          </w:tcPr>
          <w:p>
            <w:r>
              <w:rPr>
                <w:sz w:val="17"/>
              </w:rPr>
              <w:t>19,809</w:t>
            </w:r>
          </w:p>
        </w:tc>
        <w:tc>
          <w:tcPr>
            <w:tcW w:type="dxa" w:w="1440"/>
            <w:shd w:fill="FFDCE0" w:val="clear"/>
          </w:tcPr>
          <w:p>
            <w:r>
              <w:rPr>
                <w:b/>
                <w:color w:val="C00000"/>
                <w:sz w:val="17"/>
              </w:rPr>
              <w:t>-45.6%</w:t>
            </w:r>
          </w:p>
        </w:tc>
      </w:tr>
      <w:tr>
        <w:tc>
          <w:tcPr>
            <w:tcW w:type="dxa" w:w="1440"/>
            <w:shd w:fill="FFDCE0" w:val="clear"/>
          </w:tcPr>
          <w:p>
            <w:r>
              <w:rPr>
                <w:sz w:val="17"/>
              </w:rPr>
              <w:t>J+10  Moyenne</w:t>
            </w:r>
          </w:p>
        </w:tc>
        <w:tc>
          <w:tcPr>
            <w:tcW w:type="dxa" w:w="1440"/>
            <w:shd w:fill="FFDCE0" w:val="clear"/>
          </w:tcPr>
          <w:p>
            <w:r>
              <w:rPr>
                <w:sz w:val="17"/>
              </w:rPr>
              <w:t>2026-09-23</w:t>
            </w:r>
          </w:p>
        </w:tc>
        <w:tc>
          <w:tcPr>
            <w:tcW w:type="dxa" w:w="1440"/>
            <w:shd w:fill="FFDCE0" w:val="clear"/>
          </w:tcPr>
          <w:p>
            <w:r>
              <w:rPr>
                <w:sz w:val="17"/>
              </w:rPr>
              <w:t>16,220</w:t>
            </w:r>
          </w:p>
        </w:tc>
        <w:tc>
          <w:tcPr>
            <w:tcW w:type="dxa" w:w="1440"/>
            <w:shd w:fill="FFDCE0" w:val="clear"/>
          </w:tcPr>
          <w:p>
            <w:r>
              <w:rPr>
                <w:b/>
                <w:sz w:val="17"/>
              </w:rPr>
              <w:t>17,838</w:t>
            </w:r>
          </w:p>
        </w:tc>
        <w:tc>
          <w:tcPr>
            <w:tcW w:type="dxa" w:w="1440"/>
            <w:shd w:fill="FFDCE0" w:val="clear"/>
          </w:tcPr>
          <w:p>
            <w:r>
              <w:rPr>
                <w:sz w:val="17"/>
              </w:rPr>
              <w:t>19,456</w:t>
            </w:r>
          </w:p>
        </w:tc>
        <w:tc>
          <w:tcPr>
            <w:tcW w:type="dxa" w:w="1440"/>
            <w:shd w:fill="FFDCE0" w:val="clear"/>
          </w:tcPr>
          <w:p>
            <w:r>
              <w:rPr>
                <w:b/>
                <w:color w:val="C00000"/>
                <w:sz w:val="17"/>
              </w:rPr>
              <w:t>-46.8%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 📊 RAPPORT D'ANALYSE FINANCIÈRE — CORIS BANK INTERNATIONAL (CBIBF)</w:t>
        <w:br/>
        <w:t>**Bourse Régionale des Valeurs Mobilières (BRVM) — Secteur : Banque**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**1 072 milliards FCFA**, CBIBF s'impose comme l'une des toutes premières capitalisations de la BRVM, ce qui en fait un titre phare de l'indice BRVM Composite et un pilier du compartiment bancaire régional. Le **BPA de 2 047 FCFA/action** traduit une capacité bénéficiaire solide, chaque titre générant près de 2 047 FCFA de bénéfice net. Le **PER de 16,4x** se situe nettement au-dessus de la moyenne du marché BRVM (généralement 8-12x), ce qui indique que les investisseurs acceptent de payer une prime de qualité pour cette valeur — une prime justifiée par la croissance exceptionnelle du résultat net (+36,6% en 2025), mais qui réduit la marge de sécurité en cas de déception. L'**EV/EBITDA de 12,1x**, dans la fourchette haute (10-15x), confirme que la valeur d'entreprise intègre déjà une bonne partie des performances opérationnelles attendues ; le ratio P/B n'étant pas fourni, on ne peut conclure sur la valorisation relative aux fonds propres, mais la solidité bilancielle (Total Actif de 2 998 Mds FCFA) suggère une valorisation cohérente avec la qualité du bilan.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CBIBF a enregistré une **progression spectaculaire de +113,38%**, avec une dernière séance en hausse de **+1,52%**, portant le cours actuel à **33 500 FCFA** — soit précisément son plus haut de la période, contre un plus bas de **15 600 FCFA**. Le range de trading est donc exceptionnellement large (plus du double entre le plancher et le plafond), signe d'une tendance **franchement haussière** portée par la publication de résultats annuels 2025 très solides (résultat net +36,6%) et un T1 2026 confirmant la dynamique (PNB +28,5%). Les statistiques descriptives révèlent une **moyenne (24 054 FCFA) supérieure à la médiane (23 000 FCFA)**, avec un mode à 22 000 FCFA : le cours a passé l'essentiel de la période sous sa moyenne, avant une accélération finale qui tire la moyenne vers le haut — distribution légèrement asymétrique à droite. L'**écart-type de 5 167 FCFA (CV = 21,5%)** traduit une dispersion modérée mais réelle, tandis que le **kurtosis de -1,144 (platykurtique)** indique une distribution aplatie, sans pics extrêmes marqués — le mouvement haussier s'est construit de façon progressive plutôt que par à-coups. Le **skewness de -0,053** confirme une quasi-symétrie de la distribution. Enfin, la **volatilité annualisée de 42,6%** classe le titre dans la catégorie **élevée (&gt;30%)**, ce qui est cohérent avec un rallye de +113% et impose une gestion stricte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(30 345,5 FCFA) et la MM50 (28 575,4 FCFA) sont toutes deux situées sous le cours actuel (33 500 FCFA), et la MM20 est au-dessus de la MM50 — configuration haussière classique (golden cross). Le cours évolue au-dessus de ses deux moyennes, ce qui valide la **décision d'Achat** et confirme la force du momentum.</w:t>
      </w:r>
    </w:p>
    <w:p>
      <w:pPr>
        <w:spacing w:after="120" w:line="276" w:lineRule="auto"/>
      </w:pPr>
      <w:r>
        <w:t>**Bandes de Bollinger** : Le cours (33 500 FCFA) évolue tout près de la borne supérieure (34 274,08 FCFA), sans la franchir, tandis que la borne inférieure se situe à 26 416,92 FCFA. L'amplitude élevée des bandes traduit la forte volatilité récente ; la **décision Neutre** s'explique par cette proximité du haut de bande, qui suggère un essoufflement potentiel à court terme.</w:t>
      </w:r>
    </w:p>
    <w:p>
      <w:pPr>
        <w:spacing w:after="120" w:line="276" w:lineRule="auto"/>
      </w:pPr>
      <w:r>
        <w:t>**MACD** : La valeur du MACD (1 485,28) est nettement supérieure à son signal (1 172,0), avec un histogramme positif et élargi — le momentum haussier est intact et soutenu. La **décision d'Achat** est cohérente avec cette divergence positive persistante.</w:t>
      </w:r>
    </w:p>
    <w:p>
      <w:pPr>
        <w:spacing w:after="120" w:line="276" w:lineRule="auto"/>
      </w:pPr>
      <w:r>
        <w:t>**RSI** : À **81,17**, le RSI est en zone de **surachat marqué (&gt;70)**, ce qui déclenche logiquement une **décision de Vente** : le titre a été acheté massivement et un essoufflement ou une consolidation est statistiquement probable à court terme.</w:t>
      </w:r>
    </w:p>
    <w:p>
      <w:pPr>
        <w:spacing w:after="120" w:line="276" w:lineRule="auto"/>
      </w:pPr>
      <w:r>
        <w:t>**Stochastique** : Le %K (100,0) est au maximum absolu et le %D (95,87) reste très élevé, sans croisement baissier encore matérialisé, mais la position extrême du %K signale un épuisement imminent du mouvement — d'où la **décision de Vente**.</w:t>
      </w:r>
    </w:p>
    <w:p>
      <w:pPr>
        <w:spacing w:after="120" w:line="276" w:lineRule="auto"/>
      </w:pPr>
      <w:r>
        <w:t>**Conclusion technique** : Les indicateurs de tendance (MM, MACD) restent haussiers et confirment la dynamique de fond, mais les oscillateurs (RSI à 81, Stochastique à 100) sont en **surachat extrême** et les Bandes de Bollinger plafonnent. Il y a donc **divergence entre tendance et momentum** : le titre reste fondamentalement porteur, mais une correction technique à court terme est hautement probable après un rallye de +113%.</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Coris Bank International affiche un **Produit Net Bancaire (PNB) de 138,986 Mds FCFA** (équivalent du chiffre d'affaires bancaire) et un **résultat net de 65,495 Mds FCFA**, en progression remarquable de **+36,6%** par rapport aux 47,937 Mds FCFA de 2024. La **marge nette de 47,12%** et la **marge opérationnelle de 51,77%** demeurent élevées, tandis que le **ROA de 2,18%** traduit une rentabilité correcte des actifs (Total Actif de 2 997,78 Mds FCFA). Le **coefficient d'exploitation de 36,39%** — très inférieur au seuil de 60% — confirme une **excellente efficacité opérationnelle**, parmi les meilleures du secteur bancaire UEMOA. La structure bilancielle est saine : **dépôts clientèle de 2 015,28 Mds FCFA** contre **créances clientèle de 1 326,98 Mds FCFA**, soit un ratio de transformation d'environ 66%, avec une forte surliquidité (dépôts &gt; crédits) qui constitue un matelas de sécurité mais aussi un manque à gagner en marge d'intérêt. Le **taux de croissance du PNB de 6,11%** reste modéré, mais le coût du risque s'est nettement amélioré (-59,3% selon le rapport annuel 2025), après l'assainissement du portefeuille opéré en 2024.</w:t>
      </w:r>
    </w:p>
    <w:p>
      <w:pPr>
        <w:spacing w:after="120" w:line="276" w:lineRule="auto"/>
      </w:pPr>
      <w:r>
        <w:t>**Évolution temporelle** : L'exercice 2024 avait été difficile (résultat net en baisse de -25,4% à 47,94 Mds FCFA, sous l'effet d'une explosion du coût du risque de +72,5%), mais 2025 marque un **net redressement** avec un résultat net de 65,5 Mds FCFA, dépassant même le niveau de 2022 (56,5 Mds FCFA). Les rapports trimestriels 2025 confirment cette trajectoire : PNB de 28,7 Mds au T1 (+2,8%), 65,1 Mds au S1 (+8,75%), 101,3 Mds au T3 (+9,65%), puis **36,8 Mds au T1 2026 (+28,5%)** avec un résultat net de 21,5 Mds FCFA (+22,2%) — accélération spectaculaire portée par une collecte de dépôts de +37,9% à 2 365,1 Mds FCFA.</w:t>
      </w:r>
    </w:p>
    <w:p>
      <w:pPr>
        <w:spacing w:after="120" w:line="276" w:lineRule="auto"/>
      </w:pPr>
      <w:r>
        <w:t>**Estimation et perspectives** : Sur la base du T1 2026 (PNB +28,5%, résultat net +22,2%), on peut estimer que l'exercice 2026 devrait afficher un PNB supérieur à 165 Mds FCFA et un résultat net approchant 80 Mds FCFA, soit une nouvelle progression à deux chiffres. La notation **AA/AI avec perspective stable** (Bloomfield) et le renforcement de la gouvernance (administrateurs indépendants) confortent la solidité de l'émetteur. **Recommandation fondamentale : solide, avec un profil de croissance retrouvé et une gestion des risques assainie**, malgré une exposition persistante aux risques sécuritaires et politiques du Burkina Faso.</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**décalage marqué entre le fondamental et le technique à court terme**. Sur le plan de la **valorisation (Partie 0)**, le PER de 16,4x et l'EV/EBITDA de 12,1x indiquent une valeur **correctement valorisée à légèrement chère**, la prime de qualité étant justifiée par la croissance mais limitant le potentiel de revalorisation immédiat. Le **comportement du cours (Partie 1)** est exceptionnel (+113,38% sur 100 jours, volatilité de 42,6%, distribution platykurtique sans pics extrêmes), mais un rallye d'une telle ampleur appelle mécaniquement une consolidation. Les **signaux techniques (Partie 2)** sont **divergents** : MM et MACD confirment la tendance haussière, mais RSI (81,17) et Stochastique (100) sont en surachat extrême, et les Bandes de Bollinger plafonnent — une correction est probable. Les **fondamentaux (Partie 3)** sont excellents : résultat net 2025 de 65,5 Mds FCFA (+36,6%), coefficient d'exploitation de 36,4%, T1 2026 en accélération (+28,5% de PNB), ce qui valide la thèse d'investissement de long terme. Enfin, les **prédictions IA (J+1 à J+10)** anticipent une **correction baissière marquée** (de 30 988 FCFA à 22 686 FCFA, soit -27% en 10 séances), ce qui **contredit les signaux de tendance mais confirme les oscillateurs de surachat** et la nécessité d'une respiration technique.</w:t>
      </w:r>
    </w:p>
    <w:p>
      <w:pPr>
        <w:spacing w:after="120" w:line="276" w:lineRule="auto"/>
      </w:pPr>
      <w:r>
        <w:t>**Recommandation finale : CONSERVER** (avec opportunité d'allègement tactique). La convergence entre le surachat technique, la valorisation tendue et les prédictions baissières à court terme plaide pour une **prise partielle de bénéfices** après le rallye, tandis que la solidité fondamentale (croissance à deux chiffres, efficacité opérationnelle, notation AA) justifie de **conserver le cœur de position** pour le long terme. **Niveau de confiance : Moyen** (fondamental solide mais timing technique défavorable). **Niveau de risque global : Élevé** (volatilité de 42,6%, exposition pays Burkina Faso, valorisation exigeante). **Horizon optimal : long terme (&gt;1 an)** pour capturer la croissance structurelle, en évitant d'acheter au plus haut ; un repli vers la zone 26 000-28 000 FCFA (borne inférieure de Bollinger / MM50) constituerait un point d'entrée plus favorable.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306.52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3,690 titres</w:t>
            </w:r>
          </w:p>
        </w:tc>
        <w:tc>
          <w:tcPr>
            <w:tcW w:type="dxa" w:w="2268"/>
            <w:shd w:fill="FFF2CC" w:val="clear"/>
          </w:tcPr>
          <w:p>
            <w:r>
              <w:rPr>
                <w:b/>
                <w:color w:val="503200"/>
                <w:sz w:val="16"/>
              </w:rPr>
              <w:t xml:space="preserve">Cours actuel : </w:t>
            </w:r>
            <w:r>
              <w:rPr>
                <w:color w:val="000000"/>
                <w:sz w:val="17"/>
              </w:rPr>
              <w:t>1,690 FCFA</w:t>
            </w:r>
          </w:p>
          <w:p>
            <w:r>
              <w:rPr>
                <w:b/>
                <w:color w:val="503200"/>
                <w:sz w:val="16"/>
              </w:rPr>
              <w:t xml:space="preserve">Var. 100 jours : </w:t>
            </w:r>
            <w:r>
              <w:rPr>
                <w:b/>
                <w:color w:val="007800"/>
                <w:sz w:val="17"/>
              </w:rPr>
              <w:t>+12.67%</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6.71% (Moyenne) — μ=1,616 FCFA, σ=108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β=0.8892 (Neutre (suit le marché)) — Cov=0.000032, Var(idx)=0.000036, ρ=0.177,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3,690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σ_j=3.02%/j (Modérée) — Vol. annualisée≈47.9%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2026-09-10</w:t>
            </w:r>
          </w:p>
        </w:tc>
        <w:tc>
          <w:tcPr>
            <w:tcW w:type="dxa" w:w="1440"/>
            <w:shd w:fill="FAFAFA" w:val="clear"/>
          </w:tcPr>
          <w:p>
            <w:r>
              <w:rPr>
                <w:sz w:val="17"/>
              </w:rPr>
              <w:t>1,606</w:t>
            </w:r>
          </w:p>
        </w:tc>
        <w:tc>
          <w:tcPr>
            <w:tcW w:type="dxa" w:w="1440"/>
            <w:shd w:fill="FAFAFA" w:val="clear"/>
          </w:tcPr>
          <w:p>
            <w:r>
              <w:rPr>
                <w:b/>
                <w:sz w:val="17"/>
              </w:rPr>
              <w:t>1,665</w:t>
            </w:r>
          </w:p>
        </w:tc>
        <w:tc>
          <w:tcPr>
            <w:tcW w:type="dxa" w:w="1440"/>
            <w:shd w:fill="FAFAFA" w:val="clear"/>
          </w:tcPr>
          <w:p>
            <w:r>
              <w:rPr>
                <w:sz w:val="17"/>
              </w:rPr>
              <w:t>1,723</w:t>
            </w:r>
          </w:p>
        </w:tc>
        <w:tc>
          <w:tcPr>
            <w:tcW w:type="dxa" w:w="1440"/>
            <w:shd w:fill="FAFAFA" w:val="clear"/>
          </w:tcPr>
          <w:p>
            <w:r>
              <w:rPr>
                <w:b/>
                <w:color w:val="C00000"/>
                <w:sz w:val="17"/>
              </w:rPr>
              <w:t>-1.5%</w:t>
            </w:r>
          </w:p>
        </w:tc>
      </w:tr>
      <w:tr>
        <w:tc>
          <w:tcPr>
            <w:tcW w:type="dxa" w:w="1440"/>
            <w:shd w:fill="FFDCE0" w:val="clear"/>
          </w:tcPr>
          <w:p>
            <w:r>
              <w:rPr>
                <w:sz w:val="17"/>
              </w:rPr>
              <w:t>J+2  Moyenne</w:t>
            </w:r>
          </w:p>
        </w:tc>
        <w:tc>
          <w:tcPr>
            <w:tcW w:type="dxa" w:w="1440"/>
            <w:shd w:fill="FFDCE0" w:val="clear"/>
          </w:tcPr>
          <w:p>
            <w:r>
              <w:rPr>
                <w:sz w:val="17"/>
              </w:rPr>
              <w:t>2026-09-11</w:t>
            </w:r>
          </w:p>
        </w:tc>
        <w:tc>
          <w:tcPr>
            <w:tcW w:type="dxa" w:w="1440"/>
            <w:shd w:fill="FFDCE0" w:val="clear"/>
          </w:tcPr>
          <w:p>
            <w:r>
              <w:rPr>
                <w:sz w:val="17"/>
              </w:rPr>
              <w:t>1,558</w:t>
            </w:r>
          </w:p>
        </w:tc>
        <w:tc>
          <w:tcPr>
            <w:tcW w:type="dxa" w:w="1440"/>
            <w:shd w:fill="FFDCE0" w:val="clear"/>
          </w:tcPr>
          <w:p>
            <w:r>
              <w:rPr>
                <w:b/>
                <w:sz w:val="17"/>
              </w:rPr>
              <w:t>1,640</w:t>
            </w:r>
          </w:p>
        </w:tc>
        <w:tc>
          <w:tcPr>
            <w:tcW w:type="dxa" w:w="1440"/>
            <w:shd w:fill="FFDCE0" w:val="clear"/>
          </w:tcPr>
          <w:p>
            <w:r>
              <w:rPr>
                <w:sz w:val="17"/>
              </w:rPr>
              <w:t>1,722</w:t>
            </w:r>
          </w:p>
        </w:tc>
        <w:tc>
          <w:tcPr>
            <w:tcW w:type="dxa" w:w="1440"/>
            <w:shd w:fill="FFDCE0" w:val="clear"/>
          </w:tcPr>
          <w:p>
            <w:r>
              <w:rPr>
                <w:b/>
                <w:color w:val="C00000"/>
                <w:sz w:val="17"/>
              </w:rPr>
              <w:t>-3.0%</w:t>
            </w:r>
          </w:p>
        </w:tc>
      </w:tr>
      <w:tr>
        <w:tc>
          <w:tcPr>
            <w:tcW w:type="dxa" w:w="1440"/>
            <w:shd w:fill="FFDCE0" w:val="clear"/>
          </w:tcPr>
          <w:p>
            <w:r>
              <w:rPr>
                <w:sz w:val="17"/>
              </w:rPr>
              <w:t>J+3  Moyenne</w:t>
            </w:r>
          </w:p>
        </w:tc>
        <w:tc>
          <w:tcPr>
            <w:tcW w:type="dxa" w:w="1440"/>
            <w:shd w:fill="FFDCE0" w:val="clear"/>
          </w:tcPr>
          <w:p>
            <w:r>
              <w:rPr>
                <w:sz w:val="17"/>
              </w:rPr>
              <w:t>2026-09-14</w:t>
            </w:r>
          </w:p>
        </w:tc>
        <w:tc>
          <w:tcPr>
            <w:tcW w:type="dxa" w:w="1440"/>
            <w:shd w:fill="FFDCE0" w:val="clear"/>
          </w:tcPr>
          <w:p>
            <w:r>
              <w:rPr>
                <w:sz w:val="17"/>
              </w:rPr>
              <w:t>1,517</w:t>
            </w:r>
          </w:p>
        </w:tc>
        <w:tc>
          <w:tcPr>
            <w:tcW w:type="dxa" w:w="1440"/>
            <w:shd w:fill="FFDCE0" w:val="clear"/>
          </w:tcPr>
          <w:p>
            <w:r>
              <w:rPr>
                <w:b/>
                <w:sz w:val="17"/>
              </w:rPr>
              <w:t>1,615</w:t>
            </w:r>
          </w:p>
        </w:tc>
        <w:tc>
          <w:tcPr>
            <w:tcW w:type="dxa" w:w="1440"/>
            <w:shd w:fill="FFDCE0" w:val="clear"/>
          </w:tcPr>
          <w:p>
            <w:r>
              <w:rPr>
                <w:sz w:val="17"/>
              </w:rPr>
              <w:t>1,714</w:t>
            </w:r>
          </w:p>
        </w:tc>
        <w:tc>
          <w:tcPr>
            <w:tcW w:type="dxa" w:w="1440"/>
            <w:shd w:fill="FFDCE0" w:val="clear"/>
          </w:tcPr>
          <w:p>
            <w:r>
              <w:rPr>
                <w:b/>
                <w:color w:val="C00000"/>
                <w:sz w:val="17"/>
              </w:rPr>
              <w:t>-4.4%</w:t>
            </w:r>
          </w:p>
        </w:tc>
      </w:tr>
      <w:tr>
        <w:tc>
          <w:tcPr>
            <w:tcW w:type="dxa" w:w="1440"/>
            <w:shd w:fill="FFDCE0" w:val="clear"/>
          </w:tcPr>
          <w:p>
            <w:r>
              <w:rPr>
                <w:sz w:val="17"/>
              </w:rPr>
              <w:t>J+4  ⭐</w:t>
            </w:r>
          </w:p>
        </w:tc>
        <w:tc>
          <w:tcPr>
            <w:tcW w:type="dxa" w:w="1440"/>
            <w:shd w:fill="FFDCE0" w:val="clear"/>
          </w:tcPr>
          <w:p>
            <w:r>
              <w:rPr>
                <w:sz w:val="17"/>
              </w:rPr>
              <w:t>2026-09-15</w:t>
            </w:r>
          </w:p>
        </w:tc>
        <w:tc>
          <w:tcPr>
            <w:tcW w:type="dxa" w:w="1440"/>
            <w:shd w:fill="FFDCE0" w:val="clear"/>
          </w:tcPr>
          <w:p>
            <w:r>
              <w:rPr>
                <w:sz w:val="17"/>
              </w:rPr>
              <w:t>1,479</w:t>
            </w:r>
          </w:p>
        </w:tc>
        <w:tc>
          <w:tcPr>
            <w:tcW w:type="dxa" w:w="1440"/>
            <w:shd w:fill="FFDCE0" w:val="clear"/>
          </w:tcPr>
          <w:p>
            <w:r>
              <w:rPr>
                <w:b/>
                <w:sz w:val="17"/>
              </w:rPr>
              <w:t>1,591</w:t>
            </w:r>
          </w:p>
        </w:tc>
        <w:tc>
          <w:tcPr>
            <w:tcW w:type="dxa" w:w="1440"/>
            <w:shd w:fill="FFDCE0" w:val="clear"/>
          </w:tcPr>
          <w:p>
            <w:r>
              <w:rPr>
                <w:sz w:val="17"/>
              </w:rPr>
              <w:t>1,703</w:t>
            </w:r>
          </w:p>
        </w:tc>
        <w:tc>
          <w:tcPr>
            <w:tcW w:type="dxa" w:w="1440"/>
            <w:shd w:fill="FFDCE0" w:val="clear"/>
          </w:tcPr>
          <w:p>
            <w:r>
              <w:rPr>
                <w:b/>
                <w:color w:val="C00000"/>
                <w:sz w:val="17"/>
              </w:rPr>
              <w:t>-5.8%</w:t>
            </w:r>
          </w:p>
        </w:tc>
      </w:tr>
      <w:tr>
        <w:tc>
          <w:tcPr>
            <w:tcW w:type="dxa" w:w="1440"/>
            <w:shd w:fill="FFDCE0" w:val="clear"/>
          </w:tcPr>
          <w:p>
            <w:r>
              <w:rPr>
                <w:sz w:val="17"/>
              </w:rPr>
              <w:t>J+5  ⭐</w:t>
            </w:r>
          </w:p>
        </w:tc>
        <w:tc>
          <w:tcPr>
            <w:tcW w:type="dxa" w:w="1440"/>
            <w:shd w:fill="FFDCE0" w:val="clear"/>
          </w:tcPr>
          <w:p>
            <w:r>
              <w:rPr>
                <w:sz w:val="17"/>
              </w:rPr>
              <w:t>2026-09-16</w:t>
            </w:r>
          </w:p>
        </w:tc>
        <w:tc>
          <w:tcPr>
            <w:tcW w:type="dxa" w:w="1440"/>
            <w:shd w:fill="FFDCE0" w:val="clear"/>
          </w:tcPr>
          <w:p>
            <w:r>
              <w:rPr>
                <w:sz w:val="17"/>
              </w:rPr>
              <w:t>1,444</w:t>
            </w:r>
          </w:p>
        </w:tc>
        <w:tc>
          <w:tcPr>
            <w:tcW w:type="dxa" w:w="1440"/>
            <w:shd w:fill="FFDCE0" w:val="clear"/>
          </w:tcPr>
          <w:p>
            <w:r>
              <w:rPr>
                <w:b/>
                <w:sz w:val="17"/>
              </w:rPr>
              <w:t>1,568</w:t>
            </w:r>
          </w:p>
        </w:tc>
        <w:tc>
          <w:tcPr>
            <w:tcW w:type="dxa" w:w="1440"/>
            <w:shd w:fill="FFDCE0" w:val="clear"/>
          </w:tcPr>
          <w:p>
            <w:r>
              <w:rPr>
                <w:sz w:val="17"/>
              </w:rPr>
              <w:t>1,691</w:t>
            </w:r>
          </w:p>
        </w:tc>
        <w:tc>
          <w:tcPr>
            <w:tcW w:type="dxa" w:w="1440"/>
            <w:shd w:fill="FFDCE0" w:val="clear"/>
          </w:tcPr>
          <w:p>
            <w:r>
              <w:rPr>
                <w:b/>
                <w:color w:val="C00000"/>
                <w:sz w:val="17"/>
              </w:rPr>
              <w:t>-7.2%</w:t>
            </w:r>
          </w:p>
        </w:tc>
      </w:tr>
      <w:tr>
        <w:tc>
          <w:tcPr>
            <w:tcW w:type="dxa" w:w="1440"/>
            <w:shd w:fill="FFDCE0" w:val="clear"/>
          </w:tcPr>
          <w:p>
            <w:r>
              <w:rPr>
                <w:sz w:val="17"/>
              </w:rPr>
              <w:t>J+6  ⭐</w:t>
            </w:r>
          </w:p>
        </w:tc>
        <w:tc>
          <w:tcPr>
            <w:tcW w:type="dxa" w:w="1440"/>
            <w:shd w:fill="FFDCE0" w:val="clear"/>
          </w:tcPr>
          <w:p>
            <w:r>
              <w:rPr>
                <w:sz w:val="17"/>
              </w:rPr>
              <w:t>2026-09-17</w:t>
            </w:r>
          </w:p>
        </w:tc>
        <w:tc>
          <w:tcPr>
            <w:tcW w:type="dxa" w:w="1440"/>
            <w:shd w:fill="FFDCE0" w:val="clear"/>
          </w:tcPr>
          <w:p>
            <w:r>
              <w:rPr>
                <w:sz w:val="17"/>
              </w:rPr>
              <w:t>1,411</w:t>
            </w:r>
          </w:p>
        </w:tc>
        <w:tc>
          <w:tcPr>
            <w:tcW w:type="dxa" w:w="1440"/>
            <w:shd w:fill="FFDCE0" w:val="clear"/>
          </w:tcPr>
          <w:p>
            <w:r>
              <w:rPr>
                <w:b/>
                <w:sz w:val="17"/>
              </w:rPr>
              <w:t>1,545</w:t>
            </w:r>
          </w:p>
        </w:tc>
        <w:tc>
          <w:tcPr>
            <w:tcW w:type="dxa" w:w="1440"/>
            <w:shd w:fill="FFDCE0" w:val="clear"/>
          </w:tcPr>
          <w:p>
            <w:r>
              <w:rPr>
                <w:sz w:val="17"/>
              </w:rPr>
              <w:t>1,678</w:t>
            </w:r>
          </w:p>
        </w:tc>
        <w:tc>
          <w:tcPr>
            <w:tcW w:type="dxa" w:w="1440"/>
            <w:shd w:fill="FFDCE0" w:val="clear"/>
          </w:tcPr>
          <w:p>
            <w:r>
              <w:rPr>
                <w:b/>
                <w:color w:val="C00000"/>
                <w:sz w:val="17"/>
              </w:rPr>
              <w:t>-8.6%</w:t>
            </w:r>
          </w:p>
        </w:tc>
      </w:tr>
      <w:tr>
        <w:tc>
          <w:tcPr>
            <w:tcW w:type="dxa" w:w="1440"/>
            <w:shd w:fill="FFDCE0" w:val="clear"/>
          </w:tcPr>
          <w:p>
            <w:r>
              <w:rPr>
                <w:sz w:val="17"/>
              </w:rPr>
              <w:t>J+7  ⭐</w:t>
            </w:r>
          </w:p>
        </w:tc>
        <w:tc>
          <w:tcPr>
            <w:tcW w:type="dxa" w:w="1440"/>
            <w:shd w:fill="FFDCE0" w:val="clear"/>
          </w:tcPr>
          <w:p>
            <w:r>
              <w:rPr>
                <w:sz w:val="17"/>
              </w:rPr>
              <w:t>2026-09-18</w:t>
            </w:r>
          </w:p>
        </w:tc>
        <w:tc>
          <w:tcPr>
            <w:tcW w:type="dxa" w:w="1440"/>
            <w:shd w:fill="FFDCE0" w:val="clear"/>
          </w:tcPr>
          <w:p>
            <w:r>
              <w:rPr>
                <w:sz w:val="17"/>
              </w:rPr>
              <w:t>1,380</w:t>
            </w:r>
          </w:p>
        </w:tc>
        <w:tc>
          <w:tcPr>
            <w:tcW w:type="dxa" w:w="1440"/>
            <w:shd w:fill="FFDCE0" w:val="clear"/>
          </w:tcPr>
          <w:p>
            <w:r>
              <w:rPr>
                <w:b/>
                <w:sz w:val="17"/>
              </w:rPr>
              <w:t>1,522</w:t>
            </w:r>
          </w:p>
        </w:tc>
        <w:tc>
          <w:tcPr>
            <w:tcW w:type="dxa" w:w="1440"/>
            <w:shd w:fill="FFDCE0" w:val="clear"/>
          </w:tcPr>
          <w:p>
            <w:r>
              <w:rPr>
                <w:sz w:val="17"/>
              </w:rPr>
              <w:t>1,664</w:t>
            </w:r>
          </w:p>
        </w:tc>
        <w:tc>
          <w:tcPr>
            <w:tcW w:type="dxa" w:w="1440"/>
            <w:shd w:fill="FFDCE0" w:val="clear"/>
          </w:tcPr>
          <w:p>
            <w:r>
              <w:rPr>
                <w:b/>
                <w:color w:val="C00000"/>
                <w:sz w:val="17"/>
              </w:rPr>
              <w:t>-9.9%</w:t>
            </w:r>
          </w:p>
        </w:tc>
      </w:tr>
      <w:tr>
        <w:tc>
          <w:tcPr>
            <w:tcW w:type="dxa" w:w="1440"/>
            <w:shd w:fill="FFDCE0" w:val="clear"/>
          </w:tcPr>
          <w:p>
            <w:r>
              <w:rPr>
                <w:sz w:val="17"/>
              </w:rPr>
              <w:t>J+8  ⭐</w:t>
            </w:r>
          </w:p>
        </w:tc>
        <w:tc>
          <w:tcPr>
            <w:tcW w:type="dxa" w:w="1440"/>
            <w:shd w:fill="FFDCE0" w:val="clear"/>
          </w:tcPr>
          <w:p>
            <w:r>
              <w:rPr>
                <w:sz w:val="17"/>
              </w:rPr>
              <w:t>2026-09-21</w:t>
            </w:r>
          </w:p>
        </w:tc>
        <w:tc>
          <w:tcPr>
            <w:tcW w:type="dxa" w:w="1440"/>
            <w:shd w:fill="FFDCE0" w:val="clear"/>
          </w:tcPr>
          <w:p>
            <w:r>
              <w:rPr>
                <w:sz w:val="17"/>
              </w:rPr>
              <w:t>1,351</w:t>
            </w:r>
          </w:p>
        </w:tc>
        <w:tc>
          <w:tcPr>
            <w:tcW w:type="dxa" w:w="1440"/>
            <w:shd w:fill="FFDCE0" w:val="clear"/>
          </w:tcPr>
          <w:p>
            <w:r>
              <w:rPr>
                <w:b/>
                <w:sz w:val="17"/>
              </w:rPr>
              <w:t>1,500</w:t>
            </w:r>
          </w:p>
        </w:tc>
        <w:tc>
          <w:tcPr>
            <w:tcW w:type="dxa" w:w="1440"/>
            <w:shd w:fill="FFDCE0" w:val="clear"/>
          </w:tcPr>
          <w:p>
            <w:r>
              <w:rPr>
                <w:sz w:val="17"/>
              </w:rPr>
              <w:t>1,650</w:t>
            </w:r>
          </w:p>
        </w:tc>
        <w:tc>
          <w:tcPr>
            <w:tcW w:type="dxa" w:w="1440"/>
            <w:shd w:fill="FFDCE0" w:val="clear"/>
          </w:tcPr>
          <w:p>
            <w:r>
              <w:rPr>
                <w:b/>
                <w:color w:val="C00000"/>
                <w:sz w:val="17"/>
              </w:rPr>
              <w:t>-11.2%</w:t>
            </w:r>
          </w:p>
        </w:tc>
      </w:tr>
      <w:tr>
        <w:tc>
          <w:tcPr>
            <w:tcW w:type="dxa" w:w="1440"/>
            <w:shd w:fill="FFDCE0" w:val="clear"/>
          </w:tcPr>
          <w:p>
            <w:r>
              <w:rPr>
                <w:sz w:val="17"/>
              </w:rPr>
              <w:t>J+9  ⭐</w:t>
            </w:r>
          </w:p>
        </w:tc>
        <w:tc>
          <w:tcPr>
            <w:tcW w:type="dxa" w:w="1440"/>
            <w:shd w:fill="FFDCE0" w:val="clear"/>
          </w:tcPr>
          <w:p>
            <w:r>
              <w:rPr>
                <w:sz w:val="17"/>
              </w:rPr>
              <w:t>2026-09-22</w:t>
            </w:r>
          </w:p>
        </w:tc>
        <w:tc>
          <w:tcPr>
            <w:tcW w:type="dxa" w:w="1440"/>
            <w:shd w:fill="FFDCE0" w:val="clear"/>
          </w:tcPr>
          <w:p>
            <w:r>
              <w:rPr>
                <w:sz w:val="17"/>
              </w:rPr>
              <w:t>1,323</w:t>
            </w:r>
          </w:p>
        </w:tc>
        <w:tc>
          <w:tcPr>
            <w:tcW w:type="dxa" w:w="1440"/>
            <w:shd w:fill="FFDCE0" w:val="clear"/>
          </w:tcPr>
          <w:p>
            <w:r>
              <w:rPr>
                <w:b/>
                <w:sz w:val="17"/>
              </w:rPr>
              <w:t>1,479</w:t>
            </w:r>
          </w:p>
        </w:tc>
        <w:tc>
          <w:tcPr>
            <w:tcW w:type="dxa" w:w="1440"/>
            <w:shd w:fill="FFDCE0" w:val="clear"/>
          </w:tcPr>
          <w:p>
            <w:r>
              <w:rPr>
                <w:sz w:val="17"/>
              </w:rPr>
              <w:t>1,635</w:t>
            </w:r>
          </w:p>
        </w:tc>
        <w:tc>
          <w:tcPr>
            <w:tcW w:type="dxa" w:w="1440"/>
            <w:shd w:fill="FFDCE0" w:val="clear"/>
          </w:tcPr>
          <w:p>
            <w:r>
              <w:rPr>
                <w:b/>
                <w:color w:val="C00000"/>
                <w:sz w:val="17"/>
              </w:rPr>
              <w:t>-12.5%</w:t>
            </w:r>
          </w:p>
        </w:tc>
      </w:tr>
      <w:tr>
        <w:tc>
          <w:tcPr>
            <w:tcW w:type="dxa" w:w="1440"/>
            <w:shd w:fill="FFDCE0" w:val="clear"/>
          </w:tcPr>
          <w:p>
            <w:r>
              <w:rPr>
                <w:sz w:val="17"/>
              </w:rPr>
              <w:t>J+10  ⭐</w:t>
            </w:r>
          </w:p>
        </w:tc>
        <w:tc>
          <w:tcPr>
            <w:tcW w:type="dxa" w:w="1440"/>
            <w:shd w:fill="FFDCE0" w:val="clear"/>
          </w:tcPr>
          <w:p>
            <w:r>
              <w:rPr>
                <w:sz w:val="17"/>
              </w:rPr>
              <w:t>2026-09-23</w:t>
            </w:r>
          </w:p>
        </w:tc>
        <w:tc>
          <w:tcPr>
            <w:tcW w:type="dxa" w:w="1440"/>
            <w:shd w:fill="FFDCE0" w:val="clear"/>
          </w:tcPr>
          <w:p>
            <w:r>
              <w:rPr>
                <w:sz w:val="17"/>
              </w:rPr>
              <w:t>1,296</w:t>
            </w:r>
          </w:p>
        </w:tc>
        <w:tc>
          <w:tcPr>
            <w:tcW w:type="dxa" w:w="1440"/>
            <w:shd w:fill="FFDCE0" w:val="clear"/>
          </w:tcPr>
          <w:p>
            <w:r>
              <w:rPr>
                <w:b/>
                <w:sz w:val="17"/>
              </w:rPr>
              <w:t>1,458</w:t>
            </w:r>
          </w:p>
        </w:tc>
        <w:tc>
          <w:tcPr>
            <w:tcW w:type="dxa" w:w="1440"/>
            <w:shd w:fill="FFDCE0" w:val="clear"/>
          </w:tcPr>
          <w:p>
            <w:r>
              <w:rPr>
                <w:sz w:val="17"/>
              </w:rPr>
              <w:t>1,621</w:t>
            </w:r>
          </w:p>
        </w:tc>
        <w:tc>
          <w:tcPr>
            <w:tcW w:type="dxa" w:w="1440"/>
            <w:shd w:fill="FFDCE0" w:val="clear"/>
          </w:tcPr>
          <w:p>
            <w:r>
              <w:rPr>
                <w:b/>
                <w:color w:val="C00000"/>
                <w:sz w:val="17"/>
              </w:rPr>
              <w:t>-13.7%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 RAPPORT D'ANALYSE FINANCIÈRE — CFAC (CFAO Motors Côte d'Ivoire)</w:t>
        <w:br/>
        <w:t>**Bourse Régionale des Valeurs Mobilières (BRVM) — Secteur : Distribution Automobile**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306,52 milliards FCFA, CFAC figure parmi les valeurs les plus importantes de la cote BRVM, ce qui témoigne de sa stature de leader incontesté du marché automobile ivoirien. Le BPA de 26 FCFA/action signifie que chaque titre génère 26 FCFA de bénéfice net, un niveau modeste au regard du cours actuel de 1 690 FCFA. Le PER de 65,3x est très élevé — largement supérieur à la moyenne BRVM (~8-12x) — ce qui indique que les investisseurs paient une prime considérable pour les bénéfices actuels, probablement en anticipation d'une forte reprise des résultats. Le P/B de 15,76x confirme cette valorisation exigeante : le marché valorise l'entreprise à plus de 15 fois sa valeur comptable, une prime qui n'est justifiable que par une rentabilité des fonds propres exceptionnelle (ROE de 24,13%) et des perspectives de croissance solides. Enfin, l'EV/EBITDA de 33,2x, très supérieur au seuil de 15x, signale que la valeur d'entreprise intègre une forte anticipation de croissance opérationnelle ; cette valorisation tendue constitue un risque baissier majeur si les résultats ne suivent pas.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CFAC affiche une performance positive de +12,67%, malgré un repli de -2,03% lors de la dernière séance (J-1), qui traduit une prise de bénéfices après un rallye haussier. Le cours a évolué dans un range de 500 FCFA, entre un plus bas de 1 325 FCFA et un plus haut de 1 825 FCFA, le cours actuel de 1 690 FCFA se situant dans la partie haute de cette fourchette, ce qui confirme une tendance générale haussière sur la période. Les statistiques descriptives révèlent une moyenne de 1 616 FCFA légèrement supérieure à la médiane de 1 605 FCFA, avec un mode à 1 600 FCFA, indiquant une distribution quasi-symétrique sans biais marqué. L'écart-type de 109 FCFA (CV de 6,7%) traduit une dispersion modérée du cours autour de sa moyenne, tandis que le kurtosis de -0,414 (mésokurtique) et le skewness de -0,407 (distribution symétrique) suggèrent un comportement proche d'une loi normale, sans risque excessif de pics extrêmes ni d'asymétrie directionnelle. La volatilité annualisée de 47,9% classe ce titre dans la catégorie des valeurs à volatilité élevée (&gt;30%), ce qui implique un risque de marché significatif et justifie une approche prudente en matière de dimensionnement de position.</w:t>
      </w:r>
    </w:p>
    <w:p>
      <w:pPr>
        <w:spacing w:after="120" w:line="276" w:lineRule="auto"/>
      </w:pPr>
      <w:r>
        <w:t>---</w:t>
      </w:r>
    </w:p>
    <w:p>
      <w:pPr>
        <w:spacing w:after="120" w:line="276" w:lineRule="auto"/>
      </w:pPr>
      <w:r>
        <w:t>## PARTIE 2 : ANALYSE TECHNIQUE DÉTAILLÉE</w:t>
      </w:r>
    </w:p>
    <w:p>
      <w:pPr>
        <w:spacing w:after="120" w:line="276" w:lineRule="auto"/>
      </w:pPr>
      <w:r>
        <w:t>**Moyennes Mobiles** : La MM20 (1 702,5 FCFA) et la MM50 (1 678,3 FCFA) se situent toutes deux au-dessus du cours actuel (1 690 FCFA pour la MM20, en dessous pour la MM50 — le cours est légèrement sous la MM20 mais au-dessus de la MM50), ce qui reflète une configuration haussière de fond. La MM20 &gt; MM50 confirme la dynamique positive de moyen terme, justifiant la décision technique **Achat**.</w:t>
      </w:r>
    </w:p>
    <w:p>
      <w:pPr>
        <w:spacing w:after="120" w:line="276" w:lineRule="auto"/>
      </w:pPr>
      <w:r>
        <w:t>**Bandes de Bollinger** : Le cours (1 690 FCFA) évolue dans la partie médiane de la bande, entre la borne inférieure (1 594,33 FCFA) et supérieure (1 810,67 FCFA), sans contact avec les extrêmes. Cette position centrale, couplée à un rétrécissement des bandes, indique une phase de consolidation avec volatilité contenue, justifiant la décision **Neutre**.</w:t>
      </w:r>
    </w:p>
    <w:p>
      <w:pPr>
        <w:spacing w:after="120" w:line="276" w:lineRule="auto"/>
      </w:pPr>
      <w:r>
        <w:t>**MACD** : La valeur du MACD (16,475) est inférieure à son signal (19,307), générant un croisement baissier qui traduit un essoufflement du momentum haussier. Cette divergence négative, bien que modérée, justifie la décision de **Vente** à court terme.</w:t>
      </w:r>
    </w:p>
    <w:p>
      <w:pPr>
        <w:spacing w:after="120" w:line="276" w:lineRule="auto"/>
      </w:pPr>
      <w:r>
        <w:t>**RSI** : À 58,33, le RSI se situe dans la zone neutre (30-70), sans signal de surachat ni de survente. Cette configuration indique un équilibre entre acheteurs et vendeurs, justifiant la décision **Neutre**.</w:t>
      </w:r>
    </w:p>
    <w:p>
      <w:pPr>
        <w:spacing w:after="120" w:line="276" w:lineRule="auto"/>
      </w:pPr>
      <w:r>
        <w:t>**Stochastique** : Le %K (11,765) est très inférieur au %D (55,661), ce qui place le %K en zone de survente (&lt;20) et suggère un possible rebond à court terme. Cette configuration, bien que contradictoire avec le MACD, justifie la décision **Achat** sur cet indicateur.</w:t>
      </w:r>
    </w:p>
    <w:p>
      <w:pPr>
        <w:spacing w:after="120" w:line="276" w:lineRule="auto"/>
      </w:pPr>
      <w:r>
        <w:t>**Conclusion technique** : Les indicateurs techniques présentent une divergence notable : les moyennes mobiles et le stochastique émettent des signaux haussiers, tandis que le MACD signale une vente et que le RSI et les Bollinger restent neutres. Cette configuration mitigée suggère une phase de consolidation avec un potentiel de rebond à court terme (stochastique en survente) mais un momentum affaibli (MACD baissier). La prudence est de mise, et une confirmation par le franchissement de la MM20 (1 702,5 FCFA) serait nécessaire pour valider un retour haussier durable.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2024)** : En 2024, CFAC a réalisé un chiffre d'affaires de 158,313 milliards FCFA, en baisse de -12,13% par rapport à 2023, reflétant un marché automobile ivoirien difficile, notamment sur le segment des petits véhicules de transport de personnes affecté par un durcissement réglementaire. Le résultat net s'établit à 4,693 milliards FCFA, en recul de -26,7% sur un an, avec une marge nette de 2,96% et une marge opérationnelle de 4,96%. Malgré cette contraction, la rentabilité des fonds propres reste excellente avec un ROE de 24,13% et un ROA de 5,52%, tandis que la rotation des actifs atteint 186,22%, témoignant d'une efficacité opérationnelle élevée. La structure financière présente des signaux contrastés : l'autonomie financière est faible (22,88% contre un seuil sain de 30%), la liquidité générale est insuffisante (93,63% &lt; 1), et la trésorerie nette est négative (-624,2 millions FCFA), conséquence d'investissements lourds (-8,741 milliards FCFA) et du versement de dividendes (3,2 milliards FCFA). Le BFR est négatif (-3,482 milliards FCFA), ce qui est favorable car il signifie que les fournisseurs financent une partie du cycle d'exploitation, mais le fonds de roulement est également négatif (-4,106 milliards FCFA), signalant une tension sur la trésorerie. Les délais d'exploitation révèlent un délai clients de 36,64 jours (risque de trésorerie modéré) et un délai fournisseurs de 81,75 jours (favorable), tandis que la durée de stockage de 88,35 jours immobilise du capital.</w:t>
      </w:r>
    </w:p>
    <w:p>
      <w:pPr>
        <w:spacing w:after="120" w:line="276" w:lineRule="auto"/>
      </w:pPr>
      <w:r>
        <w:t>**Adaptation au secteur (entreprise non bancaire)** : L'analyse des délais clients/fournisseurs et du BFR confirme que CFAC gère correctement son cycle d'exploitation malgré un BFR négatif, mais la trésorerie nette négative et la faible autonomie financière constituent des points de vigilance. Le ratio de couverture des intérêts est excellent (1064,46%), mais la capacité de remboursement de 0,72 an est correcte.</w:t>
      </w:r>
    </w:p>
    <w:p>
      <w:pPr>
        <w:spacing w:after="120" w:line="276" w:lineRule="auto"/>
      </w:pPr>
      <w:r>
        <w:t>**Estimations basées sur les rapports trimestriels** : Les rapports trimestriels 2025 (T1, S1, T3) publiés respectivement le 31 mars, 30 juin et 30 septembre 2025 révèlent un **redressement spectaculaire** de l'activité. Au T1 2025, le CA atteint 46,161 milliards FCFA (+14,5% vs T1 2024) et le résultat net bondit de +279,7% à 3,836 milliards FCFA, avec une marge nette de 8,3% (contre 2,5% au T1 2024). Au S1 2025, le CA s'élève à 91,182 milliards FCFA (+18,4%) et le résultat net à 5,420 milliards FCFA (+152,7%), avec une marge nette de 5,9%. Au T3 2025, le CA trimestriel atteint 43,580 milliards FCFA (+18,3%) et le résultat net 1,489 milliard FCFA (+38,1%), avec une part de marché consolidée à 41,7%. **Sur la base de ces rapports, on estime que l'exercice 2025 devrait afficher un CA annuel d'environ 180-185 milliards FCFA (vs 158,3 milliards en 2024) et un résultat net de l'ordre de 7-8 milliards FCFA (vs 4,693 milliards en 2024), soit une croissance estimée de +50% à +70%.** Cette reprise est portée par la dynamique du marché automobile ivoirien (+14% en 2024), le maintien du leadership (part de marché &gt;40%) et l'amélioration de la rentabilité opérationnelle.</w:t>
      </w:r>
    </w:p>
    <w:p>
      <w:pPr>
        <w:spacing w:after="120" w:line="276" w:lineRule="auto"/>
      </w:pPr>
      <w:r>
        <w:t>**Évolution pluriannuelle** : Entre 2018 et 2023, le CA a progressé de +51,3% (de 51,35 à 77,67 milliards FCFA), mais le résultat net a chuté de -42,6% en 2023 à 2,045 milliards FCFA, avant de rebondir à 4,693 milliards en 2024 puis d'exploser en 2025 selon les trimestriels. Cette volatilité illustre la sensibilité de CFAC aux cycles économiques et aux pressions concurrentielles.</w:t>
      </w:r>
    </w:p>
    <w:p>
      <w:pPr>
        <w:spacing w:after="120" w:line="276" w:lineRule="auto"/>
      </w:pPr>
      <w:r>
        <w:t>**Recommandation fondamentale** : CFAC présente une solidité financière contrastée : une rentabilité des fonds propres excellente (ROE &gt;24%) et une rotation des actifs élevée, mais une autonomie financière faible et une trésorerie tendue. Les perspectives 2025 sont très favorables selon les rapports trimestriels, avec une reprise vigoureuse des ventes et des marges. Le principal risque réside dans la durabilité de cette reprise et dans la capacité de l'entreprise à maintenir ses marges dans un secteur concurrentiel. **La recommandation fondamentale est CONSERVER avec un biais positif, en attendant la confirmation des résultats annuels 2025.**</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conduit à une recommandation nuancée. **Sur le plan de la valorisation (Partie 0)**, les ratios PER (65,3x), P/B (15,76x) et EV/EBITDA (33,2x) indiquent une nette surévaluation par rapport aux bénéfices et à la valeur comptable actuels, ce qui intègre déjà une forte anticipation de croissance. **Le comportement du cours (Partie 1)** est haussier sur 100 jours (+12,67%) avec une volatilité élevée (47,9%) et des statistiques descriptives (kurtosis -0,414, skewness -0,407) qui ne signalent pas de risque extrême, mais la récente baisse de -2,03% en J-1 suggère une prise de bénéfices. **Les signaux techniques (Partie 2)** sont divergents : les MM et le stochastique sont haussiers, le MACD baissier, le RSI et les Bollinger neutres, ce qui plaide pour une consolidation avant une nouvelle impulsion. **Les fondamentaux (Partie 3)** révèlent une entreprise leader avec un ROE excellent (24,13%) et une reprise spectaculaire en 2025 (CA +18,4% au S1, résultat net +152,7%), mais une trésorerie tendue et une autonomie financière faible. **Les prédictions IA (J+1 à J+10)** anticipent une baisse continue de 1 665 FCFA à 1 568 FCFA, ce qui contredit les signaux haussiers des MM et du stochastique mais s'aligne sur le MACD baissier et la prise de bénéfices récente.</w:t>
      </w:r>
    </w:p>
    <w:p>
      <w:pPr>
        <w:spacing w:after="120" w:line="276" w:lineRule="auto"/>
      </w:pPr>
      <w:r>
        <w:t>**Recommandation finale : CONSERVER** — avec un niveau de confiance **Moyen** et un risque global **Élevé**. La convergence entre la surévaluation boursière, le MACD baissier et les prédictions IA baissières à court terme incite à la prudence, tandis que les fondamentaux solides et la reprise spectaculaire de 2025 justifient de ne pas vendre. **L'horizon d'investissement optimal est le moyen terme (3-12 mois)**, en attendant la publication des résultats annuels 2025 qui devraient confirmer (ou infirmer) la trajectoire de croissance. Un franchissement durable de la MM20 (1 702,5 FCFA) constituerait un signal d'achat, tandis qu'une cassure de la borne inférieure des Bollinger (1 594,33 FCFA) inciterait à la vente.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414.40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6,511 titres</w:t>
            </w:r>
          </w:p>
        </w:tc>
        <w:tc>
          <w:tcPr>
            <w:tcW w:type="dxa" w:w="2268"/>
            <w:shd w:fill="FFF2CC" w:val="clear"/>
          </w:tcPr>
          <w:p>
            <w:r>
              <w:rPr>
                <w:b/>
                <w:color w:val="503200"/>
                <w:sz w:val="16"/>
              </w:rPr>
              <w:t xml:space="preserve">Cours actuel : </w:t>
            </w:r>
            <w:r>
              <w:rPr>
                <w:color w:val="000000"/>
                <w:sz w:val="17"/>
              </w:rPr>
              <w:t>7,400 FCFA</w:t>
            </w:r>
          </w:p>
          <w:p>
            <w:r>
              <w:rPr>
                <w:b/>
                <w:color w:val="503200"/>
                <w:sz w:val="16"/>
              </w:rPr>
              <w:t xml:space="preserve">Var. 100 jours : </w:t>
            </w:r>
            <w:r>
              <w:rPr>
                <w:b/>
                <w:color w:val="007800"/>
                <w:sz w:val="17"/>
              </w:rPr>
              <w:t>+135.67%</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50.4%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29.8/100 → Moyen</w:t>
      </w:r>
    </w:p>
    <w:p>
      <w:pPr>
        <w:spacing w:before="40" w:after="80"/>
      </w:pPr>
      <w:r>
        <w:rPr>
          <w:rFonts w:ascii="Courier New" w:hAnsi="Courier New"/>
          <w:color w:val="825A00"/>
          <w:sz w:val="18"/>
        </w:rPr>
        <w:t>█████░░░░░░░░░░░░░░░  29.8/100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24.44% (Élevée) — μ=4,893 FCFA, σ=1,196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β=0.9424 (Neutre (suit le marché)) — Cov=0.000034, Var(idx)=0.000036, ρ=0.178,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6,511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σ_j=3.17%/j (Modérée) — Vol. annualisée≈50.4%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2026-09-10</w:t>
            </w:r>
          </w:p>
        </w:tc>
        <w:tc>
          <w:tcPr>
            <w:tcW w:type="dxa" w:w="1440"/>
            <w:shd w:fill="FFDCE0" w:val="clear"/>
          </w:tcPr>
          <w:p>
            <w:r>
              <w:rPr>
                <w:sz w:val="17"/>
              </w:rPr>
              <w:t>6,488</w:t>
            </w:r>
          </w:p>
        </w:tc>
        <w:tc>
          <w:tcPr>
            <w:tcW w:type="dxa" w:w="1440"/>
            <w:shd w:fill="FFDCE0" w:val="clear"/>
          </w:tcPr>
          <w:p>
            <w:r>
              <w:rPr>
                <w:b/>
                <w:sz w:val="17"/>
              </w:rPr>
              <w:t>6,845</w:t>
            </w:r>
          </w:p>
        </w:tc>
        <w:tc>
          <w:tcPr>
            <w:tcW w:type="dxa" w:w="1440"/>
            <w:shd w:fill="FFDCE0" w:val="clear"/>
          </w:tcPr>
          <w:p>
            <w:r>
              <w:rPr>
                <w:sz w:val="17"/>
              </w:rPr>
              <w:t>7,202</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2026-09-11</w:t>
            </w:r>
          </w:p>
        </w:tc>
        <w:tc>
          <w:tcPr>
            <w:tcW w:type="dxa" w:w="1440"/>
            <w:shd w:fill="FFDCE0" w:val="clear"/>
          </w:tcPr>
          <w:p>
            <w:r>
              <w:rPr>
                <w:sz w:val="17"/>
              </w:rPr>
              <w:t>5,865</w:t>
            </w:r>
          </w:p>
        </w:tc>
        <w:tc>
          <w:tcPr>
            <w:tcW w:type="dxa" w:w="1440"/>
            <w:shd w:fill="FFDCE0" w:val="clear"/>
          </w:tcPr>
          <w:p>
            <w:r>
              <w:rPr>
                <w:b/>
                <w:sz w:val="17"/>
              </w:rPr>
              <w:t>6,332</w:t>
            </w:r>
          </w:p>
        </w:tc>
        <w:tc>
          <w:tcPr>
            <w:tcW w:type="dxa" w:w="1440"/>
            <w:shd w:fill="FFDCE0" w:val="clear"/>
          </w:tcPr>
          <w:p>
            <w:r>
              <w:rPr>
                <w:sz w:val="17"/>
              </w:rPr>
              <w:t>6,799</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2026-09-14</w:t>
            </w:r>
          </w:p>
        </w:tc>
        <w:tc>
          <w:tcPr>
            <w:tcW w:type="dxa" w:w="1440"/>
            <w:shd w:fill="FFDCE0" w:val="clear"/>
          </w:tcPr>
          <w:p>
            <w:r>
              <w:rPr>
                <w:sz w:val="17"/>
              </w:rPr>
              <w:t>5,328</w:t>
            </w:r>
          </w:p>
        </w:tc>
        <w:tc>
          <w:tcPr>
            <w:tcW w:type="dxa" w:w="1440"/>
            <w:shd w:fill="FFDCE0" w:val="clear"/>
          </w:tcPr>
          <w:p>
            <w:r>
              <w:rPr>
                <w:b/>
                <w:sz w:val="17"/>
              </w:rPr>
              <w:t>5,857</w:t>
            </w:r>
          </w:p>
        </w:tc>
        <w:tc>
          <w:tcPr>
            <w:tcW w:type="dxa" w:w="1440"/>
            <w:shd w:fill="FFDCE0" w:val="clear"/>
          </w:tcPr>
          <w:p>
            <w:r>
              <w:rPr>
                <w:sz w:val="17"/>
              </w:rPr>
              <w:t>6,386</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2026-09-15</w:t>
            </w:r>
          </w:p>
        </w:tc>
        <w:tc>
          <w:tcPr>
            <w:tcW w:type="dxa" w:w="1440"/>
            <w:shd w:fill="FFDCE0" w:val="clear"/>
          </w:tcPr>
          <w:p>
            <w:r>
              <w:rPr>
                <w:sz w:val="17"/>
              </w:rPr>
              <w:t>4,852</w:t>
            </w:r>
          </w:p>
        </w:tc>
        <w:tc>
          <w:tcPr>
            <w:tcW w:type="dxa" w:w="1440"/>
            <w:shd w:fill="FFDCE0" w:val="clear"/>
          </w:tcPr>
          <w:p>
            <w:r>
              <w:rPr>
                <w:b/>
                <w:sz w:val="17"/>
              </w:rPr>
              <w:t>5,418</w:t>
            </w:r>
          </w:p>
        </w:tc>
        <w:tc>
          <w:tcPr>
            <w:tcW w:type="dxa" w:w="1440"/>
            <w:shd w:fill="FFDCE0" w:val="clear"/>
          </w:tcPr>
          <w:p>
            <w:r>
              <w:rPr>
                <w:sz w:val="17"/>
              </w:rPr>
              <w:t>5,983</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2026-09-16</w:t>
            </w:r>
          </w:p>
        </w:tc>
        <w:tc>
          <w:tcPr>
            <w:tcW w:type="dxa" w:w="1440"/>
            <w:shd w:fill="FFDCE0" w:val="clear"/>
          </w:tcPr>
          <w:p>
            <w:r>
              <w:rPr>
                <w:sz w:val="17"/>
              </w:rPr>
              <w:t>4,427</w:t>
            </w:r>
          </w:p>
        </w:tc>
        <w:tc>
          <w:tcPr>
            <w:tcW w:type="dxa" w:w="1440"/>
            <w:shd w:fill="FFDCE0" w:val="clear"/>
          </w:tcPr>
          <w:p>
            <w:r>
              <w:rPr>
                <w:b/>
                <w:sz w:val="17"/>
              </w:rPr>
              <w:t>5,011</w:t>
            </w:r>
          </w:p>
        </w:tc>
        <w:tc>
          <w:tcPr>
            <w:tcW w:type="dxa" w:w="1440"/>
            <w:shd w:fill="FFDCE0" w:val="clear"/>
          </w:tcPr>
          <w:p>
            <w:r>
              <w:rPr>
                <w:sz w:val="17"/>
              </w:rPr>
              <w:t>5,596</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2026-09-17</w:t>
            </w:r>
          </w:p>
        </w:tc>
        <w:tc>
          <w:tcPr>
            <w:tcW w:type="dxa" w:w="1440"/>
            <w:shd w:fill="FFDCE0" w:val="clear"/>
          </w:tcPr>
          <w:p>
            <w:r>
              <w:rPr>
                <w:sz w:val="17"/>
              </w:rPr>
              <w:t>4,043</w:t>
            </w:r>
          </w:p>
        </w:tc>
        <w:tc>
          <w:tcPr>
            <w:tcW w:type="dxa" w:w="1440"/>
            <w:shd w:fill="FFDCE0" w:val="clear"/>
          </w:tcPr>
          <w:p>
            <w:r>
              <w:rPr>
                <w:b/>
                <w:sz w:val="17"/>
              </w:rPr>
              <w:t>4,635</w:t>
            </w:r>
          </w:p>
        </w:tc>
        <w:tc>
          <w:tcPr>
            <w:tcW w:type="dxa" w:w="1440"/>
            <w:shd w:fill="FFDCE0" w:val="clear"/>
          </w:tcPr>
          <w:p>
            <w:r>
              <w:rPr>
                <w:sz w:val="17"/>
              </w:rPr>
              <w:t>5,228</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2026-09-18</w:t>
            </w:r>
          </w:p>
        </w:tc>
        <w:tc>
          <w:tcPr>
            <w:tcW w:type="dxa" w:w="1440"/>
            <w:shd w:fill="FFDCE0" w:val="clear"/>
          </w:tcPr>
          <w:p>
            <w:r>
              <w:rPr>
                <w:sz w:val="17"/>
              </w:rPr>
              <w:t>3,696</w:t>
            </w:r>
          </w:p>
        </w:tc>
        <w:tc>
          <w:tcPr>
            <w:tcW w:type="dxa" w:w="1440"/>
            <w:shd w:fill="FFDCE0" w:val="clear"/>
          </w:tcPr>
          <w:p>
            <w:r>
              <w:rPr>
                <w:b/>
                <w:sz w:val="17"/>
              </w:rPr>
              <w:t>4,288</w:t>
            </w:r>
          </w:p>
        </w:tc>
        <w:tc>
          <w:tcPr>
            <w:tcW w:type="dxa" w:w="1440"/>
            <w:shd w:fill="FFDCE0" w:val="clear"/>
          </w:tcPr>
          <w:p>
            <w:r>
              <w:rPr>
                <w:sz w:val="17"/>
              </w:rPr>
              <w:t>4,879</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2026-09-21</w:t>
            </w:r>
          </w:p>
        </w:tc>
        <w:tc>
          <w:tcPr>
            <w:tcW w:type="dxa" w:w="1440"/>
            <w:shd w:fill="FFDCE0" w:val="clear"/>
          </w:tcPr>
          <w:p>
            <w:r>
              <w:rPr>
                <w:sz w:val="17"/>
              </w:rPr>
              <w:t>3,381</w:t>
            </w:r>
          </w:p>
        </w:tc>
        <w:tc>
          <w:tcPr>
            <w:tcW w:type="dxa" w:w="1440"/>
            <w:shd w:fill="FFDCE0" w:val="clear"/>
          </w:tcPr>
          <w:p>
            <w:r>
              <w:rPr>
                <w:b/>
                <w:sz w:val="17"/>
              </w:rPr>
              <w:t>3,966</w:t>
            </w:r>
          </w:p>
        </w:tc>
        <w:tc>
          <w:tcPr>
            <w:tcW w:type="dxa" w:w="1440"/>
            <w:shd w:fill="FFDCE0" w:val="clear"/>
          </w:tcPr>
          <w:p>
            <w:r>
              <w:rPr>
                <w:sz w:val="17"/>
              </w:rPr>
              <w:t>4,551</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2026-09-22</w:t>
            </w:r>
          </w:p>
        </w:tc>
        <w:tc>
          <w:tcPr>
            <w:tcW w:type="dxa" w:w="1440"/>
            <w:shd w:fill="FFDCE0" w:val="clear"/>
          </w:tcPr>
          <w:p>
            <w:r>
              <w:rPr>
                <w:sz w:val="17"/>
              </w:rPr>
              <w:t>3,095</w:t>
            </w:r>
          </w:p>
        </w:tc>
        <w:tc>
          <w:tcPr>
            <w:tcW w:type="dxa" w:w="1440"/>
            <w:shd w:fill="FFDCE0" w:val="clear"/>
          </w:tcPr>
          <w:p>
            <w:r>
              <w:rPr>
                <w:b/>
                <w:sz w:val="17"/>
              </w:rPr>
              <w:t>3,669</w:t>
            </w:r>
          </w:p>
        </w:tc>
        <w:tc>
          <w:tcPr>
            <w:tcW w:type="dxa" w:w="1440"/>
            <w:shd w:fill="FFDCE0" w:val="clear"/>
          </w:tcPr>
          <w:p>
            <w:r>
              <w:rPr>
                <w:sz w:val="17"/>
              </w:rPr>
              <w:t>4,243</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2026-09-23</w:t>
            </w:r>
          </w:p>
        </w:tc>
        <w:tc>
          <w:tcPr>
            <w:tcW w:type="dxa" w:w="1440"/>
            <w:shd w:fill="FFDCE0" w:val="clear"/>
          </w:tcPr>
          <w:p>
            <w:r>
              <w:rPr>
                <w:sz w:val="17"/>
              </w:rPr>
              <w:t>2,834</w:t>
            </w:r>
          </w:p>
        </w:tc>
        <w:tc>
          <w:tcPr>
            <w:tcW w:type="dxa" w:w="1440"/>
            <w:shd w:fill="FFDCE0" w:val="clear"/>
          </w:tcPr>
          <w:p>
            <w:r>
              <w:rPr>
                <w:b/>
                <w:sz w:val="17"/>
              </w:rPr>
              <w:t>3,394</w:t>
            </w:r>
          </w:p>
        </w:tc>
        <w:tc>
          <w:tcPr>
            <w:tcW w:type="dxa" w:w="1440"/>
            <w:shd w:fill="FFDCE0" w:val="clear"/>
          </w:tcPr>
          <w:p>
            <w:r>
              <w:rPr>
                <w:sz w:val="17"/>
              </w:rPr>
              <w:t>3,953</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**RAPPORT D'ANALYSE FINANCIÈRE — CIEC (Compagnie Ivoirienne d'Électricité)**</w:t>
        <w:br/>
        <w:t>*Marché : BRVM | Secteur : Services publics / Électricité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414,40 milliards FCFA, la CIEC s'impose comme l'une des plus grandes capitalisations de la BRVM, ce qui témoigne de son statut d'entreprise stratégique dans le paysage boursier ouest-africain. Le BPA de 234 FCFA/action indique que chaque titre génère 234 FCFA de bénéfice net, un niveau correct mais qui, rapporté au cours actuel de 7 400 FCFA, aboutit à un PER de 31,6x — soit près de trois fois la moyenne du marché BRVM (8-12x), signalant une valorisation très exigeante qui intègre déjà une forte anticipation de croissance. Le P/B de 11,52x confirme cette prime spectaculaire : le marché valorise la CIEC à plus de onze fois sa valeur comptable, ce qui est exceptionnellement élevé et traduit une confiance extrême dans la capacité bénéficiaire future de l'entreprise. Enfin, l'EV/EBITDA de 16,2x, supérieur au seuil de 15x, indique que la valeur totale de l'entreprise (dette incluse) représente plus de seize fois sa capacité opérationnelle, un niveau qui ne laisse aucune marge d'erreur et exige une croissance soutenue pour être justifié. L'ensemble de ces ratios dessine une action dont la valorisation est tendue, portée par des anticipations optimistes plutôt que par des fondamentaux bon marché.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CIEC a enregistré une progression spectaculaire de +135,67%, avec une dernière séance encore positive de +1,44%, portant le cours actuel à 7 400 FCFA — soit exactement le plus haut de la période. Le range de trading est particulièrement large, le plus bas ayant été touché à 3 000 FCFA, ce qui signifie que le titre a plus que doublé en moins de quatre mois, une performance exceptionnelle qui traduit un engouement massif des investisseurs. La tendance générale est donc clairement haussière, soutenue par des volumes moyens quotidiens de 6 511 titres, indiquant une liquidité correcte pour le marché BRVM. Les statistiques descriptives révèlent une moyenne de 4 893 FCFA contre une médiane de 5 035 FCFA : cet écart modéré suggère une légère asymétrie, la moyenne étant tirée vers le bas par les niveaux antérieurs à la flambée récente, tandis que la médiane reflète mieux le niveau central de la période. L'écart-type de 1 202 FCFA avec un coefficient de variation de 24,6% indique une dispersion élevée du cours, confirmant une volatilité importante. Le kurtosis de -0,677 (mésokurtique) signifie que la distribution des rendements est proche d'une loi normale, sans pics extrêmes fréquents, tandis que le skewness de 0,042 (quasi nul) confirme une distribution symétrique, sans biais directionnel marqué. Enfin, la volatilité annualisée de 50,4% classe ce titre dans la catégorie des actions à volatilité élevée (&gt;30%), ce qui implique un risque significatif et des mouvements de cours amples, tant à la hausse qu'à la baisse.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6 595,25 FCFA et la MM50 à 5 763,70 FCFA, toutes deux nettement inférieures au cours actuel de 7 400 FCFA. Cette configuration — cours au-dessus des deux moyennes, avec la MM20 elle-même au-dessus de la MM50 — est un signal haussier classique, confirmant la dynamique positive. La décision technique qui en découle est logiquement « Achat », le titre évoluant en territoire haussier bien établi.</w:t>
      </w:r>
    </w:p>
    <w:p>
      <w:pPr>
        <w:spacing w:after="120" w:line="276" w:lineRule="auto"/>
      </w:pPr>
      <w:r>
        <w:t>**Bandes de Bollinger** : La borne supérieure se situe à 7 766,56 FCFA et la borne inférieure à 5 423,94 FCFA, avec un cours actuel de 7 400 FCFA qui évolue dans la partie haute du canal, sans toutefois franchir la borne supérieure. Cette position indique une pression acheteuse soutenue mais pas encore de signal de surachat extrême. La décision associée est « Neutre », le cours restant dans les limites de volatilité attendue.</w:t>
      </w:r>
    </w:p>
    <w:p>
      <w:pPr>
        <w:spacing w:after="120" w:line="276" w:lineRule="auto"/>
      </w:pPr>
      <w:r>
        <w:t>**MACD** : La valeur du MACD (427,21) est supérieure à son signal (394,87), ce qui génère un histogramme positif et confirme un momentum haussier. Cet écart positif entre la ligne MACD et sa moyenne mobile signal indique que la dynamique d'achat reste dominante. La décision qui en résulte est « Achat », le croisement étant favorable à une poursuite de la tendance.</w:t>
      </w:r>
    </w:p>
    <w:p>
      <w:pPr>
        <w:spacing w:after="120" w:line="276" w:lineRule="auto"/>
      </w:pPr>
      <w:r>
        <w:t>**RSI** : À 63,29, le RSI se situe en zone neutre-haute, sans atteindre le seuil de surachat de 70. Cela signifie que le titre conserve un potentiel de hausse sans être techniquement épuisé. La décision associée est « Neutre », le RSI n'envoyant ni signal d'achat ni signal de vente.</w:t>
      </w:r>
    </w:p>
    <w:p>
      <w:pPr>
        <w:spacing w:after="120" w:line="276" w:lineRule="auto"/>
      </w:pPr>
      <w:r>
        <w:t>**Stochastique** : Le %K atteint 100,0 et le %D 95,58, des niveaux extrêmement élevés qui placent l'indicateur en zone de surachat manifeste. Un %K à 100 signale que le cours clôture au plus haut de sa fourchette récente, ce qui précède souvent une correction. La décision qui en découle est « Vente », cet indicateur étant le seul à émettre un signal baissier clair.</w:t>
      </w:r>
    </w:p>
    <w:p>
      <w:pPr>
        <w:spacing w:after="120" w:line="276" w:lineRule="auto"/>
      </w:pPr>
      <w:r>
        <w:t>**Conclusion technique** : La majorité des indicateurs (MM, MACD) confirment une tendance haussière solide, tandis que les Bandes de Bollinger et le RSI restent neutres, sans signal de retournement immédiat. Cependant, le Stochastique en zone de surachat extrême (%K=100) constitue un avertissement sérieux sur la probabilité d'une correction à court terme. La convergence des signaux positifs à moyen terme et du signal négatif à court terme suggère une phase de consolidation ou de repli technique imminente, sans remettre en cause la tendance de fond.</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une entreprise en forte croissance : le chiffre d'affaires s'établit à 302,32 milliards FCFA, en progression de +14,82% par rapport à 2024, porté par une hausse des ventes d'énergie de +8,3% en volume et une expansion spectaculaire de la base clientèle (+15,1%, soit 5 282 283 clients). Le résultat net atteint 13,127 milliards FCFA, en hausse de +30% selon le rapport annuel 2025, avec une marge nette de 4,34% et une marge opérationnelle de 7,40%. Le ROE (rentabilité des fonds propres) s'élève à 36,50%, un niveau excellent qui témoigne d'une efficacité remarquable dans l'utilisation des capitaux propres, tandis que le ROA (rentabilité des actifs) reste faible à 0,65%, conséquence d'un bilan très lourd (total actif de 2 018,45 milliards FCFA) caractéristique du secteur des utilities. En tant qu'entreprise non bancaire, l'analyse des délais d'exploitation est cruciale : le délai clients de 164,01 jours est élevé et constitue un risque de trésorerie significatif, tandis que le délai fournisseurs de 970,25 jours est exceptionnellement long, ce qui est favorable à la trésorerie de l'entreprise. Le BFR est négatif à -90,24 milliards FCFA, ce qui est un point positif majeur, signifiant que l'entreprise finance son cycle d'exploitation par ses fournisseurs plutôt que par ses propres ressources. Cependant, la structure financière est préoccupante : l'autonomie financière n'est que de 1,78% (capitaux propres/total bilan), le ratio d'endettement atteint 612,94% (dettes totales/capitaux propres) et la dépendance financière est de 98,22%, ce qui expose l'entreprise à un risque de solvabilité en cas de retournement. La capacité de remboursement est de 7,64 années de CAF, ce qui reste gérable mais tendu. Sur la base du rapport semestriel 2025 (S1 2025, daté du 30 juin 2025), le chiffre d'affaires semestriel s'élevait à 134,923 milliards FCFA (+18,85%) et le résultat net à 5,096 milliards FCFA (+13,37%), ce qui permet d'estimer que l'exercice 2026 devrait maintenir une croissance à deux chiffres, portée par le programme PEPT (Électricité Pour Tous) et la hausse de la demande régionale. Le rapport annuel 2025 (daté du 31 décembre 2026) confirme une recommandation de « Conserver » avec un dividende attractif de 234 FCFA/action (rendement de 3,16% au cours actuel), représentant 99,8% du résultat net — une politique généreuse mais qui limite l'autofinancement. En synthèse, la CIEC affiche une croissance solide et une rentabilité des fonds propres excellente, mais sa structure financière très endettée et sa valorisation boursière tendue constituent des risques majeurs, ce qui justifie une recommandation fondamentale de **CONSERVER** avec une surveillance accrue de la trésorerie et du cadre réglementaire.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situation contrastée. La valorisation (Partie 0) est manifestement tendue : PER de 31,6x, P/B de 11,52x et EV/EBITDA de 16,2x indiquent une surévaluation relative par rapport aux moyennes du marché BRVM, le marché ayant déjà intégré une croissance future ambitieuse. Le comportement du cours (Partie 1) est exceptionnellement haussier (+135,67% sur 100 jours) mais accompagné d'une volatilité élevée (50,4% annualisée) et d'une distribution symétrique sans biais, ce qui suggère que la hausse récente pourrait être suivie d'une correction technique. Les signaux techniques (Partie 2) sont majoritairement haussiers (MM, MACD) mais le Stochastique en surachat extrême (%K=100) et le RSI à 63,29 annoncent une probable consolidation à court terme. Les fondamentaux (Partie 3) sont solides — croissance du CA de +14,8%, résultat net en hausse de +30%, ROE de 36,5% — mais la structure financière très endettée (autonomie financière de 1,78%) et la politique de distribution quasi intégrale du bénéfice limitent la marge de manœuvre. Les prédictions IA (J+1 à J+10) anticipent une trajectoire baissière marquée, avec un cours passant de 6 845 FCFA à 5 011 FCFA en cinq séances, ce qui contredit les signaux techniques haussiers à moyen terme mais confirme l'avertissement du Stochastique. Sur la base de cette synthèse, la recommandation finale est **CONSERVER** : la convergence entre la valorisation exigeante, le signal de surachat technique et la prédiction baissière à court terme incite à la prudence, tandis que les fondamentaux solides et le dividende attractif justifient de ne pas vendre. Le niveau de confiance est **Moyen**, en raison de la divergence entre les indicateurs techniques à moyen terme et les prédictions à court terme. Le niveau de risque global est **Élevé**, compte tenu de la volatilité du titre, de son endettement massif et de sa valorisation tendue. L'horizon d'investissement optimal est **moyen terme (3-12 mois)**, le temps que la correction technique se matérialise et que la croissance bénéficiaire rattrape les anticipations de valorisation.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974.12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3,944 titres</w:t>
            </w:r>
          </w:p>
        </w:tc>
        <w:tc>
          <w:tcPr>
            <w:tcW w:type="dxa" w:w="2268"/>
            <w:shd w:fill="FFF2CC" w:val="clear"/>
          </w:tcPr>
          <w:p>
            <w:r>
              <w:rPr>
                <w:b/>
                <w:color w:val="503200"/>
                <w:sz w:val="16"/>
              </w:rPr>
              <w:t xml:space="preserve">Cours actuel : </w:t>
            </w:r>
            <w:r>
              <w:rPr>
                <w:color w:val="000000"/>
                <w:sz w:val="17"/>
              </w:rPr>
              <w:t>17,695 FCFA</w:t>
            </w:r>
          </w:p>
          <w:p>
            <w:r>
              <w:rPr>
                <w:b/>
                <w:color w:val="503200"/>
                <w:sz w:val="16"/>
              </w:rPr>
              <w:t xml:space="preserve">Var. 100 jours : </w:t>
            </w:r>
            <w:r>
              <w:rPr>
                <w:b/>
                <w:color w:val="007800"/>
                <w:sz w:val="17"/>
              </w:rPr>
              <w:t>+12.71%</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13.1/100 → Faible</w:t>
      </w:r>
    </w:p>
    <w:p>
      <w:pPr>
        <w:spacing w:before="40" w:after="80"/>
      </w:pPr>
      <w:r>
        <w:rPr>
          <w:rFonts w:ascii="Courier New" w:hAnsi="Courier New"/>
          <w:color w:val="006400"/>
          <w:sz w:val="18"/>
        </w:rPr>
        <w:t>██░░░░░░░░░░░░░░░░░░  13.1/100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2.78% (Faible) — μ=16,427 FCFA, σ=456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β=0.3830 (Défensif) — Cov=0.000014, Var(idx)=0.000036, ρ=0.131,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3,944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σ_j=1.75%/j (Stable) — Vol. annualisée≈27.7%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2026-09-10</w:t>
            </w:r>
          </w:p>
        </w:tc>
        <w:tc>
          <w:tcPr>
            <w:tcW w:type="dxa" w:w="1440"/>
            <w:shd w:fill="FAFAFA" w:val="clear"/>
          </w:tcPr>
          <w:p>
            <w:r>
              <w:rPr>
                <w:sz w:val="17"/>
              </w:rPr>
              <w:t>17,031</w:t>
            </w:r>
          </w:p>
        </w:tc>
        <w:tc>
          <w:tcPr>
            <w:tcW w:type="dxa" w:w="1440"/>
            <w:shd w:fill="FAFAFA" w:val="clear"/>
          </w:tcPr>
          <w:p>
            <w:r>
              <w:rPr>
                <w:b/>
                <w:sz w:val="17"/>
              </w:rPr>
              <w:t>17,459</w:t>
            </w:r>
          </w:p>
        </w:tc>
        <w:tc>
          <w:tcPr>
            <w:tcW w:type="dxa" w:w="1440"/>
            <w:shd w:fill="FAFAFA" w:val="clear"/>
          </w:tcPr>
          <w:p>
            <w:r>
              <w:rPr>
                <w:sz w:val="17"/>
              </w:rPr>
              <w:t>17,887</w:t>
            </w:r>
          </w:p>
        </w:tc>
        <w:tc>
          <w:tcPr>
            <w:tcW w:type="dxa" w:w="1440"/>
            <w:shd w:fill="FAFAFA" w:val="clear"/>
          </w:tcPr>
          <w:p>
            <w:r>
              <w:rPr>
                <w:b/>
                <w:color w:val="C00000"/>
                <w:sz w:val="17"/>
              </w:rPr>
              <w:t>-1.3%</w:t>
            </w:r>
          </w:p>
        </w:tc>
      </w:tr>
      <w:tr>
        <w:tc>
          <w:tcPr>
            <w:tcW w:type="dxa" w:w="1440"/>
            <w:shd w:fill="FAFAFA" w:val="clear"/>
          </w:tcPr>
          <w:p>
            <w:r>
              <w:rPr>
                <w:sz w:val="17"/>
              </w:rPr>
              <w:t>J+2  ⭐⭐⭐</w:t>
            </w:r>
          </w:p>
        </w:tc>
        <w:tc>
          <w:tcPr>
            <w:tcW w:type="dxa" w:w="1440"/>
            <w:shd w:fill="FAFAFA" w:val="clear"/>
          </w:tcPr>
          <w:p>
            <w:r>
              <w:rPr>
                <w:sz w:val="17"/>
              </w:rPr>
              <w:t>2026-09-11</w:t>
            </w:r>
          </w:p>
        </w:tc>
        <w:tc>
          <w:tcPr>
            <w:tcW w:type="dxa" w:w="1440"/>
            <w:shd w:fill="FAFAFA" w:val="clear"/>
          </w:tcPr>
          <w:p>
            <w:r>
              <w:rPr>
                <w:sz w:val="17"/>
              </w:rPr>
              <w:t>16,835</w:t>
            </w:r>
          </w:p>
        </w:tc>
        <w:tc>
          <w:tcPr>
            <w:tcW w:type="dxa" w:w="1440"/>
            <w:shd w:fill="FAFAFA" w:val="clear"/>
          </w:tcPr>
          <w:p>
            <w:r>
              <w:rPr>
                <w:b/>
                <w:sz w:val="17"/>
              </w:rPr>
              <w:t>17,440</w:t>
            </w:r>
          </w:p>
        </w:tc>
        <w:tc>
          <w:tcPr>
            <w:tcW w:type="dxa" w:w="1440"/>
            <w:shd w:fill="FAFAFA" w:val="clear"/>
          </w:tcPr>
          <w:p>
            <w:r>
              <w:rPr>
                <w:sz w:val="17"/>
              </w:rPr>
              <w:t>18,045</w:t>
            </w:r>
          </w:p>
        </w:tc>
        <w:tc>
          <w:tcPr>
            <w:tcW w:type="dxa" w:w="1440"/>
            <w:shd w:fill="FAFAFA" w:val="clear"/>
          </w:tcPr>
          <w:p>
            <w:r>
              <w:rPr>
                <w:b/>
                <w:color w:val="C00000"/>
                <w:sz w:val="17"/>
              </w:rPr>
              <w:t>-1.4%</w:t>
            </w:r>
          </w:p>
        </w:tc>
      </w:tr>
      <w:tr>
        <w:tc>
          <w:tcPr>
            <w:tcW w:type="dxa" w:w="1440"/>
            <w:shd w:fill="FAFAFA" w:val="clear"/>
          </w:tcPr>
          <w:p>
            <w:r>
              <w:rPr>
                <w:sz w:val="17"/>
              </w:rPr>
              <w:t>J+3  ⭐⭐⭐</w:t>
            </w:r>
          </w:p>
        </w:tc>
        <w:tc>
          <w:tcPr>
            <w:tcW w:type="dxa" w:w="1440"/>
            <w:shd w:fill="FAFAFA" w:val="clear"/>
          </w:tcPr>
          <w:p>
            <w:r>
              <w:rPr>
                <w:sz w:val="17"/>
              </w:rPr>
              <w:t>2026-09-14</w:t>
            </w:r>
          </w:p>
        </w:tc>
        <w:tc>
          <w:tcPr>
            <w:tcW w:type="dxa" w:w="1440"/>
            <w:shd w:fill="FAFAFA" w:val="clear"/>
          </w:tcPr>
          <w:p>
            <w:r>
              <w:rPr>
                <w:sz w:val="17"/>
              </w:rPr>
              <w:t>16,668</w:t>
            </w:r>
          </w:p>
        </w:tc>
        <w:tc>
          <w:tcPr>
            <w:tcW w:type="dxa" w:w="1440"/>
            <w:shd w:fill="FAFAFA" w:val="clear"/>
          </w:tcPr>
          <w:p>
            <w:r>
              <w:rPr>
                <w:b/>
                <w:sz w:val="17"/>
              </w:rPr>
              <w:t>17,407</w:t>
            </w:r>
          </w:p>
        </w:tc>
        <w:tc>
          <w:tcPr>
            <w:tcW w:type="dxa" w:w="1440"/>
            <w:shd w:fill="FAFAFA" w:val="clear"/>
          </w:tcPr>
          <w:p>
            <w:r>
              <w:rPr>
                <w:sz w:val="17"/>
              </w:rPr>
              <w:t>18,147</w:t>
            </w:r>
          </w:p>
        </w:tc>
        <w:tc>
          <w:tcPr>
            <w:tcW w:type="dxa" w:w="1440"/>
            <w:shd w:fill="FAFAFA" w:val="clear"/>
          </w:tcPr>
          <w:p>
            <w:r>
              <w:rPr>
                <w:b/>
                <w:color w:val="C00000"/>
                <w:sz w:val="17"/>
              </w:rPr>
              <w:t>-1.6%</w:t>
            </w:r>
          </w:p>
        </w:tc>
      </w:tr>
      <w:tr>
        <w:tc>
          <w:tcPr>
            <w:tcW w:type="dxa" w:w="1440"/>
            <w:shd w:fill="FAFAFA" w:val="clear"/>
          </w:tcPr>
          <w:p>
            <w:r>
              <w:rPr>
                <w:sz w:val="17"/>
              </w:rPr>
              <w:t>J+4  Moyenne</w:t>
            </w:r>
          </w:p>
        </w:tc>
        <w:tc>
          <w:tcPr>
            <w:tcW w:type="dxa" w:w="1440"/>
            <w:shd w:fill="FAFAFA" w:val="clear"/>
          </w:tcPr>
          <w:p>
            <w:r>
              <w:rPr>
                <w:sz w:val="17"/>
              </w:rPr>
              <w:t>2026-09-15</w:t>
            </w:r>
          </w:p>
        </w:tc>
        <w:tc>
          <w:tcPr>
            <w:tcW w:type="dxa" w:w="1440"/>
            <w:shd w:fill="FAFAFA" w:val="clear"/>
          </w:tcPr>
          <w:p>
            <w:r>
              <w:rPr>
                <w:sz w:val="17"/>
              </w:rPr>
              <w:t>16,526</w:t>
            </w:r>
          </w:p>
        </w:tc>
        <w:tc>
          <w:tcPr>
            <w:tcW w:type="dxa" w:w="1440"/>
            <w:shd w:fill="FAFAFA" w:val="clear"/>
          </w:tcPr>
          <w:p>
            <w:r>
              <w:rPr>
                <w:b/>
                <w:sz w:val="17"/>
              </w:rPr>
              <w:t>17,378</w:t>
            </w:r>
          </w:p>
        </w:tc>
        <w:tc>
          <w:tcPr>
            <w:tcW w:type="dxa" w:w="1440"/>
            <w:shd w:fill="FAFAFA" w:val="clear"/>
          </w:tcPr>
          <w:p>
            <w:r>
              <w:rPr>
                <w:sz w:val="17"/>
              </w:rPr>
              <w:t>18,231</w:t>
            </w:r>
          </w:p>
        </w:tc>
        <w:tc>
          <w:tcPr>
            <w:tcW w:type="dxa" w:w="1440"/>
            <w:shd w:fill="FAFAFA" w:val="clear"/>
          </w:tcPr>
          <w:p>
            <w:r>
              <w:rPr>
                <w:b/>
                <w:color w:val="C00000"/>
                <w:sz w:val="17"/>
              </w:rPr>
              <w:t>-1.8%</w:t>
            </w:r>
          </w:p>
        </w:tc>
      </w:tr>
      <w:tr>
        <w:tc>
          <w:tcPr>
            <w:tcW w:type="dxa" w:w="1440"/>
            <w:shd w:fill="FAFAFA" w:val="clear"/>
          </w:tcPr>
          <w:p>
            <w:r>
              <w:rPr>
                <w:sz w:val="17"/>
              </w:rPr>
              <w:t>J+5  Moyenne</w:t>
            </w:r>
          </w:p>
        </w:tc>
        <w:tc>
          <w:tcPr>
            <w:tcW w:type="dxa" w:w="1440"/>
            <w:shd w:fill="FAFAFA" w:val="clear"/>
          </w:tcPr>
          <w:p>
            <w:r>
              <w:rPr>
                <w:sz w:val="17"/>
              </w:rPr>
              <w:t>2026-09-16</w:t>
            </w:r>
          </w:p>
        </w:tc>
        <w:tc>
          <w:tcPr>
            <w:tcW w:type="dxa" w:w="1440"/>
            <w:shd w:fill="FAFAFA" w:val="clear"/>
          </w:tcPr>
          <w:p>
            <w:r>
              <w:rPr>
                <w:sz w:val="17"/>
              </w:rPr>
              <w:t>16,400</w:t>
            </w:r>
          </w:p>
        </w:tc>
        <w:tc>
          <w:tcPr>
            <w:tcW w:type="dxa" w:w="1440"/>
            <w:shd w:fill="FAFAFA" w:val="clear"/>
          </w:tcPr>
          <w:p>
            <w:r>
              <w:rPr>
                <w:b/>
                <w:sz w:val="17"/>
              </w:rPr>
              <w:t>17,352</w:t>
            </w:r>
          </w:p>
        </w:tc>
        <w:tc>
          <w:tcPr>
            <w:tcW w:type="dxa" w:w="1440"/>
            <w:shd w:fill="FAFAFA" w:val="clear"/>
          </w:tcPr>
          <w:p>
            <w:r>
              <w:rPr>
                <w:sz w:val="17"/>
              </w:rPr>
              <w:t>18,303</w:t>
            </w:r>
          </w:p>
        </w:tc>
        <w:tc>
          <w:tcPr>
            <w:tcW w:type="dxa" w:w="1440"/>
            <w:shd w:fill="FAFAFA" w:val="clear"/>
          </w:tcPr>
          <w:p>
            <w:r>
              <w:rPr>
                <w:b/>
                <w:color w:val="C00000"/>
                <w:sz w:val="17"/>
              </w:rPr>
              <w:t>-1.9%</w:t>
            </w:r>
          </w:p>
        </w:tc>
      </w:tr>
      <w:tr>
        <w:tc>
          <w:tcPr>
            <w:tcW w:type="dxa" w:w="1440"/>
            <w:shd w:fill="FFDCE0" w:val="clear"/>
          </w:tcPr>
          <w:p>
            <w:r>
              <w:rPr>
                <w:sz w:val="17"/>
              </w:rPr>
              <w:t>J+6  Moyenne</w:t>
            </w:r>
          </w:p>
        </w:tc>
        <w:tc>
          <w:tcPr>
            <w:tcW w:type="dxa" w:w="1440"/>
            <w:shd w:fill="FFDCE0" w:val="clear"/>
          </w:tcPr>
          <w:p>
            <w:r>
              <w:rPr>
                <w:sz w:val="17"/>
              </w:rPr>
              <w:t>2026-09-17</w:t>
            </w:r>
          </w:p>
        </w:tc>
        <w:tc>
          <w:tcPr>
            <w:tcW w:type="dxa" w:w="1440"/>
            <w:shd w:fill="FFDCE0" w:val="clear"/>
          </w:tcPr>
          <w:p>
            <w:r>
              <w:rPr>
                <w:sz w:val="17"/>
              </w:rPr>
              <w:t>16,285</w:t>
            </w:r>
          </w:p>
        </w:tc>
        <w:tc>
          <w:tcPr>
            <w:tcW w:type="dxa" w:w="1440"/>
            <w:shd w:fill="FFDCE0" w:val="clear"/>
          </w:tcPr>
          <w:p>
            <w:r>
              <w:rPr>
                <w:b/>
                <w:sz w:val="17"/>
              </w:rPr>
              <w:t>17,326</w:t>
            </w:r>
          </w:p>
        </w:tc>
        <w:tc>
          <w:tcPr>
            <w:tcW w:type="dxa" w:w="1440"/>
            <w:shd w:fill="FFDCE0" w:val="clear"/>
          </w:tcPr>
          <w:p>
            <w:r>
              <w:rPr>
                <w:sz w:val="17"/>
              </w:rPr>
              <w:t>18,367</w:t>
            </w:r>
          </w:p>
        </w:tc>
        <w:tc>
          <w:tcPr>
            <w:tcW w:type="dxa" w:w="1440"/>
            <w:shd w:fill="FFDCE0" w:val="clear"/>
          </w:tcPr>
          <w:p>
            <w:r>
              <w:rPr>
                <w:b/>
                <w:color w:val="C00000"/>
                <w:sz w:val="17"/>
              </w:rPr>
              <w:t>-2.1%</w:t>
            </w:r>
          </w:p>
        </w:tc>
      </w:tr>
      <w:tr>
        <w:tc>
          <w:tcPr>
            <w:tcW w:type="dxa" w:w="1440"/>
            <w:shd w:fill="FFDCE0" w:val="clear"/>
          </w:tcPr>
          <w:p>
            <w:r>
              <w:rPr>
                <w:sz w:val="17"/>
              </w:rPr>
              <w:t>J+7  Moyenne</w:t>
            </w:r>
          </w:p>
        </w:tc>
        <w:tc>
          <w:tcPr>
            <w:tcW w:type="dxa" w:w="1440"/>
            <w:shd w:fill="FFDCE0" w:val="clear"/>
          </w:tcPr>
          <w:p>
            <w:r>
              <w:rPr>
                <w:sz w:val="17"/>
              </w:rPr>
              <w:t>2026-09-18</w:t>
            </w:r>
          </w:p>
        </w:tc>
        <w:tc>
          <w:tcPr>
            <w:tcW w:type="dxa" w:w="1440"/>
            <w:shd w:fill="FFDCE0" w:val="clear"/>
          </w:tcPr>
          <w:p>
            <w:r>
              <w:rPr>
                <w:sz w:val="17"/>
              </w:rPr>
              <w:t>16,178</w:t>
            </w:r>
          </w:p>
        </w:tc>
        <w:tc>
          <w:tcPr>
            <w:tcW w:type="dxa" w:w="1440"/>
            <w:shd w:fill="FFDCE0" w:val="clear"/>
          </w:tcPr>
          <w:p>
            <w:r>
              <w:rPr>
                <w:b/>
                <w:sz w:val="17"/>
              </w:rPr>
              <w:t>17,300</w:t>
            </w:r>
          </w:p>
        </w:tc>
        <w:tc>
          <w:tcPr>
            <w:tcW w:type="dxa" w:w="1440"/>
            <w:shd w:fill="FFDCE0" w:val="clear"/>
          </w:tcPr>
          <w:p>
            <w:r>
              <w:rPr>
                <w:sz w:val="17"/>
              </w:rPr>
              <w:t>18,423</w:t>
            </w:r>
          </w:p>
        </w:tc>
        <w:tc>
          <w:tcPr>
            <w:tcW w:type="dxa" w:w="1440"/>
            <w:shd w:fill="FFDCE0" w:val="clear"/>
          </w:tcPr>
          <w:p>
            <w:r>
              <w:rPr>
                <w:b/>
                <w:color w:val="C00000"/>
                <w:sz w:val="17"/>
              </w:rPr>
              <w:t>-2.2%</w:t>
            </w:r>
          </w:p>
        </w:tc>
      </w:tr>
      <w:tr>
        <w:tc>
          <w:tcPr>
            <w:tcW w:type="dxa" w:w="1440"/>
            <w:shd w:fill="FFDCE0" w:val="clear"/>
          </w:tcPr>
          <w:p>
            <w:r>
              <w:rPr>
                <w:sz w:val="17"/>
              </w:rPr>
              <w:t>J+8  Moyenne</w:t>
            </w:r>
          </w:p>
        </w:tc>
        <w:tc>
          <w:tcPr>
            <w:tcW w:type="dxa" w:w="1440"/>
            <w:shd w:fill="FFDCE0" w:val="clear"/>
          </w:tcPr>
          <w:p>
            <w:r>
              <w:rPr>
                <w:sz w:val="17"/>
              </w:rPr>
              <w:t>2026-09-21</w:t>
            </w:r>
          </w:p>
        </w:tc>
        <w:tc>
          <w:tcPr>
            <w:tcW w:type="dxa" w:w="1440"/>
            <w:shd w:fill="FFDCE0" w:val="clear"/>
          </w:tcPr>
          <w:p>
            <w:r>
              <w:rPr>
                <w:sz w:val="17"/>
              </w:rPr>
              <w:t>16,077</w:t>
            </w:r>
          </w:p>
        </w:tc>
        <w:tc>
          <w:tcPr>
            <w:tcW w:type="dxa" w:w="1440"/>
            <w:shd w:fill="FFDCE0" w:val="clear"/>
          </w:tcPr>
          <w:p>
            <w:r>
              <w:rPr>
                <w:b/>
                <w:sz w:val="17"/>
              </w:rPr>
              <w:t>17,275</w:t>
            </w:r>
          </w:p>
        </w:tc>
        <w:tc>
          <w:tcPr>
            <w:tcW w:type="dxa" w:w="1440"/>
            <w:shd w:fill="FFDCE0" w:val="clear"/>
          </w:tcPr>
          <w:p>
            <w:r>
              <w:rPr>
                <w:sz w:val="17"/>
              </w:rPr>
              <w:t>18,474</w:t>
            </w:r>
          </w:p>
        </w:tc>
        <w:tc>
          <w:tcPr>
            <w:tcW w:type="dxa" w:w="1440"/>
            <w:shd w:fill="FFDCE0" w:val="clear"/>
          </w:tcPr>
          <w:p>
            <w:r>
              <w:rPr>
                <w:b/>
                <w:color w:val="C00000"/>
                <w:sz w:val="17"/>
              </w:rPr>
              <w:t>-2.4%</w:t>
            </w:r>
          </w:p>
        </w:tc>
      </w:tr>
      <w:tr>
        <w:tc>
          <w:tcPr>
            <w:tcW w:type="dxa" w:w="1440"/>
            <w:shd w:fill="FFDCE0" w:val="clear"/>
          </w:tcPr>
          <w:p>
            <w:r>
              <w:rPr>
                <w:sz w:val="17"/>
              </w:rPr>
              <w:t>J+9  Moyenne</w:t>
            </w:r>
          </w:p>
        </w:tc>
        <w:tc>
          <w:tcPr>
            <w:tcW w:type="dxa" w:w="1440"/>
            <w:shd w:fill="FFDCE0" w:val="clear"/>
          </w:tcPr>
          <w:p>
            <w:r>
              <w:rPr>
                <w:sz w:val="17"/>
              </w:rPr>
              <w:t>2026-09-22</w:t>
            </w:r>
          </w:p>
        </w:tc>
        <w:tc>
          <w:tcPr>
            <w:tcW w:type="dxa" w:w="1440"/>
            <w:shd w:fill="FFDCE0" w:val="clear"/>
          </w:tcPr>
          <w:p>
            <w:r>
              <w:rPr>
                <w:sz w:val="17"/>
              </w:rPr>
              <w:t>15,981</w:t>
            </w:r>
          </w:p>
        </w:tc>
        <w:tc>
          <w:tcPr>
            <w:tcW w:type="dxa" w:w="1440"/>
            <w:shd w:fill="FFDCE0" w:val="clear"/>
          </w:tcPr>
          <w:p>
            <w:r>
              <w:rPr>
                <w:b/>
                <w:sz w:val="17"/>
              </w:rPr>
              <w:t>17,250</w:t>
            </w:r>
          </w:p>
        </w:tc>
        <w:tc>
          <w:tcPr>
            <w:tcW w:type="dxa" w:w="1440"/>
            <w:shd w:fill="FFDCE0" w:val="clear"/>
          </w:tcPr>
          <w:p>
            <w:r>
              <w:rPr>
                <w:sz w:val="17"/>
              </w:rPr>
              <w:t>18,520</w:t>
            </w:r>
          </w:p>
        </w:tc>
        <w:tc>
          <w:tcPr>
            <w:tcW w:type="dxa" w:w="1440"/>
            <w:shd w:fill="FFDCE0" w:val="clear"/>
          </w:tcPr>
          <w:p>
            <w:r>
              <w:rPr>
                <w:b/>
                <w:color w:val="C00000"/>
                <w:sz w:val="17"/>
              </w:rPr>
              <w:t>-2.5%</w:t>
            </w:r>
          </w:p>
        </w:tc>
      </w:tr>
      <w:tr>
        <w:tc>
          <w:tcPr>
            <w:tcW w:type="dxa" w:w="1440"/>
            <w:shd w:fill="FFDCE0" w:val="clear"/>
          </w:tcPr>
          <w:p>
            <w:r>
              <w:rPr>
                <w:sz w:val="17"/>
              </w:rPr>
              <w:t>J+10  Moyenne</w:t>
            </w:r>
          </w:p>
        </w:tc>
        <w:tc>
          <w:tcPr>
            <w:tcW w:type="dxa" w:w="1440"/>
            <w:shd w:fill="FFDCE0" w:val="clear"/>
          </w:tcPr>
          <w:p>
            <w:r>
              <w:rPr>
                <w:sz w:val="17"/>
              </w:rPr>
              <w:t>2026-09-23</w:t>
            </w:r>
          </w:p>
        </w:tc>
        <w:tc>
          <w:tcPr>
            <w:tcW w:type="dxa" w:w="1440"/>
            <w:shd w:fill="FFDCE0" w:val="clear"/>
          </w:tcPr>
          <w:p>
            <w:r>
              <w:rPr>
                <w:sz w:val="17"/>
              </w:rPr>
              <w:t>15,890</w:t>
            </w:r>
          </w:p>
        </w:tc>
        <w:tc>
          <w:tcPr>
            <w:tcW w:type="dxa" w:w="1440"/>
            <w:shd w:fill="FFDCE0" w:val="clear"/>
          </w:tcPr>
          <w:p>
            <w:r>
              <w:rPr>
                <w:b/>
                <w:sz w:val="17"/>
              </w:rPr>
              <w:t>17,226</w:t>
            </w:r>
          </w:p>
        </w:tc>
        <w:tc>
          <w:tcPr>
            <w:tcW w:type="dxa" w:w="1440"/>
            <w:shd w:fill="FFDCE0" w:val="clear"/>
          </w:tcPr>
          <w:p>
            <w:r>
              <w:rPr>
                <w:sz w:val="17"/>
              </w:rPr>
              <w:t>18,562</w:t>
            </w:r>
          </w:p>
        </w:tc>
        <w:tc>
          <w:tcPr>
            <w:tcW w:type="dxa" w:w="1440"/>
            <w:shd w:fill="FFDCE0" w:val="clear"/>
          </w:tcPr>
          <w:p>
            <w:r>
              <w:rPr>
                <w:b/>
                <w:color w:val="C00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 📊 RAPPORT D'ANALYSE FINANCIÈRE — ECOC (Ecobank Côte d'Ivoire)</w:t>
        <w:br/>
        <w:t>**Bourse Régionale des Valeurs Mobilières (BRVM) — Secteur : Banque**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**974,12 milliards FCFA**, ECOC figure parmi les valeurs les plus capitalisées de la BRVM, ce qui en fait un pilier de l'indice BRVM Composite et un titre de référence pour les investisseurs institutionnels de la zone UEMOA. Le BPA s'établit à **1 153 FCFA/action**, ce qui signifie que chaque action génère près de 1 153 FCFA de bénéfice net, un niveau élevé qui traduit la forte rentabilité de la banque. Le PER de **15,3x** se situe au-dessus de la moyenne du marché BRVM (généralement 8-12x), indiquant que les investisseurs acceptent de payer une prime pour la qualité et la régularité des résultats d'ECOC, sans pour autant basculer dans une valorisation spéculative. Le P/B de **4,46x** est nettement supérieur au seuil de 4x, signe que le marché valorise la banque bien au-delà de sa valeur comptable — une prime justifiée par un ROE exceptionnel de près de 29%, mais qui laisse peu de marge de sécurité en cas de dégradation. Enfin, l'EV/EBITDA de **14,9x** (fourchette 10-15x) confirme une valorisation élevée de la capacité opérationnelle, cohérente avec la qualité du portefeuille mais exigeante pour un nouvel entrant.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ECOC affiche une progression totale de **+12,71%**, avec une dernière séance en hausse de **+1,11%**, confirmant une dynamique haussière soutenue. Le cours actuel de **17 695 FCFA** évolue proche de son plus haut de période (**17 725 FCFA**) et nettement au-dessus de son plus bas (**15 520 FCFA**), soit un range de trading de 2 205 FCFA qui témoigne d'une tendance clairement ascendante. La moyenne de **16 427 FCFA** est supérieure à la médiane de **16 300 FCFA**, ce qui indique une distribution légèrement tirée vers le haut par les séances récentes, tandis que le mode à 16 300 FCFA correspond à un palier de consolidation antérieur. L'écart-type de **458 FCFA** avec un coefficient de variation de seulement **2,8%** révèle une dispersion très faible du cours, signe d'une grande stabilité et d'une faible nervosité des investisseurs. Le kurtosis de **0,347** (mésokurtique) indique une distribution proche de la normale, donc un risque de pics extrêmes limité, tandis que le skewness de **0,711** (asymétrie positive) suggère que les journées sous la moyenne ont été plus fréquentes mais compensées par des hausses plus marquées. La volatilité annualisée de **27,7%** place le titre dans la catégorie modérée (15-30%), ce qui est remarquable pour une action bancaire africaine et confirme son profil défensif.</w:t>
      </w:r>
    </w:p>
    <w:p>
      <w:pPr>
        <w:spacing w:after="120" w:line="276" w:lineRule="auto"/>
      </w:pPr>
      <w:r>
        <w:t>---</w:t>
      </w:r>
    </w:p>
    <w:p>
      <w:pPr>
        <w:spacing w:after="120" w:line="276" w:lineRule="auto"/>
      </w:pPr>
      <w:r>
        <w:t>## PARTIE 2 : ANALYSE TECHNIQUE DÉTAILLÉE</w:t>
      </w:r>
    </w:p>
    <w:p>
      <w:pPr>
        <w:spacing w:after="120" w:line="276" w:lineRule="auto"/>
      </w:pPr>
      <w:r>
        <w:t>**Moyennes Mobiles** : La MM20 (16 844,5 FCFA) et la MM50 (16 505,8 FCFA) sont toutes deux inférieures au cours actuel de 17 695 FCFA, avec la MM20 au-dessus de la MM50 — configuration haussière classique (golden cross). Le cours évolue au-dessus de ses deux moyennes, ce qui valide la décision d'**Achat** et confirme la solidité du momentum.</w:t>
      </w:r>
    </w:p>
    <w:p>
      <w:pPr>
        <w:spacing w:after="120" w:line="276" w:lineRule="auto"/>
      </w:pPr>
      <w:r>
        <w:t>**Bandes de Bollinger** : Le cours (17 695 FCFA) se situe juste sous la borne supérieure (17 971,99 FCFA) et très au-dessus de la borne inférieure (15 717,01 FCFA), ce qui traduit une pression acheteuse forte mais un risque de retour à la moyenne. La décision **Neutre** reflète cette position ambiguë : le titre est proche de la surchauffe sans être encore en zone d'excès.</w:t>
      </w:r>
    </w:p>
    <w:p>
      <w:pPr>
        <w:spacing w:after="120" w:line="276" w:lineRule="auto"/>
      </w:pPr>
      <w:r>
        <w:t>**MACD** : La valeur du MACD (340,3) est nettement supérieure à son signal (245,931), avec un histogramme positif et en expansion — signal d'**Achat** confirmé. Le momentum haussier est bien installé et la divergence positive entre les deux lignes indique que la tendance devrait se poursuivre à court terme.</w:t>
      </w:r>
    </w:p>
    <w:p>
      <w:pPr>
        <w:spacing w:after="120" w:line="276" w:lineRule="auto"/>
      </w:pPr>
      <w:r>
        <w:t>**RSI** : À **72,171**, le RSI franchit le seuil de surachat (&gt;70), ce qui déclenche une décision de **Vente** technique. Cela signifie que le titre a été acheté de manière excessive à court terme et qu'une correction ou une consolidation est probable avant toute nouvelle progression.</w:t>
      </w:r>
    </w:p>
    <w:p>
      <w:pPr>
        <w:spacing w:after="120" w:line="276" w:lineRule="auto"/>
      </w:pPr>
      <w:r>
        <w:t>**Stochastique** : Le %K (97,531) est très proche de son maximum et au-dessus du %D (86,932), avec un croisement en zone de surachat extrême. La décision de **Vente** est cohérente : le titre est en fin de cycle haussier immédiat et une respiration technique est attendue.</w:t>
      </w:r>
    </w:p>
    <w:p>
      <w:pPr>
        <w:spacing w:after="120" w:line="276" w:lineRule="auto"/>
      </w:pPr>
      <w:r>
        <w:t>**Conclusion technique** : Les indicateurs de tendance (MM, MACD) restent haussiers et confirment la dynamique de fond, mais les oscillateurs (RSI, Stochastique) signalent une surchauffe à court terme. Cette divergence classique entre tendance et momentum suggère une consolidation imminente avant une reprise éventuelle. Le signal global est donc **haussier à moyen terme, mais avec un point d'entrée non optimal à court terme**.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ECOC affiche un **Produit Net Bancaire (PNB) de 132,725 milliards FCFA**, en croissance de **+8,51%**, et un **résultat net de 63,482 milliards FCFA**, soit une marge nette exceptionnelle de **47,83%**. Le **ROE s'élève à 29,04%** (largement au-dessus du seuil d'excellence de 15%) et le **ROA à 3,09%**, confirmant une rentabilité parmi les meilleures du secteur bancaire de l'UEMOA. Le **coefficient d'exploitation de 42,89%** (bien inférieur à 60%) témoigne d'une efficacité opérationnelle remarquable, tandis que le **coût du risque de 1,36%** reste modéré et sous contrôle. Le total bilan atteint **2 054,49 milliards FCFA**, avec des **dépôts clientèle de 1 626,22 milliards FCFA** contre des **créances clientèle de 1 050,80 milliards FCFA**, soit un ratio crédits/dépôts de 64,6% — une transformation prudente et liquide. La **solvabilité générale de 111,91%** et la **couverture des intérêts de 317,71%** confirment la solidité financière.</w:t>
      </w:r>
    </w:p>
    <w:p>
      <w:pPr>
        <w:spacing w:after="120" w:line="276" w:lineRule="auto"/>
      </w:pPr>
      <w:r>
        <w:t>**Estimations basées sur les rapports trimestriels** : Le rapport du **T3 2025 (30/09/2025)** indique un PNB de 96,4 milliards FCFA (+11,3%) et un résultat net de 44,4 milliards FCFA (+15,4%), avec un ROE de 29,7% et un coefficient d'exploitation de 44,7%. Le rapport du **T1 2026 (publié en 2026)** montre un PNB de 30,8 milliards FCFA (+3,7%) mais un résultat net en léger recul de -1,6% à 13,0 milliards FCFA, avec un ROE de 23,0% et un coefficient d'exploitation de 45,7%. On estime donc que l'exercice 2026 devrait enregistrer une croissance plus modérée du PNB (autour de +5-7%) et un résultat net stable ou légèrement en retrait, sous l'effet d'un environnement macroéconomique plus difficile et d'une politique de crédit sélective (encours en baisse de -2,6%).</w:t>
      </w:r>
    </w:p>
    <w:p>
      <w:pPr>
        <w:spacing w:after="120" w:line="276" w:lineRule="auto"/>
      </w:pPr>
      <w:r>
        <w:t>**Évolution et recommandation fondamentale** : La comparaison des exercices 2024 (PNB 122,3 Mds, RN 57,5 Mds, ROE 28,8%) et 2025 (PNB 132,7 Mds, RN 63,5 Mds, ROE 29,0%) confirme une trajectoire de croissance solide et régulière. Le dividende proposé de **888 FCFA brut/action** (vs 804 FCFA en 2024, +10,4%) offre un rendement attractif d'environ 5,0% au cours actuel. La solidité des fondamentaux, la qualité du portefeuille (taux de créances en souffrance de 3,9%) et la générosité de la politique de distribution justifient une recommandation fondamentale **positive**, avec une surveillance des risques macroéconomiques et de la légère érosion du résultat net au T1 2026.</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mais globalement favorable. **Sur la valorisation (Partie 0)**, le PER de 15,3x et le P/B de 4,46x indiquent une action correctement valorisée, voire légèrement chère, mais justifiée par un ROE de 29% — il n'y a donc pas de décote évidente, mais pas de bulle non plus. **Sur le comportement du cours (Partie 1)**, la tendance haussière (+12,71%), la faible volatilité (27,7%) et les statistiques rassurantes (kurtosis 0,347, skewness 0,711) plaident pour une poursuite de la dynamique, même si le titre approche de ses plus hauts. **Sur le plan technique (Partie 2)**, la convergence des signaux haussiers (MM, MACD) est tempérée par la divergence des oscillateurs (RSI 72, Stochastique 97,5) qui signalent une surchauffe et un risque de consolidation à court terme. **Sur les fondamentaux (Partie 3)**, la solidité est incontestable (ROE 29%, coefficient d'exploitation 42,9%, dividende en hausse), mais le T1 2026 montre un ralentissement du résultat net (-1,6%) qui invite à la prudence. **Les prédictions IA (J+1 à J+10)** anticipent une légère correction de 17 695 FCFA vers 17 352 FCFA (-1,9%), ce qui confirme la thèse d'une consolidation technique imminente sans remise en cause de la tendance de fond.</w:t>
      </w:r>
    </w:p>
    <w:p>
      <w:pPr>
        <w:spacing w:after="120" w:line="276" w:lineRule="auto"/>
      </w:pPr>
      <w:r>
        <w:t>**Recommandation finale : CONSERVER**, avec un biais positif pour les investisseurs déjà positionnés. La convergence entre fondamentaux solides, tendance haussière de fond et prédiction d'une consolidation modérée suggère d'attendre un repli vers la MM20 (16 844 FCFA) ou la borne inférieure des Bollinger (15 717 FCFA) pour renforcer. **Niveau de confiance : Moyen** (les signaux sont cohérents mais la surchauffe technique limite la visibilité à court terme). **Niveau de risque global : Moyen** (risque de crédit et macroéconomique modéré, valorisation exigeante). **Horizon d'investissement optimal : Moyen terme (3-12 mois)**, le temps que la consolidation s'achève et que les fondamentaux 2026 se confirment.</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1265.89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1,501,174 titres</w:t>
            </w:r>
          </w:p>
        </w:tc>
        <w:tc>
          <w:tcPr>
            <w:tcW w:type="dxa" w:w="2268"/>
            <w:shd w:fill="FFF2CC" w:val="clear"/>
          </w:tcPr>
          <w:p>
            <w:r>
              <w:rPr>
                <w:b/>
                <w:color w:val="503200"/>
                <w:sz w:val="16"/>
              </w:rPr>
              <w:t xml:space="preserve">Cours actuel : </w:t>
            </w:r>
            <w:r>
              <w:rPr>
                <w:color w:val="000000"/>
                <w:sz w:val="17"/>
              </w:rPr>
              <w:t>70 FCFA</w:t>
            </w:r>
          </w:p>
          <w:p>
            <w:r>
              <w:rPr>
                <w:b/>
                <w:color w:val="503200"/>
                <w:sz w:val="16"/>
              </w:rPr>
              <w:t xml:space="preserve">Var. 100 jours : </w:t>
            </w:r>
            <w:r>
              <w:rPr>
                <w:b/>
                <w:color w:val="007800"/>
                <w:sz w:val="17"/>
              </w:rPr>
              <w:t>+133.33%</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37.52% (Élevée) — μ=48 FCFA, σ=18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β=2.5991 (Très agressif) — Cov=0.000095, Var(idx)=0.000036, ρ=0.385,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1,501,174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σ_j=4.04%/j (Modérée) — Vol. annualisée≈64.2%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2026-09-10</w:t>
            </w:r>
          </w:p>
        </w:tc>
        <w:tc>
          <w:tcPr>
            <w:tcW w:type="dxa" w:w="1440"/>
            <w:shd w:fill="FFDCE0" w:val="clear"/>
          </w:tcPr>
          <w:p>
            <w:r>
              <w:rPr>
                <w:sz w:val="17"/>
              </w:rPr>
              <w:t>61</w:t>
            </w:r>
          </w:p>
        </w:tc>
        <w:tc>
          <w:tcPr>
            <w:tcW w:type="dxa" w:w="1440"/>
            <w:shd w:fill="FFDCE0" w:val="clear"/>
          </w:tcPr>
          <w:p>
            <w:r>
              <w:rPr>
                <w:b/>
                <w:sz w:val="17"/>
              </w:rPr>
              <w:t>65</w:t>
            </w:r>
          </w:p>
        </w:tc>
        <w:tc>
          <w:tcPr>
            <w:tcW w:type="dxa" w:w="1440"/>
            <w:shd w:fill="FFDCE0" w:val="clear"/>
          </w:tcPr>
          <w:p>
            <w:r>
              <w:rPr>
                <w:sz w:val="17"/>
              </w:rPr>
              <w:t>69</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2026-09-11</w:t>
            </w:r>
          </w:p>
        </w:tc>
        <w:tc>
          <w:tcPr>
            <w:tcW w:type="dxa" w:w="1440"/>
            <w:shd w:fill="FFDCE0" w:val="clear"/>
          </w:tcPr>
          <w:p>
            <w:r>
              <w:rPr>
                <w:sz w:val="17"/>
              </w:rPr>
              <w:t>55</w:t>
            </w:r>
          </w:p>
        </w:tc>
        <w:tc>
          <w:tcPr>
            <w:tcW w:type="dxa" w:w="1440"/>
            <w:shd w:fill="FFDCE0" w:val="clear"/>
          </w:tcPr>
          <w:p>
            <w:r>
              <w:rPr>
                <w:b/>
                <w:sz w:val="17"/>
              </w:rPr>
              <w:t>60</w:t>
            </w:r>
          </w:p>
        </w:tc>
        <w:tc>
          <w:tcPr>
            <w:tcW w:type="dxa" w:w="1440"/>
            <w:shd w:fill="FFDCE0" w:val="clear"/>
          </w:tcPr>
          <w:p>
            <w:r>
              <w:rPr>
                <w:sz w:val="17"/>
              </w:rPr>
              <w:t>65</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2026-09-14</w:t>
            </w:r>
          </w:p>
        </w:tc>
        <w:tc>
          <w:tcPr>
            <w:tcW w:type="dxa" w:w="1440"/>
            <w:shd w:fill="FFDCE0" w:val="clear"/>
          </w:tcPr>
          <w:p>
            <w:r>
              <w:rPr>
                <w:sz w:val="17"/>
              </w:rPr>
              <w:t>50</w:t>
            </w:r>
          </w:p>
        </w:tc>
        <w:tc>
          <w:tcPr>
            <w:tcW w:type="dxa" w:w="1440"/>
            <w:shd w:fill="FFDCE0" w:val="clear"/>
          </w:tcPr>
          <w:p>
            <w:r>
              <w:rPr>
                <w:b/>
                <w:sz w:val="17"/>
              </w:rPr>
              <w:t>55</w:t>
            </w:r>
          </w:p>
        </w:tc>
        <w:tc>
          <w:tcPr>
            <w:tcW w:type="dxa" w:w="1440"/>
            <w:shd w:fill="FFDCE0" w:val="clear"/>
          </w:tcPr>
          <w:p>
            <w:r>
              <w:rPr>
                <w:sz w:val="17"/>
              </w:rPr>
              <w:t>61</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2026-09-15</w:t>
            </w:r>
          </w:p>
        </w:tc>
        <w:tc>
          <w:tcPr>
            <w:tcW w:type="dxa" w:w="1440"/>
            <w:shd w:fill="FFDCE0" w:val="clear"/>
          </w:tcPr>
          <w:p>
            <w:r>
              <w:rPr>
                <w:sz w:val="17"/>
              </w:rPr>
              <w:t>45</w:t>
            </w:r>
          </w:p>
        </w:tc>
        <w:tc>
          <w:tcPr>
            <w:tcW w:type="dxa" w:w="1440"/>
            <w:shd w:fill="FFDCE0" w:val="clear"/>
          </w:tcPr>
          <w:p>
            <w:r>
              <w:rPr>
                <w:b/>
                <w:sz w:val="17"/>
              </w:rPr>
              <w:t>51</w:t>
            </w:r>
          </w:p>
        </w:tc>
        <w:tc>
          <w:tcPr>
            <w:tcW w:type="dxa" w:w="1440"/>
            <w:shd w:fill="FFDCE0" w:val="clear"/>
          </w:tcPr>
          <w:p>
            <w:r>
              <w:rPr>
                <w:sz w:val="17"/>
              </w:rPr>
              <w:t>58</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2026-09-16</w:t>
            </w:r>
          </w:p>
        </w:tc>
        <w:tc>
          <w:tcPr>
            <w:tcW w:type="dxa" w:w="1440"/>
            <w:shd w:fill="FFDCE0" w:val="clear"/>
          </w:tcPr>
          <w:p>
            <w:r>
              <w:rPr>
                <w:sz w:val="17"/>
              </w:rPr>
              <w:t>41</w:t>
            </w:r>
          </w:p>
        </w:tc>
        <w:tc>
          <w:tcPr>
            <w:tcW w:type="dxa" w:w="1440"/>
            <w:shd w:fill="FFDCE0" w:val="clear"/>
          </w:tcPr>
          <w:p>
            <w:r>
              <w:rPr>
                <w:b/>
                <w:sz w:val="17"/>
              </w:rPr>
              <w:t>47</w:t>
            </w:r>
          </w:p>
        </w:tc>
        <w:tc>
          <w:tcPr>
            <w:tcW w:type="dxa" w:w="1440"/>
            <w:shd w:fill="FFDCE0" w:val="clear"/>
          </w:tcPr>
          <w:p>
            <w:r>
              <w:rPr>
                <w:sz w:val="17"/>
              </w:rPr>
              <w:t>54</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2026-09-17</w:t>
            </w:r>
          </w:p>
        </w:tc>
        <w:tc>
          <w:tcPr>
            <w:tcW w:type="dxa" w:w="1440"/>
            <w:shd w:fill="FFDCE0" w:val="clear"/>
          </w:tcPr>
          <w:p>
            <w:r>
              <w:rPr>
                <w:sz w:val="17"/>
              </w:rPr>
              <w:t>37</w:t>
            </w:r>
          </w:p>
        </w:tc>
        <w:tc>
          <w:tcPr>
            <w:tcW w:type="dxa" w:w="1440"/>
            <w:shd w:fill="FFDCE0" w:val="clear"/>
          </w:tcPr>
          <w:p>
            <w:r>
              <w:rPr>
                <w:b/>
                <w:sz w:val="17"/>
              </w:rPr>
              <w:t>44</w:t>
            </w:r>
          </w:p>
        </w:tc>
        <w:tc>
          <w:tcPr>
            <w:tcW w:type="dxa" w:w="1440"/>
            <w:shd w:fill="FFDCE0" w:val="clear"/>
          </w:tcPr>
          <w:p>
            <w:r>
              <w:rPr>
                <w:sz w:val="17"/>
              </w:rPr>
              <w:t>50</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2026-09-18</w:t>
            </w:r>
          </w:p>
        </w:tc>
        <w:tc>
          <w:tcPr>
            <w:tcW w:type="dxa" w:w="1440"/>
            <w:shd w:fill="FFDCE0" w:val="clear"/>
          </w:tcPr>
          <w:p>
            <w:r>
              <w:rPr>
                <w:sz w:val="17"/>
              </w:rPr>
              <w:t>34</w:t>
            </w:r>
          </w:p>
        </w:tc>
        <w:tc>
          <w:tcPr>
            <w:tcW w:type="dxa" w:w="1440"/>
            <w:shd w:fill="FFDCE0" w:val="clear"/>
          </w:tcPr>
          <w:p>
            <w:r>
              <w:rPr>
                <w:b/>
                <w:sz w:val="17"/>
              </w:rPr>
              <w:t>41</w:t>
            </w:r>
          </w:p>
        </w:tc>
        <w:tc>
          <w:tcPr>
            <w:tcW w:type="dxa" w:w="1440"/>
            <w:shd w:fill="FFDCE0" w:val="clear"/>
          </w:tcPr>
          <w:p>
            <w:r>
              <w:rPr>
                <w:sz w:val="17"/>
              </w:rPr>
              <w:t>47</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2026-09-21</w:t>
            </w:r>
          </w:p>
        </w:tc>
        <w:tc>
          <w:tcPr>
            <w:tcW w:type="dxa" w:w="1440"/>
            <w:shd w:fill="FFDCE0" w:val="clear"/>
          </w:tcPr>
          <w:p>
            <w:r>
              <w:rPr>
                <w:sz w:val="17"/>
              </w:rPr>
              <w:t>31</w:t>
            </w:r>
          </w:p>
        </w:tc>
        <w:tc>
          <w:tcPr>
            <w:tcW w:type="dxa" w:w="1440"/>
            <w:shd w:fill="FFDCE0" w:val="clear"/>
          </w:tcPr>
          <w:p>
            <w:r>
              <w:rPr>
                <w:b/>
                <w:sz w:val="17"/>
              </w:rPr>
              <w:t>38</w:t>
            </w:r>
          </w:p>
        </w:tc>
        <w:tc>
          <w:tcPr>
            <w:tcW w:type="dxa" w:w="1440"/>
            <w:shd w:fill="FFDCE0" w:val="clear"/>
          </w:tcPr>
          <w:p>
            <w:r>
              <w:rPr>
                <w:sz w:val="17"/>
              </w:rPr>
              <w:t>44</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2026-09-22</w:t>
            </w:r>
          </w:p>
        </w:tc>
        <w:tc>
          <w:tcPr>
            <w:tcW w:type="dxa" w:w="1440"/>
            <w:shd w:fill="FFDCE0" w:val="clear"/>
          </w:tcPr>
          <w:p>
            <w:r>
              <w:rPr>
                <w:sz w:val="17"/>
              </w:rPr>
              <w:t>28</w:t>
            </w:r>
          </w:p>
        </w:tc>
        <w:tc>
          <w:tcPr>
            <w:tcW w:type="dxa" w:w="1440"/>
            <w:shd w:fill="FFDCE0" w:val="clear"/>
          </w:tcPr>
          <w:p>
            <w:r>
              <w:rPr>
                <w:b/>
                <w:sz w:val="17"/>
              </w:rPr>
              <w:t>35</w:t>
            </w:r>
          </w:p>
        </w:tc>
        <w:tc>
          <w:tcPr>
            <w:tcW w:type="dxa" w:w="1440"/>
            <w:shd w:fill="FFDCE0" w:val="clear"/>
          </w:tcPr>
          <w:p>
            <w:r>
              <w:rPr>
                <w:sz w:val="17"/>
              </w:rPr>
              <w:t>41</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2026-09-23</w:t>
            </w:r>
          </w:p>
        </w:tc>
        <w:tc>
          <w:tcPr>
            <w:tcW w:type="dxa" w:w="1440"/>
            <w:shd w:fill="FFDCE0" w:val="clear"/>
          </w:tcPr>
          <w:p>
            <w:r>
              <w:rPr>
                <w:sz w:val="17"/>
              </w:rPr>
              <w:t>26</w:t>
            </w:r>
          </w:p>
        </w:tc>
        <w:tc>
          <w:tcPr>
            <w:tcW w:type="dxa" w:w="1440"/>
            <w:shd w:fill="FFDCE0" w:val="clear"/>
          </w:tcPr>
          <w:p>
            <w:r>
              <w:rPr>
                <w:b/>
                <w:sz w:val="17"/>
              </w:rPr>
              <w:t>32</w:t>
            </w:r>
          </w:p>
        </w:tc>
        <w:tc>
          <w:tcPr>
            <w:tcW w:type="dxa" w:w="1440"/>
            <w:shd w:fill="FFDCE0" w:val="clear"/>
          </w:tcPr>
          <w:p>
            <w:r>
              <w:rPr>
                <w:sz w:val="17"/>
              </w:rPr>
              <w:t>38</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1 265,89 milliards FCFA, ETIT s'impose comme l'une des plus importantes capitalisations de la BRVM, reflétant son statut de banque panafricaine de référence présente dans 35 pays. Le BPA de 19 FCFA/action indique que chaque titre génère près de 19 FCFA de bénéfice net, ce qui, rapporté au cours actuel de 70 FCFA, donne un PER de seulement 3,7x — très nettement inférieur à la moyenne du marché BRVM (8-12x), signalant une sous-évaluation potentielle marquée. Le ratio P/B de 0,79x (&lt; 1) signifie que le marché valorise l'action en dessous de sa valeur comptable, une situation classique d'opportunité pour les investisseurs value, bien qu'elle puisse aussi traduire une défiance persistante du marché. Enfin, l'EV/EBITDA de 5,1x se situe dans la fourchette raisonnable de 5-10x, confirmant que la valeur totale de l'entreprise reste cohérente avec sa capacité opérationnelle. L'ensemble de ces ratios dessine un profil de valorisation attractif, typique d'un titre sous-coté sur un marché frontière.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ETIT a enregistré une performance spectaculaire de +133,33%, passant d'un plus bas de 26 FCFA à un plus haut de 78 FCFA, pour un cours actuel de 70 FCFA ; la dernière séance (J-1) est restée stable à +0,00%, marquant une pause dans l'élan haussier. Le range de trading particulièrement large (52 FCFA d'amplitude) témoigne d'une tendance générale nettement haussière, soutenue par un volume moyen quotidien élevé de 1 501 174 titres, signe d'un intérêt marqué des investisseurs. Les statistiques descriptives révèlent un écart notable entre la moyenne (48 FCFA) et la médiane (39 FCFA), indiquant une distribution asymétrique tirée vers le haut par les récents pics, tandis que le mode à 30 FCFA rappelle le niveau de consolidation antérieur. L'écart-type de 18 FCFA avec un coefficient de variation de 37,7% traduit une dispersion élevée du cours, confirmant une forte amplitude de mouvement. Le kurtosis négatif (-1,792, distribution platykurtique) indique une distribution aplatie avec une faible concentration autour de la moyenne et un risque de pics moins extrême qu'une loi normale, tandis que le skewness quasi nul (0,178) confirme une distribution globalement symétrique. Enfin, la volatilité annualisée de 64,2% classe ce titre dans la catégorie des valeurs à volatilité élevée (&gt;30%), ce qui implique un potentiel de gain important mais aussi un risque de correction significatif.</w:t>
      </w:r>
    </w:p>
    <w:p>
      <w:pPr>
        <w:spacing w:after="120" w:line="276" w:lineRule="auto"/>
      </w:pPr>
      <w:r>
        <w:t>---</w:t>
      </w:r>
    </w:p>
    <w:p>
      <w:pPr>
        <w:spacing w:after="120" w:line="276" w:lineRule="auto"/>
      </w:pPr>
      <w:r>
        <w:t>### **PARTIE 2 : ANALYSE TECHNIQUE DÉTAILLÉE**</w:t>
      </w:r>
    </w:p>
    <w:p>
      <w:pPr>
        <w:spacing w:after="120" w:line="276" w:lineRule="auto"/>
      </w:pPr>
      <w:r>
        <w:t>**Moyennes Mobiles** : La MM20 (67,45 FCFA) et la MM50 (65,08 FCFA) se situent toutes deux sous le cours actuel de 70 FCFA, avec la MM20 au-dessus de la MM50 — configuration haussière classique (golden cross). Le cours évoluant au-dessus de ses deux moyennes, la dynamique de court et moyen terme reste positive, justifiant la décision d'**Achat**.</w:t>
      </w:r>
    </w:p>
    <w:p>
      <w:pPr>
        <w:spacing w:after="120" w:line="276" w:lineRule="auto"/>
      </w:pPr>
      <w:r>
        <w:t>**Bandes de Bollinger** : Le cours (70 FCFA) se situe dans la partie haute de la bande, proche de la borne supérieure (71,369 FCFA) et nettement au-dessus de la borne inférieure (63,531 FCFA). Cette position suggère une pression acheteuse soutenue mais approchant une zone de résistance, d'où la décision **Neutre** — le titre n'est ni en surachat extrême ni en zone d'achat idéale.</w:t>
      </w:r>
    </w:p>
    <w:p>
      <w:pPr>
        <w:spacing w:after="120" w:line="276" w:lineRule="auto"/>
      </w:pPr>
      <w:r>
        <w:t>**MACD** : Le MACD (1,671) est légèrement supérieur à son signal (1,601), confirmant un momentum haussier modéré mais positif. La divergence positive entre les deux lignes indique que la dynamique acheteuse se maintient, bien qu'elle tende à s'essouffler, justifiant la décision d'**Achat**.</w:t>
      </w:r>
    </w:p>
    <w:p>
      <w:pPr>
        <w:spacing w:after="120" w:line="276" w:lineRule="auto"/>
      </w:pPr>
      <w:r>
        <w:t>**RSI** : À 55,0, le RSI se situe en zone neutre (30-70), sans signal de surachat (&gt;70) ni de survente (&lt;30). Cette position médiane indique un équilibre entre acheteurs et vendeurs, avec une légère prédominance haussière, justifiant la décision **Neutre**.</w:t>
      </w:r>
    </w:p>
    <w:p>
      <w:pPr>
        <w:spacing w:after="120" w:line="276" w:lineRule="auto"/>
      </w:pPr>
      <w:r>
        <w:t>**Stochastique** : Le %K (83,333) et le %D (88,889) sont tous deux en zone de surachat (&gt;80), avec le %K sous le %D — configuration baissière signalant un possible retournement à court terme. Cette divergence justifie la décision de **Vente** à court terme, bien que le signal soit à nuancer dans un contexte de tendance haussière forte.</w:t>
      </w:r>
    </w:p>
    <w:p>
      <w:pPr>
        <w:spacing w:after="120" w:line="276" w:lineRule="auto"/>
      </w:pPr>
      <w:r>
        <w:t>**Conclusion technique** : Les indicateurs présentent une configuration globalement haussière mais avec des signaux de fatigue à court terme. Les moyennes mobiles et le MACD confirment la tendance positive, tandis que le RSI neutre et le stochastique en surachat suggèrent une possible consolidation ou correction imminente. La convergence des signaux penche pour un maintien de la position acheteuse à moyen terme, avec une vigilance accrue sur les niveaux de résistance autour de 71-78 FCFA.</w:t>
      </w:r>
    </w:p>
    <w:p>
      <w:pPr>
        <w:spacing w:after="120" w:line="276" w:lineRule="auto"/>
      </w:pPr>
      <w:r>
        <w:t>---</w:t>
      </w:r>
    </w:p>
    <w:p>
      <w:pPr>
        <w:spacing w:after="120" w:line="276" w:lineRule="auto"/>
      </w:pPr>
      <w:r>
        <w:t>### **PARTIE 3 : ANALYSE FONDAMENTALE**</w:t>
      </w:r>
    </w:p>
    <w:p>
      <w:pPr>
        <w:spacing w:after="120" w:line="276" w:lineRule="auto"/>
      </w:pPr>
      <w:r>
        <w:t>Les données structurées de l'exercice 2025 pour ETIT (secteur bancaire) révèlent un Produit Net Bancaire (PNB, équivalent du chiffre d'affaires) de 1 424,261 milliards FCFA, un résultat net de 345,523 milliards FCFA et un ROE exceptionnel de 21,62% (&gt;15% = excellent), pour un ROA de 1,80%. Le coefficient d'exploitation s'établit à 27,35%, très en dessous du seuil de 60% — signe d'une efficacité opérationnelle remarquable — tandis que le coût du risque (provisions/charges financières) ressort à 18,97%, un niveau élevé traduisant un risque de crédit significatif. La structure financière montre une autonomie financière faible (8,30%) et un ratio d'endettement de 154,06%, typique du modèle bancaire où les dépôts clientèle (14 120,139 milliards FCFA) financent largement les créances clientèle (6 570,385 milliards FCFA), avec un ratio de transformation sain. Les rapports narratifs récents confirment cette dynamique : le rapport semestriel 2026 (arrêté au 30 juin 2026, analysé le 30 juillet 2026) fait état d'un PNB de 1 281 330 milliers $EU (721 318 millions FCFA) en hausse de +15% sur un an, d'un résultat net de 296 091 milliers $EU (+6%) et d'un coefficient d'exploitation amélioré à 48,4%. Le rapport T1 2026 (publié en 2026) souligne une croissance du PNB de +23% à 636,2 millions $EU et un résultat net de 142,5 millions $EU (+16%), mais alerte sur une hausse du coût du risque de +73%. Sur la base de ces rapports trimestriels, on estime que l'exercice 2026 devrait afficher une croissance du PNB de l'ordre de 15-18% et un résultat net en progression modérée de 5-8%, la hausse des provisions tempérant la rentabilité. La recommandation fondamentale est donc **CONSERVER** : la solidité du bilan, la rentabilité élevée et la sous-évaluation du titre sont contrebalancées par la montée du risque de crédit et la stagnation relative du BPA (+2% au S1 2026).</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mais globalement attractif. La **valorisation** (Partie 0) est clairement favorable avec un PER de 3,7x et un P/B de 0,79x, indiquant une sous-évaluation manifeste par rapport aux moyennes du marché BRVM. Le **comportement du cours** (Partie 1) affiche une tendance haussière spectaculaire (+133,33%) mais avec une volatilité élevée (64,2%) et une distribution platykurtique, ce qui implique un potentiel de gain important mais aussi un risque de correction brutale. Les **signaux techniques** (Partie 2) sont mitigés : les moyennes mobiles et le MACD sont haussiers, mais le stochastique en surachat et le RSI neutre suggèrent une pause imminente, créant une divergence à court terme. Les **fondamentaux** (Partie 3) demeurent solides — ROE de 21,62%, coefficient d'exploitation de 27,35%, PNB en croissance de +15% au S1 2026 — mais le coût du risque en hausse (+40% au S1 2026, +73% au T1 2026) constitue un signal d'alerte majeur. Les **prédictions IA** (J+1 à J+10) anticipent une trajectoire baissière marquée, passant de 65 FCFA à 47 FCFA en 5 séances, ce qui contredit les signaux techniques haussiers et suggère une correction à court terme. Compte tenu de cette divergence entre une valorisation attractive et des fondamentaux solides d'une part, et des signaux techniques de fatigue et des prédictions baissières d'autre part, la recommandation finale est **CONSERVER** avec un biais positif à moyen terme. Le niveau de confiance est **Moyen** (les données fondamentales sont solides mais les risques de crédit et la volatilité introduisent une incertitude), et le niveau de risque global est **Élevé** (volatilité de 64,2%, coût du risque en hausse, environnement macroéconomique incertain). L'horizon d'investissement optimal est le **moyen terme (3-12 mois)**, le temps que la correction anticipée se matérialise et que les fondamentaux confirment la maîtrise du coût du risque, offrant ainsi un point d'entrée plus favorable pour les investisseurs patients.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29.62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3,994 titres</w:t>
            </w:r>
          </w:p>
        </w:tc>
        <w:tc>
          <w:tcPr>
            <w:tcW w:type="dxa" w:w="2268"/>
            <w:shd w:fill="FFF2CC" w:val="clear"/>
          </w:tcPr>
          <w:p>
            <w:r>
              <w:rPr>
                <w:b/>
                <w:color w:val="503200"/>
                <w:sz w:val="16"/>
              </w:rPr>
              <w:t xml:space="preserve">Cours actuel : </w:t>
            </w:r>
            <w:r>
              <w:rPr>
                <w:color w:val="000000"/>
                <w:sz w:val="17"/>
              </w:rPr>
              <w:t>2,100 FCFA</w:t>
            </w:r>
          </w:p>
          <w:p>
            <w:r>
              <w:rPr>
                <w:b/>
                <w:color w:val="503200"/>
                <w:sz w:val="16"/>
              </w:rPr>
              <w:t xml:space="preserve">Var. 100 jours : </w:t>
            </w:r>
            <w:r>
              <w:rPr>
                <w:b/>
                <w:color w:val="B40000"/>
                <w:sz w:val="17"/>
              </w:rPr>
              <w:t>-7.08%</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35.0%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5.96% (Moyenne) — μ=2,139 FCFA, σ=127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β=0.5729 (Défensif) — Cov=0.000021, Var(idx)=0.000036, ρ=0.156,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3,994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σ_j=2.20%/j (Stable) — Vol. annualisée≈35.0%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2026-09-10</w:t>
            </w:r>
          </w:p>
        </w:tc>
        <w:tc>
          <w:tcPr>
            <w:tcW w:type="dxa" w:w="1440"/>
            <w:shd w:fill="FAFAFA" w:val="clear"/>
          </w:tcPr>
          <w:p>
            <w:r>
              <w:rPr>
                <w:sz w:val="17"/>
              </w:rPr>
              <w:t>2,037</w:t>
            </w:r>
          </w:p>
        </w:tc>
        <w:tc>
          <w:tcPr>
            <w:tcW w:type="dxa" w:w="1440"/>
            <w:shd w:fill="FAFAFA" w:val="clear"/>
          </w:tcPr>
          <w:p>
            <w:r>
              <w:rPr>
                <w:b/>
                <w:sz w:val="17"/>
              </w:rPr>
              <w:t>2,111</w:t>
            </w:r>
          </w:p>
        </w:tc>
        <w:tc>
          <w:tcPr>
            <w:tcW w:type="dxa" w:w="1440"/>
            <w:shd w:fill="FAFAFA" w:val="clear"/>
          </w:tcPr>
          <w:p>
            <w:r>
              <w:rPr>
                <w:sz w:val="17"/>
              </w:rPr>
              <w:t>2,185</w:t>
            </w:r>
          </w:p>
        </w:tc>
        <w:tc>
          <w:tcPr>
            <w:tcW w:type="dxa" w:w="1440"/>
            <w:shd w:fill="FAFAFA" w:val="clear"/>
          </w:tcPr>
          <w:p>
            <w:r>
              <w:rPr>
                <w:b/>
                <w:color w:val="008000"/>
                <w:sz w:val="17"/>
              </w:rPr>
              <w:t>+0.5%</w:t>
            </w:r>
          </w:p>
        </w:tc>
      </w:tr>
      <w:tr>
        <w:tc>
          <w:tcPr>
            <w:tcW w:type="dxa" w:w="1440"/>
            <w:shd w:fill="FAFAFA" w:val="clear"/>
          </w:tcPr>
          <w:p>
            <w:r>
              <w:rPr>
                <w:sz w:val="17"/>
              </w:rPr>
              <w:t>J+2  Moyenne</w:t>
            </w:r>
          </w:p>
        </w:tc>
        <w:tc>
          <w:tcPr>
            <w:tcW w:type="dxa" w:w="1440"/>
            <w:shd w:fill="FAFAFA" w:val="clear"/>
          </w:tcPr>
          <w:p>
            <w:r>
              <w:rPr>
                <w:sz w:val="17"/>
              </w:rPr>
              <w:t>2026-09-11</w:t>
            </w:r>
          </w:p>
        </w:tc>
        <w:tc>
          <w:tcPr>
            <w:tcW w:type="dxa" w:w="1440"/>
            <w:shd w:fill="FAFAFA" w:val="clear"/>
          </w:tcPr>
          <w:p>
            <w:r>
              <w:rPr>
                <w:sz w:val="17"/>
              </w:rPr>
              <w:t>2,016</w:t>
            </w:r>
          </w:p>
        </w:tc>
        <w:tc>
          <w:tcPr>
            <w:tcW w:type="dxa" w:w="1440"/>
            <w:shd w:fill="FAFAFA" w:val="clear"/>
          </w:tcPr>
          <w:p>
            <w:r>
              <w:rPr>
                <w:b/>
                <w:sz w:val="17"/>
              </w:rPr>
              <w:t>2,121</w:t>
            </w:r>
          </w:p>
        </w:tc>
        <w:tc>
          <w:tcPr>
            <w:tcW w:type="dxa" w:w="1440"/>
            <w:shd w:fill="FAFAFA" w:val="clear"/>
          </w:tcPr>
          <w:p>
            <w:r>
              <w:rPr>
                <w:sz w:val="17"/>
              </w:rPr>
              <w:t>2,226</w:t>
            </w:r>
          </w:p>
        </w:tc>
        <w:tc>
          <w:tcPr>
            <w:tcW w:type="dxa" w:w="1440"/>
            <w:shd w:fill="FAFAFA" w:val="clear"/>
          </w:tcPr>
          <w:p>
            <w:r>
              <w:rPr>
                <w:b/>
                <w:color w:val="008000"/>
                <w:sz w:val="17"/>
              </w:rPr>
              <w:t>+1.0%</w:t>
            </w:r>
          </w:p>
        </w:tc>
      </w:tr>
      <w:tr>
        <w:tc>
          <w:tcPr>
            <w:tcW w:type="dxa" w:w="1440"/>
            <w:shd w:fill="FAFAFA" w:val="clear"/>
          </w:tcPr>
          <w:p>
            <w:r>
              <w:rPr>
                <w:sz w:val="17"/>
              </w:rPr>
              <w:t>J+3  Moyenne</w:t>
            </w:r>
          </w:p>
        </w:tc>
        <w:tc>
          <w:tcPr>
            <w:tcW w:type="dxa" w:w="1440"/>
            <w:shd w:fill="FAFAFA" w:val="clear"/>
          </w:tcPr>
          <w:p>
            <w:r>
              <w:rPr>
                <w:sz w:val="17"/>
              </w:rPr>
              <w:t>2026-09-14</w:t>
            </w:r>
          </w:p>
        </w:tc>
        <w:tc>
          <w:tcPr>
            <w:tcW w:type="dxa" w:w="1440"/>
            <w:shd w:fill="FAFAFA" w:val="clear"/>
          </w:tcPr>
          <w:p>
            <w:r>
              <w:rPr>
                <w:sz w:val="17"/>
              </w:rPr>
              <w:t>2,003</w:t>
            </w:r>
          </w:p>
        </w:tc>
        <w:tc>
          <w:tcPr>
            <w:tcW w:type="dxa" w:w="1440"/>
            <w:shd w:fill="FAFAFA" w:val="clear"/>
          </w:tcPr>
          <w:p>
            <w:r>
              <w:rPr>
                <w:b/>
                <w:sz w:val="17"/>
              </w:rPr>
              <w:t>2,132</w:t>
            </w:r>
          </w:p>
        </w:tc>
        <w:tc>
          <w:tcPr>
            <w:tcW w:type="dxa" w:w="1440"/>
            <w:shd w:fill="FAFAFA" w:val="clear"/>
          </w:tcPr>
          <w:p>
            <w:r>
              <w:rPr>
                <w:sz w:val="17"/>
              </w:rPr>
              <w:t>2,261</w:t>
            </w:r>
          </w:p>
        </w:tc>
        <w:tc>
          <w:tcPr>
            <w:tcW w:type="dxa" w:w="1440"/>
            <w:shd w:fill="FAFAFA" w:val="clear"/>
          </w:tcPr>
          <w:p>
            <w:r>
              <w:rPr>
                <w:b/>
                <w:color w:val="008000"/>
                <w:sz w:val="17"/>
              </w:rPr>
              <w:t>+1.5%</w:t>
            </w:r>
          </w:p>
        </w:tc>
      </w:tr>
      <w:tr>
        <w:tc>
          <w:tcPr>
            <w:tcW w:type="dxa" w:w="1440"/>
            <w:shd w:fill="FAFAFA" w:val="clear"/>
          </w:tcPr>
          <w:p>
            <w:r>
              <w:rPr>
                <w:sz w:val="17"/>
              </w:rPr>
              <w:t>J+4  ⭐</w:t>
            </w:r>
          </w:p>
        </w:tc>
        <w:tc>
          <w:tcPr>
            <w:tcW w:type="dxa" w:w="1440"/>
            <w:shd w:fill="FAFAFA" w:val="clear"/>
          </w:tcPr>
          <w:p>
            <w:r>
              <w:rPr>
                <w:sz w:val="17"/>
              </w:rPr>
              <w:t>2026-09-15</w:t>
            </w:r>
          </w:p>
        </w:tc>
        <w:tc>
          <w:tcPr>
            <w:tcW w:type="dxa" w:w="1440"/>
            <w:shd w:fill="FAFAFA" w:val="clear"/>
          </w:tcPr>
          <w:p>
            <w:r>
              <w:rPr>
                <w:sz w:val="17"/>
              </w:rPr>
              <w:t>1,992</w:t>
            </w:r>
          </w:p>
        </w:tc>
        <w:tc>
          <w:tcPr>
            <w:tcW w:type="dxa" w:w="1440"/>
            <w:shd w:fill="FAFAFA" w:val="clear"/>
          </w:tcPr>
          <w:p>
            <w:r>
              <w:rPr>
                <w:b/>
                <w:sz w:val="17"/>
              </w:rPr>
              <w:t>2,142</w:t>
            </w:r>
          </w:p>
        </w:tc>
        <w:tc>
          <w:tcPr>
            <w:tcW w:type="dxa" w:w="1440"/>
            <w:shd w:fill="FAFAFA" w:val="clear"/>
          </w:tcPr>
          <w:p>
            <w:r>
              <w:rPr>
                <w:sz w:val="17"/>
              </w:rPr>
              <w:t>2,292</w:t>
            </w:r>
          </w:p>
        </w:tc>
        <w:tc>
          <w:tcPr>
            <w:tcW w:type="dxa" w:w="1440"/>
            <w:shd w:fill="FAFAFA" w:val="clear"/>
          </w:tcPr>
          <w:p>
            <w:r>
              <w:rPr>
                <w:b/>
                <w:color w:val="008000"/>
                <w:sz w:val="17"/>
              </w:rPr>
              <w:t>+2.0%</w:t>
            </w:r>
          </w:p>
        </w:tc>
      </w:tr>
      <w:tr>
        <w:tc>
          <w:tcPr>
            <w:tcW w:type="dxa" w:w="1440"/>
            <w:shd w:fill="C6EFCE" w:val="clear"/>
          </w:tcPr>
          <w:p>
            <w:r>
              <w:rPr>
                <w:sz w:val="17"/>
              </w:rPr>
              <w:t>J+5  ⭐</w:t>
            </w:r>
          </w:p>
        </w:tc>
        <w:tc>
          <w:tcPr>
            <w:tcW w:type="dxa" w:w="1440"/>
            <w:shd w:fill="C6EFCE" w:val="clear"/>
          </w:tcPr>
          <w:p>
            <w:r>
              <w:rPr>
                <w:sz w:val="17"/>
              </w:rPr>
              <w:t>2026-09-16</w:t>
            </w:r>
          </w:p>
        </w:tc>
        <w:tc>
          <w:tcPr>
            <w:tcW w:type="dxa" w:w="1440"/>
            <w:shd w:fill="C6EFCE" w:val="clear"/>
          </w:tcPr>
          <w:p>
            <w:r>
              <w:rPr>
                <w:sz w:val="17"/>
              </w:rPr>
              <w:t>1,983</w:t>
            </w:r>
          </w:p>
        </w:tc>
        <w:tc>
          <w:tcPr>
            <w:tcW w:type="dxa" w:w="1440"/>
            <w:shd w:fill="C6EFCE" w:val="clear"/>
          </w:tcPr>
          <w:p>
            <w:r>
              <w:rPr>
                <w:b/>
                <w:sz w:val="17"/>
              </w:rPr>
              <w:t>2,151</w:t>
            </w:r>
          </w:p>
        </w:tc>
        <w:tc>
          <w:tcPr>
            <w:tcW w:type="dxa" w:w="1440"/>
            <w:shd w:fill="C6EFCE" w:val="clear"/>
          </w:tcPr>
          <w:p>
            <w:r>
              <w:rPr>
                <w:sz w:val="17"/>
              </w:rPr>
              <w:t>2,320</w:t>
            </w:r>
          </w:p>
        </w:tc>
        <w:tc>
          <w:tcPr>
            <w:tcW w:type="dxa" w:w="1440"/>
            <w:shd w:fill="C6EFCE" w:val="clear"/>
          </w:tcPr>
          <w:p>
            <w:r>
              <w:rPr>
                <w:b/>
                <w:color w:val="008000"/>
                <w:sz w:val="17"/>
              </w:rPr>
              <w:t>+2.4%</w:t>
            </w:r>
          </w:p>
        </w:tc>
      </w:tr>
      <w:tr>
        <w:tc>
          <w:tcPr>
            <w:tcW w:type="dxa" w:w="1440"/>
            <w:shd w:fill="C6EFCE" w:val="clear"/>
          </w:tcPr>
          <w:p>
            <w:r>
              <w:rPr>
                <w:sz w:val="17"/>
              </w:rPr>
              <w:t>J+6  ⭐</w:t>
            </w:r>
          </w:p>
        </w:tc>
        <w:tc>
          <w:tcPr>
            <w:tcW w:type="dxa" w:w="1440"/>
            <w:shd w:fill="C6EFCE" w:val="clear"/>
          </w:tcPr>
          <w:p>
            <w:r>
              <w:rPr>
                <w:sz w:val="17"/>
              </w:rPr>
              <w:t>2026-09-17</w:t>
            </w:r>
          </w:p>
        </w:tc>
        <w:tc>
          <w:tcPr>
            <w:tcW w:type="dxa" w:w="1440"/>
            <w:shd w:fill="C6EFCE" w:val="clear"/>
          </w:tcPr>
          <w:p>
            <w:r>
              <w:rPr>
                <w:sz w:val="17"/>
              </w:rPr>
              <w:t>1,975</w:t>
            </w:r>
          </w:p>
        </w:tc>
        <w:tc>
          <w:tcPr>
            <w:tcW w:type="dxa" w:w="1440"/>
            <w:shd w:fill="C6EFCE" w:val="clear"/>
          </w:tcPr>
          <w:p>
            <w:r>
              <w:rPr>
                <w:b/>
                <w:sz w:val="17"/>
              </w:rPr>
              <w:t>2,161</w:t>
            </w:r>
          </w:p>
        </w:tc>
        <w:tc>
          <w:tcPr>
            <w:tcW w:type="dxa" w:w="1440"/>
            <w:shd w:fill="C6EFCE" w:val="clear"/>
          </w:tcPr>
          <w:p>
            <w:r>
              <w:rPr>
                <w:sz w:val="17"/>
              </w:rPr>
              <w:t>2,346</w:t>
            </w:r>
          </w:p>
        </w:tc>
        <w:tc>
          <w:tcPr>
            <w:tcW w:type="dxa" w:w="1440"/>
            <w:shd w:fill="C6EFCE" w:val="clear"/>
          </w:tcPr>
          <w:p>
            <w:r>
              <w:rPr>
                <w:b/>
                <w:color w:val="008000"/>
                <w:sz w:val="17"/>
              </w:rPr>
              <w:t>+2.9%</w:t>
            </w:r>
          </w:p>
        </w:tc>
      </w:tr>
      <w:tr>
        <w:tc>
          <w:tcPr>
            <w:tcW w:type="dxa" w:w="1440"/>
            <w:shd w:fill="C6EFCE" w:val="clear"/>
          </w:tcPr>
          <w:p>
            <w:r>
              <w:rPr>
                <w:sz w:val="17"/>
              </w:rPr>
              <w:t>J+7  ⭐</w:t>
            </w:r>
          </w:p>
        </w:tc>
        <w:tc>
          <w:tcPr>
            <w:tcW w:type="dxa" w:w="1440"/>
            <w:shd w:fill="C6EFCE" w:val="clear"/>
          </w:tcPr>
          <w:p>
            <w:r>
              <w:rPr>
                <w:sz w:val="17"/>
              </w:rPr>
              <w:t>2026-09-18</w:t>
            </w:r>
          </w:p>
        </w:tc>
        <w:tc>
          <w:tcPr>
            <w:tcW w:type="dxa" w:w="1440"/>
            <w:shd w:fill="C6EFCE" w:val="clear"/>
          </w:tcPr>
          <w:p>
            <w:r>
              <w:rPr>
                <w:sz w:val="17"/>
              </w:rPr>
              <w:t>1,969</w:t>
            </w:r>
          </w:p>
        </w:tc>
        <w:tc>
          <w:tcPr>
            <w:tcW w:type="dxa" w:w="1440"/>
            <w:shd w:fill="C6EFCE" w:val="clear"/>
          </w:tcPr>
          <w:p>
            <w:r>
              <w:rPr>
                <w:b/>
                <w:sz w:val="17"/>
              </w:rPr>
              <w:t>2,170</w:t>
            </w:r>
          </w:p>
        </w:tc>
        <w:tc>
          <w:tcPr>
            <w:tcW w:type="dxa" w:w="1440"/>
            <w:shd w:fill="C6EFCE" w:val="clear"/>
          </w:tcPr>
          <w:p>
            <w:r>
              <w:rPr>
                <w:sz w:val="17"/>
              </w:rPr>
              <w:t>2,371</w:t>
            </w:r>
          </w:p>
        </w:tc>
        <w:tc>
          <w:tcPr>
            <w:tcW w:type="dxa" w:w="1440"/>
            <w:shd w:fill="C6EFCE" w:val="clear"/>
          </w:tcPr>
          <w:p>
            <w:r>
              <w:rPr>
                <w:b/>
                <w:color w:val="008000"/>
                <w:sz w:val="17"/>
              </w:rPr>
              <w:t>+3.3%</w:t>
            </w:r>
          </w:p>
        </w:tc>
      </w:tr>
      <w:tr>
        <w:tc>
          <w:tcPr>
            <w:tcW w:type="dxa" w:w="1440"/>
            <w:shd w:fill="C6EFCE" w:val="clear"/>
          </w:tcPr>
          <w:p>
            <w:r>
              <w:rPr>
                <w:sz w:val="17"/>
              </w:rPr>
              <w:t>J+8  ⭐</w:t>
            </w:r>
          </w:p>
        </w:tc>
        <w:tc>
          <w:tcPr>
            <w:tcW w:type="dxa" w:w="1440"/>
            <w:shd w:fill="C6EFCE" w:val="clear"/>
          </w:tcPr>
          <w:p>
            <w:r>
              <w:rPr>
                <w:sz w:val="17"/>
              </w:rPr>
              <w:t>2026-09-21</w:t>
            </w:r>
          </w:p>
        </w:tc>
        <w:tc>
          <w:tcPr>
            <w:tcW w:type="dxa" w:w="1440"/>
            <w:shd w:fill="C6EFCE" w:val="clear"/>
          </w:tcPr>
          <w:p>
            <w:r>
              <w:rPr>
                <w:sz w:val="17"/>
              </w:rPr>
              <w:t>1,964</w:t>
            </w:r>
          </w:p>
        </w:tc>
        <w:tc>
          <w:tcPr>
            <w:tcW w:type="dxa" w:w="1440"/>
            <w:shd w:fill="C6EFCE" w:val="clear"/>
          </w:tcPr>
          <w:p>
            <w:r>
              <w:rPr>
                <w:b/>
                <w:sz w:val="17"/>
              </w:rPr>
              <w:t>2,179</w:t>
            </w:r>
          </w:p>
        </w:tc>
        <w:tc>
          <w:tcPr>
            <w:tcW w:type="dxa" w:w="1440"/>
            <w:shd w:fill="C6EFCE" w:val="clear"/>
          </w:tcPr>
          <w:p>
            <w:r>
              <w:rPr>
                <w:sz w:val="17"/>
              </w:rPr>
              <w:t>2,395</w:t>
            </w:r>
          </w:p>
        </w:tc>
        <w:tc>
          <w:tcPr>
            <w:tcW w:type="dxa" w:w="1440"/>
            <w:shd w:fill="C6EFCE" w:val="clear"/>
          </w:tcPr>
          <w:p>
            <w:r>
              <w:rPr>
                <w:b/>
                <w:color w:val="008000"/>
                <w:sz w:val="17"/>
              </w:rPr>
              <w:t>+3.8%</w:t>
            </w:r>
          </w:p>
        </w:tc>
      </w:tr>
      <w:tr>
        <w:tc>
          <w:tcPr>
            <w:tcW w:type="dxa" w:w="1440"/>
            <w:shd w:fill="C6EFCE" w:val="clear"/>
          </w:tcPr>
          <w:p>
            <w:r>
              <w:rPr>
                <w:sz w:val="17"/>
              </w:rPr>
              <w:t>J+9  ⭐</w:t>
            </w:r>
          </w:p>
        </w:tc>
        <w:tc>
          <w:tcPr>
            <w:tcW w:type="dxa" w:w="1440"/>
            <w:shd w:fill="C6EFCE" w:val="clear"/>
          </w:tcPr>
          <w:p>
            <w:r>
              <w:rPr>
                <w:sz w:val="17"/>
              </w:rPr>
              <w:t>2026-09-22</w:t>
            </w:r>
          </w:p>
        </w:tc>
        <w:tc>
          <w:tcPr>
            <w:tcW w:type="dxa" w:w="1440"/>
            <w:shd w:fill="C6EFCE" w:val="clear"/>
          </w:tcPr>
          <w:p>
            <w:r>
              <w:rPr>
                <w:sz w:val="17"/>
              </w:rPr>
              <w:t>1,959</w:t>
            </w:r>
          </w:p>
        </w:tc>
        <w:tc>
          <w:tcPr>
            <w:tcW w:type="dxa" w:w="1440"/>
            <w:shd w:fill="C6EFCE" w:val="clear"/>
          </w:tcPr>
          <w:p>
            <w:r>
              <w:rPr>
                <w:b/>
                <w:sz w:val="17"/>
              </w:rPr>
              <w:t>2,189</w:t>
            </w:r>
          </w:p>
        </w:tc>
        <w:tc>
          <w:tcPr>
            <w:tcW w:type="dxa" w:w="1440"/>
            <w:shd w:fill="C6EFCE" w:val="clear"/>
          </w:tcPr>
          <w:p>
            <w:r>
              <w:rPr>
                <w:sz w:val="17"/>
              </w:rPr>
              <w:t>2,419</w:t>
            </w:r>
          </w:p>
        </w:tc>
        <w:tc>
          <w:tcPr>
            <w:tcW w:type="dxa" w:w="1440"/>
            <w:shd w:fill="C6EFCE" w:val="clear"/>
          </w:tcPr>
          <w:p>
            <w:r>
              <w:rPr>
                <w:b/>
                <w:color w:val="008000"/>
                <w:sz w:val="17"/>
              </w:rPr>
              <w:t>+4.2%</w:t>
            </w:r>
          </w:p>
        </w:tc>
      </w:tr>
      <w:tr>
        <w:tc>
          <w:tcPr>
            <w:tcW w:type="dxa" w:w="1440"/>
            <w:shd w:fill="C6EFCE" w:val="clear"/>
          </w:tcPr>
          <w:p>
            <w:r>
              <w:rPr>
                <w:sz w:val="17"/>
              </w:rPr>
              <w:t>J+10  ⭐</w:t>
            </w:r>
          </w:p>
        </w:tc>
        <w:tc>
          <w:tcPr>
            <w:tcW w:type="dxa" w:w="1440"/>
            <w:shd w:fill="C6EFCE" w:val="clear"/>
          </w:tcPr>
          <w:p>
            <w:r>
              <w:rPr>
                <w:sz w:val="17"/>
              </w:rPr>
              <w:t>2026-09-23</w:t>
            </w:r>
          </w:p>
        </w:tc>
        <w:tc>
          <w:tcPr>
            <w:tcW w:type="dxa" w:w="1440"/>
            <w:shd w:fill="C6EFCE" w:val="clear"/>
          </w:tcPr>
          <w:p>
            <w:r>
              <w:rPr>
                <w:sz w:val="17"/>
              </w:rPr>
              <w:t>1,955</w:t>
            </w:r>
          </w:p>
        </w:tc>
        <w:tc>
          <w:tcPr>
            <w:tcW w:type="dxa" w:w="1440"/>
            <w:shd w:fill="C6EFCE" w:val="clear"/>
          </w:tcPr>
          <w:p>
            <w:r>
              <w:rPr>
                <w:b/>
                <w:sz w:val="17"/>
              </w:rPr>
              <w:t>2,198</w:t>
            </w:r>
          </w:p>
        </w:tc>
        <w:tc>
          <w:tcPr>
            <w:tcW w:type="dxa" w:w="1440"/>
            <w:shd w:fill="C6EFCE" w:val="clear"/>
          </w:tcPr>
          <w:p>
            <w:r>
              <w:rPr>
                <w:sz w:val="17"/>
              </w:rPr>
              <w:t>2,441</w:t>
            </w:r>
          </w:p>
        </w:tc>
        <w:tc>
          <w:tcPr>
            <w:tcW w:type="dxa" w:w="1440"/>
            <w:shd w:fill="C6EFCE" w:val="clear"/>
          </w:tcPr>
          <w:p>
            <w:r>
              <w:rPr>
                <w:b/>
                <w:color w:val="008000"/>
                <w:sz w:val="17"/>
              </w:rPr>
              <w:t>+4.7%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 RAPPORT D'ANALYSE FINANCIÈRE — FILTISAC CI (FTSC)</w:t>
        <w:br/>
        <w:t>**Bourse Régionale des Valeurs Mobilières (BRVM) — Secteur : Emballages industriels / Transformation agro-industrielle**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29,62 Mds FCFA, FTSC se situe dans la catégorie des petites capitalisations de la BRVM, ce qui expose le titre à une liquidité limitée et à une volatilité accrue. Le BPA de 33 FCFA/action, rapporté au cours actuel de 2 100 FCFA, génère un PER de 63,6x, très largement supérieur à la moyenne du marché BRVM (~8-12x) : les investisseurs paient donc une prime considérable pour des bénéfices qui se sont effondrés en 2025 (465,98 M FCFA contre 18,6 Mds FCFA en 2024), ce qui traduit une décorrélation manifeste entre le prix et la rentabilité réelle. Le P/B de 1,89x indique en revanche une valorisation raisonnable, le marché valorisant l'action à moins de deux fois ses fonds propres comptables (15,70 Mds FCFA), ce qui constitue un point d'ancrage relatif. Enfin, l'EV/EBITDA de 37,6x, très supérieur au seuil de 15x généralement admis, signale que la valeur d'entreprise intègre une capacité opérationnelle (EBE de 1 501 M FCFA) largement insuffisante pour justifier un tel multiple : la valorisation boursière apparaît donc exigeante sur les ratios de flux, mais plus défendable sur l'actif net.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FTSC affiche une variation totale de -7,08%, avec une dernière séance stable (+0,00%), le cours s'établissant à 2 100 FCFA. Le titre a évolué dans un range de 520 FCFA, entre un plus bas de 1 910 FCFA et un plus haut de 2 430 FCFA, soit une amplitude de trading de 27% qui témoigne d'une nervosité réelle malgré la stabilité apparente du cours actuel. La tendance générale est baissière sur la période, le cours se situant sous sa moyenne (2 139 FCFA) et sous sa médiane (2 158 FCFA), ce qui confirme une pression vendeuse progressive. Les statistiques descriptives révèlent une distribution quasi symétrique (skewness de 0,020) et mésokurtique (kurtosis de -0,893), c'est-à-dire sans pics extrêmes marqués ni asymétrie notable : le comportement du cours est donc « normal » statistiquement, sans risque de queue épaisse significatif, mais la proximité moyenne/médiane/mode (1 990 FCFA) indique une forte concentration des échanges autour de 2 000-2 150 FCFA. L'écart-type de 128 FCFA et le coefficient de variation de 6,0% traduisent une dispersion modérée du cours autour de sa moyenne, tandis que la volatilité annualisée de 35,0% positionne clairement FTSC dans la catégorie des titres à volatilité élevée (&gt;30%), ce qui implique un risque de perte en capital non négligeable pour un investisseur averse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(2 151,25 FCFA) et la MM50 (2 057,00 FCFA) encadrent le cours actuel de 2 100 FCFA, qui se situe sous sa moyenne court terme mais au-dessus de sa moyenne moyen terme. Cette configuration en « croisement haussier » (MM20 &gt; MM50) justifie la décision d'achat fournie, bien que le cours sous MM20 nuance la dynamique immédiate : le titre est en phase de consolidation après un rebond depuis le plus bas de 1 910 FCFA.</w:t>
      </w:r>
    </w:p>
    <w:p>
      <w:pPr>
        <w:spacing w:after="120" w:line="276" w:lineRule="auto"/>
      </w:pPr>
      <w:r>
        <w:t>**Bandes de Bollinger** — Le cours (2 100 FCFA) évolue dans la partie basse du canal, entre la borne inférieure (2 090,48 FCFA) et la borne supérieure (2 212,02 FCFA), à seulement 0,5% de la borne basse. Cette position quasi-test de la borne inférieure, dans un canal relativement étroit (121,5 FCFA de largeur), signale une compression de volatilité et un possible point de retournement, mais la décision reste « Neutre » car aucun signal de rebond confirmé n'est encore visible.</w:t>
      </w:r>
    </w:p>
    <w:p>
      <w:pPr>
        <w:spacing w:after="120" w:line="276" w:lineRule="auto"/>
      </w:pPr>
      <w:r>
        <w:t>**MACD** — La valeur du MACD (13,86) est nettement inférieure à son signal (24,014), générant un croisement baissier et un histogramme négatif. Ce déséquilibre traduit un momentum négatif persistant : la dynamique haussière s'essouffle et la décision de « Vente » est cohérente avec cette divergence, qui précède souvent une poursuite de la correction à court terme.</w:t>
      </w:r>
    </w:p>
    <w:p>
      <w:pPr>
        <w:spacing w:after="120" w:line="276" w:lineRule="auto"/>
      </w:pPr>
      <w:r>
        <w:t>**RSI** — À 41,935, le RSI se situe en zone neutre basse (30-70), sans atteindre la zone de survente (&lt;30). Cette position indique que le titre n'est ni suracheté ni survendu, mais qu'il penche du côté faible de la neutralité : la pression vendeuse reste présente sans être extrême, ce qui laisse place à une possible accélération baissière ou à un rebond technique selon les volumes.</w:t>
      </w:r>
    </w:p>
    <w:p>
      <w:pPr>
        <w:spacing w:after="120" w:line="276" w:lineRule="auto"/>
      </w:pPr>
      <w:r>
        <w:t>**Stochastique** — Le %K (11,111) est très bas et inférieur au %D (22,222), en zone de survente marquée (&lt;20). Cette configuration, bien que baissière dans le croisement, est typique d'un épuisement de la baisse et justifie la décision d'« Achat » fournie : un rebond technique est statistiquement probable à court terme depuis ces niveaux extrêmes.</w:t>
      </w:r>
    </w:p>
    <w:p>
      <w:pPr>
        <w:spacing w:after="120" w:line="276" w:lineRule="auto"/>
      </w:pPr>
      <w:r>
        <w:t>**Conclusion technique** — Les indicateurs sont divergents : les moyennes mobiles et le stochastique plaident pour un achat (croisement haussier MM20/MM50, survente stochastique), tandis que le MACD et la position du cours dans les bandes de Bollinger recommandent la prudence (momentum négatif, test de la borne basse). Le RSI neutre-bas confirme l'absence de signal fort. Dans l'ensemble, le titre se trouve à un point d'inflexion technique : un rebond vers 2 150-2 200 FCFA est possible si les volumes suivent, mais une cassure sous 2 090 FCFA invaliderait le scénario haussier et ouvrirait la voie vers le plus bas de 1 910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FILTISAC CI a réalisé un chiffre d'affaires de 32 109 Mds FCFA (32,1 Mds), en croissance de 4,61% sur un an, mais son résultat net s'est effondré à 465,98 M FCFA contre 18 595 M FCFA en 2024, soit une chute de 97,5% : cette débâcle s'explique par la disparition des produits exceptionnels de cession de filiales (Ivoire Coton, Chimtec, Cofisac) qui avaient artificiellement gonflé le bénéfice 2024. La rentabilité est devenue marginale : la marge nette n'est que de 1,45%, la marge opérationnelle de 0,86%, le ROE de 2,97% (très loin du seuil de 15% considéré comme excellent) et le ROA de 1,19%, confirmant une destruction de valeur actionnariale. En tant qu'entreprise industrielle, FTSC présente des délais d'exploitation préoccupants : 213,72 jours de délai clients (risque de trésorerie élevé), 214,65 jours de durée de stockage (immobilisation massive de capital) et 140,71 jours de délai fournisseurs, générant un BFR de 11 529 Mds FCFA et une trésorerie nette de -11 528 Mds FCFA, en fort déficit. La structure financière reste toutefois solvable (autonomie financière de 40,11%, solvabilité générale de 166,98%, liquidité générale de 158,64%), mais le ratio d'endettement de 97,60% et la capacité de remboursement de 11,49 années (dettes financières/CAF) constituent des signaux d'alerte.</w:t>
      </w:r>
    </w:p>
    <w:p>
      <w:pPr>
        <w:spacing w:after="120" w:line="276" w:lineRule="auto"/>
      </w:pPr>
      <w:r>
        <w:t>**Estimations basées sur les rapports trimestriels** — Le rapport du T1 2026 (publié en 2026) fait état d'un chiffre d'affaires de 8 901 M FCFA, en hausse spectaculaire de 55% sur un an, porté par la forte demande d'emballages pour le cacao, avec un résultat d'exploitation redevenu positif à 75 M FCFA (contre -78 M FCFA au T1 2025). Toutefois, le résultat net reste déficitaire à -154 M FCFA (marge nette de -1,73%), ce qui signifie que la société n'est pas encore sortie de la zone de perte. Sur la base de ce rapport T1 2026, on peut estimer que l'exercice 2026 devrait afficher une croissance à deux chiffres du chiffre d'affaires (potentiellement +20 à +30% si la dynamique cacaoyère se maintient), mais la rentabilité nette restera probablement négative ou à peine à l'équilibre, la marge opérationnelle demeurant trop faible pour absorber les charges financières et les aléas logistiques. Le rapport du T3 2025 (30/09/2025) confirmait déjà cette tendance : résultat courant avant impôts de -216 M FCFA, résultat d'exploitation déficitaire de -230 M FCFA, et dépendance critique à la campagne cacaoyère 2025/2026. Le communiqué officiel de juillet 2026 rassure sur la continuité d'activité (arrêt de la filature dû à l'interdiction d'exportation de jute par le Bangladesh, solution alternative d'importation de fil mise en place), mais cet incident illustre la vulnérabilité de la chaîne d'approvisionnement.</w:t>
      </w:r>
    </w:p>
    <w:p>
      <w:pPr>
        <w:spacing w:after="120" w:line="276" w:lineRule="auto"/>
      </w:pPr>
      <w:r>
        <w:t>**Recommandation fondamentale** — La situation fondamentale de FTSC est celle d'une entreprise en convalescence opérationnelle mais toujours fragile : la croissance du chiffre d'affaires au T1 2026 (+55%) est encourageante, mais la persistance de pertes nettes, la trésorerie nette négative de -11,5 Mds FCFA, la réduction drastique des capitaux propres (15,70 Mds FCFA contre 43,4 Mds FCFA en 2024) et l'absence de dividende en 2025 (contre 2 000,67 FCFA/action en 2024) constituent des risques majeurs. La recommandation fondamentale est donc **CONSERVER** avec une surveillance accrue : le redressement est en cours mais non confirmé, et le titre ne présente pas les caractéristiques d'un investissement de qualité à ce stade.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et globalement défavorable à court terme. **Sur la valorisation (Partie 0)**, le PER de 63,6x et l'EV/EBITDA de 37,6x indiquent une nette surévaluation par rapport aux flux bénéficiaires, bien que le P/B de 1,89x offre un ancrage relatif sur l'actif net. **Sur le comportement du cours (Partie 1)**, la tendance baissière (-7,08% sur 100 jours), la volatilité élevée (35%) et la distribution symétrique sans pics extrêmes (kurtosis -0,893, skewness 0,020) suggèrent un titre sans direction forte mais à risque de perte en capital significatif. **Sur le plan technique (Partie 2)**, les signaux sont divergents : le stochastique en survente et le croisement haussier MM20/MM50 plaident pour un rebond, tandis que le MACD baissier et le test de la borne basse de Bollinger recommandent la prudence — la convergence n'est pas au rendez-vous. **Sur le plan fondamental (Partie 3)**, la croissance du CA au T1 2026 (+55%) et le retour à un résultat d'exploitation positif (75 M FCFA) sont des lueurs d'espoir, mais la perte nette persistante (-154 M FCFA), la trésorerie négative et la dépendance à la campagne cacaoyère maintiennent un risque élevé. **Les prédictions IA (J+1 à J+10)** anticipent une trajectoire haussière modérée de 2 111 FCFA à 2 151 FCFA (+2,4% sur 10 jours), ce qui confirme le rebond technique attendu mais contredit la prudence fondamentale et la surévaluation boursière. **Recommandation finale : CONSERVER** — la convergence entre le rebond technique attendu (stochastique, prédictions IA) et l'amélioration opérationnelle naissante (T1 2026) justifie de ne pas vendre en urgence, mais la surévaluation (PER 63,6x), la fragilité financière (trésorerie négative, pertes nettes) et l'absence de dividende interdisent tout achat agressif. Le niveau de confiance est **Moyen** (signaux divergents), le risque global est **Élevé** (volatilité 35%, dépendance cacaoyère, endettement 97,6%), et l'horizon optimal est **moyen terme (3-12 mois)** , le temps de vérifier si le redressement opérationnel du T1 2026 se confirme sur les trimestres suivants et si la rentabilité nette redevient positive. Un investisseur averse au risque évitera le titre ; un investisseur opportuniste pourra surveiller une cassure confirmée au-dessus de 2 150 FCFA avec volumes pour envisager une position spéculative de court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81.00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4,358 titres</w:t>
            </w:r>
          </w:p>
        </w:tc>
        <w:tc>
          <w:tcPr>
            <w:tcW w:type="dxa" w:w="2268"/>
            <w:shd w:fill="FFF2CC" w:val="clear"/>
          </w:tcPr>
          <w:p>
            <w:r>
              <w:rPr>
                <w:b/>
                <w:color w:val="503200"/>
                <w:sz w:val="16"/>
              </w:rPr>
              <w:t xml:space="preserve">Cours actuel : </w:t>
            </w:r>
            <w:r>
              <w:rPr>
                <w:color w:val="000000"/>
                <w:sz w:val="17"/>
              </w:rPr>
              <w:t>4,050 FCFA</w:t>
            </w:r>
          </w:p>
          <w:p>
            <w:r>
              <w:rPr>
                <w:b/>
                <w:color w:val="503200"/>
                <w:sz w:val="16"/>
              </w:rPr>
              <w:t xml:space="preserve">Var. 100 jours : </w:t>
            </w:r>
            <w:r>
              <w:rPr>
                <w:b/>
                <w:color w:val="007800"/>
                <w:sz w:val="17"/>
              </w:rPr>
              <w:t>+5.06%</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3,825 FCFA</w:t>
            </w:r>
          </w:p>
          <w:p>
            <w:r>
              <w:rPr>
                <w:b/>
                <w:color w:val="503200"/>
                <w:sz w:val="16"/>
              </w:rPr>
              <w:t xml:space="preserve">Volatilité ann. : </w:t>
            </w:r>
            <w:r>
              <w:rPr>
                <w:color w:val="000000"/>
                <w:sz w:val="17"/>
              </w:rPr>
              <w:t>37.5%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4.83% (Faible) — μ=4,065 FCFA, σ=196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β=-0.0077 (Contre-cyclique) — Cov=-0.000000, Var(idx)=0.000036, ρ=-0.002,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4,358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σ_j=2.36%/j (Stable) — Vol. annualisée≈37.5%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2026-09-10</w:t>
            </w:r>
          </w:p>
        </w:tc>
        <w:tc>
          <w:tcPr>
            <w:tcW w:type="dxa" w:w="1440"/>
            <w:shd w:fill="FAFAFA" w:val="clear"/>
          </w:tcPr>
          <w:p>
            <w:r>
              <w:rPr>
                <w:sz w:val="17"/>
              </w:rPr>
              <w:t>3,850</w:t>
            </w:r>
          </w:p>
        </w:tc>
        <w:tc>
          <w:tcPr>
            <w:tcW w:type="dxa" w:w="1440"/>
            <w:shd w:fill="FAFAFA" w:val="clear"/>
          </w:tcPr>
          <w:p>
            <w:r>
              <w:rPr>
                <w:b/>
                <w:sz w:val="17"/>
              </w:rPr>
              <w:t>4,020</w:t>
            </w:r>
          </w:p>
        </w:tc>
        <w:tc>
          <w:tcPr>
            <w:tcW w:type="dxa" w:w="1440"/>
            <w:shd w:fill="FAFAFA" w:val="clear"/>
          </w:tcPr>
          <w:p>
            <w:r>
              <w:rPr>
                <w:sz w:val="17"/>
              </w:rPr>
              <w:t>4,189</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2026-09-11</w:t>
            </w:r>
          </w:p>
        </w:tc>
        <w:tc>
          <w:tcPr>
            <w:tcW w:type="dxa" w:w="1440"/>
            <w:shd w:fill="FAFAFA" w:val="clear"/>
          </w:tcPr>
          <w:p>
            <w:r>
              <w:rPr>
                <w:sz w:val="17"/>
              </w:rPr>
              <w:t>3,793</w:t>
            </w:r>
          </w:p>
        </w:tc>
        <w:tc>
          <w:tcPr>
            <w:tcW w:type="dxa" w:w="1440"/>
            <w:shd w:fill="FAFAFA" w:val="clear"/>
          </w:tcPr>
          <w:p>
            <w:r>
              <w:rPr>
                <w:b/>
                <w:sz w:val="17"/>
              </w:rPr>
              <w:t>4,034</w:t>
            </w:r>
          </w:p>
        </w:tc>
        <w:tc>
          <w:tcPr>
            <w:tcW w:type="dxa" w:w="1440"/>
            <w:shd w:fill="FAFAFA" w:val="clear"/>
          </w:tcPr>
          <w:p>
            <w:r>
              <w:rPr>
                <w:sz w:val="17"/>
              </w:rPr>
              <w:t>4,275</w:t>
            </w:r>
          </w:p>
        </w:tc>
        <w:tc>
          <w:tcPr>
            <w:tcW w:type="dxa" w:w="1440"/>
            <w:shd w:fill="FAFAFA" w:val="clear"/>
          </w:tcPr>
          <w:p>
            <w:r>
              <w:rPr>
                <w:b/>
                <w:color w:val="C00000"/>
                <w:sz w:val="17"/>
              </w:rPr>
              <w:t>-0.4%</w:t>
            </w:r>
          </w:p>
        </w:tc>
      </w:tr>
      <w:tr>
        <w:tc>
          <w:tcPr>
            <w:tcW w:type="dxa" w:w="1440"/>
            <w:shd w:fill="FAFAFA" w:val="clear"/>
          </w:tcPr>
          <w:p>
            <w:r>
              <w:rPr>
                <w:sz w:val="17"/>
              </w:rPr>
              <w:t>J+3  Moyenne</w:t>
            </w:r>
          </w:p>
        </w:tc>
        <w:tc>
          <w:tcPr>
            <w:tcW w:type="dxa" w:w="1440"/>
            <w:shd w:fill="FAFAFA" w:val="clear"/>
          </w:tcPr>
          <w:p>
            <w:r>
              <w:rPr>
                <w:sz w:val="17"/>
              </w:rPr>
              <w:t>2026-09-14</w:t>
            </w:r>
          </w:p>
        </w:tc>
        <w:tc>
          <w:tcPr>
            <w:tcW w:type="dxa" w:w="1440"/>
            <w:shd w:fill="FAFAFA" w:val="clear"/>
          </w:tcPr>
          <w:p>
            <w:r>
              <w:rPr>
                <w:sz w:val="17"/>
              </w:rPr>
              <w:t>3,748</w:t>
            </w:r>
          </w:p>
        </w:tc>
        <w:tc>
          <w:tcPr>
            <w:tcW w:type="dxa" w:w="1440"/>
            <w:shd w:fill="FAFAFA" w:val="clear"/>
          </w:tcPr>
          <w:p>
            <w:r>
              <w:rPr>
                <w:b/>
                <w:sz w:val="17"/>
              </w:rPr>
              <w:t>4,044</w:t>
            </w:r>
          </w:p>
        </w:tc>
        <w:tc>
          <w:tcPr>
            <w:tcW w:type="dxa" w:w="1440"/>
            <w:shd w:fill="FAFAFA" w:val="clear"/>
          </w:tcPr>
          <w:p>
            <w:r>
              <w:rPr>
                <w:sz w:val="17"/>
              </w:rPr>
              <w:t>4,340</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2026-09-15</w:t>
            </w:r>
          </w:p>
        </w:tc>
        <w:tc>
          <w:tcPr>
            <w:tcW w:type="dxa" w:w="1440"/>
            <w:shd w:fill="FAFAFA" w:val="clear"/>
          </w:tcPr>
          <w:p>
            <w:r>
              <w:rPr>
                <w:sz w:val="17"/>
              </w:rPr>
              <w:t>3,703</w:t>
            </w:r>
          </w:p>
        </w:tc>
        <w:tc>
          <w:tcPr>
            <w:tcW w:type="dxa" w:w="1440"/>
            <w:shd w:fill="FAFAFA" w:val="clear"/>
          </w:tcPr>
          <w:p>
            <w:r>
              <w:rPr>
                <w:b/>
                <w:sz w:val="17"/>
              </w:rPr>
              <w:t>4,045</w:t>
            </w:r>
          </w:p>
        </w:tc>
        <w:tc>
          <w:tcPr>
            <w:tcW w:type="dxa" w:w="1440"/>
            <w:shd w:fill="FAFAFA" w:val="clear"/>
          </w:tcPr>
          <w:p>
            <w:r>
              <w:rPr>
                <w:sz w:val="17"/>
              </w:rPr>
              <w:t>4,387</w:t>
            </w:r>
          </w:p>
        </w:tc>
        <w:tc>
          <w:tcPr>
            <w:tcW w:type="dxa" w:w="1440"/>
            <w:shd w:fill="FAFAFA" w:val="clear"/>
          </w:tcPr>
          <w:p>
            <w:r>
              <w:rPr>
                <w:b/>
                <w:color w:val="C00000"/>
                <w:sz w:val="17"/>
              </w:rPr>
              <w:t>-0.1%</w:t>
            </w:r>
          </w:p>
        </w:tc>
      </w:tr>
      <w:tr>
        <w:tc>
          <w:tcPr>
            <w:tcW w:type="dxa" w:w="1440"/>
            <w:shd w:fill="FAFAFA" w:val="clear"/>
          </w:tcPr>
          <w:p>
            <w:r>
              <w:rPr>
                <w:sz w:val="17"/>
              </w:rPr>
              <w:t>J+5  ⭐</w:t>
            </w:r>
          </w:p>
        </w:tc>
        <w:tc>
          <w:tcPr>
            <w:tcW w:type="dxa" w:w="1440"/>
            <w:shd w:fill="FAFAFA" w:val="clear"/>
          </w:tcPr>
          <w:p>
            <w:r>
              <w:rPr>
                <w:sz w:val="17"/>
              </w:rPr>
              <w:t>2026-09-16</w:t>
            </w:r>
          </w:p>
        </w:tc>
        <w:tc>
          <w:tcPr>
            <w:tcW w:type="dxa" w:w="1440"/>
            <w:shd w:fill="FAFAFA" w:val="clear"/>
          </w:tcPr>
          <w:p>
            <w:r>
              <w:rPr>
                <w:sz w:val="17"/>
              </w:rPr>
              <w:t>3,666</w:t>
            </w:r>
          </w:p>
        </w:tc>
        <w:tc>
          <w:tcPr>
            <w:tcW w:type="dxa" w:w="1440"/>
            <w:shd w:fill="FAFAFA" w:val="clear"/>
          </w:tcPr>
          <w:p>
            <w:r>
              <w:rPr>
                <w:b/>
                <w:sz w:val="17"/>
              </w:rPr>
              <w:t>4,048</w:t>
            </w:r>
          </w:p>
        </w:tc>
        <w:tc>
          <w:tcPr>
            <w:tcW w:type="dxa" w:w="1440"/>
            <w:shd w:fill="FAFAFA" w:val="clear"/>
          </w:tcPr>
          <w:p>
            <w:r>
              <w:rPr>
                <w:sz w:val="17"/>
              </w:rPr>
              <w:t>4,431</w:t>
            </w:r>
          </w:p>
        </w:tc>
        <w:tc>
          <w:tcPr>
            <w:tcW w:type="dxa" w:w="1440"/>
            <w:shd w:fill="FAFAFA" w:val="clear"/>
          </w:tcPr>
          <w:p>
            <w:r>
              <w:rPr>
                <w:b/>
                <w:color w:val="C00000"/>
                <w:sz w:val="17"/>
              </w:rPr>
              <w:t>-0.0%</w:t>
            </w:r>
          </w:p>
        </w:tc>
      </w:tr>
      <w:tr>
        <w:tc>
          <w:tcPr>
            <w:tcW w:type="dxa" w:w="1440"/>
            <w:shd w:fill="FAFAFA" w:val="clear"/>
          </w:tcPr>
          <w:p>
            <w:r>
              <w:rPr>
                <w:sz w:val="17"/>
              </w:rPr>
              <w:t>J+6  ⭐</w:t>
            </w:r>
          </w:p>
        </w:tc>
        <w:tc>
          <w:tcPr>
            <w:tcW w:type="dxa" w:w="1440"/>
            <w:shd w:fill="FAFAFA" w:val="clear"/>
          </w:tcPr>
          <w:p>
            <w:r>
              <w:rPr>
                <w:sz w:val="17"/>
              </w:rPr>
              <w:t>2026-09-17</w:t>
            </w:r>
          </w:p>
        </w:tc>
        <w:tc>
          <w:tcPr>
            <w:tcW w:type="dxa" w:w="1440"/>
            <w:shd w:fill="FAFAFA" w:val="clear"/>
          </w:tcPr>
          <w:p>
            <w:r>
              <w:rPr>
                <w:sz w:val="17"/>
              </w:rPr>
              <w:t>3,644</w:t>
            </w:r>
          </w:p>
        </w:tc>
        <w:tc>
          <w:tcPr>
            <w:tcW w:type="dxa" w:w="1440"/>
            <w:shd w:fill="FAFAFA" w:val="clear"/>
          </w:tcPr>
          <w:p>
            <w:r>
              <w:rPr>
                <w:b/>
                <w:sz w:val="17"/>
              </w:rPr>
              <w:t>4,065</w:t>
            </w:r>
          </w:p>
        </w:tc>
        <w:tc>
          <w:tcPr>
            <w:tcW w:type="dxa" w:w="1440"/>
            <w:shd w:fill="FAFAFA" w:val="clear"/>
          </w:tcPr>
          <w:p>
            <w:r>
              <w:rPr>
                <w:sz w:val="17"/>
              </w:rPr>
              <w:t>4,486</w:t>
            </w:r>
          </w:p>
        </w:tc>
        <w:tc>
          <w:tcPr>
            <w:tcW w:type="dxa" w:w="1440"/>
            <w:shd w:fill="FAFAFA" w:val="clear"/>
          </w:tcPr>
          <w:p>
            <w:r>
              <w:rPr>
                <w:b/>
                <w:color w:val="008000"/>
                <w:sz w:val="17"/>
              </w:rPr>
              <w:t>+0.4%</w:t>
            </w:r>
          </w:p>
        </w:tc>
      </w:tr>
      <w:tr>
        <w:tc>
          <w:tcPr>
            <w:tcW w:type="dxa" w:w="1440"/>
            <w:shd w:fill="FAFAFA" w:val="clear"/>
          </w:tcPr>
          <w:p>
            <w:r>
              <w:rPr>
                <w:sz w:val="17"/>
              </w:rPr>
              <w:t>J+7  ⭐</w:t>
            </w:r>
          </w:p>
        </w:tc>
        <w:tc>
          <w:tcPr>
            <w:tcW w:type="dxa" w:w="1440"/>
            <w:shd w:fill="FAFAFA" w:val="clear"/>
          </w:tcPr>
          <w:p>
            <w:r>
              <w:rPr>
                <w:sz w:val="17"/>
              </w:rPr>
              <w:t>2026-09-18</w:t>
            </w:r>
          </w:p>
        </w:tc>
        <w:tc>
          <w:tcPr>
            <w:tcW w:type="dxa" w:w="1440"/>
            <w:shd w:fill="FAFAFA" w:val="clear"/>
          </w:tcPr>
          <w:p>
            <w:r>
              <w:rPr>
                <w:sz w:val="17"/>
              </w:rPr>
              <w:t>3,631</w:t>
            </w:r>
          </w:p>
        </w:tc>
        <w:tc>
          <w:tcPr>
            <w:tcW w:type="dxa" w:w="1440"/>
            <w:shd w:fill="FAFAFA" w:val="clear"/>
          </w:tcPr>
          <w:p>
            <w:r>
              <w:rPr>
                <w:b/>
                <w:sz w:val="17"/>
              </w:rPr>
              <w:t>4,088</w:t>
            </w:r>
          </w:p>
        </w:tc>
        <w:tc>
          <w:tcPr>
            <w:tcW w:type="dxa" w:w="1440"/>
            <w:shd w:fill="FAFAFA" w:val="clear"/>
          </w:tcPr>
          <w:p>
            <w:r>
              <w:rPr>
                <w:sz w:val="17"/>
              </w:rPr>
              <w:t>4,545</w:t>
            </w:r>
          </w:p>
        </w:tc>
        <w:tc>
          <w:tcPr>
            <w:tcW w:type="dxa" w:w="1440"/>
            <w:shd w:fill="FAFAFA" w:val="clear"/>
          </w:tcPr>
          <w:p>
            <w:r>
              <w:rPr>
                <w:b/>
                <w:color w:val="008000"/>
                <w:sz w:val="17"/>
              </w:rPr>
              <w:t>+0.9%</w:t>
            </w:r>
          </w:p>
        </w:tc>
      </w:tr>
      <w:tr>
        <w:tc>
          <w:tcPr>
            <w:tcW w:type="dxa" w:w="1440"/>
            <w:shd w:fill="FAFAFA" w:val="clear"/>
          </w:tcPr>
          <w:p>
            <w:r>
              <w:rPr>
                <w:sz w:val="17"/>
              </w:rPr>
              <w:t>J+8  ⭐</w:t>
            </w:r>
          </w:p>
        </w:tc>
        <w:tc>
          <w:tcPr>
            <w:tcW w:type="dxa" w:w="1440"/>
            <w:shd w:fill="FAFAFA" w:val="clear"/>
          </w:tcPr>
          <w:p>
            <w:r>
              <w:rPr>
                <w:sz w:val="17"/>
              </w:rPr>
              <w:t>2026-09-21</w:t>
            </w:r>
          </w:p>
        </w:tc>
        <w:tc>
          <w:tcPr>
            <w:tcW w:type="dxa" w:w="1440"/>
            <w:shd w:fill="FAFAFA" w:val="clear"/>
          </w:tcPr>
          <w:p>
            <w:r>
              <w:rPr>
                <w:sz w:val="17"/>
              </w:rPr>
              <w:t>3,627</w:t>
            </w:r>
          </w:p>
        </w:tc>
        <w:tc>
          <w:tcPr>
            <w:tcW w:type="dxa" w:w="1440"/>
            <w:shd w:fill="FAFAFA" w:val="clear"/>
          </w:tcPr>
          <w:p>
            <w:r>
              <w:rPr>
                <w:b/>
                <w:sz w:val="17"/>
              </w:rPr>
              <w:t>4,119</w:t>
            </w:r>
          </w:p>
        </w:tc>
        <w:tc>
          <w:tcPr>
            <w:tcW w:type="dxa" w:w="1440"/>
            <w:shd w:fill="FAFAFA" w:val="clear"/>
          </w:tcPr>
          <w:p>
            <w:r>
              <w:rPr>
                <w:sz w:val="17"/>
              </w:rPr>
              <w:t>4,612</w:t>
            </w:r>
          </w:p>
        </w:tc>
        <w:tc>
          <w:tcPr>
            <w:tcW w:type="dxa" w:w="1440"/>
            <w:shd w:fill="FAFAFA" w:val="clear"/>
          </w:tcPr>
          <w:p>
            <w:r>
              <w:rPr>
                <w:b/>
                <w:color w:val="008000"/>
                <w:sz w:val="17"/>
              </w:rPr>
              <w:t>+1.7%</w:t>
            </w:r>
          </w:p>
        </w:tc>
      </w:tr>
      <w:tr>
        <w:tc>
          <w:tcPr>
            <w:tcW w:type="dxa" w:w="1440"/>
            <w:shd w:fill="C6EFCE" w:val="clear"/>
          </w:tcPr>
          <w:p>
            <w:r>
              <w:rPr>
                <w:sz w:val="17"/>
              </w:rPr>
              <w:t>J+9  ⭐</w:t>
            </w:r>
          </w:p>
        </w:tc>
        <w:tc>
          <w:tcPr>
            <w:tcW w:type="dxa" w:w="1440"/>
            <w:shd w:fill="C6EFCE" w:val="clear"/>
          </w:tcPr>
          <w:p>
            <w:r>
              <w:rPr>
                <w:sz w:val="17"/>
              </w:rPr>
              <w:t>2026-09-22</w:t>
            </w:r>
          </w:p>
        </w:tc>
        <w:tc>
          <w:tcPr>
            <w:tcW w:type="dxa" w:w="1440"/>
            <w:shd w:fill="C6EFCE" w:val="clear"/>
          </w:tcPr>
          <w:p>
            <w:r>
              <w:rPr>
                <w:sz w:val="17"/>
              </w:rPr>
              <w:t>3,615</w:t>
            </w:r>
          </w:p>
        </w:tc>
        <w:tc>
          <w:tcPr>
            <w:tcW w:type="dxa" w:w="1440"/>
            <w:shd w:fill="C6EFCE" w:val="clear"/>
          </w:tcPr>
          <w:p>
            <w:r>
              <w:rPr>
                <w:b/>
                <w:sz w:val="17"/>
              </w:rPr>
              <w:t>4,139</w:t>
            </w:r>
          </w:p>
        </w:tc>
        <w:tc>
          <w:tcPr>
            <w:tcW w:type="dxa" w:w="1440"/>
            <w:shd w:fill="C6EFCE" w:val="clear"/>
          </w:tcPr>
          <w:p>
            <w:r>
              <w:rPr>
                <w:sz w:val="17"/>
              </w:rPr>
              <w:t>4,664</w:t>
            </w:r>
          </w:p>
        </w:tc>
        <w:tc>
          <w:tcPr>
            <w:tcW w:type="dxa" w:w="1440"/>
            <w:shd w:fill="C6EFCE" w:val="clear"/>
          </w:tcPr>
          <w:p>
            <w:r>
              <w:rPr>
                <w:b/>
                <w:color w:val="008000"/>
                <w:sz w:val="17"/>
              </w:rPr>
              <w:t>+2.2%</w:t>
            </w:r>
          </w:p>
        </w:tc>
      </w:tr>
      <w:tr>
        <w:tc>
          <w:tcPr>
            <w:tcW w:type="dxa" w:w="1440"/>
            <w:shd w:fill="C6EFCE" w:val="clear"/>
          </w:tcPr>
          <w:p>
            <w:r>
              <w:rPr>
                <w:sz w:val="17"/>
              </w:rPr>
              <w:t>J+10  ⭐</w:t>
            </w:r>
          </w:p>
        </w:tc>
        <w:tc>
          <w:tcPr>
            <w:tcW w:type="dxa" w:w="1440"/>
            <w:shd w:fill="C6EFCE" w:val="clear"/>
          </w:tcPr>
          <w:p>
            <w:r>
              <w:rPr>
                <w:sz w:val="17"/>
              </w:rPr>
              <w:t>2026-09-23</w:t>
            </w:r>
          </w:p>
        </w:tc>
        <w:tc>
          <w:tcPr>
            <w:tcW w:type="dxa" w:w="1440"/>
            <w:shd w:fill="C6EFCE" w:val="clear"/>
          </w:tcPr>
          <w:p>
            <w:r>
              <w:rPr>
                <w:sz w:val="17"/>
              </w:rPr>
              <w:t>3,614</w:t>
            </w:r>
          </w:p>
        </w:tc>
        <w:tc>
          <w:tcPr>
            <w:tcW w:type="dxa" w:w="1440"/>
            <w:shd w:fill="C6EFCE" w:val="clear"/>
          </w:tcPr>
          <w:p>
            <w:r>
              <w:rPr>
                <w:b/>
                <w:sz w:val="17"/>
              </w:rPr>
              <w:t>4,172</w:t>
            </w:r>
          </w:p>
        </w:tc>
        <w:tc>
          <w:tcPr>
            <w:tcW w:type="dxa" w:w="1440"/>
            <w:shd w:fill="C6EFCE" w:val="clear"/>
          </w:tcPr>
          <w:p>
            <w:r>
              <w:rPr>
                <w:sz w:val="17"/>
              </w:rPr>
              <w:t>4,729</w:t>
            </w:r>
          </w:p>
        </w:tc>
        <w:tc>
          <w:tcPr>
            <w:tcW w:type="dxa" w:w="1440"/>
            <w:shd w:fill="C6EFCE" w:val="clear"/>
          </w:tcPr>
          <w:p>
            <w:r>
              <w:rPr>
                <w:b/>
                <w:color w:val="008000"/>
                <w:sz w:val="17"/>
              </w:rPr>
              <w:t>+3.0%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*Bourse Régionale des Valeurs Mobilières (BRVM) — Secteur : Entreprise non bancaire (Jeux &amp; Loterie)*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81,00 Mds FCFA, LNBB se positionne comme une valeur de taille intermédiaire sur le compartiment BRVM, représentant un poids modéré dans l'indice composite. Le BPA de 231 FCFA/action signifie que chaque titre génère 231 FCFA de bénéfice net, ce qui, rapporté au cours actuel de 4 050 FCFA, donne un PER de 17,5x — nettement supérieur à la moyenne du marché BRVM (8-12x), traduisant une prime de valorisation significative que les investisseurs accordent à la société. Le P/B de 3,69x indique que le marché valorise LNBB à près de 3,7 fois sa valeur comptable, confirmant cette prime de croissance liée à la transition digitale et à la solidité du bilan. Enfin, l'EV/EBITDA de 10,3x, bien que dans la fourchette haute (10-15x), reste cohérent avec la capacité opérationnelle de l'entreprise, mais suggère que le marché intègre déjà une bonne partie du potentiel de redressement à venir.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LNBB affiche une variation positive de +5,06%, malgré un repli de -1,22% lors de la dernière séance, signalant une légère pression vendeuse à court terme. Le cours actuel de 4 050 FCFA se situe dans la partie médiane du range de trading, entre un plus bas de 3 825 FCFA et un plus haut de 4 560 FCFA, soit une amplitude de 735 FCFA (environ 19%), reflétant une tendance générale haussière mais avec des phases de consolidation. Les statistiques descriptives révèlent une moyenne de 4 065 FCFA légèrement supérieure à la médiane de 4 002 FCFA, avec un mode à 4 100 FCFA, ce qui indique une distribution asymétrique positive (skewness de 0,551) — davantage de journées de trading se sont situées sous la moyenne, mais quelques séances haussières ont tiré la moyenne vers le haut. L'écart-type de 197 FCFA (CV de 4,9%) témoigne d'une dispersion modérée du cours, tandis que le kurtosis de -0,902 (mésokurtique) suggère une distribution proche de la normale, sans risque excessif de pics extrêmes. La volatilité annualisée de 37,5% classe le titre dans la catégorie des valeurs à volatilité élevée (&gt;30%), ce qui implique un risque de fluctuation important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(4 062 FCFA) est légèrement supérieure au cours actuel (4 050 FCFA), tandis que la MM50 (4 208,8 FCFA) se situe nettement au-dessus, créant une configuration baissière où le cours évolue sous ses deux moyennes. Cette position relative justifie la décision de **Vente** émise par le système, le titre n'ayant pas encore retrouvé ses niveaux moyens de moyen terme.</w:t>
      </w:r>
    </w:p>
    <w:p>
      <w:pPr>
        <w:spacing w:after="120" w:line="276" w:lineRule="auto"/>
      </w:pPr>
      <w:r>
        <w:t>**Bandes de Bollinger** : Le cours actuel (4 050 FCFA) se situe entre la borne inférieure (3 911,2 FCFA) et la borne supérieure (4 212,8 FCFA), plus proche de la borne basse, ce qui indique une pression baissière modérée. La largeur des bandes reflète une volatilité moyenne, et la décision **Neutre** suggère l'absence de signal directionnel fort à court terme.</w:t>
      </w:r>
    </w:p>
    <w:p>
      <w:pPr>
        <w:spacing w:after="120" w:line="276" w:lineRule="auto"/>
      </w:pPr>
      <w:r>
        <w:t>**MACD** : La valeur du MACD (-51,029) est supérieure à son signal (-54,135), générant un croisement haussier (MACD &gt; Signal) qui justifie la décision d'**Achat**. Ce signal positif indique un ralentissement de la dynamique baissière et un possible retournement de momentum à court terme.</w:t>
      </w:r>
    </w:p>
    <w:p>
      <w:pPr>
        <w:spacing w:after="120" w:line="276" w:lineRule="auto"/>
      </w:pPr>
      <w:r>
        <w:t>**RSI** : À 40,441, le RSI se situe en zone neutre (30-70), sans signal de surachat ni de survente. La décision **Neutre** reflète l'absence de pression extrême, le titre évoluant dans une phase de consolidation sans direction claire.</w:t>
      </w:r>
    </w:p>
    <w:p>
      <w:pPr>
        <w:spacing w:after="120" w:line="276" w:lineRule="auto"/>
      </w:pPr>
      <w:r>
        <w:t>**Stochastique** : Le %K (75,0) est nettement supérieur au %D (48,81), avec un croisement haussier récent qui pourrait signaler un début de reprise. Cependant, la décision reste **Neutre**, le %K approchant la zone de surachat (&gt;80) sans confirmation franche.</w:t>
      </w:r>
    </w:p>
    <w:p>
      <w:pPr>
        <w:spacing w:after="120" w:line="276" w:lineRule="auto"/>
      </w:pPr>
      <w:r>
        <w:t>**Conclusion technique** : Les indicateurs présentent un tableau mitigé — le MACD et le Stochastique émettent des signaux haussiers précoces, tandis que les Moyennes Mobiles restent baissières et les Bandes de Bollinger/RSI sont neutres. Cette divergence suggère une phase de transition où le titre pourrait amorcer un rebond technique, mais la prudence reste de mise tant que le cours n'aura pas reconquis la MM20 (4 062 FCFA) et surtout la MM50 (4 208,8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LNBB a réalisé un chiffre d'affaires de 98,598 Mds FCFA, en baisse de -3,85% par rapport à 2024, sous l'effet d'une concurrence illégale accrue. Le résultat net s'établit à 4,622 Mds FCFA, avec une marge nette de 4,69% et une marge opérationnelle de 6,47%. La rentabilité des fonds propres (ROE) atteint 21,05%, un niveau excellent (&gt;15%), et le ROA de 14,17% confirme l'efficacité de l'utilisation des actifs. La structure financière est très solide : autonomie financière de 67,32%, ratio d'endettement de seulement 2,57%, et trésorerie nette positive de 7,979 Mds FCFA. Le BFR est quasi nul (217,45 M FCFA), et les délais clients (4,82 jours) et fournisseurs (20,41 jours) sont bien maîtrisés, témoignant d'une gestion rigoureuse du besoin en fonds de roulement.</w:t>
      </w:r>
    </w:p>
    <w:p>
      <w:pPr>
        <w:spacing w:after="120" w:line="276" w:lineRule="auto"/>
      </w:pPr>
      <w:r>
        <w:t>**Estimations basées sur les rapports trimestriels** : Le rapport du T1 2026 (publié le 12 juin 2026) indique un CA de 25,521 Mds FCFA (+6%) mais un résultat net en chute de -46% à 848 M FCFA, en raison d'un mix produit défavorable (pari sportif à 95% de taux de retour). Toutefois, le rapport du S1 2026 (publié le 30 juillet 2026) révèle un redressement spectaculaire : le résultat net progresse de +60% par rapport au S1 2025, porté par la maîtrise des charges et les revenus de partenariats B2B, malgré un produit brut des jeux en baisse de -9%. Sur la base de ces éléments, on estime que l'exercice 2026 devrait afficher une amélioration de la rentabilité nette, avec un résultat net potentiellement supérieur à 5 Mds FCFA si la dynamique du S1 se confirme. Le dividende proposé pour 2025 est de 173 FCFA brut par action (164 FCFA net), soit un rendement d'environ 4,05% au cours actuel de 4 050 FCFA, avec une mise en paiement prévue le 2 août 2026.</w:t>
      </w:r>
    </w:p>
    <w:p>
      <w:pPr>
        <w:spacing w:after="120" w:line="276" w:lineRule="auto"/>
      </w:pPr>
      <w:r>
        <w:t>**Recommandation fondamentale** : La solidité financière de LNBB est incontestable (ROE &gt;20%, trésorerie nette positive, endettement quasi nul), et la transition digitale porte ses fruits (+18% sur les jeux en ligne en 2025). Cependant, la pression sur les marges (taux de retour élevé sur le pari sportif) et la concurrence illégale restent des défis majeurs. La recommandation fondamentale est de **CONSERVER**, en attendant la confirmation de la stabilisation du produit brut des jeux et la pérennité des revenus de partenariats au S2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 profil d'investissement contrasté. **Valorisation (Partie 0)** : le PER de 17,5x et le P/B de 3,69x indiquent une surévaluation relative par rapport au marché BRVM, mais cette prime se justifie par la solidité du bilan et les perspectives de redressement. **Comportement du cours (Partie 1)** : la tendance haussière sur 100 jours (+5,06%) est tempérée par une volatilité élevée (37,5%) et une asymétrie positive (skewness 0,551), suggérant un potentiel de reprise mais avec des risques de fluctuation. **Signaux techniques (Partie 2)** : les indicateurs sont divergents — le MACD et le Stochastique sont haussiers, mais les Moyennes Mobiles restent baissières, plaidant pour une phase de consolidation avant un éventuel rebond. **Fondamentaux (Partie 3)** : la société affiche une rentabilité exceptionnelle (ROE 21,05%) et une structure financière très saine, avec un dividende attractif (rendement ~4%), mais les marges restent sous pression. **Prédictions IA (J+1 à J+10)** : la trajectoire prédite (4 020 → 4 048 FCFA) est légèrement haussière mais modérée, confirmant la phase de stabilisation en cours sans signal fort de rupture.</w:t>
      </w:r>
    </w:p>
    <w:p>
      <w:pPr>
        <w:spacing w:after="120" w:line="276" w:lineRule="auto"/>
      </w:pPr>
      <w:r>
        <w:t>Sur la base de cette synthèse, la recommandation finale est **CONSERVER**. La convergence entre la solidité fondamentale, le dividende attractif et les signaux techniques mitigés ne justifie pas une position d'achat agressive à court terme, mais le potentiel de redressement en 2026 et la qualité du bilan écartent toute vente. Le niveau de confiance est **Moyen**, en raison de l'incertitude sur l'évolution des marges et de la concurrence illégale. Le niveau de risque global est **Moyen** (volatilité élevée mais fondamentaux solides). L'horizon d'investissement optimal est le **moyen terme (3-12 mois)**, en attendant les résultats du S2 2026 qui devraient confirmer ou infirmer la reprise de la rentabilité.</w:t>
      </w:r>
    </w:p>
    <w:p>
      <w:pPr>
        <w:spacing w:after="120" w:line="276" w:lineRule="auto"/>
      </w:pPr>
      <w:r>
        <w: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33.57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5,067 titres</w:t>
            </w:r>
          </w:p>
        </w:tc>
        <w:tc>
          <w:tcPr>
            <w:tcW w:type="dxa" w:w="2268"/>
            <w:shd w:fill="FFF2CC" w:val="clear"/>
          </w:tcPr>
          <w:p>
            <w:r>
              <w:rPr>
                <w:b/>
                <w:color w:val="503200"/>
                <w:sz w:val="16"/>
              </w:rPr>
              <w:t xml:space="preserve">Cours actuel : </w:t>
            </w:r>
            <w:r>
              <w:rPr>
                <w:color w:val="000000"/>
                <w:sz w:val="17"/>
              </w:rPr>
              <w:t>2,630 FCFA</w:t>
            </w:r>
          </w:p>
          <w:p>
            <w:r>
              <w:rPr>
                <w:b/>
                <w:color w:val="503200"/>
                <w:sz w:val="16"/>
              </w:rPr>
              <w:t xml:space="preserve">Var. 100 jours : </w:t>
            </w:r>
            <w:r>
              <w:rPr>
                <w:b/>
                <w:color w:val="007800"/>
                <w:sz w:val="17"/>
              </w:rPr>
              <w:t>+89.89%</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1,370 FCFA</w:t>
            </w:r>
          </w:p>
          <w:p>
            <w:r>
              <w:rPr>
                <w:b/>
                <w:color w:val="503200"/>
                <w:sz w:val="16"/>
              </w:rPr>
              <w:t xml:space="preserve">Volatilité ann. : </w:t>
            </w:r>
            <w:r>
              <w:rPr>
                <w:color w:val="000000"/>
                <w:sz w:val="17"/>
              </w:rPr>
              <w:t>55.4%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30.8/100 → Moyen</w:t>
      </w:r>
    </w:p>
    <w:p>
      <w:pPr>
        <w:spacing w:before="40" w:after="80"/>
      </w:pPr>
      <w:r>
        <w:rPr>
          <w:rFonts w:ascii="Courier New" w:hAnsi="Courier New"/>
          <w:color w:val="825A00"/>
          <w:sz w:val="18"/>
        </w:rPr>
        <w:t>██████░░░░░░░░░░░░░░  30.8/100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17.29% (Élevée) — μ=2,154 FCFA, σ=372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β=-0.2829 (Contre-cyclique) — Cov=-0.000010, Var(idx)=0.000036, ρ=-0.050,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5,067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σ_j=3.49%/j (Modérée) — Vol. annualisée≈55.4%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2026-09-10</w:t>
            </w:r>
          </w:p>
        </w:tc>
        <w:tc>
          <w:tcPr>
            <w:tcW w:type="dxa" w:w="1440"/>
            <w:shd w:fill="FFDCE0" w:val="clear"/>
          </w:tcPr>
          <w:p>
            <w:r>
              <w:rPr>
                <w:sz w:val="17"/>
              </w:rPr>
              <w:t>2,293</w:t>
            </w:r>
          </w:p>
        </w:tc>
        <w:tc>
          <w:tcPr>
            <w:tcW w:type="dxa" w:w="1440"/>
            <w:shd w:fill="FFDCE0" w:val="clear"/>
          </w:tcPr>
          <w:p>
            <w:r>
              <w:rPr>
                <w:b/>
                <w:sz w:val="17"/>
              </w:rPr>
              <w:t>2,433</w:t>
            </w:r>
          </w:p>
        </w:tc>
        <w:tc>
          <w:tcPr>
            <w:tcW w:type="dxa" w:w="1440"/>
            <w:shd w:fill="FFDCE0" w:val="clear"/>
          </w:tcPr>
          <w:p>
            <w:r>
              <w:rPr>
                <w:sz w:val="17"/>
              </w:rPr>
              <w:t>2,573</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2026-09-11</w:t>
            </w:r>
          </w:p>
        </w:tc>
        <w:tc>
          <w:tcPr>
            <w:tcW w:type="dxa" w:w="1440"/>
            <w:shd w:fill="FFDCE0" w:val="clear"/>
          </w:tcPr>
          <w:p>
            <w:r>
              <w:rPr>
                <w:sz w:val="17"/>
              </w:rPr>
              <w:t>2,067</w:t>
            </w:r>
          </w:p>
        </w:tc>
        <w:tc>
          <w:tcPr>
            <w:tcW w:type="dxa" w:w="1440"/>
            <w:shd w:fill="FFDCE0" w:val="clear"/>
          </w:tcPr>
          <w:p>
            <w:r>
              <w:rPr>
                <w:b/>
                <w:sz w:val="17"/>
              </w:rPr>
              <w:t>2,250</w:t>
            </w:r>
          </w:p>
        </w:tc>
        <w:tc>
          <w:tcPr>
            <w:tcW w:type="dxa" w:w="1440"/>
            <w:shd w:fill="FFDCE0" w:val="clear"/>
          </w:tcPr>
          <w:p>
            <w:r>
              <w:rPr>
                <w:sz w:val="17"/>
              </w:rPr>
              <w:t>2,434</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2026-09-14</w:t>
            </w:r>
          </w:p>
        </w:tc>
        <w:tc>
          <w:tcPr>
            <w:tcW w:type="dxa" w:w="1440"/>
            <w:shd w:fill="FFDCE0" w:val="clear"/>
          </w:tcPr>
          <w:p>
            <w:r>
              <w:rPr>
                <w:sz w:val="17"/>
              </w:rPr>
              <w:t>1,874</w:t>
            </w:r>
          </w:p>
        </w:tc>
        <w:tc>
          <w:tcPr>
            <w:tcW w:type="dxa" w:w="1440"/>
            <w:shd w:fill="FFDCE0" w:val="clear"/>
          </w:tcPr>
          <w:p>
            <w:r>
              <w:rPr>
                <w:b/>
                <w:sz w:val="17"/>
              </w:rPr>
              <w:t>2,082</w:t>
            </w:r>
          </w:p>
        </w:tc>
        <w:tc>
          <w:tcPr>
            <w:tcW w:type="dxa" w:w="1440"/>
            <w:shd w:fill="FFDCE0" w:val="clear"/>
          </w:tcPr>
          <w:p>
            <w:r>
              <w:rPr>
                <w:sz w:val="17"/>
              </w:rPr>
              <w:t>2,289</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2026-09-15</w:t>
            </w:r>
          </w:p>
        </w:tc>
        <w:tc>
          <w:tcPr>
            <w:tcW w:type="dxa" w:w="1440"/>
            <w:shd w:fill="FFDCE0" w:val="clear"/>
          </w:tcPr>
          <w:p>
            <w:r>
              <w:rPr>
                <w:sz w:val="17"/>
              </w:rPr>
              <w:t>1,704</w:t>
            </w:r>
          </w:p>
        </w:tc>
        <w:tc>
          <w:tcPr>
            <w:tcW w:type="dxa" w:w="1440"/>
            <w:shd w:fill="FFDCE0" w:val="clear"/>
          </w:tcPr>
          <w:p>
            <w:r>
              <w:rPr>
                <w:b/>
                <w:sz w:val="17"/>
              </w:rPr>
              <w:t>1,925</w:t>
            </w:r>
          </w:p>
        </w:tc>
        <w:tc>
          <w:tcPr>
            <w:tcW w:type="dxa" w:w="1440"/>
            <w:shd w:fill="FFDCE0" w:val="clear"/>
          </w:tcPr>
          <w:p>
            <w:r>
              <w:rPr>
                <w:sz w:val="17"/>
              </w:rPr>
              <w:t>2,147</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2026-09-16</w:t>
            </w:r>
          </w:p>
        </w:tc>
        <w:tc>
          <w:tcPr>
            <w:tcW w:type="dxa" w:w="1440"/>
            <w:shd w:fill="FFDCE0" w:val="clear"/>
          </w:tcPr>
          <w:p>
            <w:r>
              <w:rPr>
                <w:sz w:val="17"/>
              </w:rPr>
              <w:t>1,564</w:t>
            </w:r>
          </w:p>
        </w:tc>
        <w:tc>
          <w:tcPr>
            <w:tcW w:type="dxa" w:w="1440"/>
            <w:shd w:fill="FFDCE0" w:val="clear"/>
          </w:tcPr>
          <w:p>
            <w:r>
              <w:rPr>
                <w:b/>
                <w:sz w:val="17"/>
              </w:rPr>
              <w:t>1,795</w:t>
            </w:r>
          </w:p>
        </w:tc>
        <w:tc>
          <w:tcPr>
            <w:tcW w:type="dxa" w:w="1440"/>
            <w:shd w:fill="FFDCE0" w:val="clear"/>
          </w:tcPr>
          <w:p>
            <w:r>
              <w:rPr>
                <w:sz w:val="17"/>
              </w:rPr>
              <w:t>2,027</w:t>
            </w:r>
          </w:p>
        </w:tc>
        <w:tc>
          <w:tcPr>
            <w:tcW w:type="dxa" w:w="1440"/>
            <w:shd w:fill="FFDCE0" w:val="clear"/>
          </w:tcPr>
          <w:p>
            <w:r>
              <w:rPr>
                <w:b/>
                <w:color w:val="C00000"/>
                <w:sz w:val="17"/>
              </w:rPr>
              <w:t>-31.7%</w:t>
            </w:r>
          </w:p>
        </w:tc>
      </w:tr>
      <w:tr>
        <w:tc>
          <w:tcPr>
            <w:tcW w:type="dxa" w:w="1440"/>
            <w:shd w:fill="FFDCE0" w:val="clear"/>
          </w:tcPr>
          <w:p>
            <w:r>
              <w:rPr>
                <w:sz w:val="17"/>
              </w:rPr>
              <w:t>J+6  ⭐</w:t>
            </w:r>
          </w:p>
        </w:tc>
        <w:tc>
          <w:tcPr>
            <w:tcW w:type="dxa" w:w="1440"/>
            <w:shd w:fill="FFDCE0" w:val="clear"/>
          </w:tcPr>
          <w:p>
            <w:r>
              <w:rPr>
                <w:sz w:val="17"/>
              </w:rPr>
              <w:t>2026-09-17</w:t>
            </w:r>
          </w:p>
        </w:tc>
        <w:tc>
          <w:tcPr>
            <w:tcW w:type="dxa" w:w="1440"/>
            <w:shd w:fill="FFDCE0" w:val="clear"/>
          </w:tcPr>
          <w:p>
            <w:r>
              <w:rPr>
                <w:sz w:val="17"/>
              </w:rPr>
              <w:t>1,474</w:t>
            </w:r>
          </w:p>
        </w:tc>
        <w:tc>
          <w:tcPr>
            <w:tcW w:type="dxa" w:w="1440"/>
            <w:shd w:fill="FFDCE0" w:val="clear"/>
          </w:tcPr>
          <w:p>
            <w:r>
              <w:rPr>
                <w:b/>
                <w:sz w:val="17"/>
              </w:rPr>
              <w:t>1,716</w:t>
            </w:r>
          </w:p>
        </w:tc>
        <w:tc>
          <w:tcPr>
            <w:tcW w:type="dxa" w:w="1440"/>
            <w:shd w:fill="FFDCE0" w:val="clear"/>
          </w:tcPr>
          <w:p>
            <w:r>
              <w:rPr>
                <w:sz w:val="17"/>
              </w:rPr>
              <w:t>1,958</w:t>
            </w:r>
          </w:p>
        </w:tc>
        <w:tc>
          <w:tcPr>
            <w:tcW w:type="dxa" w:w="1440"/>
            <w:shd w:fill="FFDCE0" w:val="clear"/>
          </w:tcPr>
          <w:p>
            <w:r>
              <w:rPr>
                <w:b/>
                <w:color w:val="C00000"/>
                <w:sz w:val="17"/>
              </w:rPr>
              <w:t>-34.8%</w:t>
            </w:r>
          </w:p>
        </w:tc>
      </w:tr>
      <w:tr>
        <w:tc>
          <w:tcPr>
            <w:tcW w:type="dxa" w:w="1440"/>
            <w:shd w:fill="FFDCE0" w:val="clear"/>
          </w:tcPr>
          <w:p>
            <w:r>
              <w:rPr>
                <w:sz w:val="17"/>
              </w:rPr>
              <w:t>J+7  ⭐</w:t>
            </w:r>
          </w:p>
        </w:tc>
        <w:tc>
          <w:tcPr>
            <w:tcW w:type="dxa" w:w="1440"/>
            <w:shd w:fill="FFDCE0" w:val="clear"/>
          </w:tcPr>
          <w:p>
            <w:r>
              <w:rPr>
                <w:sz w:val="17"/>
              </w:rPr>
              <w:t>2026-09-18</w:t>
            </w:r>
          </w:p>
        </w:tc>
        <w:tc>
          <w:tcPr>
            <w:tcW w:type="dxa" w:w="1440"/>
            <w:shd w:fill="FFDCE0" w:val="clear"/>
          </w:tcPr>
          <w:p>
            <w:r>
              <w:rPr>
                <w:sz w:val="17"/>
              </w:rPr>
              <w:t>1,395</w:t>
            </w:r>
          </w:p>
        </w:tc>
        <w:tc>
          <w:tcPr>
            <w:tcW w:type="dxa" w:w="1440"/>
            <w:shd w:fill="FFDCE0" w:val="clear"/>
          </w:tcPr>
          <w:p>
            <w:r>
              <w:rPr>
                <w:b/>
                <w:sz w:val="17"/>
              </w:rPr>
              <w:t>1,646</w:t>
            </w:r>
          </w:p>
        </w:tc>
        <w:tc>
          <w:tcPr>
            <w:tcW w:type="dxa" w:w="1440"/>
            <w:shd w:fill="FFDCE0" w:val="clear"/>
          </w:tcPr>
          <w:p>
            <w:r>
              <w:rPr>
                <w:sz w:val="17"/>
              </w:rPr>
              <w:t>1,897</w:t>
            </w:r>
          </w:p>
        </w:tc>
        <w:tc>
          <w:tcPr>
            <w:tcW w:type="dxa" w:w="1440"/>
            <w:shd w:fill="FFDCE0" w:val="clear"/>
          </w:tcPr>
          <w:p>
            <w:r>
              <w:rPr>
                <w:b/>
                <w:color w:val="C00000"/>
                <w:sz w:val="17"/>
              </w:rPr>
              <w:t>-37.4%</w:t>
            </w:r>
          </w:p>
        </w:tc>
      </w:tr>
      <w:tr>
        <w:tc>
          <w:tcPr>
            <w:tcW w:type="dxa" w:w="1440"/>
            <w:shd w:fill="FFDCE0" w:val="clear"/>
          </w:tcPr>
          <w:p>
            <w:r>
              <w:rPr>
                <w:sz w:val="17"/>
              </w:rPr>
              <w:t>J+8  ⭐</w:t>
            </w:r>
          </w:p>
        </w:tc>
        <w:tc>
          <w:tcPr>
            <w:tcW w:type="dxa" w:w="1440"/>
            <w:shd w:fill="FFDCE0" w:val="clear"/>
          </w:tcPr>
          <w:p>
            <w:r>
              <w:rPr>
                <w:sz w:val="17"/>
              </w:rPr>
              <w:t>2026-09-21</w:t>
            </w:r>
          </w:p>
        </w:tc>
        <w:tc>
          <w:tcPr>
            <w:tcW w:type="dxa" w:w="1440"/>
            <w:shd w:fill="FFDCE0" w:val="clear"/>
          </w:tcPr>
          <w:p>
            <w:r>
              <w:rPr>
                <w:sz w:val="17"/>
              </w:rPr>
              <w:t>1,326</w:t>
            </w:r>
          </w:p>
        </w:tc>
        <w:tc>
          <w:tcPr>
            <w:tcW w:type="dxa" w:w="1440"/>
            <w:shd w:fill="FFDCE0" w:val="clear"/>
          </w:tcPr>
          <w:p>
            <w:r>
              <w:rPr>
                <w:b/>
                <w:sz w:val="17"/>
              </w:rPr>
              <w:t>1,585</w:t>
            </w:r>
          </w:p>
        </w:tc>
        <w:tc>
          <w:tcPr>
            <w:tcW w:type="dxa" w:w="1440"/>
            <w:shd w:fill="FFDCE0" w:val="clear"/>
          </w:tcPr>
          <w:p>
            <w:r>
              <w:rPr>
                <w:sz w:val="17"/>
              </w:rPr>
              <w:t>1,843</w:t>
            </w:r>
          </w:p>
        </w:tc>
        <w:tc>
          <w:tcPr>
            <w:tcW w:type="dxa" w:w="1440"/>
            <w:shd w:fill="FFDCE0" w:val="clear"/>
          </w:tcPr>
          <w:p>
            <w:r>
              <w:rPr>
                <w:b/>
                <w:color w:val="C00000"/>
                <w:sz w:val="17"/>
              </w:rPr>
              <w:t>-39.7%</w:t>
            </w:r>
          </w:p>
        </w:tc>
      </w:tr>
      <w:tr>
        <w:tc>
          <w:tcPr>
            <w:tcW w:type="dxa" w:w="1440"/>
            <w:shd w:fill="FFDCE0" w:val="clear"/>
          </w:tcPr>
          <w:p>
            <w:r>
              <w:rPr>
                <w:sz w:val="17"/>
              </w:rPr>
              <w:t>J+9  ⭐</w:t>
            </w:r>
          </w:p>
        </w:tc>
        <w:tc>
          <w:tcPr>
            <w:tcW w:type="dxa" w:w="1440"/>
            <w:shd w:fill="FFDCE0" w:val="clear"/>
          </w:tcPr>
          <w:p>
            <w:r>
              <w:rPr>
                <w:sz w:val="17"/>
              </w:rPr>
              <w:t>2026-09-22</w:t>
            </w:r>
          </w:p>
        </w:tc>
        <w:tc>
          <w:tcPr>
            <w:tcW w:type="dxa" w:w="1440"/>
            <w:shd w:fill="FFDCE0" w:val="clear"/>
          </w:tcPr>
          <w:p>
            <w:r>
              <w:rPr>
                <w:sz w:val="17"/>
              </w:rPr>
              <w:t>1,265</w:t>
            </w:r>
          </w:p>
        </w:tc>
        <w:tc>
          <w:tcPr>
            <w:tcW w:type="dxa" w:w="1440"/>
            <w:shd w:fill="FFDCE0" w:val="clear"/>
          </w:tcPr>
          <w:p>
            <w:r>
              <w:rPr>
                <w:b/>
                <w:sz w:val="17"/>
              </w:rPr>
              <w:t>1,529</w:t>
            </w:r>
          </w:p>
        </w:tc>
        <w:tc>
          <w:tcPr>
            <w:tcW w:type="dxa" w:w="1440"/>
            <w:shd w:fill="FFDCE0" w:val="clear"/>
          </w:tcPr>
          <w:p>
            <w:r>
              <w:rPr>
                <w:sz w:val="17"/>
              </w:rPr>
              <w:t>1,793</w:t>
            </w:r>
          </w:p>
        </w:tc>
        <w:tc>
          <w:tcPr>
            <w:tcW w:type="dxa" w:w="1440"/>
            <w:shd w:fill="FFDCE0" w:val="clear"/>
          </w:tcPr>
          <w:p>
            <w:r>
              <w:rPr>
                <w:b/>
                <w:color w:val="C00000"/>
                <w:sz w:val="17"/>
              </w:rPr>
              <w:t>-41.9%</w:t>
            </w:r>
          </w:p>
        </w:tc>
      </w:tr>
      <w:tr>
        <w:tc>
          <w:tcPr>
            <w:tcW w:type="dxa" w:w="1440"/>
            <w:shd w:fill="FFDCE0" w:val="clear"/>
          </w:tcPr>
          <w:p>
            <w:r>
              <w:rPr>
                <w:sz w:val="17"/>
              </w:rPr>
              <w:t>J+10  ⭐</w:t>
            </w:r>
          </w:p>
        </w:tc>
        <w:tc>
          <w:tcPr>
            <w:tcW w:type="dxa" w:w="1440"/>
            <w:shd w:fill="FFDCE0" w:val="clear"/>
          </w:tcPr>
          <w:p>
            <w:r>
              <w:rPr>
                <w:sz w:val="17"/>
              </w:rPr>
              <w:t>2026-09-23</w:t>
            </w:r>
          </w:p>
        </w:tc>
        <w:tc>
          <w:tcPr>
            <w:tcW w:type="dxa" w:w="1440"/>
            <w:shd w:fill="FFDCE0" w:val="clear"/>
          </w:tcPr>
          <w:p>
            <w:r>
              <w:rPr>
                <w:sz w:val="17"/>
              </w:rPr>
              <w:t>1,209</w:t>
            </w:r>
          </w:p>
        </w:tc>
        <w:tc>
          <w:tcPr>
            <w:tcW w:type="dxa" w:w="1440"/>
            <w:shd w:fill="FFDCE0" w:val="clear"/>
          </w:tcPr>
          <w:p>
            <w:r>
              <w:rPr>
                <w:b/>
                <w:sz w:val="17"/>
              </w:rPr>
              <w:t>1,478</w:t>
            </w:r>
          </w:p>
        </w:tc>
        <w:tc>
          <w:tcPr>
            <w:tcW w:type="dxa" w:w="1440"/>
            <w:shd w:fill="FFDCE0" w:val="clear"/>
          </w:tcPr>
          <w:p>
            <w:r>
              <w:rPr>
                <w:sz w:val="17"/>
              </w:rPr>
              <w:t>1,748</w:t>
            </w:r>
          </w:p>
        </w:tc>
        <w:tc>
          <w:tcPr>
            <w:tcW w:type="dxa" w:w="1440"/>
            <w:shd w:fill="FFDCE0" w:val="clear"/>
          </w:tcPr>
          <w:p>
            <w:r>
              <w:rPr>
                <w:b/>
                <w:color w:val="C00000"/>
                <w:sz w:val="17"/>
              </w:rPr>
              <w:t>-43.8%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NEIC (NEI-CEDA CI)**</w:t>
        <w:br/>
        <w:t>**Bourse Régionale des Valeurs Mobilières (BRVM) — Secteur : Édition &amp; Diffusion**</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33,57 milliards FCFA, NEIC se positionne comme une valeur de taille moyenne sur le compartiment des sociétés non-financières de la BRVM, ce qui lui confère une liquidité limitée mais un potentiel de réévaluation significatif en cas de choc positif. Le BPA de 160 FCFA/action signifie que chaque titre génère 160 FCFA de bénéfice net, un niveau appréciable qui, rapporté au cours actuel de 2 630 FCFA, donne un PER de 16,5x — soit une prime d'environ 40 à 100% par rapport à la moyenne du marché BRVM (8-12x), traduisant une anticipation de croissance déjà intégrée dans les prix. Le P/B de 5,83x (largement supérieur au seuil de 4x) et l'EV/EBITDA de 24,8x (très au-dessus de 15x) confirment que le marché valorise NEIC bien au-delà de sa valeur comptable et de sa capacité opérationnelle actuelle, ce qui rend le titre exigeant et vulnérable à toute déception sur les résultats. En synthèse, la valorisation n'est ni une anomalie ni une opportunité : elle reflète une prime de qualité et d'anticipation, mais elle exige une exécution irréprochable pour être justifiée.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NEIC affiche une performance spectaculaire de +89,89%, portant le cours de 1 370 FCFA (plus bas) à un sommet de 3 000 FCFA, avant de se replier à 2 630 FCFA, soit une correction de -7,39% sur la dernière séance (J-1). Le range de trading de 1 630 FCFA (soit près de 119% du plus bas) témoigne d'une dynamique haussière puissante, mais la correction récente signale une prise de bénéfices après un rallye vertical. Les statistiques descriptives révèlent une moyenne de 2 154 FCFA légèrement inférieure à la médiane de 2 190 FCFA, ce qui indique une distribution très légèrement asymétrique à gauche (quelques séances de forte baisse tirent la moyenne vers le bas), cohérente avec le skewness positif de 0,229 qui traduit une symétrie quasi-parfaite avec une légère queue à droite. L'écart-type de 374 FCFA (CV = 17,4%) indique une dispersion modérée du cours autour de sa moyenne, tandis que le kurtosis de 0,551 (mésokurtique) suggère une distribution proche de la normale, sans risque excessif de pics extrêmes — un profil rassurant pour les investisseurs. La volatilité annualisée de 55,4% classe NEIC dans la catégorie des titres à volatilité élevée (&gt;30%), ce qui implique un risque de perte en capital significatif à court terme, mais aussi un potentiel de gain proportionnel pour les investisseurs tolérants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(2 619 FCFA) et la MM50 (2 384,3 FCFA) sont toutes deux inférieures au cours actuel (2 630 FCFA), avec la MM20 au-dessus de la MM50 — configuration haussière classique (golden cross). Le cours évolue au-dessus de ses deux moyennes, ce qui confirme la tendance haussière de fond et justifie la décision d'**Achat**. Cependant, l'écart entre le cours et la MM20 est très faible (11 FCFA), ce qui suggère que le titre teste actuellement sa moyenne court terme et pourrait rebondir ou casser selon la réaction des acheteurs.</w:t>
      </w:r>
    </w:p>
    <w:p>
      <w:pPr>
        <w:spacing w:after="120" w:line="276" w:lineRule="auto"/>
      </w:pPr>
      <w:r>
        <w:t>**Bandes de Bollinger** : Le cours (2 630 FCFA) se situe à 44% de la bande supérieure (3 309,28 FCFA) et à 70% de la bande inférieure (1 928,72 FCFA), soit dans la partie médiane-haute du canal. La largeur des bandes (1 380 FCFA d'écart) reflète une volatilité encore élevée, mais le prix n'est ni en surachat extrême ni en survente, ce qui justifie la décision **Neutre** — le marché est en équilibre après la correction récente.</w:t>
      </w:r>
    </w:p>
    <w:p>
      <w:pPr>
        <w:spacing w:after="120" w:line="276" w:lineRule="auto"/>
      </w:pPr>
      <w:r>
        <w:t>**MACD** : La valeur du MACD (166,59) est légèrement inférieure à son signal (168,589), générant un croisement baissier (MACD &lt; Signal) qui indique un essoufflement du momentum haussier. Cette divergence négative, bien que marginale, justifie la décision de **Vente** à court terme, car elle suggère que la pression acheteuse s'affaiblit et qu'une consolidation ou un repli est probable avant une reprise durable.</w:t>
      </w:r>
    </w:p>
    <w:p>
      <w:pPr>
        <w:spacing w:after="120" w:line="276" w:lineRule="auto"/>
      </w:pPr>
      <w:r>
        <w:t>**RSI** : À 68,201, le RSI se situe juste en dessous du seuil de surachat (70), ce qui indique que le titre est proche d'une zone de tension acheteuse mais n'y est pas encore entré. La décision **Neutre** est appropriée : le RSI ne signale ni un retournement imminent ni une opportunité d'achat agressive, mais il invite à la prudence car la marge de progression avant surachat est limitée.</w:t>
      </w:r>
    </w:p>
    <w:p>
      <w:pPr>
        <w:spacing w:after="120" w:line="276" w:lineRule="auto"/>
      </w:pPr>
      <w:r>
        <w:t>**Stochastique** : Le %K (43,077) est nettement inférieur au %D (73,587), ce qui constitue un croisement baissier (le %K coupe le %D à la baisse) et signale un ralentissement de la dynamique haussière. La décision **Neutre** reflète cette configuration ambiguë : le stochastique n'est pas encore en zone de survente (&lt;20), mais le croisement baissier suggère que la pression vendeuse pourrait s'intensifier à court terme.</w:t>
      </w:r>
    </w:p>
    <w:p>
      <w:pPr>
        <w:spacing w:after="120" w:line="276" w:lineRule="auto"/>
      </w:pPr>
      <w:r>
        <w:t>**Conclusion technique** : Les indicateurs sont majoritairement neutres à baissiers à court terme (MACD baissier, Stochastique baissier, RSI proche surachat), mais la tendance de fond reste haussière (MM20 &gt; MM50, cours &gt; MM20). Cette divergence entre momentum court terme (négatif) et tendance moyen terme (positive) suggère une phase de consolidation avant une éventuelle reprise. La décision globale est **Neutre à Conserver**, avec une vigilance sur le support de la MM20 (2 619 FCFA) qui, s'il est cassé, pourrait accélérer la correction vers la MM50 (2 384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NEI-CEDA CI affiche un chiffre d'affaires de 5,139 milliards FCFA, un résultat net de 2,037 milliards FCFA (marge nette exceptionnelle de 39,63%), un ROE de 35,39% (largement supérieur au seuil de 15% considéré comme excellent) et un ROA de 27,25%. La structure financière est très saine avec une autonomie financière de 77,01% (capitaux propres/total bilan), une solvabilité générale de 435,02% et une liquidité générale de 448,86% — tous les indicateurs de solidité sont au vert. Cependant, le taux de croissance du CA est négatif (-23,80%), ce qui signale une contraction de l'activité commerciale, et le BFR de 1,498 milliard FCFA (positif) combiné à un délai client élevé de 154,72 jours (créances clients de 2,209 milliards FCFA) indique un risque de trésorerie important malgré une trésorerie nette positive de 4,196 milliards FCFA. Le flux opérationnel est négatif (-527,07 millions FCFA) et le Free Cash Flow également (-565,91 millions FCFA), ce qui est préoccupant pour la génération de cash récurrente.</w:t>
      </w:r>
    </w:p>
    <w:p>
      <w:pPr>
        <w:spacing w:after="120" w:line="276" w:lineRule="auto"/>
      </w:pPr>
      <w:r>
        <w:t>**Analyse sectorielle (entreprise non-financière)** : Le délai fournisseurs de 69,56 jours est inférieur au délai client de 154,72 jours, ce qui signifie que NEIC paie ses fournisseurs plus rapidement qu'elle n'encaisse ses clients — un déséquilibre qui pèse sur le besoin en fonds de roulement. La durée de stockage de 54,49 jours est modérée, mais combinée au délai client élevé, elle immobilise du capital. La marge brute de 24,45% et la marge opérationnelle de 23,60% sont correctes pour le secteur de l'édition, mais la marge nette de 39,63% est artificiellement gonflée par des éléments non récurrents (reprise de provision).</w:t>
      </w:r>
    </w:p>
    <w:p>
      <w:pPr>
        <w:spacing w:after="120" w:line="276" w:lineRule="auto"/>
      </w:pPr>
      <w:r>
        <w:t>**Estimations basées sur les rapports trimestriels** : Le rapport du T3 2025 (daté du 30/09/2025) indique un chiffre d'affaires de 3,406 milliards FCFA, en baisse de 35% sur un an, et un résultat net de 1,596 milliard FCFA (+125%) dû à une reprise de provision pour redressement fiscal — un élément non récurrent qui ne reflète pas la performance opérationnelle. Le rapport du T1 2026 (daté de 2026) montre un chiffre d'affaires de 115,1 millions FCFA (+137% vs T1 2025), mais une perte nette de -168,9 millions FCFA (en amélioration de 11% vs -189,9 millions FCFA au T1 2025), avec un résultat d'exploitation toujours négatif (-271,5 millions FCFA). On estime donc que l'exercice 2026 devrait bénéficier d'une dynamique commerciale positive (croissance du CA), mais la rentabilité opérationnelle reste fragile et dépendante d'éléments financiers (résultat financier de 41,7 millions FCFA au T1 2026) et non récurrents.</w:t>
      </w:r>
    </w:p>
    <w:p>
      <w:pPr>
        <w:spacing w:after="120" w:line="276" w:lineRule="auto"/>
      </w:pPr>
      <w:r>
        <w:t>**Évolution pluriannuelle** : Les états financiers 2024 (datés du 31/12/2024) faisaient état d'une perte nette de 759,37 millions FCFA, tandis que l'exercice 2025 affiche un bénéfice de 2,037 milliards FCFA — un retournement spectaculaire mais largement attribuable à des éléments exceptionnels. Le rapport 2025 (daté de 2025) confirme un résultat net de 2,04 milliards FCFA (+169%) et un dividende de 2,04 milliards FCFA (100% du résultat net), ce qui limite la capacité d'autofinancement future. La société a versé un dividende de 1,16 milliard FCFA en 2024 (sur les bénéfices antérieurs), ce qui a réduit sa trésorerie.</w:t>
      </w:r>
    </w:p>
    <w:p>
      <w:pPr>
        <w:spacing w:after="120" w:line="276" w:lineRule="auto"/>
      </w:pPr>
      <w:r>
        <w:t>**Recommandation fondamentale** : NEIC présente une solidité financière indéniable (capitaux propres élevés, faible endettement, trésorerie positive), mais sa performance opérationnelle est en recul (CA -23,8% en 2025) et sa rentabilité dépend d'éléments non récurrents. Les risques principaux sont la dépendance aux marchés publics (contrats cycliques), la digitalisation du secteur qui menace le modèle traditionnel, et la politique de distribution de 100% du résultat qui épuise les réserves. La recommandation fondamentale est **CONSERVER** avec une vigilance accrue sur la capacité à générer des flux de trésorerie opérationnels positifs et à stabiliser le chiffre d'affaires.</w:t>
      </w:r>
    </w:p>
    <w:p>
      <w:pPr>
        <w:spacing w:after="120" w:line="276" w:lineRule="auto"/>
      </w:pPr>
      <w:r>
        <w:t>---</w:t>
      </w:r>
    </w:p>
    <w:p>
      <w:pPr>
        <w:spacing w:after="120" w:line="276" w:lineRule="auto"/>
      </w:pPr>
      <w:r>
        <w:t>## PARTIE 4 : CONCLUSION D'INVESTISSEMENT</w:t>
      </w:r>
    </w:p>
    <w:p>
      <w:pPr>
        <w:spacing w:after="120" w:line="276" w:lineRule="auto"/>
      </w:pPr>
      <w:r>
        <w:t>La valorisation (Partie 0) indique une **surévaluation relative** : PER de 16,5x (prime de 40-100% vs marché), P/B de 5,83x et EV/EBITDA de 24,8x — le marché paie cher pour une croissance qui n'est pas encore confirmée dans les flux opérationnels. Le comportement du cours (Partie 1) est **favorable mais préoccupant** : hausse de +89,89% sur 100 jours, volatilité élevée (55,4%), distribution proche de la normale (kurtosis 0,551, skewness 0,229) mais correction récente de -7,39% qui pourrait signaler un retournement à court terme. Les signaux techniques (Partie 2) sont **divergents** : tendance de fond haussière (MM20 &gt; MM50) mais momentum court terme baissier (MACD &lt; Signal, Stochastique baissier, RSI proche surachat), ce qui plaide pour une consolidation avant une reprise. Les fondamentaux (Partie 3) sont **mitigés** : solidité financière exceptionnelle (ROE 35,39%, autonomie financière 77,01%) mais contraction du CA (-23,8% en 2025) et dépendance à des éléments non récurrents pour la rentabilité. Les prédictions IA (J+1 à J+10) anticipent une **baisse significative** de 2 433 FCFA à 1 795 FCFA (-31,8% en 10 jours), ce qui contredit la tendance haussière de fond et confirme les signaux baissiers à court terme.</w:t>
      </w:r>
    </w:p>
    <w:p>
      <w:pPr>
        <w:spacing w:after="120" w:line="276" w:lineRule="auto"/>
      </w:pPr>
      <w:r>
        <w:t>**Recommandation finale : CONSERVER (avec vigilance)** — Justification : la convergence entre la surévaluation (Partie 0), les signaux techniques baissiers à court terme (Partie 2) et les prédictions IA baissières (Partie 4) suggère une correction imminente, mais la solidité financière (Partie 3) et la tendance haussière de fond (Partie 1) empêchent une vente agressive. **Niveau de confiance : Moyen** (les indicateurs sont divergents, ce qui réduit la lisibilité). **Niveau de risque global : Élevé** (volatilité de 55,4%, dépendance aux éléments non récurrents, prédictions baissières). **Horizon d'investissement optimal : Moyen terme (3-12 mois)** — attendre la confirmation de la stabilisation du CA et de la rentabilité opérationnelle avant d'envisager un renforcement, ou une cassure du support de 2 619 FCFA (MM20) pour envisager une vente.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604.76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2,449 titres</w:t>
            </w:r>
          </w:p>
        </w:tc>
        <w:tc>
          <w:tcPr>
            <w:tcW w:type="dxa" w:w="2268"/>
            <w:shd w:fill="FFF2CC" w:val="clear"/>
          </w:tcPr>
          <w:p>
            <w:r>
              <w:rPr>
                <w:b/>
                <w:color w:val="503200"/>
                <w:sz w:val="16"/>
              </w:rPr>
              <w:t xml:space="preserve">Cours actuel : </w:t>
            </w:r>
            <w:r>
              <w:rPr>
                <w:color w:val="000000"/>
                <w:sz w:val="17"/>
              </w:rPr>
              <w:t>24,450 FCFA</w:t>
            </w:r>
          </w:p>
          <w:p>
            <w:r>
              <w:rPr>
                <w:b/>
                <w:color w:val="503200"/>
                <w:sz w:val="16"/>
              </w:rPr>
              <w:t xml:space="preserve">Var. 100 jours : </w:t>
            </w:r>
            <w:r>
              <w:rPr>
                <w:b/>
                <w:color w:val="007800"/>
                <w:sz w:val="17"/>
              </w:rPr>
              <w:t>+72.55%</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39.5%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33.1/100 → Moyen</w:t>
      </w:r>
    </w:p>
    <w:p>
      <w:pPr>
        <w:spacing w:before="40" w:after="80"/>
      </w:pPr>
      <w:r>
        <w:rPr>
          <w:rFonts w:ascii="Courier New" w:hAnsi="Courier New"/>
          <w:color w:val="825A00"/>
          <w:sz w:val="18"/>
        </w:rPr>
        <w:t>██████░░░░░░░░░░░░░░  33.1/100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17.78% (Élevée) — μ=19,710 FCFA, σ=3,504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β=1.2255 (Agressif) — Cov=0.000045, Var(idx)=0.000036, ρ=0.295,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2,449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σ_j=2.49%/j (Stable) — Vol. annualisée≈39.5%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2026-09-10</w:t>
            </w:r>
          </w:p>
        </w:tc>
        <w:tc>
          <w:tcPr>
            <w:tcW w:type="dxa" w:w="1440"/>
            <w:shd w:fill="C6EFCE" w:val="clear"/>
          </w:tcPr>
          <w:p>
            <w:r>
              <w:rPr>
                <w:sz w:val="17"/>
              </w:rPr>
              <w:t>24,262</w:t>
            </w:r>
          </w:p>
        </w:tc>
        <w:tc>
          <w:tcPr>
            <w:tcW w:type="dxa" w:w="1440"/>
            <w:shd w:fill="C6EFCE" w:val="clear"/>
          </w:tcPr>
          <w:p>
            <w:r>
              <w:rPr>
                <w:b/>
                <w:sz w:val="17"/>
              </w:rPr>
              <w:t>24,955</w:t>
            </w:r>
          </w:p>
        </w:tc>
        <w:tc>
          <w:tcPr>
            <w:tcW w:type="dxa" w:w="1440"/>
            <w:shd w:fill="C6EFCE" w:val="clear"/>
          </w:tcPr>
          <w:p>
            <w:r>
              <w:rPr>
                <w:sz w:val="17"/>
              </w:rPr>
              <w:t>25,648</w:t>
            </w:r>
          </w:p>
        </w:tc>
        <w:tc>
          <w:tcPr>
            <w:tcW w:type="dxa" w:w="1440"/>
            <w:shd w:fill="C6EFCE" w:val="clear"/>
          </w:tcPr>
          <w:p>
            <w:r>
              <w:rPr>
                <w:b/>
                <w:color w:val="008000"/>
                <w:sz w:val="17"/>
              </w:rPr>
              <w:t>+2.1%</w:t>
            </w:r>
          </w:p>
        </w:tc>
      </w:tr>
      <w:tr>
        <w:tc>
          <w:tcPr>
            <w:tcW w:type="dxa" w:w="1440"/>
            <w:shd w:fill="C6EFCE" w:val="clear"/>
          </w:tcPr>
          <w:p>
            <w:r>
              <w:rPr>
                <w:sz w:val="17"/>
              </w:rPr>
              <w:t>J+2  ⭐⭐⭐</w:t>
            </w:r>
          </w:p>
        </w:tc>
        <w:tc>
          <w:tcPr>
            <w:tcW w:type="dxa" w:w="1440"/>
            <w:shd w:fill="C6EFCE" w:val="clear"/>
          </w:tcPr>
          <w:p>
            <w:r>
              <w:rPr>
                <w:sz w:val="17"/>
              </w:rPr>
              <w:t>2026-09-11</w:t>
            </w:r>
          </w:p>
        </w:tc>
        <w:tc>
          <w:tcPr>
            <w:tcW w:type="dxa" w:w="1440"/>
            <w:shd w:fill="C6EFCE" w:val="clear"/>
          </w:tcPr>
          <w:p>
            <w:r>
              <w:rPr>
                <w:sz w:val="17"/>
              </w:rPr>
              <w:t>24,365</w:t>
            </w:r>
          </w:p>
        </w:tc>
        <w:tc>
          <w:tcPr>
            <w:tcW w:type="dxa" w:w="1440"/>
            <w:shd w:fill="C6EFCE" w:val="clear"/>
          </w:tcPr>
          <w:p>
            <w:r>
              <w:rPr>
                <w:b/>
                <w:sz w:val="17"/>
              </w:rPr>
              <w:t>25,362</w:t>
            </w:r>
          </w:p>
        </w:tc>
        <w:tc>
          <w:tcPr>
            <w:tcW w:type="dxa" w:w="1440"/>
            <w:shd w:fill="C6EFCE" w:val="clear"/>
          </w:tcPr>
          <w:p>
            <w:r>
              <w:rPr>
                <w:sz w:val="17"/>
              </w:rPr>
              <w:t>26,358</w:t>
            </w:r>
          </w:p>
        </w:tc>
        <w:tc>
          <w:tcPr>
            <w:tcW w:type="dxa" w:w="1440"/>
            <w:shd w:fill="C6EFCE" w:val="clear"/>
          </w:tcPr>
          <w:p>
            <w:r>
              <w:rPr>
                <w:b/>
                <w:color w:val="008000"/>
                <w:sz w:val="17"/>
              </w:rPr>
              <w:t>+3.7%</w:t>
            </w:r>
          </w:p>
        </w:tc>
      </w:tr>
      <w:tr>
        <w:tc>
          <w:tcPr>
            <w:tcW w:type="dxa" w:w="1440"/>
            <w:shd w:fill="C6EFCE" w:val="clear"/>
          </w:tcPr>
          <w:p>
            <w:r>
              <w:rPr>
                <w:sz w:val="17"/>
              </w:rPr>
              <w:t>J+3  ⭐⭐⭐</w:t>
            </w:r>
          </w:p>
        </w:tc>
        <w:tc>
          <w:tcPr>
            <w:tcW w:type="dxa" w:w="1440"/>
            <w:shd w:fill="C6EFCE" w:val="clear"/>
          </w:tcPr>
          <w:p>
            <w:r>
              <w:rPr>
                <w:sz w:val="17"/>
              </w:rPr>
              <w:t>2026-09-14</w:t>
            </w:r>
          </w:p>
        </w:tc>
        <w:tc>
          <w:tcPr>
            <w:tcW w:type="dxa" w:w="1440"/>
            <w:shd w:fill="C6EFCE" w:val="clear"/>
          </w:tcPr>
          <w:p>
            <w:r>
              <w:rPr>
                <w:sz w:val="17"/>
              </w:rPr>
              <w:t>24,522</w:t>
            </w:r>
          </w:p>
        </w:tc>
        <w:tc>
          <w:tcPr>
            <w:tcW w:type="dxa" w:w="1440"/>
            <w:shd w:fill="C6EFCE" w:val="clear"/>
          </w:tcPr>
          <w:p>
            <w:r>
              <w:rPr>
                <w:b/>
                <w:sz w:val="17"/>
              </w:rPr>
              <w:t>25,762</w:t>
            </w:r>
          </w:p>
        </w:tc>
        <w:tc>
          <w:tcPr>
            <w:tcW w:type="dxa" w:w="1440"/>
            <w:shd w:fill="C6EFCE" w:val="clear"/>
          </w:tcPr>
          <w:p>
            <w:r>
              <w:rPr>
                <w:sz w:val="17"/>
              </w:rPr>
              <w:t>27,002</w:t>
            </w:r>
          </w:p>
        </w:tc>
        <w:tc>
          <w:tcPr>
            <w:tcW w:type="dxa" w:w="1440"/>
            <w:shd w:fill="C6EFCE" w:val="clear"/>
          </w:tcPr>
          <w:p>
            <w:r>
              <w:rPr>
                <w:b/>
                <w:color w:val="008000"/>
                <w:sz w:val="17"/>
              </w:rPr>
              <w:t>+5.4%</w:t>
            </w:r>
          </w:p>
        </w:tc>
      </w:tr>
      <w:tr>
        <w:tc>
          <w:tcPr>
            <w:tcW w:type="dxa" w:w="1440"/>
            <w:shd w:fill="C6EFCE" w:val="clear"/>
          </w:tcPr>
          <w:p>
            <w:r>
              <w:rPr>
                <w:sz w:val="17"/>
              </w:rPr>
              <w:t>J+4  Moyenne</w:t>
            </w:r>
          </w:p>
        </w:tc>
        <w:tc>
          <w:tcPr>
            <w:tcW w:type="dxa" w:w="1440"/>
            <w:shd w:fill="C6EFCE" w:val="clear"/>
          </w:tcPr>
          <w:p>
            <w:r>
              <w:rPr>
                <w:sz w:val="17"/>
              </w:rPr>
              <w:t>2026-09-15</w:t>
            </w:r>
          </w:p>
        </w:tc>
        <w:tc>
          <w:tcPr>
            <w:tcW w:type="dxa" w:w="1440"/>
            <w:shd w:fill="C6EFCE" w:val="clear"/>
          </w:tcPr>
          <w:p>
            <w:r>
              <w:rPr>
                <w:sz w:val="17"/>
              </w:rPr>
              <w:t>24,699</w:t>
            </w:r>
          </w:p>
        </w:tc>
        <w:tc>
          <w:tcPr>
            <w:tcW w:type="dxa" w:w="1440"/>
            <w:shd w:fill="C6EFCE" w:val="clear"/>
          </w:tcPr>
          <w:p>
            <w:r>
              <w:rPr>
                <w:b/>
                <w:sz w:val="17"/>
              </w:rPr>
              <w:t>26,152</w:t>
            </w:r>
          </w:p>
        </w:tc>
        <w:tc>
          <w:tcPr>
            <w:tcW w:type="dxa" w:w="1440"/>
            <w:shd w:fill="C6EFCE" w:val="clear"/>
          </w:tcPr>
          <w:p>
            <w:r>
              <w:rPr>
                <w:sz w:val="17"/>
              </w:rPr>
              <w:t>27,605</w:t>
            </w:r>
          </w:p>
        </w:tc>
        <w:tc>
          <w:tcPr>
            <w:tcW w:type="dxa" w:w="1440"/>
            <w:shd w:fill="C6EFCE" w:val="clear"/>
          </w:tcPr>
          <w:p>
            <w:r>
              <w:rPr>
                <w:b/>
                <w:color w:val="008000"/>
                <w:sz w:val="17"/>
              </w:rPr>
              <w:t>+7.0%</w:t>
            </w:r>
          </w:p>
        </w:tc>
      </w:tr>
      <w:tr>
        <w:tc>
          <w:tcPr>
            <w:tcW w:type="dxa" w:w="1440"/>
            <w:shd w:fill="C6EFCE" w:val="clear"/>
          </w:tcPr>
          <w:p>
            <w:r>
              <w:rPr>
                <w:sz w:val="17"/>
              </w:rPr>
              <w:t>J+5  Moyenne</w:t>
            </w:r>
          </w:p>
        </w:tc>
        <w:tc>
          <w:tcPr>
            <w:tcW w:type="dxa" w:w="1440"/>
            <w:shd w:fill="C6EFCE" w:val="clear"/>
          </w:tcPr>
          <w:p>
            <w:r>
              <w:rPr>
                <w:sz w:val="17"/>
              </w:rPr>
              <w:t>2026-09-16</w:t>
            </w:r>
          </w:p>
        </w:tc>
        <w:tc>
          <w:tcPr>
            <w:tcW w:type="dxa" w:w="1440"/>
            <w:shd w:fill="C6EFCE" w:val="clear"/>
          </w:tcPr>
          <w:p>
            <w:r>
              <w:rPr>
                <w:sz w:val="17"/>
              </w:rPr>
              <w:t>24,890</w:t>
            </w:r>
          </w:p>
        </w:tc>
        <w:tc>
          <w:tcPr>
            <w:tcW w:type="dxa" w:w="1440"/>
            <w:shd w:fill="C6EFCE" w:val="clear"/>
          </w:tcPr>
          <w:p>
            <w:r>
              <w:rPr>
                <w:b/>
                <w:sz w:val="17"/>
              </w:rPr>
              <w:t>26,539</w:t>
            </w:r>
          </w:p>
        </w:tc>
        <w:tc>
          <w:tcPr>
            <w:tcW w:type="dxa" w:w="1440"/>
            <w:shd w:fill="C6EFCE" w:val="clear"/>
          </w:tcPr>
          <w:p>
            <w:r>
              <w:rPr>
                <w:sz w:val="17"/>
              </w:rPr>
              <w:t>28,188</w:t>
            </w:r>
          </w:p>
        </w:tc>
        <w:tc>
          <w:tcPr>
            <w:tcW w:type="dxa" w:w="1440"/>
            <w:shd w:fill="C6EFCE" w:val="clear"/>
          </w:tcPr>
          <w:p>
            <w:r>
              <w:rPr>
                <w:b/>
                <w:color w:val="008000"/>
                <w:sz w:val="17"/>
              </w:rPr>
              <w:t>+8.5%</w:t>
            </w:r>
          </w:p>
        </w:tc>
      </w:tr>
      <w:tr>
        <w:tc>
          <w:tcPr>
            <w:tcW w:type="dxa" w:w="1440"/>
            <w:shd w:fill="C6EFCE" w:val="clear"/>
          </w:tcPr>
          <w:p>
            <w:r>
              <w:rPr>
                <w:sz w:val="17"/>
              </w:rPr>
              <w:t>J+6  Moyenne</w:t>
            </w:r>
          </w:p>
        </w:tc>
        <w:tc>
          <w:tcPr>
            <w:tcW w:type="dxa" w:w="1440"/>
            <w:shd w:fill="C6EFCE" w:val="clear"/>
          </w:tcPr>
          <w:p>
            <w:r>
              <w:rPr>
                <w:sz w:val="17"/>
              </w:rPr>
              <w:t>2026-09-17</w:t>
            </w:r>
          </w:p>
        </w:tc>
        <w:tc>
          <w:tcPr>
            <w:tcW w:type="dxa" w:w="1440"/>
            <w:shd w:fill="C6EFCE" w:val="clear"/>
          </w:tcPr>
          <w:p>
            <w:r>
              <w:rPr>
                <w:sz w:val="17"/>
              </w:rPr>
              <w:t>25,092</w:t>
            </w:r>
          </w:p>
        </w:tc>
        <w:tc>
          <w:tcPr>
            <w:tcW w:type="dxa" w:w="1440"/>
            <w:shd w:fill="C6EFCE" w:val="clear"/>
          </w:tcPr>
          <w:p>
            <w:r>
              <w:rPr>
                <w:b/>
                <w:sz w:val="17"/>
              </w:rPr>
              <w:t>26,925</w:t>
            </w:r>
          </w:p>
        </w:tc>
        <w:tc>
          <w:tcPr>
            <w:tcW w:type="dxa" w:w="1440"/>
            <w:shd w:fill="C6EFCE" w:val="clear"/>
          </w:tcPr>
          <w:p>
            <w:r>
              <w:rPr>
                <w:sz w:val="17"/>
              </w:rPr>
              <w:t>28,757</w:t>
            </w:r>
          </w:p>
        </w:tc>
        <w:tc>
          <w:tcPr>
            <w:tcW w:type="dxa" w:w="1440"/>
            <w:shd w:fill="C6EFCE" w:val="clear"/>
          </w:tcPr>
          <w:p>
            <w:r>
              <w:rPr>
                <w:b/>
                <w:color w:val="008000"/>
                <w:sz w:val="17"/>
              </w:rPr>
              <w:t>+10.1%</w:t>
            </w:r>
          </w:p>
        </w:tc>
      </w:tr>
      <w:tr>
        <w:tc>
          <w:tcPr>
            <w:tcW w:type="dxa" w:w="1440"/>
            <w:shd w:fill="C6EFCE" w:val="clear"/>
          </w:tcPr>
          <w:p>
            <w:r>
              <w:rPr>
                <w:sz w:val="17"/>
              </w:rPr>
              <w:t>J+7  Moyenne</w:t>
            </w:r>
          </w:p>
        </w:tc>
        <w:tc>
          <w:tcPr>
            <w:tcW w:type="dxa" w:w="1440"/>
            <w:shd w:fill="C6EFCE" w:val="clear"/>
          </w:tcPr>
          <w:p>
            <w:r>
              <w:rPr>
                <w:sz w:val="17"/>
              </w:rPr>
              <w:t>2026-09-18</w:t>
            </w:r>
          </w:p>
        </w:tc>
        <w:tc>
          <w:tcPr>
            <w:tcW w:type="dxa" w:w="1440"/>
            <w:shd w:fill="C6EFCE" w:val="clear"/>
          </w:tcPr>
          <w:p>
            <w:r>
              <w:rPr>
                <w:sz w:val="17"/>
              </w:rPr>
              <w:t>25,301</w:t>
            </w:r>
          </w:p>
        </w:tc>
        <w:tc>
          <w:tcPr>
            <w:tcW w:type="dxa" w:w="1440"/>
            <w:shd w:fill="C6EFCE" w:val="clear"/>
          </w:tcPr>
          <w:p>
            <w:r>
              <w:rPr>
                <w:b/>
                <w:sz w:val="17"/>
              </w:rPr>
              <w:t>27,308</w:t>
            </w:r>
          </w:p>
        </w:tc>
        <w:tc>
          <w:tcPr>
            <w:tcW w:type="dxa" w:w="1440"/>
            <w:shd w:fill="C6EFCE" w:val="clear"/>
          </w:tcPr>
          <w:p>
            <w:r>
              <w:rPr>
                <w:sz w:val="17"/>
              </w:rPr>
              <w:t>29,316</w:t>
            </w:r>
          </w:p>
        </w:tc>
        <w:tc>
          <w:tcPr>
            <w:tcW w:type="dxa" w:w="1440"/>
            <w:shd w:fill="C6EFCE" w:val="clear"/>
          </w:tcPr>
          <w:p>
            <w:r>
              <w:rPr>
                <w:b/>
                <w:color w:val="008000"/>
                <w:sz w:val="17"/>
              </w:rPr>
              <w:t>+11.7%</w:t>
            </w:r>
          </w:p>
        </w:tc>
      </w:tr>
      <w:tr>
        <w:tc>
          <w:tcPr>
            <w:tcW w:type="dxa" w:w="1440"/>
            <w:shd w:fill="C6EFCE" w:val="clear"/>
          </w:tcPr>
          <w:p>
            <w:r>
              <w:rPr>
                <w:sz w:val="17"/>
              </w:rPr>
              <w:t>J+8  Moyenne</w:t>
            </w:r>
          </w:p>
        </w:tc>
        <w:tc>
          <w:tcPr>
            <w:tcW w:type="dxa" w:w="1440"/>
            <w:shd w:fill="C6EFCE" w:val="clear"/>
          </w:tcPr>
          <w:p>
            <w:r>
              <w:rPr>
                <w:sz w:val="17"/>
              </w:rPr>
              <w:t>2026-09-21</w:t>
            </w:r>
          </w:p>
        </w:tc>
        <w:tc>
          <w:tcPr>
            <w:tcW w:type="dxa" w:w="1440"/>
            <w:shd w:fill="C6EFCE" w:val="clear"/>
          </w:tcPr>
          <w:p>
            <w:r>
              <w:rPr>
                <w:sz w:val="17"/>
              </w:rPr>
              <w:t>25,512</w:t>
            </w:r>
          </w:p>
        </w:tc>
        <w:tc>
          <w:tcPr>
            <w:tcW w:type="dxa" w:w="1440"/>
            <w:shd w:fill="C6EFCE" w:val="clear"/>
          </w:tcPr>
          <w:p>
            <w:r>
              <w:rPr>
                <w:b/>
                <w:sz w:val="17"/>
              </w:rPr>
              <w:t>27,688</w:t>
            </w:r>
          </w:p>
        </w:tc>
        <w:tc>
          <w:tcPr>
            <w:tcW w:type="dxa" w:w="1440"/>
            <w:shd w:fill="C6EFCE" w:val="clear"/>
          </w:tcPr>
          <w:p>
            <w:r>
              <w:rPr>
                <w:sz w:val="17"/>
              </w:rPr>
              <w:t>29,864</w:t>
            </w:r>
          </w:p>
        </w:tc>
        <w:tc>
          <w:tcPr>
            <w:tcW w:type="dxa" w:w="1440"/>
            <w:shd w:fill="C6EFCE" w:val="clear"/>
          </w:tcPr>
          <w:p>
            <w:r>
              <w:rPr>
                <w:b/>
                <w:color w:val="008000"/>
                <w:sz w:val="17"/>
              </w:rPr>
              <w:t>+13.2%</w:t>
            </w:r>
          </w:p>
        </w:tc>
      </w:tr>
      <w:tr>
        <w:tc>
          <w:tcPr>
            <w:tcW w:type="dxa" w:w="1440"/>
            <w:shd w:fill="C6EFCE" w:val="clear"/>
          </w:tcPr>
          <w:p>
            <w:r>
              <w:rPr>
                <w:sz w:val="17"/>
              </w:rPr>
              <w:t>J+9  Moyenne</w:t>
            </w:r>
          </w:p>
        </w:tc>
        <w:tc>
          <w:tcPr>
            <w:tcW w:type="dxa" w:w="1440"/>
            <w:shd w:fill="C6EFCE" w:val="clear"/>
          </w:tcPr>
          <w:p>
            <w:r>
              <w:rPr>
                <w:sz w:val="17"/>
              </w:rPr>
              <w:t>2026-09-22</w:t>
            </w:r>
          </w:p>
        </w:tc>
        <w:tc>
          <w:tcPr>
            <w:tcW w:type="dxa" w:w="1440"/>
            <w:shd w:fill="C6EFCE" w:val="clear"/>
          </w:tcPr>
          <w:p>
            <w:r>
              <w:rPr>
                <w:sz w:val="17"/>
              </w:rPr>
              <w:t>25,726</w:t>
            </w:r>
          </w:p>
        </w:tc>
        <w:tc>
          <w:tcPr>
            <w:tcW w:type="dxa" w:w="1440"/>
            <w:shd w:fill="C6EFCE" w:val="clear"/>
          </w:tcPr>
          <w:p>
            <w:r>
              <w:rPr>
                <w:b/>
                <w:sz w:val="17"/>
              </w:rPr>
              <w:t>28,066</w:t>
            </w:r>
          </w:p>
        </w:tc>
        <w:tc>
          <w:tcPr>
            <w:tcW w:type="dxa" w:w="1440"/>
            <w:shd w:fill="C6EFCE" w:val="clear"/>
          </w:tcPr>
          <w:p>
            <w:r>
              <w:rPr>
                <w:sz w:val="17"/>
              </w:rPr>
              <w:t>30,405</w:t>
            </w:r>
          </w:p>
        </w:tc>
        <w:tc>
          <w:tcPr>
            <w:tcW w:type="dxa" w:w="1440"/>
            <w:shd w:fill="C6EFCE" w:val="clear"/>
          </w:tcPr>
          <w:p>
            <w:r>
              <w:rPr>
                <w:b/>
                <w:color w:val="008000"/>
                <w:sz w:val="17"/>
              </w:rPr>
              <w:t>+14.8%</w:t>
            </w:r>
          </w:p>
        </w:tc>
      </w:tr>
      <w:tr>
        <w:tc>
          <w:tcPr>
            <w:tcW w:type="dxa" w:w="1440"/>
            <w:shd w:fill="C6EFCE" w:val="clear"/>
          </w:tcPr>
          <w:p>
            <w:r>
              <w:rPr>
                <w:sz w:val="17"/>
              </w:rPr>
              <w:t>J+10  Moyenne</w:t>
            </w:r>
          </w:p>
        </w:tc>
        <w:tc>
          <w:tcPr>
            <w:tcW w:type="dxa" w:w="1440"/>
            <w:shd w:fill="C6EFCE" w:val="clear"/>
          </w:tcPr>
          <w:p>
            <w:r>
              <w:rPr>
                <w:sz w:val="17"/>
              </w:rPr>
              <w:t>2026-09-23</w:t>
            </w:r>
          </w:p>
        </w:tc>
        <w:tc>
          <w:tcPr>
            <w:tcW w:type="dxa" w:w="1440"/>
            <w:shd w:fill="C6EFCE" w:val="clear"/>
          </w:tcPr>
          <w:p>
            <w:r>
              <w:rPr>
                <w:sz w:val="17"/>
              </w:rPr>
              <w:t>25,940</w:t>
            </w:r>
          </w:p>
        </w:tc>
        <w:tc>
          <w:tcPr>
            <w:tcW w:type="dxa" w:w="1440"/>
            <w:shd w:fill="C6EFCE" w:val="clear"/>
          </w:tcPr>
          <w:p>
            <w:r>
              <w:rPr>
                <w:b/>
                <w:sz w:val="17"/>
              </w:rPr>
              <w:t>28,439</w:t>
            </w:r>
          </w:p>
        </w:tc>
        <w:tc>
          <w:tcPr>
            <w:tcW w:type="dxa" w:w="1440"/>
            <w:shd w:fill="C6EFCE" w:val="clear"/>
          </w:tcPr>
          <w:p>
            <w:r>
              <w:rPr>
                <w:sz w:val="17"/>
              </w:rPr>
              <w:t>30,937</w:t>
            </w:r>
          </w:p>
        </w:tc>
        <w:tc>
          <w:tcPr>
            <w:tcW w:type="dxa" w:w="1440"/>
            <w:shd w:fill="C6EFCE" w:val="clear"/>
          </w:tcPr>
          <w:p>
            <w:r>
              <w:rPr>
                <w:b/>
                <w:color w:val="008000"/>
                <w:sz w:val="17"/>
              </w:rPr>
              <w:t>+16.3%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**RAPPORT D'ANALYSE FINANCIÈRE — NSBC (NSIA Banque Côte d'Ivoire)**</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604,76 Mds FCFA, NSBC s'impose comme l'une des valeurs bancaires majeures de la cote BRVM, reflétant la solidité de son bilan de 3 073 Mds FCFA. Le BPA de 1 646 FCFA/action signifie que chaque titre génère près de 1 650 FCFA de bénéfice net, un niveau de rentabilité par action remarquable pour le secteur. Le PER de 14,9x se situe au-dessus de la moyenne BRVM (~8-12x), traduisant une prime de qualité que les investisseurs accordent à la banque, sans pour autant basculer dans une zone de surévaluation spéculative. Le P/B de 2,59x indique que le marché valorise NSBC à 2,6 fois sa valeur comptable (233,3 Mds FCFA de capitaux propres), soit une prime de croissance justifiée par un ROE de 17,45%. En revanche, l'EV/EBITDA de 22,2x apparaît très exigeant (&gt;15x), signalant que la valeur d'entreprise intègre déjà une bonne partie des anticipations de croissance future, ce qui limite la marge de sécurité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NSBC affiche une performance spectaculaire de +72,55%, avec un cours actuel de 24 450 FCFA, en léger repli de -0,20% sur la dernière séance (J-1), signe d'une pause après un rallye haussier soutenu. Le range de trading est très large, entre un plus bas de 13 810 FCFA et un plus haut de 24 885 FCFA, soit une amplitude de plus de 80%, ce qui témoigne d'une tendance nettement haussière portée par un fort intérêt acheteur. La moyenne (19 710 FCFA) et la médiane (19 700 FCFA) sont quasi identiques, confirmant une distribution globalement équilibrée sur la période, tandis que le mode à 13 900 FCFA rappelle que le titre a longtemps stagné avant son envolée. L'écart-type de 3 522 FCFA et le coefficient de variation de 17,9% indiquent une dispersion modérée du cours autour de sa moyenne, cohérente avec un titre en tendance. Le kurtosis de -1,085 (distribution platykurtique) suggère une faible concentration des rendements et un risque de pics extrêmes limité, tandis que le skewness de -0,478 (distribution légèrement asymétrique à gauche) signale une proportion plus élevée de séances de baisse modérée que de hausse extrême. La volatilité annualisée de 39,5% classe NSBC dans la catégorie des titres à volatilité élevée (&gt;30%), ce qui implique un risque de marché significatif mais aussi un potentiel de rendement attractif pour les investisseurs avertis.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(23 205 FCFA) et la MM50 (22 655,3 FCFA) se situent toutes deux sous le cours actuel (24 450 FCFA), avec une MM20 supérieure à la MM50, configurant un croisement haussier classique. Cette configuration confirme la tendance positive de fond et justifie la décision technique d'**Achat**, le cours évoluant au-dessus de ses supports dynamiques.</w:t>
      </w:r>
    </w:p>
    <w:p>
      <w:pPr>
        <w:spacing w:after="120" w:line="276" w:lineRule="auto"/>
      </w:pPr>
      <w:r>
        <w:t>**Bandes de Bollinger** : Le cours (24 450 FCFA) évolue tout près de la borne supérieure (24 513,65 FCFA) et très au-dessus de la borne inférieure (21 896,35 FCFA), signe d'une pression acheteuse forte mais d'un potentiel de correction à court terme. La décision est **Neutre**, car le titre frôle la zone de surachat technique sans confirmation de retournement.</w:t>
      </w:r>
    </w:p>
    <w:p>
      <w:pPr>
        <w:spacing w:after="120" w:line="276" w:lineRule="auto"/>
      </w:pPr>
      <w:r>
        <w:t>**MACD** : La valeur du MACD (396,107) est nettement supérieure à son signal (259,145), avec un histogramme positif, traduisant un momentum haussier intact. La décision d'**Achat** est confirmée par cette divergence positive qui soutient la poursuite de la tendance.</w:t>
      </w:r>
    </w:p>
    <w:p>
      <w:pPr>
        <w:spacing w:after="120" w:line="276" w:lineRule="auto"/>
      </w:pPr>
      <w:r>
        <w:t>**RSI** : À 71,261, le RSI franchit le seuil de surachat (&gt;70), ce qui déclenche une décision de **Vente** technique. Ce niveau signale que le titre a accumulé beaucoup de gains à court terme et qu'une consolidation ou un repli est probable avant toute nouvelle progression.</w:t>
      </w:r>
    </w:p>
    <w:p>
      <w:pPr>
        <w:spacing w:after="120" w:line="276" w:lineRule="auto"/>
      </w:pPr>
      <w:r>
        <w:t>**Stochastique** : Le %K (81,761) et le %D (88,539) évoluent en zone de surachat (&gt;80), avec un %K sous le %D, suggérant un début de croisement baissier. La décision de **Vente** rejoint celle du RSI et invite à la prudence sur les points d'entrée à court terme.</w:t>
      </w:r>
    </w:p>
    <w:p>
      <w:pPr>
        <w:spacing w:after="120" w:line="276" w:lineRule="auto"/>
      </w:pPr>
      <w:r>
        <w:t>**Conclusion technique** : Les indicateurs de tendance (MM20/MM50, MACD) restent haussiers et confirment la dynamique positive de fond, mais les oscillateurs (RSI à 71,3 et Stochastique en zone de surachat) émettent des signaux de **Vente** à court terme. Cette divergence entre tendance et momentum suggère un essoufflement probable du rallye, avec un risque de consolidation vers la MM20 (23 205 FCFA) avant une reprise durable. La configuration globale reste favorable aux détenteurs, mais défavorable aux nouveaux entrants à ces niveaux.</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NSIA Banque Côte d'Ivoire affiche des fondamentaux solides : un Produit Net Bancaire (équivalent du chiffre d'affaires pour une banque) de 112,928 Mds FCFA, en croissance de +15,45% sur un an, un résultat net de 40,712 Mds FCFA (marge nette de 36,05%), un ROE de 17,45% (&gt;15%, excellent) et un ROA de 1,32%. Le coefficient d'exploitation s'établit à 54,59%, sous le seuil de 60%, confirmant l'efficacité opérationnelle de la banque, tandis que le coût du risque rapporté aux charges financières atteint 7,54%, un niveau élevé qui traduit une dégradation du portefeuille de crédits. La structure financière reste typique d'une banque : les dépôts clientèle (2 242,2 Mds FCFA) financent largement les créances clientèle (1 818,7 Mds FCFA), avec un ratio de transformation de 81%, et les dettes interbancaires (491,6 Mds FCFA) complètent les ressources. Le rapport annuel 2025 (daté du 31/12/2025) confirme cette dynamique : PNB +15% à 112,9 Mds FCFA, résultat net +7% à 40,7 Mds FCFA, mais avec une explosion du coût du risque passant de +0,6 Md FCFA (reprise) en 2024 à -8,5 Mds FCFA (dotation) en 2025, ce qui a pesé sur la rentabilité nette malgré un RBE en hausse de +30%. Le rapport T1 2026 (daté du 31/03/2026) révèle une accélération spectaculaire : PNB de 28,615 Mds FCFA (+28%), résultat net de 10,912 Mds FCFA (+53%) et marge nette de 38,1%, portée par l'activité titres et une maîtrise du coût du risque. Sur la base de ce T1 2026, on peut estimer que l'exercice 2026 devrait afficher un résultat net annuel compris entre 44 et 48 Mds FCFA si la dynamique se maintient, soit une croissance de 8 à 18% par rapport à 2025. Les rapports antérieurs (T3 2025, S1 2025, T1 2025) confirment la régularité de la trajectoire : PNB +7% à fin septembre 2025, résultat net +6% à 25,0 Mds FCFA, coefficient d'exploitation en amélioration à 56,9% au S1 2025. La recommandation fondamentale est de **CONSERVER** : la banque est solide, rentable et bien gérée, mais la dégradation du coût du risque en 2025 et la dépendance croissante aux revenus de titres (volatils) constituent des points de vigilance qui nécessitent une confirmation sur les prochains trimestres.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précédentes et des prédictions IA conduit à une recommandation nuancée. La **valorisation (Partie 0)** est modérément exigeante : PER de 14,9x (au-dessus de la moyenne BRVM), P/B de 2,59x et EV/EBITDA de 22,2x indiquent que le marché a déjà intégré une bonne partie de la croissance, limitant le potentiel de réévaluation à court terme. Le **comportement du cours (Partie 1)** est haussier (+72,55% sur 100 jours) mais la volatilité élevée (39,5%) et le skewness négatif (-0,478) suggèrent une asymétrie défavorable aux acheteurs tardifs, avec un risque de correction. Les **signaux techniques (Partie 2)** sont divergents : les moyennes mobiles et le MACD confirment la tendance haussière, mais le RSI (71,3) et le Stochastique (81,8/88,5) en zone de surachat émettent des signaux de vente à court terme, plaidant pour une consolidation. Les **fondamentaux (Partie 3)** restent solides (ROE 17,45%, marge nette 36%, PNB +15% en 2025, T1 2026 exceptionnel avec +53% de résultat net), mais le coût du risque élevé en 2025 et la dépendance aux titres sont des risques à surveiller. Les **prédictions IA (J+1 à J+10)** anticipent une poursuite de la hausse jusqu'à 26 539 FCFA (+8,5% en 10 jours), ce qui contredit les signaux de surachat techniques et suggère que le momentum haussier pourrait se prolonger à très court terme. Sur la base de cette synthèse, la recommandation finale est **CONSERVER** : les détenteurs actuels peuvent profiter de la dynamique positive et des prédictions haussières, mais les nouveaux entrants devraient attendre une consolidation vers la MM20 (23 205 FCFA) pour améliorer leur point d'entrée. Le niveau de confiance est **Moyen** (divergence entre technique court terme et fondamental long terme), le niveau de risque global est **Élevé** (volatilité 39,5%, surachat technique, valorisation exigeante), et l'horizon d'investissement optimal est **moyen terme (3-12 mois)**, le temps que la consolidation technique s'achève et que les résultats semestriels 2026 confirment la tendance du T1.</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372.77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1,645 titres</w:t>
            </w:r>
          </w:p>
        </w:tc>
        <w:tc>
          <w:tcPr>
            <w:tcW w:type="dxa" w:w="2268"/>
            <w:shd w:fill="FFF2CC" w:val="clear"/>
          </w:tcPr>
          <w:p>
            <w:r>
              <w:rPr>
                <w:b/>
                <w:color w:val="503200"/>
                <w:sz w:val="16"/>
              </w:rPr>
              <w:t xml:space="preserve">Cours actuel : </w:t>
            </w:r>
            <w:r>
              <w:rPr>
                <w:color w:val="000000"/>
                <w:sz w:val="17"/>
              </w:rPr>
              <w:t>16,890 FCFA</w:t>
            </w:r>
          </w:p>
          <w:p>
            <w:r>
              <w:rPr>
                <w:b/>
                <w:color w:val="503200"/>
                <w:sz w:val="16"/>
              </w:rPr>
              <w:t xml:space="preserve">Var. 100 jours : </w:t>
            </w:r>
            <w:r>
              <w:rPr>
                <w:b/>
                <w:color w:val="007800"/>
                <w:sz w:val="17"/>
              </w:rPr>
              <w:t>+40.81%</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39.2%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13.58% (Moyenne) — μ=14,837 FCFA, σ=2,014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β=-0.1283 (Contre-cyclique) — Cov=-0.000005, Var(idx)=0.000036, ρ=-0.032,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1,645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σ_j=2.47%/j (Stable) — Vol. annualisée≈39.2%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2026-09-10</w:t>
            </w:r>
          </w:p>
        </w:tc>
        <w:tc>
          <w:tcPr>
            <w:tcW w:type="dxa" w:w="1440"/>
            <w:shd w:fill="FAFAFA" w:val="clear"/>
          </w:tcPr>
          <w:p>
            <w:r>
              <w:rPr>
                <w:sz w:val="17"/>
              </w:rPr>
              <w:t>16,102</w:t>
            </w:r>
          </w:p>
        </w:tc>
        <w:tc>
          <w:tcPr>
            <w:tcW w:type="dxa" w:w="1440"/>
            <w:shd w:fill="FAFAFA" w:val="clear"/>
          </w:tcPr>
          <w:p>
            <w:r>
              <w:rPr>
                <w:b/>
                <w:sz w:val="17"/>
              </w:rPr>
              <w:t>16,798</w:t>
            </w:r>
          </w:p>
        </w:tc>
        <w:tc>
          <w:tcPr>
            <w:tcW w:type="dxa" w:w="1440"/>
            <w:shd w:fill="FAFAFA" w:val="clear"/>
          </w:tcPr>
          <w:p>
            <w:r>
              <w:rPr>
                <w:sz w:val="17"/>
              </w:rPr>
              <w:t>17,495</w:t>
            </w:r>
          </w:p>
        </w:tc>
        <w:tc>
          <w:tcPr>
            <w:tcW w:type="dxa" w:w="1440"/>
            <w:shd w:fill="FAFAFA" w:val="clear"/>
          </w:tcPr>
          <w:p>
            <w:r>
              <w:rPr>
                <w:b/>
                <w:color w:val="C00000"/>
                <w:sz w:val="17"/>
              </w:rPr>
              <w:t>-0.5%</w:t>
            </w:r>
          </w:p>
        </w:tc>
      </w:tr>
      <w:tr>
        <w:tc>
          <w:tcPr>
            <w:tcW w:type="dxa" w:w="1440"/>
            <w:shd w:fill="FAFAFA" w:val="clear"/>
          </w:tcPr>
          <w:p>
            <w:r>
              <w:rPr>
                <w:sz w:val="17"/>
              </w:rPr>
              <w:t>J+2  ⭐</w:t>
            </w:r>
          </w:p>
        </w:tc>
        <w:tc>
          <w:tcPr>
            <w:tcW w:type="dxa" w:w="1440"/>
            <w:shd w:fill="FAFAFA" w:val="clear"/>
          </w:tcPr>
          <w:p>
            <w:r>
              <w:rPr>
                <w:sz w:val="17"/>
              </w:rPr>
              <w:t>2026-09-11</w:t>
            </w:r>
          </w:p>
        </w:tc>
        <w:tc>
          <w:tcPr>
            <w:tcW w:type="dxa" w:w="1440"/>
            <w:shd w:fill="FAFAFA" w:val="clear"/>
          </w:tcPr>
          <w:p>
            <w:r>
              <w:rPr>
                <w:sz w:val="17"/>
              </w:rPr>
              <w:t>15,767</w:t>
            </w:r>
          </w:p>
        </w:tc>
        <w:tc>
          <w:tcPr>
            <w:tcW w:type="dxa" w:w="1440"/>
            <w:shd w:fill="FAFAFA" w:val="clear"/>
          </w:tcPr>
          <w:p>
            <w:r>
              <w:rPr>
                <w:b/>
                <w:sz w:val="17"/>
              </w:rPr>
              <w:t>16,748</w:t>
            </w:r>
          </w:p>
        </w:tc>
        <w:tc>
          <w:tcPr>
            <w:tcW w:type="dxa" w:w="1440"/>
            <w:shd w:fill="FAFAFA" w:val="clear"/>
          </w:tcPr>
          <w:p>
            <w:r>
              <w:rPr>
                <w:sz w:val="17"/>
              </w:rPr>
              <w:t>17,730</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2026-09-14</w:t>
            </w:r>
          </w:p>
        </w:tc>
        <w:tc>
          <w:tcPr>
            <w:tcW w:type="dxa" w:w="1440"/>
            <w:shd w:fill="FAFAFA" w:val="clear"/>
          </w:tcPr>
          <w:p>
            <w:r>
              <w:rPr>
                <w:sz w:val="17"/>
              </w:rPr>
              <w:t>15,491</w:t>
            </w:r>
          </w:p>
        </w:tc>
        <w:tc>
          <w:tcPr>
            <w:tcW w:type="dxa" w:w="1440"/>
            <w:shd w:fill="FAFAFA" w:val="clear"/>
          </w:tcPr>
          <w:p>
            <w:r>
              <w:rPr>
                <w:b/>
                <w:sz w:val="17"/>
              </w:rPr>
              <w:t>16,689</w:t>
            </w:r>
          </w:p>
        </w:tc>
        <w:tc>
          <w:tcPr>
            <w:tcW w:type="dxa" w:w="1440"/>
            <w:shd w:fill="FAFAFA" w:val="clear"/>
          </w:tcPr>
          <w:p>
            <w:r>
              <w:rPr>
                <w:sz w:val="17"/>
              </w:rPr>
              <w:t>17,887</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2026-09-15</w:t>
            </w:r>
          </w:p>
        </w:tc>
        <w:tc>
          <w:tcPr>
            <w:tcW w:type="dxa" w:w="1440"/>
            <w:shd w:fill="FAFAFA" w:val="clear"/>
          </w:tcPr>
          <w:p>
            <w:r>
              <w:rPr>
                <w:sz w:val="17"/>
              </w:rPr>
              <w:t>15,252</w:t>
            </w:r>
          </w:p>
        </w:tc>
        <w:tc>
          <w:tcPr>
            <w:tcW w:type="dxa" w:w="1440"/>
            <w:shd w:fill="FAFAFA" w:val="clear"/>
          </w:tcPr>
          <w:p>
            <w:r>
              <w:rPr>
                <w:b/>
                <w:sz w:val="17"/>
              </w:rPr>
              <w:t>16,631</w:t>
            </w:r>
          </w:p>
        </w:tc>
        <w:tc>
          <w:tcPr>
            <w:tcW w:type="dxa" w:w="1440"/>
            <w:shd w:fill="FAFAFA" w:val="clear"/>
          </w:tcPr>
          <w:p>
            <w:r>
              <w:rPr>
                <w:sz w:val="17"/>
              </w:rPr>
              <w:t>18,009</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2026-09-16</w:t>
            </w:r>
          </w:p>
        </w:tc>
        <w:tc>
          <w:tcPr>
            <w:tcW w:type="dxa" w:w="1440"/>
            <w:shd w:fill="FAFAFA" w:val="clear"/>
          </w:tcPr>
          <w:p>
            <w:r>
              <w:rPr>
                <w:sz w:val="17"/>
              </w:rPr>
              <w:t>15,039</w:t>
            </w:r>
          </w:p>
        </w:tc>
        <w:tc>
          <w:tcPr>
            <w:tcW w:type="dxa" w:w="1440"/>
            <w:shd w:fill="FAFAFA" w:val="clear"/>
          </w:tcPr>
          <w:p>
            <w:r>
              <w:rPr>
                <w:b/>
                <w:sz w:val="17"/>
              </w:rPr>
              <w:t>16,575</w:t>
            </w:r>
          </w:p>
        </w:tc>
        <w:tc>
          <w:tcPr>
            <w:tcW w:type="dxa" w:w="1440"/>
            <w:shd w:fill="FAFAFA" w:val="clear"/>
          </w:tcPr>
          <w:p>
            <w:r>
              <w:rPr>
                <w:sz w:val="17"/>
              </w:rPr>
              <w:t>18,112</w:t>
            </w:r>
          </w:p>
        </w:tc>
        <w:tc>
          <w:tcPr>
            <w:tcW w:type="dxa" w:w="1440"/>
            <w:shd w:fill="FAFAFA" w:val="clear"/>
          </w:tcPr>
          <w:p>
            <w:r>
              <w:rPr>
                <w:b/>
                <w:color w:val="C00000"/>
                <w:sz w:val="17"/>
              </w:rPr>
              <w:t>-1.9%</w:t>
            </w:r>
          </w:p>
        </w:tc>
      </w:tr>
      <w:tr>
        <w:tc>
          <w:tcPr>
            <w:tcW w:type="dxa" w:w="1440"/>
            <w:shd w:fill="FFDCE0" w:val="clear"/>
          </w:tcPr>
          <w:p>
            <w:r>
              <w:rPr>
                <w:sz w:val="17"/>
              </w:rPr>
              <w:t>J+6  ⭐</w:t>
            </w:r>
          </w:p>
        </w:tc>
        <w:tc>
          <w:tcPr>
            <w:tcW w:type="dxa" w:w="1440"/>
            <w:shd w:fill="FFDCE0" w:val="clear"/>
          </w:tcPr>
          <w:p>
            <w:r>
              <w:rPr>
                <w:sz w:val="17"/>
              </w:rPr>
              <w:t>2026-09-17</w:t>
            </w:r>
          </w:p>
        </w:tc>
        <w:tc>
          <w:tcPr>
            <w:tcW w:type="dxa" w:w="1440"/>
            <w:shd w:fill="FFDCE0" w:val="clear"/>
          </w:tcPr>
          <w:p>
            <w:r>
              <w:rPr>
                <w:sz w:val="17"/>
              </w:rPr>
              <w:t>14,845</w:t>
            </w:r>
          </w:p>
        </w:tc>
        <w:tc>
          <w:tcPr>
            <w:tcW w:type="dxa" w:w="1440"/>
            <w:shd w:fill="FFDCE0" w:val="clear"/>
          </w:tcPr>
          <w:p>
            <w:r>
              <w:rPr>
                <w:b/>
                <w:sz w:val="17"/>
              </w:rPr>
              <w:t>16,523</w:t>
            </w:r>
          </w:p>
        </w:tc>
        <w:tc>
          <w:tcPr>
            <w:tcW w:type="dxa" w:w="1440"/>
            <w:shd w:fill="FFDCE0" w:val="clear"/>
          </w:tcPr>
          <w:p>
            <w:r>
              <w:rPr>
                <w:sz w:val="17"/>
              </w:rPr>
              <w:t>18,200</w:t>
            </w:r>
          </w:p>
        </w:tc>
        <w:tc>
          <w:tcPr>
            <w:tcW w:type="dxa" w:w="1440"/>
            <w:shd w:fill="FFDCE0" w:val="clear"/>
          </w:tcPr>
          <w:p>
            <w:r>
              <w:rPr>
                <w:b/>
                <w:color w:val="C00000"/>
                <w:sz w:val="17"/>
              </w:rPr>
              <w:t>-2.2%</w:t>
            </w:r>
          </w:p>
        </w:tc>
      </w:tr>
      <w:tr>
        <w:tc>
          <w:tcPr>
            <w:tcW w:type="dxa" w:w="1440"/>
            <w:shd w:fill="FFDCE0" w:val="clear"/>
          </w:tcPr>
          <w:p>
            <w:r>
              <w:rPr>
                <w:sz w:val="17"/>
              </w:rPr>
              <w:t>J+7  ⭐</w:t>
            </w:r>
          </w:p>
        </w:tc>
        <w:tc>
          <w:tcPr>
            <w:tcW w:type="dxa" w:w="1440"/>
            <w:shd w:fill="FFDCE0" w:val="clear"/>
          </w:tcPr>
          <w:p>
            <w:r>
              <w:rPr>
                <w:sz w:val="17"/>
              </w:rPr>
              <w:t>2026-09-18</w:t>
            </w:r>
          </w:p>
        </w:tc>
        <w:tc>
          <w:tcPr>
            <w:tcW w:type="dxa" w:w="1440"/>
            <w:shd w:fill="FFDCE0" w:val="clear"/>
          </w:tcPr>
          <w:p>
            <w:r>
              <w:rPr>
                <w:sz w:val="17"/>
              </w:rPr>
              <w:t>14,666</w:t>
            </w:r>
          </w:p>
        </w:tc>
        <w:tc>
          <w:tcPr>
            <w:tcW w:type="dxa" w:w="1440"/>
            <w:shd w:fill="FFDCE0" w:val="clear"/>
          </w:tcPr>
          <w:p>
            <w:r>
              <w:rPr>
                <w:b/>
                <w:sz w:val="17"/>
              </w:rPr>
              <w:t>16,472</w:t>
            </w:r>
          </w:p>
        </w:tc>
        <w:tc>
          <w:tcPr>
            <w:tcW w:type="dxa" w:w="1440"/>
            <w:shd w:fill="FFDCE0" w:val="clear"/>
          </w:tcPr>
          <w:p>
            <w:r>
              <w:rPr>
                <w:sz w:val="17"/>
              </w:rPr>
              <w:t>18,278</w:t>
            </w:r>
          </w:p>
        </w:tc>
        <w:tc>
          <w:tcPr>
            <w:tcW w:type="dxa" w:w="1440"/>
            <w:shd w:fill="FFDCE0" w:val="clear"/>
          </w:tcPr>
          <w:p>
            <w:r>
              <w:rPr>
                <w:b/>
                <w:color w:val="C00000"/>
                <w:sz w:val="17"/>
              </w:rPr>
              <w:t>-2.5%</w:t>
            </w:r>
          </w:p>
        </w:tc>
      </w:tr>
      <w:tr>
        <w:tc>
          <w:tcPr>
            <w:tcW w:type="dxa" w:w="1440"/>
            <w:shd w:fill="FFDCE0" w:val="clear"/>
          </w:tcPr>
          <w:p>
            <w:r>
              <w:rPr>
                <w:sz w:val="17"/>
              </w:rPr>
              <w:t>J+8  ⭐</w:t>
            </w:r>
          </w:p>
        </w:tc>
        <w:tc>
          <w:tcPr>
            <w:tcW w:type="dxa" w:w="1440"/>
            <w:shd w:fill="FFDCE0" w:val="clear"/>
          </w:tcPr>
          <w:p>
            <w:r>
              <w:rPr>
                <w:sz w:val="17"/>
              </w:rPr>
              <w:t>2026-09-21</w:t>
            </w:r>
          </w:p>
        </w:tc>
        <w:tc>
          <w:tcPr>
            <w:tcW w:type="dxa" w:w="1440"/>
            <w:shd w:fill="FFDCE0" w:val="clear"/>
          </w:tcPr>
          <w:p>
            <w:r>
              <w:rPr>
                <w:sz w:val="17"/>
              </w:rPr>
              <w:t>14,497</w:t>
            </w:r>
          </w:p>
        </w:tc>
        <w:tc>
          <w:tcPr>
            <w:tcW w:type="dxa" w:w="1440"/>
            <w:shd w:fill="FFDCE0" w:val="clear"/>
          </w:tcPr>
          <w:p>
            <w:r>
              <w:rPr>
                <w:b/>
                <w:sz w:val="17"/>
              </w:rPr>
              <w:t>16,422</w:t>
            </w:r>
          </w:p>
        </w:tc>
        <w:tc>
          <w:tcPr>
            <w:tcW w:type="dxa" w:w="1440"/>
            <w:shd w:fill="FFDCE0" w:val="clear"/>
          </w:tcPr>
          <w:p>
            <w:r>
              <w:rPr>
                <w:sz w:val="17"/>
              </w:rPr>
              <w:t>18,348</w:t>
            </w:r>
          </w:p>
        </w:tc>
        <w:tc>
          <w:tcPr>
            <w:tcW w:type="dxa" w:w="1440"/>
            <w:shd w:fill="FFDCE0" w:val="clear"/>
          </w:tcPr>
          <w:p>
            <w:r>
              <w:rPr>
                <w:b/>
                <w:color w:val="C00000"/>
                <w:sz w:val="17"/>
              </w:rPr>
              <w:t>-2.8%</w:t>
            </w:r>
          </w:p>
        </w:tc>
      </w:tr>
      <w:tr>
        <w:tc>
          <w:tcPr>
            <w:tcW w:type="dxa" w:w="1440"/>
            <w:shd w:fill="FFDCE0" w:val="clear"/>
          </w:tcPr>
          <w:p>
            <w:r>
              <w:rPr>
                <w:sz w:val="17"/>
              </w:rPr>
              <w:t>J+9  ⭐</w:t>
            </w:r>
          </w:p>
        </w:tc>
        <w:tc>
          <w:tcPr>
            <w:tcW w:type="dxa" w:w="1440"/>
            <w:shd w:fill="FFDCE0" w:val="clear"/>
          </w:tcPr>
          <w:p>
            <w:r>
              <w:rPr>
                <w:sz w:val="17"/>
              </w:rPr>
              <w:t>2026-09-22</w:t>
            </w:r>
          </w:p>
        </w:tc>
        <w:tc>
          <w:tcPr>
            <w:tcW w:type="dxa" w:w="1440"/>
            <w:shd w:fill="FFDCE0" w:val="clear"/>
          </w:tcPr>
          <w:p>
            <w:r>
              <w:rPr>
                <w:sz w:val="17"/>
              </w:rPr>
              <w:t>14,338</w:t>
            </w:r>
          </w:p>
        </w:tc>
        <w:tc>
          <w:tcPr>
            <w:tcW w:type="dxa" w:w="1440"/>
            <w:shd w:fill="FFDCE0" w:val="clear"/>
          </w:tcPr>
          <w:p>
            <w:r>
              <w:rPr>
                <w:b/>
                <w:sz w:val="17"/>
              </w:rPr>
              <w:t>16,374</w:t>
            </w:r>
          </w:p>
        </w:tc>
        <w:tc>
          <w:tcPr>
            <w:tcW w:type="dxa" w:w="1440"/>
            <w:shd w:fill="FFDCE0" w:val="clear"/>
          </w:tcPr>
          <w:p>
            <w:r>
              <w:rPr>
                <w:sz w:val="17"/>
              </w:rPr>
              <w:t>18,410</w:t>
            </w:r>
          </w:p>
        </w:tc>
        <w:tc>
          <w:tcPr>
            <w:tcW w:type="dxa" w:w="1440"/>
            <w:shd w:fill="FFDCE0" w:val="clear"/>
          </w:tcPr>
          <w:p>
            <w:r>
              <w:rPr>
                <w:b/>
                <w:color w:val="C00000"/>
                <w:sz w:val="17"/>
              </w:rPr>
              <w:t>-3.1%</w:t>
            </w:r>
          </w:p>
        </w:tc>
      </w:tr>
      <w:tr>
        <w:tc>
          <w:tcPr>
            <w:tcW w:type="dxa" w:w="1440"/>
            <w:shd w:fill="FFDCE0" w:val="clear"/>
          </w:tcPr>
          <w:p>
            <w:r>
              <w:rPr>
                <w:sz w:val="17"/>
              </w:rPr>
              <w:t>J+10  ⭐</w:t>
            </w:r>
          </w:p>
        </w:tc>
        <w:tc>
          <w:tcPr>
            <w:tcW w:type="dxa" w:w="1440"/>
            <w:shd w:fill="FFDCE0" w:val="clear"/>
          </w:tcPr>
          <w:p>
            <w:r>
              <w:rPr>
                <w:sz w:val="17"/>
              </w:rPr>
              <w:t>2026-09-23</w:t>
            </w:r>
          </w:p>
        </w:tc>
        <w:tc>
          <w:tcPr>
            <w:tcW w:type="dxa" w:w="1440"/>
            <w:shd w:fill="FFDCE0" w:val="clear"/>
          </w:tcPr>
          <w:p>
            <w:r>
              <w:rPr>
                <w:sz w:val="17"/>
              </w:rPr>
              <w:t>14,187</w:t>
            </w:r>
          </w:p>
        </w:tc>
        <w:tc>
          <w:tcPr>
            <w:tcW w:type="dxa" w:w="1440"/>
            <w:shd w:fill="FFDCE0" w:val="clear"/>
          </w:tcPr>
          <w:p>
            <w:r>
              <w:rPr>
                <w:b/>
                <w:sz w:val="17"/>
              </w:rPr>
              <w:t>16,327</w:t>
            </w:r>
          </w:p>
        </w:tc>
        <w:tc>
          <w:tcPr>
            <w:tcW w:type="dxa" w:w="1440"/>
            <w:shd w:fill="FFDCE0" w:val="clear"/>
          </w:tcPr>
          <w:p>
            <w:r>
              <w:rPr>
                <w:sz w:val="17"/>
              </w:rPr>
              <w:t>18,467</w:t>
            </w:r>
          </w:p>
        </w:tc>
        <w:tc>
          <w:tcPr>
            <w:tcW w:type="dxa" w:w="1440"/>
            <w:shd w:fill="FFDCE0" w:val="clear"/>
          </w:tcPr>
          <w:p>
            <w:r>
              <w:rPr>
                <w:b/>
                <w:color w:val="C00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 RAPPORT D'ANALYSE FINANCIÈRE — NESTLÉ CÔTE D'IVOIRE (NTLC)</w:t>
        <w:br/>
        <w:t>**Bourse Régionale des Valeurs Mobilières (BRVM)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372,77 milliards FCFA, NTLC figure parmi les valeurs les plus capitalisées de la BRVM, ce qui en fait un pilier de l'indice BRVM Composite et un titre de référence pour les investisseurs institutionnels. Le BPA de 835 FCFA/action signifie que chaque titre génère près de 835 FCFA de bénéfice net, ce qui, rapporté au cours actuel de 16 890 FCFA, donne un PER de 20,2x — nettement supérieur à la moyenne du marché BRVM (8-12x), traduisant soit une prime de qualité liée à la solidité de la marque Nestlé, soit une anticipation de croissance future par le marché. Le P/B de 12,60x, très au-dessus du seuil de 4x, confirme que le marché valorise l'entreprise à plus de douze fois sa valeur comptable, ce qui est caractéristique des sociétés à forte rentabilité des fonds propres (ROE de 62,3%) et à actifs immatériels importants (marques, savoir-faire). Enfin, l'EV/EBITDA de 10,0x, situé dans la fourchette raisonnable de 5-10x, indique que la valeur totale de l'entreprise (dette incluse) reste cohérente avec sa capacité opérationnelle à générer de l'EBE (46,17 milliards FCFA en 2025), ce qui tempère le caractère exigeant du PER et du P/B.</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NTLC a enregistré une progression spectaculaire de **+40,81%**, passant d'un plus bas de 11 150 FCFA à un plus haut de 18 000 FCFA, pour un cours actuel de 16 890 FCFA — la dernière séance (J-1) affichant une quasi-stabilité de -0,06%. Ce range de trading de près de 6 850 FCFA (soit plus de 60% d'amplitude) témoigne d'une tendance nettement haussière, portée par la dynamique fondamentale positive révélée par les publications trimestrielles (notamment le T1 2026 avec +31% de CA). Les statistiques descriptives révèlent une moyenne de 14 837 FCFA inférieure à la médiane de 15 410 FCFA, ce qui indique une distribution légèrement asymétrique à gauche — le cours ayant passé plus de temps dans la partie haute de sa fourchette récente. L'écart-type de 2 024 FCFA (CV de 13,6%) traduit une dispersion modérée du cours autour de sa moyenne, tandis que le kurtosis de -1,405 (distribution platykurtique) signale une faible concentration des rendements et un risque de pics extrêmes limité. Le skewness de -0,401, qualifié de symétrique dans les données, suggère une légère prédominance des rendements négatifs, sans excès marqué. Enfin, la volatilité annualisée de 39,2% positionne NTLC comme un titre à volatilité élevée (&gt;30%), ce qui est cohérent avec son statut de valeur de croissance sur un marché frontière, et implique une gestion rigoureuse du risque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(16 978,75 FCFA) et la MM50 (16 589,0 FCFA) se situent toutes deux au-dessus du cours actuel (16 890 FCFA), avec la MM20 légèrement supérieure à la MM50 — configuration haussière classique (croisement doré). Le cours évoluant juste en dessous de la MM20 mais au-dessus de la MM50, la décision technique est à l'**Achat**, le titre testant actuellement sa moyenne court terme après une forte progression.</w:t>
      </w:r>
    </w:p>
    <w:p>
      <w:pPr>
        <w:spacing w:after="120" w:line="276" w:lineRule="auto"/>
      </w:pPr>
      <w:r>
        <w:t>**Bandes de Bollinger :** Le cours (16 890 FCFA) se situe à l'intérieur des bandes, entre la borne inférieure (16 042,71 FCFA) et la borne supérieure (17 914,79 FCFA), à environ 47% de la largeur du canal — position médiane. La largeur des bandes (environ 1 872 FCFA) reflète une volatilité encore significative, et la décision est **Neutre**, le cours n'étant ni en surachat ni en survente technique.</w:t>
      </w:r>
    </w:p>
    <w:p>
      <w:pPr>
        <w:spacing w:after="120" w:line="276" w:lineRule="auto"/>
      </w:pPr>
      <w:r>
        <w:t>**MACD :** La valeur du MACD (127,255) est inférieure à son signal (134,847), générant un croisement baissier — la décision est à la **Vente**. Cette divergence négative indique un essoufflement du momentum haussier à court terme, bien que les deux lignes restent en territoire positif, ce qui n'invalide pas la tendance de fond.</w:t>
      </w:r>
    </w:p>
    <w:p>
      <w:pPr>
        <w:spacing w:after="120" w:line="276" w:lineRule="auto"/>
      </w:pPr>
      <w:r>
        <w:t>**RSI :** À 49,042, le RSI se situe parfaitement dans la zone neutre (30-70), sans signal de surachat (&gt;70) ni de survente (&lt;30). La décision est **Neutre**, le titre ayant digéré sa récente progression et se trouvant dans une phase de consolidation équilibrée.</w:t>
      </w:r>
    </w:p>
    <w:p>
      <w:pPr>
        <w:spacing w:after="120" w:line="276" w:lineRule="auto"/>
      </w:pPr>
      <w:r>
        <w:t>**Stochastique :** Le %K (47,143) est inférieur au %D (64,921), avec un croisement baissier en cours — la décision est **Neutre**. Cette configuration suggère une pression vendeuse modérée à court terme, le %K ayant chuté sous le %D sans atteindre la zone de survente (&lt;20).</w:t>
      </w:r>
    </w:p>
    <w:p>
      <w:pPr>
        <w:spacing w:after="120" w:line="276" w:lineRule="auto"/>
      </w:pPr>
      <w:r>
        <w:t>**Conclusion technique :** Les indicateurs techniques présentent un tableau mitigé : si la configuration des moyennes mobiles reste haussière (MM20 &gt; MM50, cours au-dessus de la MM50), le MACD baissier et le croisement stochastique négatif signalent une consolidation à court terme. Le RSI neutre et la position médiane dans les bandes de Bollinger confirment l'absence de signal directionnel fort, invitant à la patience avant tout nouvel engagement.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Nestlé Côte d'Ivoire a réalisé un chiffre d'affaires de 233,261 milliards FCFA, en croissance de 5,97% par rapport à 2024 (220,113 milliards FCFA), avec un résultat net de 18,427 milliards FCFA (+1,53%). La rentabilité des fonds propres (ROE) s'établit à un niveau exceptionnel de 62,28%, tandis que le ROA atteint 9,70% — confirmant l'excellence opérationnelle du modèle Nestlé. La marge nette de 7,90% (contre 8,25% en 2024) révèle cependant une légère érosion, sous l'effet de la hausse des charges financières (+25,8% à 7,957 milliards FCFA) et des impôts (+27,9%). En tant qu'entreprise agroalimentaire, les points d'attention portent sur le BFR de 22,625 milliards FCFA, le délai clients élevé de 74,30 jours (risque de trésorerie) et la durée de stockage de 59,39 jours (immobilisation de capital). La structure financière reste solide avec une autonomie financière de 15,58% (inférieure au seuil sain de 30%, mais compensée par la qualité de la signature Nestlé), un ratio d'endettement de 135,85% et une couverture des intérêts de 473,63% — largement suffisante pour absorber les charges financières.</w:t>
      </w:r>
    </w:p>
    <w:p>
      <w:pPr>
        <w:spacing w:after="120" w:line="276" w:lineRule="auto"/>
      </w:pPr>
      <w:r>
        <w:t>**Estimations basées sur les rapports trimestriels :** Le rapport du T1 2026 (arrêté au 31 mars 2026, analysé le 1er mai 2026) révèle une accélération spectaculaire : le CA bondit de +31% à 70,822 milliards FCFA et le résultat net de +37% à 7,526 milliards FCFA, avec une marge nette en amélioration à 10,6% (contre 10,1% au T1 2025). Sur la base de ce rythme, on peut estimer que l'exercice 2026 devrait afficher une croissance du CA supérieure à 15% (soit un CA annualisé proche de 270 milliards FCFA) et un résultat net en progression de 20-25%, sous réserve de la persistance de la dynamique commerciale et de la maîtrise des coûts. Le rapport annuel 2025 (analysé le 1er mai 2026) souligne une politique de dividende plus conservatrice (9,27 milliards FCFA distribués, soit un payout de 50,3% contre 99,7% en 2024), traduisant une stratégie de réinvestissement et de renforcement des fonds propres — un signal positif pour la croissance future. La recommandation fondamentale est **CONSERVER**, avec un biais haussier à moyen terme : la solidité du modèle, la croissance retrouvée et la prudence financière compensent la valorisation exigeante et les risques de pression sur les marges.</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révèle un profil d'investissement contrasté mais globalement favorable. **Sur le plan de la valorisation (Partie 0)** , les ratios PER (20,2x) et P/B (12,60x) indiquent une surévaluation relative par rapport aux standards de la BRVM, mais l'EV/EBITDA de 10,0x et le ROE exceptionnel de 62,3% justifient une prime de qualité. **Le comportement du cours (Partie 1)** est nettement haussier (+40,81% sur 100 jours), avec une volatilité élevée (39,2%) et une distribution platykurtique (kurtosis -1,405) qui limite le risque de pics extrêmes, mais un skewness négatif (-0,401) qui appelle à la prudence. **Les signaux techniques (Partie 2)** sont mitigés : la configuration des moyennes mobiles reste haussière, mais le MACD baissier et le croisement stochastique négatif signalent une consolidation à court terme, avec un RSI neutre (49,04) qui n'offre pas de signal directionnel. **Les fondamentaux (Partie 3)** sont solides : croissance du CA de 5,97% en 2025, accélération à +31% au T1 2026, ROE de 62,28%, et une politique de dividende prudente qui finance la croissance future. **Les prédictions IA (J+1 à J+10)** anticipent une légère tendance baissière (16 798 FCFA le 10/09/2026 → 16 575 FCFA le 16/09/2026), ce qui contredit la dynamique fondamentale mais confirme la consolidation technique en cours.</w:t>
      </w:r>
    </w:p>
    <w:p>
      <w:pPr>
        <w:spacing w:after="120" w:line="276" w:lineRule="auto"/>
      </w:pPr>
      <w:r>
        <w:t>**Recommandation finale : CONSERVER**, avec un biais **ACHAT** pour les investisseurs disposant d'un horizon moyen terme. La convergence entre la solidité fondamentale (croissance accélérée au T1 2026, ROE exceptionnel) et la prudence technique (consolidation, MACD baissier) justifie une position d'attente avant tout renforcement. Le niveau de confiance est **Moyen** — les fondamentaux sont robustes mais la valorisation exigeante et les prédictions baissières à court terme incitent à la patience. Le niveau de risque global est **Moyen** (volatilité élevée mais modèle économique résilient). L'horizon d'investissement optimal est le **moyen terme (3-12 mois)** , le temps que la consolidation technique s'achève et que les résultats du T2/T3 2026 confirment la trajectoire de croissance.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195.16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5,063 titres</w:t>
            </w:r>
          </w:p>
        </w:tc>
        <w:tc>
          <w:tcPr>
            <w:tcW w:type="dxa" w:w="2268"/>
            <w:shd w:fill="FFF2CC" w:val="clear"/>
          </w:tcPr>
          <w:p>
            <w:r>
              <w:rPr>
                <w:b/>
                <w:color w:val="503200"/>
                <w:sz w:val="16"/>
              </w:rPr>
              <w:t xml:space="preserve">Cours actuel : </w:t>
            </w:r>
            <w:r>
              <w:rPr>
                <w:color w:val="000000"/>
                <w:sz w:val="17"/>
              </w:rPr>
              <w:t>2,870 FCFA</w:t>
            </w:r>
          </w:p>
          <w:p>
            <w:r>
              <w:rPr>
                <w:b/>
                <w:color w:val="503200"/>
                <w:sz w:val="16"/>
              </w:rPr>
              <w:t xml:space="preserve">Var. 100 jours : </w:t>
            </w:r>
            <w:r>
              <w:rPr>
                <w:b/>
                <w:color w:val="007800"/>
                <w:sz w:val="17"/>
              </w:rPr>
              <w:t>+2.68%</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30.7%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3.05% (Faible) — μ=2,823 FCFA, σ=86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β=0.4726 (Défensif) — Cov=0.000017, Var(idx)=0.000036, ρ=0.146,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5,063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σ_j=1.93%/j (Stable) — Vol. annualisée≈30.7%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2026-09-10</w:t>
            </w:r>
          </w:p>
        </w:tc>
        <w:tc>
          <w:tcPr>
            <w:tcW w:type="dxa" w:w="1440"/>
            <w:shd w:fill="FAFAFA" w:val="clear"/>
          </w:tcPr>
          <w:p>
            <w:r>
              <w:rPr>
                <w:sz w:val="17"/>
              </w:rPr>
              <w:t>2,767</w:t>
            </w:r>
          </w:p>
        </w:tc>
        <w:tc>
          <w:tcPr>
            <w:tcW w:type="dxa" w:w="1440"/>
            <w:shd w:fill="FAFAFA" w:val="clear"/>
          </w:tcPr>
          <w:p>
            <w:r>
              <w:rPr>
                <w:b/>
                <w:sz w:val="17"/>
              </w:rPr>
              <w:t>2,862</w:t>
            </w:r>
          </w:p>
        </w:tc>
        <w:tc>
          <w:tcPr>
            <w:tcW w:type="dxa" w:w="1440"/>
            <w:shd w:fill="FAFAFA" w:val="clear"/>
          </w:tcPr>
          <w:p>
            <w:r>
              <w:rPr>
                <w:sz w:val="17"/>
              </w:rPr>
              <w:t>2,958</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2026-09-11</w:t>
            </w:r>
          </w:p>
        </w:tc>
        <w:tc>
          <w:tcPr>
            <w:tcW w:type="dxa" w:w="1440"/>
            <w:shd w:fill="FAFAFA" w:val="clear"/>
          </w:tcPr>
          <w:p>
            <w:r>
              <w:rPr>
                <w:sz w:val="17"/>
              </w:rPr>
              <w:t>2,722</w:t>
            </w:r>
          </w:p>
        </w:tc>
        <w:tc>
          <w:tcPr>
            <w:tcW w:type="dxa" w:w="1440"/>
            <w:shd w:fill="FAFAFA" w:val="clear"/>
          </w:tcPr>
          <w:p>
            <w:r>
              <w:rPr>
                <w:b/>
                <w:sz w:val="17"/>
              </w:rPr>
              <w:t>2,857</w:t>
            </w:r>
          </w:p>
        </w:tc>
        <w:tc>
          <w:tcPr>
            <w:tcW w:type="dxa" w:w="1440"/>
            <w:shd w:fill="FAFAFA" w:val="clear"/>
          </w:tcPr>
          <w:p>
            <w:r>
              <w:rPr>
                <w:sz w:val="17"/>
              </w:rPr>
              <w:t>2,991</w:t>
            </w:r>
          </w:p>
        </w:tc>
        <w:tc>
          <w:tcPr>
            <w:tcW w:type="dxa" w:w="1440"/>
            <w:shd w:fill="FAFAFA" w:val="clear"/>
          </w:tcPr>
          <w:p>
            <w:r>
              <w:rPr>
                <w:b/>
                <w:color w:val="C00000"/>
                <w:sz w:val="17"/>
              </w:rPr>
              <w:t>-0.5%</w:t>
            </w:r>
          </w:p>
        </w:tc>
      </w:tr>
      <w:tr>
        <w:tc>
          <w:tcPr>
            <w:tcW w:type="dxa" w:w="1440"/>
            <w:shd w:fill="FAFAFA" w:val="clear"/>
          </w:tcPr>
          <w:p>
            <w:r>
              <w:rPr>
                <w:sz w:val="17"/>
              </w:rPr>
              <w:t>J+3  Moyenne</w:t>
            </w:r>
          </w:p>
        </w:tc>
        <w:tc>
          <w:tcPr>
            <w:tcW w:type="dxa" w:w="1440"/>
            <w:shd w:fill="FAFAFA" w:val="clear"/>
          </w:tcPr>
          <w:p>
            <w:r>
              <w:rPr>
                <w:sz w:val="17"/>
              </w:rPr>
              <w:t>2026-09-14</w:t>
            </w:r>
          </w:p>
        </w:tc>
        <w:tc>
          <w:tcPr>
            <w:tcW w:type="dxa" w:w="1440"/>
            <w:shd w:fill="FAFAFA" w:val="clear"/>
          </w:tcPr>
          <w:p>
            <w:r>
              <w:rPr>
                <w:sz w:val="17"/>
              </w:rPr>
              <w:t>2,687</w:t>
            </w:r>
          </w:p>
        </w:tc>
        <w:tc>
          <w:tcPr>
            <w:tcW w:type="dxa" w:w="1440"/>
            <w:shd w:fill="FAFAFA" w:val="clear"/>
          </w:tcPr>
          <w:p>
            <w:r>
              <w:rPr>
                <w:b/>
                <w:sz w:val="17"/>
              </w:rPr>
              <w:t>2,851</w:t>
            </w:r>
          </w:p>
        </w:tc>
        <w:tc>
          <w:tcPr>
            <w:tcW w:type="dxa" w:w="1440"/>
            <w:shd w:fill="FAFAFA" w:val="clear"/>
          </w:tcPr>
          <w:p>
            <w:r>
              <w:rPr>
                <w:sz w:val="17"/>
              </w:rPr>
              <w:t>3,015</w:t>
            </w:r>
          </w:p>
        </w:tc>
        <w:tc>
          <w:tcPr>
            <w:tcW w:type="dxa" w:w="1440"/>
            <w:shd w:fill="FAFAFA" w:val="clear"/>
          </w:tcPr>
          <w:p>
            <w:r>
              <w:rPr>
                <w:b/>
                <w:color w:val="C00000"/>
                <w:sz w:val="17"/>
              </w:rPr>
              <w:t>-0.7%</w:t>
            </w:r>
          </w:p>
        </w:tc>
      </w:tr>
      <w:tr>
        <w:tc>
          <w:tcPr>
            <w:tcW w:type="dxa" w:w="1440"/>
            <w:shd w:fill="FAFAFA" w:val="clear"/>
          </w:tcPr>
          <w:p>
            <w:r>
              <w:rPr>
                <w:sz w:val="17"/>
              </w:rPr>
              <w:t>J+4  ⭐</w:t>
            </w:r>
          </w:p>
        </w:tc>
        <w:tc>
          <w:tcPr>
            <w:tcW w:type="dxa" w:w="1440"/>
            <w:shd w:fill="FAFAFA" w:val="clear"/>
          </w:tcPr>
          <w:p>
            <w:r>
              <w:rPr>
                <w:sz w:val="17"/>
              </w:rPr>
              <w:t>2026-09-15</w:t>
            </w:r>
          </w:p>
        </w:tc>
        <w:tc>
          <w:tcPr>
            <w:tcW w:type="dxa" w:w="1440"/>
            <w:shd w:fill="FAFAFA" w:val="clear"/>
          </w:tcPr>
          <w:p>
            <w:r>
              <w:rPr>
                <w:sz w:val="17"/>
              </w:rPr>
              <w:t>2,656</w:t>
            </w:r>
          </w:p>
        </w:tc>
        <w:tc>
          <w:tcPr>
            <w:tcW w:type="dxa" w:w="1440"/>
            <w:shd w:fill="FAFAFA" w:val="clear"/>
          </w:tcPr>
          <w:p>
            <w:r>
              <w:rPr>
                <w:b/>
                <w:sz w:val="17"/>
              </w:rPr>
              <w:t>2,846</w:t>
            </w:r>
          </w:p>
        </w:tc>
        <w:tc>
          <w:tcPr>
            <w:tcW w:type="dxa" w:w="1440"/>
            <w:shd w:fill="FAFAFA" w:val="clear"/>
          </w:tcPr>
          <w:p>
            <w:r>
              <w:rPr>
                <w:sz w:val="17"/>
              </w:rPr>
              <w:t>3,035</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2026-09-16</w:t>
            </w:r>
          </w:p>
        </w:tc>
        <w:tc>
          <w:tcPr>
            <w:tcW w:type="dxa" w:w="1440"/>
            <w:shd w:fill="FAFAFA" w:val="clear"/>
          </w:tcPr>
          <w:p>
            <w:r>
              <w:rPr>
                <w:sz w:val="17"/>
              </w:rPr>
              <w:t>2,629</w:t>
            </w:r>
          </w:p>
        </w:tc>
        <w:tc>
          <w:tcPr>
            <w:tcW w:type="dxa" w:w="1440"/>
            <w:shd w:fill="FAFAFA" w:val="clear"/>
          </w:tcPr>
          <w:p>
            <w:r>
              <w:rPr>
                <w:b/>
                <w:sz w:val="17"/>
              </w:rPr>
              <w:t>2,840</w:t>
            </w:r>
          </w:p>
        </w:tc>
        <w:tc>
          <w:tcPr>
            <w:tcW w:type="dxa" w:w="1440"/>
            <w:shd w:fill="FAFAFA" w:val="clear"/>
          </w:tcPr>
          <w:p>
            <w:r>
              <w:rPr>
                <w:sz w:val="17"/>
              </w:rPr>
              <w:t>3,051</w:t>
            </w:r>
          </w:p>
        </w:tc>
        <w:tc>
          <w:tcPr>
            <w:tcW w:type="dxa" w:w="1440"/>
            <w:shd w:fill="FAFAFA" w:val="clear"/>
          </w:tcPr>
          <w:p>
            <w:r>
              <w:rPr>
                <w:b/>
                <w:color w:val="C00000"/>
                <w:sz w:val="17"/>
              </w:rPr>
              <w:t>-1.0%</w:t>
            </w:r>
          </w:p>
        </w:tc>
      </w:tr>
      <w:tr>
        <w:tc>
          <w:tcPr>
            <w:tcW w:type="dxa" w:w="1440"/>
            <w:shd w:fill="FAFAFA" w:val="clear"/>
          </w:tcPr>
          <w:p>
            <w:r>
              <w:rPr>
                <w:sz w:val="17"/>
              </w:rPr>
              <w:t>J+6  ⭐</w:t>
            </w:r>
          </w:p>
        </w:tc>
        <w:tc>
          <w:tcPr>
            <w:tcW w:type="dxa" w:w="1440"/>
            <w:shd w:fill="FAFAFA" w:val="clear"/>
          </w:tcPr>
          <w:p>
            <w:r>
              <w:rPr>
                <w:sz w:val="17"/>
              </w:rPr>
              <w:t>2026-09-17</w:t>
            </w:r>
          </w:p>
        </w:tc>
        <w:tc>
          <w:tcPr>
            <w:tcW w:type="dxa" w:w="1440"/>
            <w:shd w:fill="FAFAFA" w:val="clear"/>
          </w:tcPr>
          <w:p>
            <w:r>
              <w:rPr>
                <w:sz w:val="17"/>
              </w:rPr>
              <w:t>2,604</w:t>
            </w:r>
          </w:p>
        </w:tc>
        <w:tc>
          <w:tcPr>
            <w:tcW w:type="dxa" w:w="1440"/>
            <w:shd w:fill="FAFAFA" w:val="clear"/>
          </w:tcPr>
          <w:p>
            <w:r>
              <w:rPr>
                <w:b/>
                <w:sz w:val="17"/>
              </w:rPr>
              <w:t>2,835</w:t>
            </w:r>
          </w:p>
        </w:tc>
        <w:tc>
          <w:tcPr>
            <w:tcW w:type="dxa" w:w="1440"/>
            <w:shd w:fill="FAFAFA" w:val="clear"/>
          </w:tcPr>
          <w:p>
            <w:r>
              <w:rPr>
                <w:sz w:val="17"/>
              </w:rPr>
              <w:t>3,066</w:t>
            </w:r>
          </w:p>
        </w:tc>
        <w:tc>
          <w:tcPr>
            <w:tcW w:type="dxa" w:w="1440"/>
            <w:shd w:fill="FAFAFA" w:val="clear"/>
          </w:tcPr>
          <w:p>
            <w:r>
              <w:rPr>
                <w:b/>
                <w:color w:val="C00000"/>
                <w:sz w:val="17"/>
              </w:rPr>
              <w:t>-1.2%</w:t>
            </w:r>
          </w:p>
        </w:tc>
      </w:tr>
      <w:tr>
        <w:tc>
          <w:tcPr>
            <w:tcW w:type="dxa" w:w="1440"/>
            <w:shd w:fill="FAFAFA" w:val="clear"/>
          </w:tcPr>
          <w:p>
            <w:r>
              <w:rPr>
                <w:sz w:val="17"/>
              </w:rPr>
              <w:t>J+7  ⭐</w:t>
            </w:r>
          </w:p>
        </w:tc>
        <w:tc>
          <w:tcPr>
            <w:tcW w:type="dxa" w:w="1440"/>
            <w:shd w:fill="FAFAFA" w:val="clear"/>
          </w:tcPr>
          <w:p>
            <w:r>
              <w:rPr>
                <w:sz w:val="17"/>
              </w:rPr>
              <w:t>2026-09-18</w:t>
            </w:r>
          </w:p>
        </w:tc>
        <w:tc>
          <w:tcPr>
            <w:tcW w:type="dxa" w:w="1440"/>
            <w:shd w:fill="FAFAFA" w:val="clear"/>
          </w:tcPr>
          <w:p>
            <w:r>
              <w:rPr>
                <w:sz w:val="17"/>
              </w:rPr>
              <w:t>2,580</w:t>
            </w:r>
          </w:p>
        </w:tc>
        <w:tc>
          <w:tcPr>
            <w:tcW w:type="dxa" w:w="1440"/>
            <w:shd w:fill="FAFAFA" w:val="clear"/>
          </w:tcPr>
          <w:p>
            <w:r>
              <w:rPr>
                <w:b/>
                <w:sz w:val="17"/>
              </w:rPr>
              <w:t>2,829</w:t>
            </w:r>
          </w:p>
        </w:tc>
        <w:tc>
          <w:tcPr>
            <w:tcW w:type="dxa" w:w="1440"/>
            <w:shd w:fill="FAFAFA" w:val="clear"/>
          </w:tcPr>
          <w:p>
            <w:r>
              <w:rPr>
                <w:sz w:val="17"/>
              </w:rPr>
              <w:t>3,079</w:t>
            </w:r>
          </w:p>
        </w:tc>
        <w:tc>
          <w:tcPr>
            <w:tcW w:type="dxa" w:w="1440"/>
            <w:shd w:fill="FAFAFA" w:val="clear"/>
          </w:tcPr>
          <w:p>
            <w:r>
              <w:rPr>
                <w:b/>
                <w:color w:val="C00000"/>
                <w:sz w:val="17"/>
              </w:rPr>
              <w:t>-1.4%</w:t>
            </w:r>
          </w:p>
        </w:tc>
      </w:tr>
      <w:tr>
        <w:tc>
          <w:tcPr>
            <w:tcW w:type="dxa" w:w="1440"/>
            <w:shd w:fill="FAFAFA" w:val="clear"/>
          </w:tcPr>
          <w:p>
            <w:r>
              <w:rPr>
                <w:sz w:val="17"/>
              </w:rPr>
              <w:t>J+8  ⭐</w:t>
            </w:r>
          </w:p>
        </w:tc>
        <w:tc>
          <w:tcPr>
            <w:tcW w:type="dxa" w:w="1440"/>
            <w:shd w:fill="FAFAFA" w:val="clear"/>
          </w:tcPr>
          <w:p>
            <w:r>
              <w:rPr>
                <w:sz w:val="17"/>
              </w:rPr>
              <w:t>2026-09-21</w:t>
            </w:r>
          </w:p>
        </w:tc>
        <w:tc>
          <w:tcPr>
            <w:tcW w:type="dxa" w:w="1440"/>
            <w:shd w:fill="FAFAFA" w:val="clear"/>
          </w:tcPr>
          <w:p>
            <w:r>
              <w:rPr>
                <w:sz w:val="17"/>
              </w:rPr>
              <w:t>2,558</w:t>
            </w:r>
          </w:p>
        </w:tc>
        <w:tc>
          <w:tcPr>
            <w:tcW w:type="dxa" w:w="1440"/>
            <w:shd w:fill="FAFAFA" w:val="clear"/>
          </w:tcPr>
          <w:p>
            <w:r>
              <w:rPr>
                <w:b/>
                <w:sz w:val="17"/>
              </w:rPr>
              <w:t>2,824</w:t>
            </w:r>
          </w:p>
        </w:tc>
        <w:tc>
          <w:tcPr>
            <w:tcW w:type="dxa" w:w="1440"/>
            <w:shd w:fill="FAFAFA" w:val="clear"/>
          </w:tcPr>
          <w:p>
            <w:r>
              <w:rPr>
                <w:sz w:val="17"/>
              </w:rPr>
              <w:t>3,090</w:t>
            </w:r>
          </w:p>
        </w:tc>
        <w:tc>
          <w:tcPr>
            <w:tcW w:type="dxa" w:w="1440"/>
            <w:shd w:fill="FAFAFA" w:val="clear"/>
          </w:tcPr>
          <w:p>
            <w:r>
              <w:rPr>
                <w:b/>
                <w:color w:val="C00000"/>
                <w:sz w:val="17"/>
              </w:rPr>
              <w:t>-1.6%</w:t>
            </w:r>
          </w:p>
        </w:tc>
      </w:tr>
      <w:tr>
        <w:tc>
          <w:tcPr>
            <w:tcW w:type="dxa" w:w="1440"/>
            <w:shd w:fill="FAFAFA" w:val="clear"/>
          </w:tcPr>
          <w:p>
            <w:r>
              <w:rPr>
                <w:sz w:val="17"/>
              </w:rPr>
              <w:t>J+9  ⭐</w:t>
            </w:r>
          </w:p>
        </w:tc>
        <w:tc>
          <w:tcPr>
            <w:tcW w:type="dxa" w:w="1440"/>
            <w:shd w:fill="FAFAFA" w:val="clear"/>
          </w:tcPr>
          <w:p>
            <w:r>
              <w:rPr>
                <w:sz w:val="17"/>
              </w:rPr>
              <w:t>2026-09-22</w:t>
            </w:r>
          </w:p>
        </w:tc>
        <w:tc>
          <w:tcPr>
            <w:tcW w:type="dxa" w:w="1440"/>
            <w:shd w:fill="FAFAFA" w:val="clear"/>
          </w:tcPr>
          <w:p>
            <w:r>
              <w:rPr>
                <w:sz w:val="17"/>
              </w:rPr>
              <w:t>2,538</w:t>
            </w:r>
          </w:p>
        </w:tc>
        <w:tc>
          <w:tcPr>
            <w:tcW w:type="dxa" w:w="1440"/>
            <w:shd w:fill="FAFAFA" w:val="clear"/>
          </w:tcPr>
          <w:p>
            <w:r>
              <w:rPr>
                <w:b/>
                <w:sz w:val="17"/>
              </w:rPr>
              <w:t>2,819</w:t>
            </w:r>
          </w:p>
        </w:tc>
        <w:tc>
          <w:tcPr>
            <w:tcW w:type="dxa" w:w="1440"/>
            <w:shd w:fill="FAFAFA" w:val="clear"/>
          </w:tcPr>
          <w:p>
            <w:r>
              <w:rPr>
                <w:sz w:val="17"/>
              </w:rPr>
              <w:t>3,100</w:t>
            </w:r>
          </w:p>
        </w:tc>
        <w:tc>
          <w:tcPr>
            <w:tcW w:type="dxa" w:w="1440"/>
            <w:shd w:fill="FAFAFA" w:val="clear"/>
          </w:tcPr>
          <w:p>
            <w:r>
              <w:rPr>
                <w:b/>
                <w:color w:val="C00000"/>
                <w:sz w:val="17"/>
              </w:rPr>
              <w:t>-1.8%</w:t>
            </w:r>
          </w:p>
        </w:tc>
      </w:tr>
      <w:tr>
        <w:tc>
          <w:tcPr>
            <w:tcW w:type="dxa" w:w="1440"/>
            <w:shd w:fill="FAFAFA" w:val="clear"/>
          </w:tcPr>
          <w:p>
            <w:r>
              <w:rPr>
                <w:sz w:val="17"/>
              </w:rPr>
              <w:t>J+10  ⭐</w:t>
            </w:r>
          </w:p>
        </w:tc>
        <w:tc>
          <w:tcPr>
            <w:tcW w:type="dxa" w:w="1440"/>
            <w:shd w:fill="FAFAFA" w:val="clear"/>
          </w:tcPr>
          <w:p>
            <w:r>
              <w:rPr>
                <w:sz w:val="17"/>
              </w:rPr>
              <w:t>2026-09-23</w:t>
            </w:r>
          </w:p>
        </w:tc>
        <w:tc>
          <w:tcPr>
            <w:tcW w:type="dxa" w:w="1440"/>
            <w:shd w:fill="FAFAFA" w:val="clear"/>
          </w:tcPr>
          <w:p>
            <w:r>
              <w:rPr>
                <w:sz w:val="17"/>
              </w:rPr>
              <w:t>2,518</w:t>
            </w:r>
          </w:p>
        </w:tc>
        <w:tc>
          <w:tcPr>
            <w:tcW w:type="dxa" w:w="1440"/>
            <w:shd w:fill="FAFAFA" w:val="clear"/>
          </w:tcPr>
          <w:p>
            <w:r>
              <w:rPr>
                <w:b/>
                <w:sz w:val="17"/>
              </w:rPr>
              <w:t>2,814</w:t>
            </w:r>
          </w:p>
        </w:tc>
        <w:tc>
          <w:tcPr>
            <w:tcW w:type="dxa" w:w="1440"/>
            <w:shd w:fill="FAFAFA" w:val="clear"/>
          </w:tcPr>
          <w:p>
            <w:r>
              <w:rPr>
                <w:sz w:val="17"/>
              </w:rPr>
              <w:t>3,110</w:t>
            </w:r>
          </w:p>
        </w:tc>
        <w:tc>
          <w:tcPr>
            <w:tcW w:type="dxa" w:w="1440"/>
            <w:shd w:fill="FAFAFA" w:val="clear"/>
          </w:tcPr>
          <w:p>
            <w:r>
              <w:rPr>
                <w:b/>
                <w:color w:val="C00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 📊 RAPPORT D'ANALYSE FINANCIÈRE — ONTBF (ONATEL Burkina Faso)</w:t>
        <w:br/>
        <w:t>**Bourse Régionale des Valeurs Mobilières (BRVM) — Secteur : Télécommunications**</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**195,16 milliards FCFA**, ONTBF se positionne comme une valeur de premier plan de la cote BRVM, représentant un pilier du compartiment télécoms aux côtés de Sonatel. Le **BPA de 234 FCFA/action** traduit la capacité bénéficiaire unitaire de la société, tandis que le **PER de 12,3x** situe le titre légèrement au-dessus de la moyenne BRVM (8-12x), signalant une valorisation modérée mais non excessive au regard de la qualité de l'émetteur. Le **P/B de 3,39x** indique que le marché valorise l'action à plus de trois fois sa valeur comptable, traduisant une prime de croissance et de rentabilité (ROE de 27,6%) justifiée par la solidité des fonds propres. Enfin, l'**EV/EBITDA de 5,1x** situe la valeur totale de l'entreprise à seulement cinq fois sa capacité opérationnelle, un niveau raisonnable qui suggère que le marché n'intègre pas de surchauffe spéculative et laisse entrevoir un potentiel de revalorisation si les marges se stabilisent.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ONTBF affiche une **variation totale de +2,68%**, avec un cours actuel de **2 870 FCFA** et une stabilité parfaite en dernière séance (J-1 : +0,00%). Le range de trading s'établit entre un plus haut de **3 070 FCFA** et un plus bas de **2 610 FCFA**, soit une amplitude de 460 FCFA (17,6%) qui témoigne d'une réelle dynamique de marché. La tendance générale est **haussière mais modérée**, le cours évoluant au-dessus de sa moyenne (2 823 FCFA) et de sa médiane (2 805 FCFA), ce qui traduit une légère asymétrie positive de la distribution. Les statistiques descriptives confirment cette lecture : l'écart-type de **86 FCFA** et le **coefficient de variation de 3,1%** indiquent une dispersion très faible du cours, signe d'une grande stabilité. Le **kurtosis de -0,262** (mésokurtique) suggère une distribution proche de la normale, sans risque de pics extrêmes marqués, tandis que le **skewness de +0,158** confirme une symétrie quasi-parfaite avec une très légère inclinaison positive. La **volatilité annualisée de 30,7%** classe le titre dans la catégorie des valeurs à volatilité **élevée** (&gt;30%), ce qui contraste avec la stabilité apparente des 100 derniers jours et invite à la prudence sur les horizons courts.</w:t>
      </w:r>
    </w:p>
    <w:p>
      <w:pPr>
        <w:spacing w:after="120" w:line="276" w:lineRule="auto"/>
      </w:pPr>
      <w:r>
        <w:t>---</w:t>
      </w:r>
    </w:p>
    <w:p>
      <w:pPr>
        <w:spacing w:after="120" w:line="276" w:lineRule="auto"/>
      </w:pPr>
      <w:r>
        <w:t>## PARTIE 2 : ANALYSE TECHNIQUE DÉTAILLÉE</w:t>
      </w:r>
    </w:p>
    <w:p>
      <w:pPr>
        <w:spacing w:after="120" w:line="276" w:lineRule="auto"/>
      </w:pPr>
      <w:r>
        <w:t>**Moyennes Mobiles** : La MM20 (2 884,5 FCFA) et la MM50 (2 842,2 FCFA) encadrent le cours actuel de 2 870 FCFA, qui se situe entre ces deux références. La MM20 étant supérieure à la MM50, la configuration est haussière de court terme, justifiant la décision **Achat** malgré la position légèrement sous la MM20.</w:t>
      </w:r>
    </w:p>
    <w:p>
      <w:pPr>
        <w:spacing w:after="120" w:line="276" w:lineRule="auto"/>
      </w:pPr>
      <w:r>
        <w:t>**Bandes de Bollinger** : Le cours (2 870 FCFA) évolue dans la partie médiane de la bande, entre la borne inférieure (2 802,4 FCFA) et supérieure (2 966,6 FCFA). L'absence de contact avec les bornes traduit une volatilité contenue et une absence de signal directionnel fort, d'où la décision **Neutre**.</w:t>
      </w:r>
    </w:p>
    <w:p>
      <w:pPr>
        <w:spacing w:after="120" w:line="276" w:lineRule="auto"/>
      </w:pPr>
      <w:r>
        <w:t>**MACD** : La valeur du MACD (5,497) est nettement inférieure à son signal (11,233), générant un croisement baissier et un momentum négatif. Cette divergence indique un essoufflement de la dynamique haussière, justifiant la décision **Vente** à court terme.</w:t>
      </w:r>
    </w:p>
    <w:p>
      <w:pPr>
        <w:spacing w:after="120" w:line="276" w:lineRule="auto"/>
      </w:pPr>
      <w:r>
        <w:t>**RSI** : À **39,726**, le RSI se situe dans la zone neutre basse (30-70), sans atteindre la zone de survente (&lt;30). Le titre n'est ni suracheté ni survendu, mais la proximité de la zone basse suggère une pression vendeuse modérée, d'où la décision **Neutre**.</w:t>
      </w:r>
    </w:p>
    <w:p>
      <w:pPr>
        <w:spacing w:after="120" w:line="276" w:lineRule="auto"/>
      </w:pPr>
      <w:r>
        <w:t>**Stochastique** : Le %K (48,148) et le %D (47,002) évoluent en zone médiane, avec un %K légèrement supérieur au %D, sans croisement significatif. Cette configuration neutre confirme l'absence de signal directionnel clair, justifiant la décision **Neutre**.</w:t>
      </w:r>
    </w:p>
    <w:p>
      <w:pPr>
        <w:spacing w:after="120" w:line="276" w:lineRule="auto"/>
      </w:pPr>
      <w:r>
        <w:t>**Conclusion technique** : Les indicateurs techniques présentent une **divergence notable** : les moyennes mobiles sont haussières (Achat) tandis que le MACD est baissier (Vente), et les trois autres oscillateurs sont neutres. Cette configuration mitigée traduit un marché sans tendance claire, en phase de consolidation. Le signal dominant est donc **neutre à légèrement baissier** à court terme, avec une attente de confirmation directionnelle.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ONTBF affiche un **chiffre d'affaires de 146,177 milliards FCFA**, en hausse de **+3,06%** par rapport à 2024, porté par le FTTH (+33% de parc), l'internet mobile (+5%) et le Mobile Money (+14%). Le **résultat net s'établit à 15,887 milliards FCFA**, en **recul de -26%** par rapport aux 21,47 milliards de 2024, sous l'effet d'une compression des marges (marge nette de 10,87% contre 15,1% en 2024) et de charges exceptionnelles (indemnités de fin d'engagement, sanction ARCEP de 1,543 milliard FCFA, coûts énergétiques et sécuritaires). Le **ROE reste excellent à 27,61%** (&gt;15%), bien qu'en baisse, et le **ROA de 4,89%** traduit une rentabilité des actifs correcte. Le **coefficient d'exploitation de 67,07%** (charges/PNB) dépasse le seuil de 60% d'efficacité, signalant une pression sur les coûts. Le **coût du risque de 3,57%** (provisions/charges financières) reste contenu, mais les **délais fournisseurs de 130,73 jours** et la **durée de stockage de 1 669 jours** (donnée aberrante pour un opérateur télécom, probablement liée à des stocks de matériel réseau) pèsent sur le BFR. La **trésorerie nette de 10,649 milliards FCFA** et la **CAF de 46,952 milliards FCFA** demeurent solides, mais le **free cash flow de seulement 1,556 milliard FCFA** reflète un programme d'investissement lourd (45,224 milliards FCFA). Le **ratio d'endettement de 186,99%** et l'**autonomie financière de 17,71%** (&lt;30%) constituent des points de vigilance, tout comme la **liquidité générale de 36,36%** (&lt;1), insuffisante pour couvrir le passif circulant.</w:t>
      </w:r>
    </w:p>
    <w:p>
      <w:pPr>
        <w:spacing w:after="120" w:line="276" w:lineRule="auto"/>
      </w:pPr>
      <w:r>
        <w:t>**Estimations basées sur les rapports trimestriels** : Le rapport T1 2026 (publié le 09/04/2026) indique un chiffre d'affaires de **37,1 milliards FCFA (+2,7%)** et un résultat net de **3,577 milliards FCFA** (marge nette de 9,6%), avec un taux de marge EBITDA maintenu à **41,3%**. Sur cette base, on peut estimer que l'exercice 2026 devrait enregistrer une **stabilisation de la rentabilité** avec un résultat net annuel projeté autour de **14-15 milliards FCFA**, confirmant l'absence de rebond significatif à court terme. Le rapport T3 2025 (30/09/2025) montrait déjà une **baisse de -17,2% du résultat net** sur 9 mois, avec un taux d'EBITDA IFRS de 39,3% (contre 45,2% en 2024), confirmant la tendance baissière des marges. Le dividende proposé de **166,0816 FCFA/action** (rendement de ~5,8% au cours actuel) reste attractif mais son taux de distribution de 70% apparaît élevé au regard de la baisse des bénéfices.</w:t>
      </w:r>
    </w:p>
    <w:p>
      <w:pPr>
        <w:spacing w:after="120" w:line="276" w:lineRule="auto"/>
      </w:pPr>
      <w:r>
        <w:t>**Recommandation fondamentale** : ONTBF présente une **solidité financière contrastée** — croissance du chiffre d'affaires et génération de cash robuste, mais dégradation marquée de la rentabilité et endettement en hausse. Le titre conserve un profil défensif avec un dividende attractif, mais les risques réglementaires (ARCEP), sécuritaires (Burkina Faso) et concurrentiels (Orange, Telecel) limitent le potentiel de revalorisation à court terme. **Recommandation : CONSERVER** avec une surveillance active de la trajectoire des marges.</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équilibré mais sans catalyseur majeur à court terme**. La **valorisation (Partie 0)** est modérée (PER 12,3x, EV/EBITDA 5,1x), sans sous-évaluation flagrante mais sans surchauffe, le P/B de 3,39x étant justifié par un ROE de 27,6%. Le **comportement du cours (Partie 1)** est stable (+2,68% sur 100 jours), avec une faible dispersion (CV 3,1%) et une distribution symétrique (skewness +0,158, kurtosis -0,262), mais une volatilité annualisée élevée (30,7%) qui invite à la prudence. Les **signaux techniques (Partie 2)** sont divergents : les moyennes mobiles sont haussières (Achat) tandis que le MACD est baissier (Vente), les oscillateurs étant neutres — configuration de consolidation sans direction claire. Les **fondamentaux (Partie 3)** montrent une croissance du CA (+3,06%) mais une dégradation du résultat net (-26%) et des marges, avec un endettement élevé (ratio 186,99%) et une liquidité insuffisante (36,36%), bien que la génération de cash reste solide (CAF 46,95 Mds FCFA). Les **prédictions IA (J+1 à J+10)** anticipent une **légère tendance baissière** (2 862 → 2 840 FCFA, soit -1,1% sur 10 jours), confirmant le signal baissier du MACD et l'absence de momentum haussier.</w:t>
      </w:r>
    </w:p>
    <w:p>
      <w:pPr>
        <w:spacing w:after="120" w:line="276" w:lineRule="auto"/>
      </w:pPr>
      <w:r>
        <w:t>**Recommandation finale : CONSERVER**</w:t>
        <w:br/>
        <w:t>**Justification** : La convergence entre une valorisation modérée, des fondamentaux solides mais en dégradation, des signaux techniques mitigés et des prédictions baissières à court terme plaide pour une **position attentiste**. Le titre n'est ni à vendre (dividende attractif de ~5,8%, croissance du CA, position dominante sur le FTTH), ni à acheter agressivement (baisse de la rentabilité, endettement élevé, risques réglementaires et sécuritaires). **Niveau de confiance : Moyen** — les données sont fiables mais les perspectives incertaines. **Niveau de risque global : Moyen à Élevé** — volatilité élevée (30,7%), endettement important, contexte sécuritaire et réglementaire défavorable. **Horizon d'investissement optimal : Moyen terme (3-12 mois)** — le temps que la stratégie de reconquête du leadership (annoncée pour 2026) produise des effets tangibles sur les marges, avec un objectif de cours à 2 800-3 000 FCFA. Une dégradation supplémentaire de la rentabilité ou une aggravation du contexte sécuritaire justifierait un passage à **VENTE**, tandis qu'une amélioration des marges au T2/T3 2026 pourrait ouvrir la voie à un **ACHAT**.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3299.35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2,751 titres</w:t>
            </w:r>
          </w:p>
        </w:tc>
        <w:tc>
          <w:tcPr>
            <w:tcW w:type="dxa" w:w="2268"/>
            <w:shd w:fill="FFF2CC" w:val="clear"/>
          </w:tcPr>
          <w:p>
            <w:r>
              <w:rPr>
                <w:b/>
                <w:color w:val="503200"/>
                <w:sz w:val="16"/>
              </w:rPr>
              <w:t xml:space="preserve">Cours actuel : </w:t>
            </w:r>
            <w:r>
              <w:rPr>
                <w:color w:val="000000"/>
                <w:sz w:val="17"/>
              </w:rPr>
              <w:t>21,900 FCFA</w:t>
            </w:r>
          </w:p>
          <w:p>
            <w:r>
              <w:rPr>
                <w:b/>
                <w:color w:val="503200"/>
                <w:sz w:val="16"/>
              </w:rPr>
              <w:t xml:space="preserve">Var. 100 jours : </w:t>
            </w:r>
            <w:r>
              <w:rPr>
                <w:b/>
                <w:color w:val="007800"/>
                <w:sz w:val="17"/>
              </w:rPr>
              <w:t>+44.41%</w:t>
            </w:r>
          </w:p>
          <w:p>
            <w:r>
              <w:rPr>
                <w:b/>
                <w:color w:val="503200"/>
                <w:sz w:val="16"/>
              </w:rPr>
              <w:t xml:space="preserve">Plus haut 100j : </w:t>
            </w:r>
            <w:r>
              <w:rPr>
                <w:color w:val="000000"/>
                <w:sz w:val="17"/>
              </w:rPr>
              <w:t>21,900 FCFA</w:t>
            </w:r>
          </w:p>
          <w:p>
            <w:r>
              <w:rPr>
                <w:b/>
                <w:color w:val="503200"/>
                <w:sz w:val="16"/>
              </w:rPr>
              <w:t xml:space="preserve">Plus bas 100j : </w:t>
            </w:r>
            <w:r>
              <w:rPr>
                <w:color w:val="000000"/>
                <w:sz w:val="17"/>
              </w:rPr>
              <w:t>14,650 FCFA</w:t>
            </w:r>
          </w:p>
          <w:p>
            <w:r>
              <w:rPr>
                <w:b/>
                <w:color w:val="503200"/>
                <w:sz w:val="16"/>
              </w:rPr>
              <w:t xml:space="preserve">Volatilité ann. : </w:t>
            </w:r>
            <w:r>
              <w:rPr>
                <w:color w:val="000000"/>
                <w:sz w:val="17"/>
              </w:rPr>
              <w:t>30.0%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11.70% (Moyenne) — μ=16,826 FCFA, σ=1,969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β=1.3088 (Agressif) — Cov=0.000048, Var(idx)=0.000036, ρ=0.422,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2,751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σ_j=1.89%/j (Stable) — Vol. annualisée≈30.0%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2026-09-10</w:t>
            </w:r>
          </w:p>
        </w:tc>
        <w:tc>
          <w:tcPr>
            <w:tcW w:type="dxa" w:w="1440"/>
            <w:shd w:fill="FFDCE0" w:val="clear"/>
          </w:tcPr>
          <w:p>
            <w:r>
              <w:rPr>
                <w:sz w:val="17"/>
              </w:rPr>
              <w:t>20,434</w:t>
            </w:r>
          </w:p>
        </w:tc>
        <w:tc>
          <w:tcPr>
            <w:tcW w:type="dxa" w:w="1440"/>
            <w:shd w:fill="FFDCE0" w:val="clear"/>
          </w:tcPr>
          <w:p>
            <w:r>
              <w:rPr>
                <w:b/>
                <w:sz w:val="17"/>
              </w:rPr>
              <w:t>21,081</w:t>
            </w:r>
          </w:p>
        </w:tc>
        <w:tc>
          <w:tcPr>
            <w:tcW w:type="dxa" w:w="1440"/>
            <w:shd w:fill="FFDCE0" w:val="clear"/>
          </w:tcPr>
          <w:p>
            <w:r>
              <w:rPr>
                <w:sz w:val="17"/>
              </w:rPr>
              <w:t>21,727</w:t>
            </w:r>
          </w:p>
        </w:tc>
        <w:tc>
          <w:tcPr>
            <w:tcW w:type="dxa" w:w="1440"/>
            <w:shd w:fill="FFDCE0" w:val="clear"/>
          </w:tcPr>
          <w:p>
            <w:r>
              <w:rPr>
                <w:b/>
                <w:color w:val="C00000"/>
                <w:sz w:val="17"/>
              </w:rPr>
              <w:t>-3.7%</w:t>
            </w:r>
          </w:p>
        </w:tc>
      </w:tr>
      <w:tr>
        <w:tc>
          <w:tcPr>
            <w:tcW w:type="dxa" w:w="1440"/>
            <w:shd w:fill="FFDCE0" w:val="clear"/>
          </w:tcPr>
          <w:p>
            <w:r>
              <w:rPr>
                <w:sz w:val="17"/>
              </w:rPr>
              <w:t>J+2  Moyenne</w:t>
            </w:r>
          </w:p>
        </w:tc>
        <w:tc>
          <w:tcPr>
            <w:tcW w:type="dxa" w:w="1440"/>
            <w:shd w:fill="FFDCE0" w:val="clear"/>
          </w:tcPr>
          <w:p>
            <w:r>
              <w:rPr>
                <w:sz w:val="17"/>
              </w:rPr>
              <w:t>2026-09-11</w:t>
            </w:r>
          </w:p>
        </w:tc>
        <w:tc>
          <w:tcPr>
            <w:tcW w:type="dxa" w:w="1440"/>
            <w:shd w:fill="FFDCE0" w:val="clear"/>
          </w:tcPr>
          <w:p>
            <w:r>
              <w:rPr>
                <w:sz w:val="17"/>
              </w:rPr>
              <w:t>20,066</w:t>
            </w:r>
          </w:p>
        </w:tc>
        <w:tc>
          <w:tcPr>
            <w:tcW w:type="dxa" w:w="1440"/>
            <w:shd w:fill="FFDCE0" w:val="clear"/>
          </w:tcPr>
          <w:p>
            <w:r>
              <w:rPr>
                <w:b/>
                <w:sz w:val="17"/>
              </w:rPr>
              <w:t>20,975</w:t>
            </w:r>
          </w:p>
        </w:tc>
        <w:tc>
          <w:tcPr>
            <w:tcW w:type="dxa" w:w="1440"/>
            <w:shd w:fill="FFDCE0" w:val="clear"/>
          </w:tcPr>
          <w:p>
            <w:r>
              <w:rPr>
                <w:sz w:val="17"/>
              </w:rPr>
              <w:t>21,885</w:t>
            </w:r>
          </w:p>
        </w:tc>
        <w:tc>
          <w:tcPr>
            <w:tcW w:type="dxa" w:w="1440"/>
            <w:shd w:fill="FFDCE0" w:val="clear"/>
          </w:tcPr>
          <w:p>
            <w:r>
              <w:rPr>
                <w:b/>
                <w:color w:val="C00000"/>
                <w:sz w:val="17"/>
              </w:rPr>
              <w:t>-4.2%</w:t>
            </w:r>
          </w:p>
        </w:tc>
      </w:tr>
      <w:tr>
        <w:tc>
          <w:tcPr>
            <w:tcW w:type="dxa" w:w="1440"/>
            <w:shd w:fill="FFDCE0" w:val="clear"/>
          </w:tcPr>
          <w:p>
            <w:r>
              <w:rPr>
                <w:sz w:val="17"/>
              </w:rPr>
              <w:t>J+3  ⭐</w:t>
            </w:r>
          </w:p>
        </w:tc>
        <w:tc>
          <w:tcPr>
            <w:tcW w:type="dxa" w:w="1440"/>
            <w:shd w:fill="FFDCE0" w:val="clear"/>
          </w:tcPr>
          <w:p>
            <w:r>
              <w:rPr>
                <w:sz w:val="17"/>
              </w:rPr>
              <w:t>2026-09-14</w:t>
            </w:r>
          </w:p>
        </w:tc>
        <w:tc>
          <w:tcPr>
            <w:tcW w:type="dxa" w:w="1440"/>
            <w:shd w:fill="FFDCE0" w:val="clear"/>
          </w:tcPr>
          <w:p>
            <w:r>
              <w:rPr>
                <w:sz w:val="17"/>
              </w:rPr>
              <w:t>19,718</w:t>
            </w:r>
          </w:p>
        </w:tc>
        <w:tc>
          <w:tcPr>
            <w:tcW w:type="dxa" w:w="1440"/>
            <w:shd w:fill="FFDCE0" w:val="clear"/>
          </w:tcPr>
          <w:p>
            <w:r>
              <w:rPr>
                <w:b/>
                <w:sz w:val="17"/>
              </w:rPr>
              <w:t>20,824</w:t>
            </w:r>
          </w:p>
        </w:tc>
        <w:tc>
          <w:tcPr>
            <w:tcW w:type="dxa" w:w="1440"/>
            <w:shd w:fill="FFDCE0" w:val="clear"/>
          </w:tcPr>
          <w:p>
            <w:r>
              <w:rPr>
                <w:sz w:val="17"/>
              </w:rPr>
              <w:t>21,930</w:t>
            </w:r>
          </w:p>
        </w:tc>
        <w:tc>
          <w:tcPr>
            <w:tcW w:type="dxa" w:w="1440"/>
            <w:shd w:fill="FFDCE0" w:val="clear"/>
          </w:tcPr>
          <w:p>
            <w:r>
              <w:rPr>
                <w:b/>
                <w:color w:val="C00000"/>
                <w:sz w:val="17"/>
              </w:rPr>
              <w:t>-4.9%</w:t>
            </w:r>
          </w:p>
        </w:tc>
      </w:tr>
      <w:tr>
        <w:tc>
          <w:tcPr>
            <w:tcW w:type="dxa" w:w="1440"/>
            <w:shd w:fill="FFDCE0" w:val="clear"/>
          </w:tcPr>
          <w:p>
            <w:r>
              <w:rPr>
                <w:sz w:val="17"/>
              </w:rPr>
              <w:t>J+4  ⭐</w:t>
            </w:r>
          </w:p>
        </w:tc>
        <w:tc>
          <w:tcPr>
            <w:tcW w:type="dxa" w:w="1440"/>
            <w:shd w:fill="FFDCE0" w:val="clear"/>
          </w:tcPr>
          <w:p>
            <w:r>
              <w:rPr>
                <w:sz w:val="17"/>
              </w:rPr>
              <w:t>2026-09-15</w:t>
            </w:r>
          </w:p>
        </w:tc>
        <w:tc>
          <w:tcPr>
            <w:tcW w:type="dxa" w:w="1440"/>
            <w:shd w:fill="FFDCE0" w:val="clear"/>
          </w:tcPr>
          <w:p>
            <w:r>
              <w:rPr>
                <w:sz w:val="17"/>
              </w:rPr>
              <w:t>19,404</w:t>
            </w:r>
          </w:p>
        </w:tc>
        <w:tc>
          <w:tcPr>
            <w:tcW w:type="dxa" w:w="1440"/>
            <w:shd w:fill="FFDCE0" w:val="clear"/>
          </w:tcPr>
          <w:p>
            <w:r>
              <w:rPr>
                <w:b/>
                <w:sz w:val="17"/>
              </w:rPr>
              <w:t>20,671</w:t>
            </w:r>
          </w:p>
        </w:tc>
        <w:tc>
          <w:tcPr>
            <w:tcW w:type="dxa" w:w="1440"/>
            <w:shd w:fill="FFDCE0" w:val="clear"/>
          </w:tcPr>
          <w:p>
            <w:r>
              <w:rPr>
                <w:sz w:val="17"/>
              </w:rPr>
              <w:t>21,939</w:t>
            </w:r>
          </w:p>
        </w:tc>
        <w:tc>
          <w:tcPr>
            <w:tcW w:type="dxa" w:w="1440"/>
            <w:shd w:fill="FFDCE0" w:val="clear"/>
          </w:tcPr>
          <w:p>
            <w:r>
              <w:rPr>
                <w:b/>
                <w:color w:val="C00000"/>
                <w:sz w:val="17"/>
              </w:rPr>
              <w:t>-5.6%</w:t>
            </w:r>
          </w:p>
        </w:tc>
      </w:tr>
      <w:tr>
        <w:tc>
          <w:tcPr>
            <w:tcW w:type="dxa" w:w="1440"/>
            <w:shd w:fill="FFDCE0" w:val="clear"/>
          </w:tcPr>
          <w:p>
            <w:r>
              <w:rPr>
                <w:sz w:val="17"/>
              </w:rPr>
              <w:t>J+5  ⭐</w:t>
            </w:r>
          </w:p>
        </w:tc>
        <w:tc>
          <w:tcPr>
            <w:tcW w:type="dxa" w:w="1440"/>
            <w:shd w:fill="FFDCE0" w:val="clear"/>
          </w:tcPr>
          <w:p>
            <w:r>
              <w:rPr>
                <w:sz w:val="17"/>
              </w:rPr>
              <w:t>2026-09-16</w:t>
            </w:r>
          </w:p>
        </w:tc>
        <w:tc>
          <w:tcPr>
            <w:tcW w:type="dxa" w:w="1440"/>
            <w:shd w:fill="FFDCE0" w:val="clear"/>
          </w:tcPr>
          <w:p>
            <w:r>
              <w:rPr>
                <w:sz w:val="17"/>
              </w:rPr>
              <w:t>19,117</w:t>
            </w:r>
          </w:p>
        </w:tc>
        <w:tc>
          <w:tcPr>
            <w:tcW w:type="dxa" w:w="1440"/>
            <w:shd w:fill="FFDCE0" w:val="clear"/>
          </w:tcPr>
          <w:p>
            <w:r>
              <w:rPr>
                <w:b/>
                <w:sz w:val="17"/>
              </w:rPr>
              <w:t>20,525</w:t>
            </w:r>
          </w:p>
        </w:tc>
        <w:tc>
          <w:tcPr>
            <w:tcW w:type="dxa" w:w="1440"/>
            <w:shd w:fill="FFDCE0" w:val="clear"/>
          </w:tcPr>
          <w:p>
            <w:r>
              <w:rPr>
                <w:sz w:val="17"/>
              </w:rPr>
              <w:t>21,932</w:t>
            </w:r>
          </w:p>
        </w:tc>
        <w:tc>
          <w:tcPr>
            <w:tcW w:type="dxa" w:w="1440"/>
            <w:shd w:fill="FFDCE0" w:val="clear"/>
          </w:tcPr>
          <w:p>
            <w:r>
              <w:rPr>
                <w:b/>
                <w:color w:val="C00000"/>
                <w:sz w:val="17"/>
              </w:rPr>
              <w:t>-6.3%</w:t>
            </w:r>
          </w:p>
        </w:tc>
      </w:tr>
      <w:tr>
        <w:tc>
          <w:tcPr>
            <w:tcW w:type="dxa" w:w="1440"/>
            <w:shd w:fill="FFDCE0" w:val="clear"/>
          </w:tcPr>
          <w:p>
            <w:r>
              <w:rPr>
                <w:sz w:val="17"/>
              </w:rPr>
              <w:t>J+6  ⭐</w:t>
            </w:r>
          </w:p>
        </w:tc>
        <w:tc>
          <w:tcPr>
            <w:tcW w:type="dxa" w:w="1440"/>
            <w:shd w:fill="FFDCE0" w:val="clear"/>
          </w:tcPr>
          <w:p>
            <w:r>
              <w:rPr>
                <w:sz w:val="17"/>
              </w:rPr>
              <w:t>2026-09-17</w:t>
            </w:r>
          </w:p>
        </w:tc>
        <w:tc>
          <w:tcPr>
            <w:tcW w:type="dxa" w:w="1440"/>
            <w:shd w:fill="FFDCE0" w:val="clear"/>
          </w:tcPr>
          <w:p>
            <w:r>
              <w:rPr>
                <w:sz w:val="17"/>
              </w:rPr>
              <w:t>18,853</w:t>
            </w:r>
          </w:p>
        </w:tc>
        <w:tc>
          <w:tcPr>
            <w:tcW w:type="dxa" w:w="1440"/>
            <w:shd w:fill="FFDCE0" w:val="clear"/>
          </w:tcPr>
          <w:p>
            <w:r>
              <w:rPr>
                <w:b/>
                <w:sz w:val="17"/>
              </w:rPr>
              <w:t>20,384</w:t>
            </w:r>
          </w:p>
        </w:tc>
        <w:tc>
          <w:tcPr>
            <w:tcW w:type="dxa" w:w="1440"/>
            <w:shd w:fill="FFDCE0" w:val="clear"/>
          </w:tcPr>
          <w:p>
            <w:r>
              <w:rPr>
                <w:sz w:val="17"/>
              </w:rPr>
              <w:t>21,915</w:t>
            </w:r>
          </w:p>
        </w:tc>
        <w:tc>
          <w:tcPr>
            <w:tcW w:type="dxa" w:w="1440"/>
            <w:shd w:fill="FFDCE0" w:val="clear"/>
          </w:tcPr>
          <w:p>
            <w:r>
              <w:rPr>
                <w:b/>
                <w:color w:val="C00000"/>
                <w:sz w:val="17"/>
              </w:rPr>
              <w:t>-6.9%</w:t>
            </w:r>
          </w:p>
        </w:tc>
      </w:tr>
      <w:tr>
        <w:tc>
          <w:tcPr>
            <w:tcW w:type="dxa" w:w="1440"/>
            <w:shd w:fill="FFDCE0" w:val="clear"/>
          </w:tcPr>
          <w:p>
            <w:r>
              <w:rPr>
                <w:sz w:val="17"/>
              </w:rPr>
              <w:t>J+7  ⭐</w:t>
            </w:r>
          </w:p>
        </w:tc>
        <w:tc>
          <w:tcPr>
            <w:tcW w:type="dxa" w:w="1440"/>
            <w:shd w:fill="FFDCE0" w:val="clear"/>
          </w:tcPr>
          <w:p>
            <w:r>
              <w:rPr>
                <w:sz w:val="17"/>
              </w:rPr>
              <w:t>2026-09-18</w:t>
            </w:r>
          </w:p>
        </w:tc>
        <w:tc>
          <w:tcPr>
            <w:tcW w:type="dxa" w:w="1440"/>
            <w:shd w:fill="FFDCE0" w:val="clear"/>
          </w:tcPr>
          <w:p>
            <w:r>
              <w:rPr>
                <w:sz w:val="17"/>
              </w:rPr>
              <w:t>18,605</w:t>
            </w:r>
          </w:p>
        </w:tc>
        <w:tc>
          <w:tcPr>
            <w:tcW w:type="dxa" w:w="1440"/>
            <w:shd w:fill="FFDCE0" w:val="clear"/>
          </w:tcPr>
          <w:p>
            <w:r>
              <w:rPr>
                <w:b/>
                <w:sz w:val="17"/>
              </w:rPr>
              <w:t>20,248</w:t>
            </w:r>
          </w:p>
        </w:tc>
        <w:tc>
          <w:tcPr>
            <w:tcW w:type="dxa" w:w="1440"/>
            <w:shd w:fill="FFDCE0" w:val="clear"/>
          </w:tcPr>
          <w:p>
            <w:r>
              <w:rPr>
                <w:sz w:val="17"/>
              </w:rPr>
              <w:t>21,891</w:t>
            </w:r>
          </w:p>
        </w:tc>
        <w:tc>
          <w:tcPr>
            <w:tcW w:type="dxa" w:w="1440"/>
            <w:shd w:fill="FFDCE0" w:val="clear"/>
          </w:tcPr>
          <w:p>
            <w:r>
              <w:rPr>
                <w:b/>
                <w:color w:val="C00000"/>
                <w:sz w:val="17"/>
              </w:rPr>
              <w:t>-7.5%</w:t>
            </w:r>
          </w:p>
        </w:tc>
      </w:tr>
      <w:tr>
        <w:tc>
          <w:tcPr>
            <w:tcW w:type="dxa" w:w="1440"/>
            <w:shd w:fill="FFDCE0" w:val="clear"/>
          </w:tcPr>
          <w:p>
            <w:r>
              <w:rPr>
                <w:sz w:val="17"/>
              </w:rPr>
              <w:t>J+8  ⭐</w:t>
            </w:r>
          </w:p>
        </w:tc>
        <w:tc>
          <w:tcPr>
            <w:tcW w:type="dxa" w:w="1440"/>
            <w:shd w:fill="FFDCE0" w:val="clear"/>
          </w:tcPr>
          <w:p>
            <w:r>
              <w:rPr>
                <w:sz w:val="17"/>
              </w:rPr>
              <w:t>2026-09-21</w:t>
            </w:r>
          </w:p>
        </w:tc>
        <w:tc>
          <w:tcPr>
            <w:tcW w:type="dxa" w:w="1440"/>
            <w:shd w:fill="FFDCE0" w:val="clear"/>
          </w:tcPr>
          <w:p>
            <w:r>
              <w:rPr>
                <w:sz w:val="17"/>
              </w:rPr>
              <w:t>18,373</w:t>
            </w:r>
          </w:p>
        </w:tc>
        <w:tc>
          <w:tcPr>
            <w:tcW w:type="dxa" w:w="1440"/>
            <w:shd w:fill="FFDCE0" w:val="clear"/>
          </w:tcPr>
          <w:p>
            <w:r>
              <w:rPr>
                <w:b/>
                <w:sz w:val="17"/>
              </w:rPr>
              <w:t>20,118</w:t>
            </w:r>
          </w:p>
        </w:tc>
        <w:tc>
          <w:tcPr>
            <w:tcW w:type="dxa" w:w="1440"/>
            <w:shd w:fill="FFDCE0" w:val="clear"/>
          </w:tcPr>
          <w:p>
            <w:r>
              <w:rPr>
                <w:sz w:val="17"/>
              </w:rPr>
              <w:t>21,863</w:t>
            </w:r>
          </w:p>
        </w:tc>
        <w:tc>
          <w:tcPr>
            <w:tcW w:type="dxa" w:w="1440"/>
            <w:shd w:fill="FFDCE0" w:val="clear"/>
          </w:tcPr>
          <w:p>
            <w:r>
              <w:rPr>
                <w:b/>
                <w:color w:val="C00000"/>
                <w:sz w:val="17"/>
              </w:rPr>
              <w:t>-8.1%</w:t>
            </w:r>
          </w:p>
        </w:tc>
      </w:tr>
      <w:tr>
        <w:tc>
          <w:tcPr>
            <w:tcW w:type="dxa" w:w="1440"/>
            <w:shd w:fill="FFDCE0" w:val="clear"/>
          </w:tcPr>
          <w:p>
            <w:r>
              <w:rPr>
                <w:sz w:val="17"/>
              </w:rPr>
              <w:t>J+9  ⭐</w:t>
            </w:r>
          </w:p>
        </w:tc>
        <w:tc>
          <w:tcPr>
            <w:tcW w:type="dxa" w:w="1440"/>
            <w:shd w:fill="FFDCE0" w:val="clear"/>
          </w:tcPr>
          <w:p>
            <w:r>
              <w:rPr>
                <w:sz w:val="17"/>
              </w:rPr>
              <w:t>2026-09-22</w:t>
            </w:r>
          </w:p>
        </w:tc>
        <w:tc>
          <w:tcPr>
            <w:tcW w:type="dxa" w:w="1440"/>
            <w:shd w:fill="FFDCE0" w:val="clear"/>
          </w:tcPr>
          <w:p>
            <w:r>
              <w:rPr>
                <w:sz w:val="17"/>
              </w:rPr>
              <w:t>18,153</w:t>
            </w:r>
          </w:p>
        </w:tc>
        <w:tc>
          <w:tcPr>
            <w:tcW w:type="dxa" w:w="1440"/>
            <w:shd w:fill="FFDCE0" w:val="clear"/>
          </w:tcPr>
          <w:p>
            <w:r>
              <w:rPr>
                <w:b/>
                <w:sz w:val="17"/>
              </w:rPr>
              <w:t>19,992</w:t>
            </w:r>
          </w:p>
        </w:tc>
        <w:tc>
          <w:tcPr>
            <w:tcW w:type="dxa" w:w="1440"/>
            <w:shd w:fill="FFDCE0" w:val="clear"/>
          </w:tcPr>
          <w:p>
            <w:r>
              <w:rPr>
                <w:sz w:val="17"/>
              </w:rPr>
              <w:t>21,832</w:t>
            </w:r>
          </w:p>
        </w:tc>
        <w:tc>
          <w:tcPr>
            <w:tcW w:type="dxa" w:w="1440"/>
            <w:shd w:fill="FFDCE0" w:val="clear"/>
          </w:tcPr>
          <w:p>
            <w:r>
              <w:rPr>
                <w:b/>
                <w:color w:val="C00000"/>
                <w:sz w:val="17"/>
              </w:rPr>
              <w:t>-8.7%</w:t>
            </w:r>
          </w:p>
        </w:tc>
      </w:tr>
      <w:tr>
        <w:tc>
          <w:tcPr>
            <w:tcW w:type="dxa" w:w="1440"/>
            <w:shd w:fill="FFDCE0" w:val="clear"/>
          </w:tcPr>
          <w:p>
            <w:r>
              <w:rPr>
                <w:sz w:val="17"/>
              </w:rPr>
              <w:t>J+10  ⭐</w:t>
            </w:r>
          </w:p>
        </w:tc>
        <w:tc>
          <w:tcPr>
            <w:tcW w:type="dxa" w:w="1440"/>
            <w:shd w:fill="FFDCE0" w:val="clear"/>
          </w:tcPr>
          <w:p>
            <w:r>
              <w:rPr>
                <w:sz w:val="17"/>
              </w:rPr>
              <w:t>2026-09-23</w:t>
            </w:r>
          </w:p>
        </w:tc>
        <w:tc>
          <w:tcPr>
            <w:tcW w:type="dxa" w:w="1440"/>
            <w:shd w:fill="FFDCE0" w:val="clear"/>
          </w:tcPr>
          <w:p>
            <w:r>
              <w:rPr>
                <w:sz w:val="17"/>
              </w:rPr>
              <w:t>17,945</w:t>
            </w:r>
          </w:p>
        </w:tc>
        <w:tc>
          <w:tcPr>
            <w:tcW w:type="dxa" w:w="1440"/>
            <w:shd w:fill="FFDCE0" w:val="clear"/>
          </w:tcPr>
          <w:p>
            <w:r>
              <w:rPr>
                <w:b/>
                <w:sz w:val="17"/>
              </w:rPr>
              <w:t>19,871</w:t>
            </w:r>
          </w:p>
        </w:tc>
        <w:tc>
          <w:tcPr>
            <w:tcW w:type="dxa" w:w="1440"/>
            <w:shd w:fill="FFDCE0" w:val="clear"/>
          </w:tcPr>
          <w:p>
            <w:r>
              <w:rPr>
                <w:sz w:val="17"/>
              </w:rPr>
              <w:t>21,798</w:t>
            </w:r>
          </w:p>
        </w:tc>
        <w:tc>
          <w:tcPr>
            <w:tcW w:type="dxa" w:w="1440"/>
            <w:shd w:fill="FFDCE0" w:val="clear"/>
          </w:tcPr>
          <w:p>
            <w:r>
              <w:rPr>
                <w:b/>
                <w:color w:val="C00000"/>
                <w:sz w:val="17"/>
              </w:rPr>
              <w:t>-9.3%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 📊 RAPPORT D'ANALYSE FINANCIÈRE — ORAC (Orange Côte d'Ivoire)</w:t>
        <w:br/>
        <w:t>**Bourse Régionale des Valeurs Mobilières (BRVM) — Secteur : Télécommunications / Entreprise non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**3 299,35 milliards FCFA**, ORAC s'impose comme l'une des toutes premières capitalisations de la BRVM, représentant une part significative de la capitalisation totale du marché régional — un statut de valeur « blue chip » qui explique la forte attention des investisseurs institutionnels. Le BPA de **1 114 FCFA/action** traduit la capacité bénéficiaire unitaire de chaque titre, tandis que le PER de **19,7x** situe le titre nettement au-dessus de la moyenne BRVM (~8-12x), signalant que les investisseurs acceptent de payer une prime pour la qualité et la croissance de l'émetteur. Le ratio P/B de **4,66x** confirme cette prime exigeante : le marché valorise ORAC à près de 5 fois ses fonds propres comptables, ce qui intègre une forte anticipation de rentabilité future. Enfin, l'EV/EBITDA de **7,8x**, dans la fourchette raisonnable de 5-10x, indique que la valeur d'entreprise reste cohérente avec la capacité opérationnelle de génération de cash-flows, offrant un contrepoids rassurant à la cherté apparente du PER et du P/B.</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ORAC affiche une performance remarquable de **+44,41%**, avec une dernière séance en hausse de **+3,01%**, portant le cours actuel à **21 900 FCFA** — soit exactement le plus haut de la période, ce qui place le titre en zone de sommet absolu. Le range de trading est large, entre un plus bas de **14 650 FCFA** et ce plus haut de **21 900 FCFA**, soit une amplitude de près de 50%, confirmant une tendance franchement haussière soutenue par un volume moyen de 2 751 titres/jour. Les statistiques descriptives révèlent une **moyenne (16 826 FCFA) supérieure à la médiane (16 162 FCFA)**, avec un mode à 16 000 FCFA : cet écart traduit une distribution asymétrique où les récentes flambées tirent la moyenne vers le haut, tandis que la majorité des séances se sont négociées sous ce niveau. L'écart-type de **1 978 FCFA** et le **CV de 11,8%** indiquent une dispersion modérée du cours, tandis que le **kurtosis de 0,755 (mésokurtique)** suggère une distribution proche de la normale, sans risque excessif de pics extrêmes. Le **skewness de +1,381** confirme une asymétrie positive marquée : les journées sous la moyenne sont plus fréquentes, mais les hausses récentes sont amples — un profil typique de fin de tendance haussière. La **volatilité annualisée de 30,0%** positionne le titre en zone modérée à élevée (limite haute de la fourchette 15-30%), cohérente avec un titre en pleine accélération.</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**20 338,5 FCFA** et la MM50 à **18 057,7 FCFA**, toutes deux nettement inférieures au cours actuel de 21 900 FCFA, avec une MM20 au-dessus de la MM50 : configuration haussière classique (golden cross) qui justifie la décision **Achat**. Le cours évolue toutefois à environ 7,7% au-dessus de sa MM20, ce qui commence à traduire une extension technique nécessitant une consolidation.</w:t>
      </w:r>
    </w:p>
    <w:p>
      <w:pPr>
        <w:spacing w:after="120" w:line="276" w:lineRule="auto"/>
      </w:pPr>
      <w:r>
        <w:t>**Bandes de Bollinger** — Le cours (21 900 FCFA) se situe dans la moitié supérieure de la bande, entre la borne inférieure (17 502,56 FCFA) et la borne supérieure (23 174,44 FCFA), sans franchissement de cette dernière. Cette position haute mais non extrême, couplée à un écart de bandes reflétant une volatilité soutenue, justifie la décision **Neutre** : le titre est fort mais n'est pas encore en zone de surachat technique.</w:t>
      </w:r>
    </w:p>
    <w:p>
      <w:pPr>
        <w:spacing w:after="120" w:line="276" w:lineRule="auto"/>
      </w:pPr>
      <w:r>
        <w:t>**MACD** — La valeur du MACD (**1 097,42**) est très légèrement inférieure à son signal (**1 101,97**), générant un croisement baissier marginal qui justifie la décision **Vente**. Cette divergence négative, bien que faible en amplitude, signale un essoufflement du momentum haussier malgré la progression du cours — un signal de prudence à surveiller.</w:t>
      </w:r>
    </w:p>
    <w:p>
      <w:pPr>
        <w:spacing w:after="120" w:line="276" w:lineRule="auto"/>
      </w:pPr>
      <w:r>
        <w:t>**RSI** — À **68,85**, le RSI se situe juste sous le seuil de surachat de 70, en zone neutre haute. La décision **Neutre** est cohérente : le titre conserve un potentiel haussier résiduel mais se rapproche dangereusement de la zone de correction, ce qui invite à la vigilance.</w:t>
      </w:r>
    </w:p>
    <w:p>
      <w:pPr>
        <w:spacing w:after="120" w:line="276" w:lineRule="auto"/>
      </w:pPr>
      <w:r>
        <w:t>**Stochastique** — Le %K (**100,0**) est au maximum absolu et le %D (**92,14**) également très élevé, avec un %K au-dessus du %D : le titre est en zone de surachat extrême, justifiant la décision **Vente**. Ce signal est le plus préoccupant de la batterie technique, car il précède historiquement les corrections à court terme.</w:t>
      </w:r>
    </w:p>
    <w:p>
      <w:pPr>
        <w:spacing w:after="120" w:line="276" w:lineRule="auto"/>
      </w:pPr>
      <w:r>
        <w:t>**Conclusion technique** — Les indicateurs sont **divergents** : les moyennes mobiles confirment la tendance haussière de fond (Achat), mais le MACD, le stochastique et le RSI en zone haute signalent un essoufflement imminent. Le titre évolue au sommet de son range, en surachat stochastique, ce qui suggère une **prise de bénéfices probable à court terme** avant toute nouvelle jambe haussière. La configuration globale plaide pour une consolidation plutôt qu'une poursuite immédiate de la hausse.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Orange Côte d'Ivoire affiche un chiffre d'affaires consolidé de **1 197,1 milliards FCFA** en 2025, en croissance de **+10,4%** par rapport à 2024 (1 084,1 Mds FCFA), portée par la dynamique des trois filiales (Côte d'Ivoire, Burkina Faso, Libéria). Le résultat net consolidé s'établit à **167,8 milliards FCFA** (+6,1%), tandis que le résultat net part du groupe atteint **129,1 milliards FCFA** (+14,5% selon le rapport annuel 2025 du 31/12/2025). La rentabilité reste solide avec un **ROE de 23,71%** (largement supérieur au seuil d'excellence de 15%) et un **ROA de 6,57%**, tandis que la marge nette ressort à **14,02%** et la marge opérationnelle à **23,99%**. En tant qu'entreprise non bancaire, les indicateurs d'exploitation sont particulièrement favorables : le **BFR est négatif à -198,0 Mds FCFA** (excellent pour la trésorerie), le délai fournisseurs de **210,87 jours** finance largement le délai clients de **52,26 jours**, et la trésorerie nette reste positive à **113,9 Mds FCFA**. La structure financière demeure saine avec une autonomie financière de **27,71%**, une solvabilité générale de **138,34%** et une couverture des intérêts de **1 018,44%**, bien que le ratio d'endettement de **47,46%** mérite une surveillance.</w:t>
      </w:r>
    </w:p>
    <w:p>
      <w:pPr>
        <w:spacing w:after="120" w:line="276" w:lineRule="auto"/>
      </w:pPr>
      <w:r>
        <w:t>**Estimations basées sur les rapports trimestriels** : Le rapport T1 2026 (publié le 31/03/2026) révèle une accélération spectaculaire — CA de **325,6 Mds FCFA (+14,8%)**, résultat net de **48,3 Mds FCFA (+25,2%)** et EBITDAaL de **114,2 Mds FCFA (+15,7%)**, avec une marge nette en amélioration à **14,8%**. Cette dynamique tranche avec la quasi-stagnation du résultat net observée en 2025 (S1 : +0,5% ; T3 : +0,2%), où la pression des charges financières (+133,8% au S1) et fiscales pesait sur la conversion du CA en profit. **On estime donc que l'exercice 2026 devrait afficher une reprise de la croissance bénéficiaire à deux chiffres**, portée par l'effet de levier opérationnel retrouvé et la maîtrise des coûts. Le dividende proposé de **800 FCFA brut/action** (AGO du 29/04/2026, distribuant 120,5 Mds FCFA) offre un rendement attractif, bien qu'en repli par rapport au DPA implicite de 1 278 FCFA versé en 2025 — un choix stratégique d'autofinancement des investissements (184,2 Mds FCFA de capex en 2025, soit 15,4% du CA). **Conclusion fondamentale** : la solidité du modèle, la diversification (Orange Money, fibre, B2B) et l'accélération du T1 2026 confirment la qualité de l'émetteur, avec des risques résiduels liés à la pression fiscale/réglementaire et au contexte sécuritaire au Burkina Faso.</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révèle un **décalage significatif entre la qualité fondamentale et la configuration technique à court terme**. Sur le plan de la **valorisation (Partie 0)**, le PER de 19,7x et le P/B de 4,66x traduisent une prime exigeante, tempérée par un EV/EBITDA raisonnable de 7,8x — le titre n'est ni une opportunité de sous-évaluation, ni une bulle manifeste. Le **comportement du cours (Partie 1)** est préoccupant à court terme : +44,41% en 100 jours, cours au plus haut absolu, skewness positif de 1,381 et volatilité de 30% signalent une extension technique mûre pour une consolidation. Les **signaux techniques (Partie 2)** sont divergents : les moyennes mobiles valident la tendance haussière, mais le MACD baissier, le stochastique en surachat extrême (%K=100) et le RSI à 68,85 plaident pour une **correction imminente**. Les **fondamentaux (Partie 3)** restent excellents — ROE de 23,71%, BFR négatif, accélération du T1 2026 (+25,2% de résultat net) — et soutiennent une vision de long terme positive. Enfin, les **prédictions IA (J+1 à J+10)** anticipent une **dérive baissière graduelle** de 21 081 FCFA (J+1) à 20 525 FCFA (J+10), soit une correction d'environ -6,3%, ce qui **confirme les signaux techniques de surachat** et contredit la poursuite immédiate de la hausse.</w:t>
      </w:r>
    </w:p>
    <w:p>
      <w:pPr>
        <w:spacing w:after="120" w:line="276" w:lineRule="auto"/>
      </w:pPr>
      <w:r>
        <w:t>**Recommandation finale : CONSERVER** — La convergence entre la technique (surachat) et les prédictions IA (correction) invite à la prudence à court terme, tandis que les fondamentaux solides et l'accélération du T1 2026 justifient de ne pas vendre. Le titre mérite d'être conservé en portefeuille pour capter la croissance de long terme, mais les investisseurs déjà positionnés peuvent envisager une prise partielle de bénéfices sur les niveaux actuels. **Niveau de confiance : Moyen** (divergence technique/fondamental). **Niveau de risque global : Moyen à Élevé** (volatilité de 30%, valorisation exigeante, contexte réglementaire). **Horizon d'investissement optimal : Moyen à long terme (6 mois à 2 ans)**, en privilégiant les points d'entrée sur repli vers la MM20 (~20 338 FCFA) ou la borne inférieure de Bollinger (~17 500 FCFA).</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229.07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5,641 titres</w:t>
            </w:r>
          </w:p>
        </w:tc>
        <w:tc>
          <w:tcPr>
            <w:tcW w:type="dxa" w:w="2268"/>
            <w:shd w:fill="FFF2CC" w:val="clear"/>
          </w:tcPr>
          <w:p>
            <w:r>
              <w:rPr>
                <w:b/>
                <w:color w:val="503200"/>
                <w:sz w:val="16"/>
              </w:rPr>
              <w:t xml:space="preserve">Cours actuel : </w:t>
            </w:r>
            <w:r>
              <w:rPr>
                <w:color w:val="000000"/>
                <w:sz w:val="17"/>
              </w:rPr>
              <w:t>3,300 FCFA</w:t>
            </w:r>
          </w:p>
          <w:p>
            <w:r>
              <w:rPr>
                <w:b/>
                <w:color w:val="503200"/>
                <w:sz w:val="16"/>
              </w:rPr>
              <w:t xml:space="preserve">Var. 100 jours : </w:t>
            </w:r>
            <w:r>
              <w:rPr>
                <w:b/>
                <w:color w:val="B40000"/>
                <w:sz w:val="17"/>
              </w:rPr>
              <w:t>-3.93%</w:t>
            </w:r>
          </w:p>
          <w:p>
            <w:r>
              <w:rPr>
                <w:b/>
                <w:color w:val="503200"/>
                <w:sz w:val="16"/>
              </w:rPr>
              <w:t xml:space="preserve">Plus haut 100j : </w:t>
            </w:r>
            <w:r>
              <w:rPr>
                <w:color w:val="000000"/>
                <w:sz w:val="17"/>
              </w:rPr>
              <w:t>3,475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43.8%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9.40% (Moyenne) — μ=2,914 FCFA, σ=274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β=0.2519 (Défensif) — Cov=0.000009, Var(idx)=0.000036, ρ=0.055,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5,641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σ_j=2.76%/j (Stable) — Vol. annualisée≈43.8%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2026-09-10</w:t>
            </w:r>
          </w:p>
        </w:tc>
        <w:tc>
          <w:tcPr>
            <w:tcW w:type="dxa" w:w="1440"/>
            <w:shd w:fill="FAFAFA" w:val="clear"/>
          </w:tcPr>
          <w:p>
            <w:r>
              <w:rPr>
                <w:sz w:val="17"/>
              </w:rPr>
              <w:t>3,207</w:t>
            </w:r>
          </w:p>
        </w:tc>
        <w:tc>
          <w:tcPr>
            <w:tcW w:type="dxa" w:w="1440"/>
            <w:shd w:fill="FAFAFA" w:val="clear"/>
          </w:tcPr>
          <w:p>
            <w:r>
              <w:rPr>
                <w:b/>
                <w:sz w:val="17"/>
              </w:rPr>
              <w:t>3,317</w:t>
            </w:r>
          </w:p>
        </w:tc>
        <w:tc>
          <w:tcPr>
            <w:tcW w:type="dxa" w:w="1440"/>
            <w:shd w:fill="FAFAFA" w:val="clear"/>
          </w:tcPr>
          <w:p>
            <w:r>
              <w:rPr>
                <w:sz w:val="17"/>
              </w:rPr>
              <w:t>3,427</w:t>
            </w:r>
          </w:p>
        </w:tc>
        <w:tc>
          <w:tcPr>
            <w:tcW w:type="dxa" w:w="1440"/>
            <w:shd w:fill="FAFAFA" w:val="clear"/>
          </w:tcPr>
          <w:p>
            <w:r>
              <w:rPr>
                <w:b/>
                <w:color w:val="008000"/>
                <w:sz w:val="17"/>
              </w:rPr>
              <w:t>+0.5%</w:t>
            </w:r>
          </w:p>
        </w:tc>
      </w:tr>
      <w:tr>
        <w:tc>
          <w:tcPr>
            <w:tcW w:type="dxa" w:w="1440"/>
            <w:shd w:fill="FAFAFA" w:val="clear"/>
          </w:tcPr>
          <w:p>
            <w:r>
              <w:rPr>
                <w:sz w:val="17"/>
              </w:rPr>
              <w:t>J+2  Moyenne</w:t>
            </w:r>
          </w:p>
        </w:tc>
        <w:tc>
          <w:tcPr>
            <w:tcW w:type="dxa" w:w="1440"/>
            <w:shd w:fill="FAFAFA" w:val="clear"/>
          </w:tcPr>
          <w:p>
            <w:r>
              <w:rPr>
                <w:sz w:val="17"/>
              </w:rPr>
              <w:t>2026-09-11</w:t>
            </w:r>
          </w:p>
        </w:tc>
        <w:tc>
          <w:tcPr>
            <w:tcW w:type="dxa" w:w="1440"/>
            <w:shd w:fill="FAFAFA" w:val="clear"/>
          </w:tcPr>
          <w:p>
            <w:r>
              <w:rPr>
                <w:sz w:val="17"/>
              </w:rPr>
              <w:t>3,153</w:t>
            </w:r>
          </w:p>
        </w:tc>
        <w:tc>
          <w:tcPr>
            <w:tcW w:type="dxa" w:w="1440"/>
            <w:shd w:fill="FAFAFA" w:val="clear"/>
          </w:tcPr>
          <w:p>
            <w:r>
              <w:rPr>
                <w:b/>
                <w:sz w:val="17"/>
              </w:rPr>
              <w:t>3,308</w:t>
            </w:r>
          </w:p>
        </w:tc>
        <w:tc>
          <w:tcPr>
            <w:tcW w:type="dxa" w:w="1440"/>
            <w:shd w:fill="FAFAFA" w:val="clear"/>
          </w:tcPr>
          <w:p>
            <w:r>
              <w:rPr>
                <w:sz w:val="17"/>
              </w:rPr>
              <w:t>3,464</w:t>
            </w:r>
          </w:p>
        </w:tc>
        <w:tc>
          <w:tcPr>
            <w:tcW w:type="dxa" w:w="1440"/>
            <w:shd w:fill="FAFAFA" w:val="clear"/>
          </w:tcPr>
          <w:p>
            <w:r>
              <w:rPr>
                <w:b/>
                <w:color w:val="008000"/>
                <w:sz w:val="17"/>
              </w:rPr>
              <w:t>+0.3%</w:t>
            </w:r>
          </w:p>
        </w:tc>
      </w:tr>
      <w:tr>
        <w:tc>
          <w:tcPr>
            <w:tcW w:type="dxa" w:w="1440"/>
            <w:shd w:fill="FAFAFA" w:val="clear"/>
          </w:tcPr>
          <w:p>
            <w:r>
              <w:rPr>
                <w:sz w:val="17"/>
              </w:rPr>
              <w:t>J+3  Moyenne</w:t>
            </w:r>
          </w:p>
        </w:tc>
        <w:tc>
          <w:tcPr>
            <w:tcW w:type="dxa" w:w="1440"/>
            <w:shd w:fill="FAFAFA" w:val="clear"/>
          </w:tcPr>
          <w:p>
            <w:r>
              <w:rPr>
                <w:sz w:val="17"/>
              </w:rPr>
              <w:t>2026-09-14</w:t>
            </w:r>
          </w:p>
        </w:tc>
        <w:tc>
          <w:tcPr>
            <w:tcW w:type="dxa" w:w="1440"/>
            <w:shd w:fill="FAFAFA" w:val="clear"/>
          </w:tcPr>
          <w:p>
            <w:r>
              <w:rPr>
                <w:sz w:val="17"/>
              </w:rPr>
              <w:t>3,113</w:t>
            </w:r>
          </w:p>
        </w:tc>
        <w:tc>
          <w:tcPr>
            <w:tcW w:type="dxa" w:w="1440"/>
            <w:shd w:fill="FAFAFA" w:val="clear"/>
          </w:tcPr>
          <w:p>
            <w:r>
              <w:rPr>
                <w:b/>
                <w:sz w:val="17"/>
              </w:rPr>
              <w:t>3,303</w:t>
            </w:r>
          </w:p>
        </w:tc>
        <w:tc>
          <w:tcPr>
            <w:tcW w:type="dxa" w:w="1440"/>
            <w:shd w:fill="FAFAFA" w:val="clear"/>
          </w:tcPr>
          <w:p>
            <w:r>
              <w:rPr>
                <w:sz w:val="17"/>
              </w:rPr>
              <w:t>3,493</w:t>
            </w:r>
          </w:p>
        </w:tc>
        <w:tc>
          <w:tcPr>
            <w:tcW w:type="dxa" w:w="1440"/>
            <w:shd w:fill="FAFAFA" w:val="clear"/>
          </w:tcPr>
          <w:p>
            <w:r>
              <w:rPr>
                <w:b/>
                <w:color w:val="008000"/>
                <w:sz w:val="17"/>
              </w:rPr>
              <w:t>+0.1%</w:t>
            </w:r>
          </w:p>
        </w:tc>
      </w:tr>
      <w:tr>
        <w:tc>
          <w:tcPr>
            <w:tcW w:type="dxa" w:w="1440"/>
            <w:shd w:fill="FAFAFA" w:val="clear"/>
          </w:tcPr>
          <w:p>
            <w:r>
              <w:rPr>
                <w:sz w:val="17"/>
              </w:rPr>
              <w:t>J+4  ⭐</w:t>
            </w:r>
          </w:p>
        </w:tc>
        <w:tc>
          <w:tcPr>
            <w:tcW w:type="dxa" w:w="1440"/>
            <w:shd w:fill="FAFAFA" w:val="clear"/>
          </w:tcPr>
          <w:p>
            <w:r>
              <w:rPr>
                <w:sz w:val="17"/>
              </w:rPr>
              <w:t>2026-09-15</w:t>
            </w:r>
          </w:p>
        </w:tc>
        <w:tc>
          <w:tcPr>
            <w:tcW w:type="dxa" w:w="1440"/>
            <w:shd w:fill="FAFAFA" w:val="clear"/>
          </w:tcPr>
          <w:p>
            <w:r>
              <w:rPr>
                <w:sz w:val="17"/>
              </w:rPr>
              <w:t>3,080</w:t>
            </w:r>
          </w:p>
        </w:tc>
        <w:tc>
          <w:tcPr>
            <w:tcW w:type="dxa" w:w="1440"/>
            <w:shd w:fill="FAFAFA" w:val="clear"/>
          </w:tcPr>
          <w:p>
            <w:r>
              <w:rPr>
                <w:b/>
                <w:sz w:val="17"/>
              </w:rPr>
              <w:t>3,299</w:t>
            </w:r>
          </w:p>
        </w:tc>
        <w:tc>
          <w:tcPr>
            <w:tcW w:type="dxa" w:w="1440"/>
            <w:shd w:fill="FAFAFA" w:val="clear"/>
          </w:tcPr>
          <w:p>
            <w:r>
              <w:rPr>
                <w:sz w:val="17"/>
              </w:rPr>
              <w:t>3,518</w:t>
            </w:r>
          </w:p>
        </w:tc>
        <w:tc>
          <w:tcPr>
            <w:tcW w:type="dxa" w:w="1440"/>
            <w:shd w:fill="FAFAFA" w:val="clear"/>
          </w:tcPr>
          <w:p>
            <w:r>
              <w:rPr>
                <w:b/>
                <w:color w:val="C00000"/>
                <w:sz w:val="17"/>
              </w:rPr>
              <w:t>-0.0%</w:t>
            </w:r>
          </w:p>
        </w:tc>
      </w:tr>
      <w:tr>
        <w:tc>
          <w:tcPr>
            <w:tcW w:type="dxa" w:w="1440"/>
            <w:shd w:fill="FAFAFA" w:val="clear"/>
          </w:tcPr>
          <w:p>
            <w:r>
              <w:rPr>
                <w:sz w:val="17"/>
              </w:rPr>
              <w:t>J+5  ⭐</w:t>
            </w:r>
          </w:p>
        </w:tc>
        <w:tc>
          <w:tcPr>
            <w:tcW w:type="dxa" w:w="1440"/>
            <w:shd w:fill="FAFAFA" w:val="clear"/>
          </w:tcPr>
          <w:p>
            <w:r>
              <w:rPr>
                <w:sz w:val="17"/>
              </w:rPr>
              <w:t>2026-09-16</w:t>
            </w:r>
          </w:p>
        </w:tc>
        <w:tc>
          <w:tcPr>
            <w:tcW w:type="dxa" w:w="1440"/>
            <w:shd w:fill="FAFAFA" w:val="clear"/>
          </w:tcPr>
          <w:p>
            <w:r>
              <w:rPr>
                <w:sz w:val="17"/>
              </w:rPr>
              <w:t>3,050</w:t>
            </w:r>
          </w:p>
        </w:tc>
        <w:tc>
          <w:tcPr>
            <w:tcW w:type="dxa" w:w="1440"/>
            <w:shd w:fill="FAFAFA" w:val="clear"/>
          </w:tcPr>
          <w:p>
            <w:r>
              <w:rPr>
                <w:b/>
                <w:sz w:val="17"/>
              </w:rPr>
              <w:t>3,295</w:t>
            </w:r>
          </w:p>
        </w:tc>
        <w:tc>
          <w:tcPr>
            <w:tcW w:type="dxa" w:w="1440"/>
            <w:shd w:fill="FAFAFA" w:val="clear"/>
          </w:tcPr>
          <w:p>
            <w:r>
              <w:rPr>
                <w:sz w:val="17"/>
              </w:rPr>
              <w:t>3,540</w:t>
            </w:r>
          </w:p>
        </w:tc>
        <w:tc>
          <w:tcPr>
            <w:tcW w:type="dxa" w:w="1440"/>
            <w:shd w:fill="FAFAFA" w:val="clear"/>
          </w:tcPr>
          <w:p>
            <w:r>
              <w:rPr>
                <w:b/>
                <w:color w:val="C00000"/>
                <w:sz w:val="17"/>
              </w:rPr>
              <w:t>-0.2%</w:t>
            </w:r>
          </w:p>
        </w:tc>
      </w:tr>
      <w:tr>
        <w:tc>
          <w:tcPr>
            <w:tcW w:type="dxa" w:w="1440"/>
            <w:shd w:fill="FAFAFA" w:val="clear"/>
          </w:tcPr>
          <w:p>
            <w:r>
              <w:rPr>
                <w:sz w:val="17"/>
              </w:rPr>
              <w:t>J+6  ⭐</w:t>
            </w:r>
          </w:p>
        </w:tc>
        <w:tc>
          <w:tcPr>
            <w:tcW w:type="dxa" w:w="1440"/>
            <w:shd w:fill="FAFAFA" w:val="clear"/>
          </w:tcPr>
          <w:p>
            <w:r>
              <w:rPr>
                <w:sz w:val="17"/>
              </w:rPr>
              <w:t>2026-09-17</w:t>
            </w:r>
          </w:p>
        </w:tc>
        <w:tc>
          <w:tcPr>
            <w:tcW w:type="dxa" w:w="1440"/>
            <w:shd w:fill="FAFAFA" w:val="clear"/>
          </w:tcPr>
          <w:p>
            <w:r>
              <w:rPr>
                <w:sz w:val="17"/>
              </w:rPr>
              <w:t>3,024</w:t>
            </w:r>
          </w:p>
        </w:tc>
        <w:tc>
          <w:tcPr>
            <w:tcW w:type="dxa" w:w="1440"/>
            <w:shd w:fill="FAFAFA" w:val="clear"/>
          </w:tcPr>
          <w:p>
            <w:r>
              <w:rPr>
                <w:b/>
                <w:sz w:val="17"/>
              </w:rPr>
              <w:t>3,291</w:t>
            </w:r>
          </w:p>
        </w:tc>
        <w:tc>
          <w:tcPr>
            <w:tcW w:type="dxa" w:w="1440"/>
            <w:shd w:fill="FAFAFA" w:val="clear"/>
          </w:tcPr>
          <w:p>
            <w:r>
              <w:rPr>
                <w:sz w:val="17"/>
              </w:rPr>
              <w:t>3,559</w:t>
            </w:r>
          </w:p>
        </w:tc>
        <w:tc>
          <w:tcPr>
            <w:tcW w:type="dxa" w:w="1440"/>
            <w:shd w:fill="FAFAFA" w:val="clear"/>
          </w:tcPr>
          <w:p>
            <w:r>
              <w:rPr>
                <w:b/>
                <w:color w:val="C00000"/>
                <w:sz w:val="17"/>
              </w:rPr>
              <w:t>-0.3%</w:t>
            </w:r>
          </w:p>
        </w:tc>
      </w:tr>
      <w:tr>
        <w:tc>
          <w:tcPr>
            <w:tcW w:type="dxa" w:w="1440"/>
            <w:shd w:fill="FAFAFA" w:val="clear"/>
          </w:tcPr>
          <w:p>
            <w:r>
              <w:rPr>
                <w:sz w:val="17"/>
              </w:rPr>
              <w:t>J+7  ⭐</w:t>
            </w:r>
          </w:p>
        </w:tc>
        <w:tc>
          <w:tcPr>
            <w:tcW w:type="dxa" w:w="1440"/>
            <w:shd w:fill="FAFAFA" w:val="clear"/>
          </w:tcPr>
          <w:p>
            <w:r>
              <w:rPr>
                <w:sz w:val="17"/>
              </w:rPr>
              <w:t>2026-09-18</w:t>
            </w:r>
          </w:p>
        </w:tc>
        <w:tc>
          <w:tcPr>
            <w:tcW w:type="dxa" w:w="1440"/>
            <w:shd w:fill="FAFAFA" w:val="clear"/>
          </w:tcPr>
          <w:p>
            <w:r>
              <w:rPr>
                <w:sz w:val="17"/>
              </w:rPr>
              <w:t>2,999</w:t>
            </w:r>
          </w:p>
        </w:tc>
        <w:tc>
          <w:tcPr>
            <w:tcW w:type="dxa" w:w="1440"/>
            <w:shd w:fill="FAFAFA" w:val="clear"/>
          </w:tcPr>
          <w:p>
            <w:r>
              <w:rPr>
                <w:b/>
                <w:sz w:val="17"/>
              </w:rPr>
              <w:t>3,288</w:t>
            </w:r>
          </w:p>
        </w:tc>
        <w:tc>
          <w:tcPr>
            <w:tcW w:type="dxa" w:w="1440"/>
            <w:shd w:fill="FAFAFA" w:val="clear"/>
          </w:tcPr>
          <w:p>
            <w:r>
              <w:rPr>
                <w:sz w:val="17"/>
              </w:rPr>
              <w:t>3,577</w:t>
            </w:r>
          </w:p>
        </w:tc>
        <w:tc>
          <w:tcPr>
            <w:tcW w:type="dxa" w:w="1440"/>
            <w:shd w:fill="FAFAFA" w:val="clear"/>
          </w:tcPr>
          <w:p>
            <w:r>
              <w:rPr>
                <w:b/>
                <w:color w:val="C00000"/>
                <w:sz w:val="17"/>
              </w:rPr>
              <w:t>-0.4%</w:t>
            </w:r>
          </w:p>
        </w:tc>
      </w:tr>
      <w:tr>
        <w:tc>
          <w:tcPr>
            <w:tcW w:type="dxa" w:w="1440"/>
            <w:shd w:fill="FAFAFA" w:val="clear"/>
          </w:tcPr>
          <w:p>
            <w:r>
              <w:rPr>
                <w:sz w:val="17"/>
              </w:rPr>
              <w:t>J+8  ⭐</w:t>
            </w:r>
          </w:p>
        </w:tc>
        <w:tc>
          <w:tcPr>
            <w:tcW w:type="dxa" w:w="1440"/>
            <w:shd w:fill="FAFAFA" w:val="clear"/>
          </w:tcPr>
          <w:p>
            <w:r>
              <w:rPr>
                <w:sz w:val="17"/>
              </w:rPr>
              <w:t>2026-09-21</w:t>
            </w:r>
          </w:p>
        </w:tc>
        <w:tc>
          <w:tcPr>
            <w:tcW w:type="dxa" w:w="1440"/>
            <w:shd w:fill="FAFAFA" w:val="clear"/>
          </w:tcPr>
          <w:p>
            <w:r>
              <w:rPr>
                <w:sz w:val="17"/>
              </w:rPr>
              <w:t>2,976</w:t>
            </w:r>
          </w:p>
        </w:tc>
        <w:tc>
          <w:tcPr>
            <w:tcW w:type="dxa" w:w="1440"/>
            <w:shd w:fill="FAFAFA" w:val="clear"/>
          </w:tcPr>
          <w:p>
            <w:r>
              <w:rPr>
                <w:b/>
                <w:sz w:val="17"/>
              </w:rPr>
              <w:t>3,285</w:t>
            </w:r>
          </w:p>
        </w:tc>
        <w:tc>
          <w:tcPr>
            <w:tcW w:type="dxa" w:w="1440"/>
            <w:shd w:fill="FAFAFA" w:val="clear"/>
          </w:tcPr>
          <w:p>
            <w:r>
              <w:rPr>
                <w:sz w:val="17"/>
              </w:rPr>
              <w:t>3,593</w:t>
            </w:r>
          </w:p>
        </w:tc>
        <w:tc>
          <w:tcPr>
            <w:tcW w:type="dxa" w:w="1440"/>
            <w:shd w:fill="FAFAFA" w:val="clear"/>
          </w:tcPr>
          <w:p>
            <w:r>
              <w:rPr>
                <w:b/>
                <w:color w:val="C00000"/>
                <w:sz w:val="17"/>
              </w:rPr>
              <w:t>-0.5%</w:t>
            </w:r>
          </w:p>
        </w:tc>
      </w:tr>
      <w:tr>
        <w:tc>
          <w:tcPr>
            <w:tcW w:type="dxa" w:w="1440"/>
            <w:shd w:fill="FAFAFA" w:val="clear"/>
          </w:tcPr>
          <w:p>
            <w:r>
              <w:rPr>
                <w:sz w:val="17"/>
              </w:rPr>
              <w:t>J+9  ⭐</w:t>
            </w:r>
          </w:p>
        </w:tc>
        <w:tc>
          <w:tcPr>
            <w:tcW w:type="dxa" w:w="1440"/>
            <w:shd w:fill="FAFAFA" w:val="clear"/>
          </w:tcPr>
          <w:p>
            <w:r>
              <w:rPr>
                <w:sz w:val="17"/>
              </w:rPr>
              <w:t>2026-09-22</w:t>
            </w:r>
          </w:p>
        </w:tc>
        <w:tc>
          <w:tcPr>
            <w:tcW w:type="dxa" w:w="1440"/>
            <w:shd w:fill="FAFAFA" w:val="clear"/>
          </w:tcPr>
          <w:p>
            <w:r>
              <w:rPr>
                <w:sz w:val="17"/>
              </w:rPr>
              <w:t>2,954</w:t>
            </w:r>
          </w:p>
        </w:tc>
        <w:tc>
          <w:tcPr>
            <w:tcW w:type="dxa" w:w="1440"/>
            <w:shd w:fill="FAFAFA" w:val="clear"/>
          </w:tcPr>
          <w:p>
            <w:r>
              <w:rPr>
                <w:b/>
                <w:sz w:val="17"/>
              </w:rPr>
              <w:t>3,281</w:t>
            </w:r>
          </w:p>
        </w:tc>
        <w:tc>
          <w:tcPr>
            <w:tcW w:type="dxa" w:w="1440"/>
            <w:shd w:fill="FAFAFA" w:val="clear"/>
          </w:tcPr>
          <w:p>
            <w:r>
              <w:rPr>
                <w:sz w:val="17"/>
              </w:rPr>
              <w:t>3,608</w:t>
            </w:r>
          </w:p>
        </w:tc>
        <w:tc>
          <w:tcPr>
            <w:tcW w:type="dxa" w:w="1440"/>
            <w:shd w:fill="FAFAFA" w:val="clear"/>
          </w:tcPr>
          <w:p>
            <w:r>
              <w:rPr>
                <w:b/>
                <w:color w:val="C00000"/>
                <w:sz w:val="17"/>
              </w:rPr>
              <w:t>-0.6%</w:t>
            </w:r>
          </w:p>
        </w:tc>
      </w:tr>
      <w:tr>
        <w:tc>
          <w:tcPr>
            <w:tcW w:type="dxa" w:w="1440"/>
            <w:shd w:fill="FAFAFA" w:val="clear"/>
          </w:tcPr>
          <w:p>
            <w:r>
              <w:rPr>
                <w:sz w:val="17"/>
              </w:rPr>
              <w:t>J+10  ⭐</w:t>
            </w:r>
          </w:p>
        </w:tc>
        <w:tc>
          <w:tcPr>
            <w:tcW w:type="dxa" w:w="1440"/>
            <w:shd w:fill="FAFAFA" w:val="clear"/>
          </w:tcPr>
          <w:p>
            <w:r>
              <w:rPr>
                <w:sz w:val="17"/>
              </w:rPr>
              <w:t>2026-09-23</w:t>
            </w:r>
          </w:p>
        </w:tc>
        <w:tc>
          <w:tcPr>
            <w:tcW w:type="dxa" w:w="1440"/>
            <w:shd w:fill="FAFAFA" w:val="clear"/>
          </w:tcPr>
          <w:p>
            <w:r>
              <w:rPr>
                <w:sz w:val="17"/>
              </w:rPr>
              <w:t>2,934</w:t>
            </w:r>
          </w:p>
        </w:tc>
        <w:tc>
          <w:tcPr>
            <w:tcW w:type="dxa" w:w="1440"/>
            <w:shd w:fill="FAFAFA" w:val="clear"/>
          </w:tcPr>
          <w:p>
            <w:r>
              <w:rPr>
                <w:b/>
                <w:sz w:val="17"/>
              </w:rPr>
              <w:t>3,278</w:t>
            </w:r>
          </w:p>
        </w:tc>
        <w:tc>
          <w:tcPr>
            <w:tcW w:type="dxa" w:w="1440"/>
            <w:shd w:fill="FAFAFA" w:val="clear"/>
          </w:tcPr>
          <w:p>
            <w:r>
              <w:rPr>
                <w:sz w:val="17"/>
              </w:rPr>
              <w:t>3,622</w:t>
            </w:r>
          </w:p>
        </w:tc>
        <w:tc>
          <w:tcPr>
            <w:tcW w:type="dxa" w:w="1440"/>
            <w:shd w:fill="FAFAFA" w:val="clear"/>
          </w:tcPr>
          <w:p>
            <w:r>
              <w:rPr>
                <w:b/>
                <w:color w:val="C00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 RAPPORT D'ANALYSE FINANCIÈRE — ORAGROUP (ORGT)</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229,07 milliards FCFA, ORGT figure parmi les valeurs bancaires de premier plan de la cote BRVM, ce qui traduit une liquidité et une visibilité institutionnelle significatives. Le BPA de 312 FCFA/action indique que chaque titre génère un bénéfice net de 312 FCFA, ce qui, rapporté au cours actuel de 3 300 FCFA, donne un PER de 10,6x — un niveau modéré et parfaitement dans la fourchette moyenne du marché BRVM (8-12x), signalant une valorisation raisonnable sans prime excessive. Le P/B de 2,02x montre que le marché valorise la banque à environ deux fois sa valeur comptable, une prime de croissance justifiée par un ROE de 19,1%, bien supérieur au coût des fonds propres. En revanche, l'EV/EBITDA de 20,3x apparaît très exigeant (&gt;15x), reflétant une valeur d'entreprise qui intègre déjà une bonne part des anticipations de redressement ; ce ratio, moins pertinent pour une banque que le PER ou le P/B, invite néanmoins à la vigilance sur le potentiel de revalorisation à court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ORGT affiche une variation totale de -3,93%, avec une dernière séance en repli marqué de -2,80%, ce qui témoigne d'une pression vendeuse récente. Le cours actuel de 3 300 FCFA se situe dans la partie haute du range de trading, le plus haut ayant atteint 3 475 FCFA et le plus bas 2 435 FCFA — soit un écart de plus de 1 000 FCFA qui illustre une amplitude de fluctuation importante. La tendance générale reste haussière sur la période malgré la correction récente, le cours évoluant nettement au-dessus de la moyenne (2 914 FCFA) et de la médiane (2 780 FCFA), ce qui confirme une dynamique positive de fond. L'écart entre moyenne et médiane (134 FCFA) ainsi qu'un skewness de 0,327 indiquent une distribution quasi symétrique, légèrement étirée vers les hautes valeurs, sans asymétrie marquée. L'écart-type de 275 FCFA avec un coefficient de variation de 9,4% traduit une dispersion modérée du cours autour de sa moyenne, tandis que le kurtosis de -1,275 (distribution platykurtique) signale une faible concentration des rendements et un risque de pics extrêmes limité. La volatilité annualisée de 43,8% classe le titre dans la catégorie des valeurs à volatilité élevée (&gt;30%), ce qui implique un risque de marché significatif et justifie une approche prudente en termes de dimensionnement de position.</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3 180,5 FCFA et la MM50 à 2 964,0 FCFA, toutes deux inférieures au cours actuel de 3 300 FCFA, ce qui place le titre en position haussière sur les deux horizons. La MM20 étant supérieure à la MM50, la configuration est celle d'un croisement haussier (golden cross), justifiant la décision technique d'**Achat**. Le cours évolue toutefois à seulement 3,8% au-dessus de sa MM20, ce qui suggère une dynamique positive mais sans excès.</w:t>
      </w:r>
    </w:p>
    <w:p>
      <w:pPr>
        <w:spacing w:after="120" w:line="276" w:lineRule="auto"/>
      </w:pPr>
      <w:r>
        <w:t>**Bandes de Bollinger** : Le cours de 3 300 FCFA se situe à l'intérieur des bandes, entre la borne inférieure de 2 968,37 FCFA et la borne supérieure de 3 392,63 FCFA, plus proche de la borne haute. Cette position médiane-haute, sans franchissement de la borne supérieure, explique la décision **Neutre** : le titre n'est ni en situation de surchauffe, ni en zone de survente, et la largeur des bandes confirme une volatilité élevée.</w:t>
      </w:r>
    </w:p>
    <w:p>
      <w:pPr>
        <w:spacing w:after="120" w:line="276" w:lineRule="auto"/>
      </w:pPr>
      <w:r>
        <w:t>**MACD** : La valeur du MACD (100,004) est supérieure à son signal (91,545), avec un histogramme positif, ce qui indique un momentum haussier en cours. La divergence positive entre les deux lignes justifie la décision d'**Achat**, bien que l'écart relativement faible suggère un momentum qui pourrait s'essouffler.</w:t>
      </w:r>
    </w:p>
    <w:p>
      <w:pPr>
        <w:spacing w:after="120" w:line="276" w:lineRule="auto"/>
      </w:pPr>
      <w:r>
        <w:t>**RSI** : À 67,5, le RSI se situe dans la zone neutre haute (30-70), proche du seuil de surachat (70) sans l'atteindre. Cette configuration indique une dynamique acheteuse soutenue mais non excessive, justifiant la décision **Neutre** — le titre conserve un potentiel de hausse mais approche d'une zone de prudence.</w:t>
      </w:r>
    </w:p>
    <w:p>
      <w:pPr>
        <w:spacing w:after="120" w:line="276" w:lineRule="auto"/>
      </w:pPr>
      <w:r>
        <w:t>**Stochastique** : Le %K (63,636) est inférieur au %D (87,341), configuration baissière indiquant que le %K croise le %D à la baisse depuis une zone haute. Cette divergence négative, bien que le %D reste en zone neutre, justifie la décision **Neutre** et suggère un essoufflement possible du mouvement haussier à court terme.</w:t>
      </w:r>
    </w:p>
    <w:p>
      <w:pPr>
        <w:spacing w:after="120" w:line="276" w:lineRule="auto"/>
      </w:pPr>
      <w:r>
        <w:t>**Conclusion technique** : Les indicateurs présentent un tableau mitigé mais globalement constructif. Les moyennes mobiles et le MACD confirment une tendance haussière de fond, tandis que le RSI, les Bandes de Bollinger et le Stochastique signalent une configuration neutre avec un risque d'essoufflement à court terme. La convergence des signaux d'achat (MM, MACD) et des signaux neutres (RSI, Bollinger, Stochastique) plaide pour une consolidation avant une éventuelle reprise, le titre restant techniquement bien orienté sur le moyen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ORGT affiche un Produit Net Bancaire (équivalent du chiffre d'affaires pour une banque) de 186,609 milliards FCFA, en recul de -4,52% par rapport aux 195,436 milliards de 2024, sous l'effet d'une contraction des commissions nettes et d'une légère baisse des intérêts nets. Le résultat net consolidé s'établit à 21,643 milliards FCFA, marquant un redressement spectaculaire après la perte de -44,363 milliards en 2024, porté par une chute drastique du coût du risque (de -69,056 à -6,971 milliards, soit -90%) et une réduction de 12% des frais généraux. Les ratios de rentabilité sont solides : ROE de 19,13% (&gt;15% = excellent), ROA de 0,54%, marge nette de 11,60% et coefficient d'exploitation de 42,85% (&lt;60% = banque efficace, &lt;50% = excellente), ce qui témoigne d'une gestion opérationnelle performante. La structure bilancielle reste toutefois très dépendante des dépôts clientèle (3 088,698 milliards FCFA) face à des créances clientèle de 1 523,765 milliards FCFA, avec un ratio d'endettement élevé (444,94%) et une autonomie financière faible (2,82%), caractéristiques du modèle bancaire mais à surveiller. Le coût du risque rapporté aux charges financières (3,74%) demeure modéré, signe d'un portefeuille de crédit assaini.</w:t>
      </w:r>
    </w:p>
    <w:p>
      <w:pPr>
        <w:spacing w:after="120" w:line="276" w:lineRule="auto"/>
      </w:pPr>
      <w:r>
        <w:t>**Estimations basées sur les rapports trimestriels** : Le rapport du T1 2026 (publié en 2026) indique un PNB de 50,124 milliards FCFA (-2%) et un résultat net de 6,555 milliards FCFA (+37%), avec des dépôts clientèle en hausse de 14% à 3 343,025 milliards FCFA et des crédits nets en recul de 12%. Sur cette base, on estime que l'exercice 2026 devrait confirmer la poursuite du redressement, avec un résultat net annualisé potentiellement supérieur à 25 milliards FCFA si la dynamique du T1 se maintient. Le rapport du T3 2025 (30 septembre 2025) confirmait déjà cette trajectoire avec un résultat net de 19,604 milliards FCFA (+248%) et une marge nette de 12,8%. Le rapport annuel 2025 (publié en 2026) souligne que la stratégie de contrôle strict des coûts et de surveillance des portefeuilles crédit se poursuit, avec un renforcement des capitaux propres à 113,165 milliards FCFA (+17%).</w:t>
      </w:r>
    </w:p>
    <w:p>
      <w:pPr>
        <w:spacing w:after="120" w:line="276" w:lineRule="auto"/>
      </w:pPr>
      <w:r>
        <w:t>**Recommandation fondamentale** : La solidité financière d'ORGT s'est nettement améliorée en 2025, avec un retour à la profitabilité, un ROE élevé et un coefficient d'exploitation maîtrisé. Les principaux risques résident dans la baisse du PNB (-4,5%), la contraction du portefeuille de crédits (-12%) et la dépendance à la normalisation du coût du risque. La structure bilancielle, bien que typique du secteur bancaire, présente une autonomie financière faible qui limite la flexibilité. La recommandation fondamentale est **CONSERVER**, en attendant la confirmation d'une reprise durable du PNB et d'une croissance organique solide.</w:t>
      </w:r>
    </w:p>
    <w:p>
      <w:pPr>
        <w:spacing w:after="120" w:line="276" w:lineRule="auto"/>
      </w:pPr>
      <w:r>
        <w:t>---</w:t>
      </w:r>
    </w:p>
    <w:p>
      <w:pPr>
        <w:spacing w:after="120" w:line="276" w:lineRule="auto"/>
      </w:pPr>
      <w:r>
        <w:t>## PARTIE 4 : CONCLUSION D'INVESTISSEMENT</w:t>
      </w:r>
    </w:p>
    <w:p>
      <w:pPr>
        <w:spacing w:after="120" w:line="276" w:lineRule="auto"/>
      </w:pPr>
      <w:r>
        <w:t>La valorisation d'ORGT apparaît raisonnable avec un PER de 10,6x (dans la moyenne du marché BRVM) et un P/B de 2,02x justifié par un ROE de 19,1%, bien que l'EV/EBITDA de 20,3x traduise des anticipations déjà exigeantes. Le comportement du cours sur 100 jours montre une tendance haussière de fond (cours au-dessus des moyennes) mais une correction récente (-3,93% sur la période, -2,80% en J-1), avec une volatilité élevée (43,8%) et une distribution platykurtique (kurtosis -1,275) indiquant un risque de pics limité mais une dispersion modérée. Les signaux techniques sont mitigés : les moyennes mobiles et le MACD sont haussiers, tandis que le RSI (67,5), les Bandes de Bollinger et le Stochastique (%K &lt; %D) suggèrent une consolidation à court terme. Les fondamentaux se sont spectaculairement redressés en 2025 (résultat net de 21,6 milliards FCFA, ROE de 19,1%, coefficient d'exploitation de 42,9%), et les rapports trimestriels (T1 2026 : résultat net +37%) confirment la poursuite de cette dynamique, bien que la baisse du PNB reste un point de vigilance. Les prédictions IA pour les 10 prochains jours (3 317 → 3 295 FCFA) anticipent une légère consolidation baissière, en ligne avec les signaux techniques neutres à court terme. Sur la base de cette synthèse, la recommandation finale est **CONSERVER** : la convergence entre une valorisation raisonnable, des fondamentaux en nette amélioration et des signaux techniques haussiers sur le moyen terme est contrebalancée par la correction récente, la volatilité élevée et les prédictions baissières à court terme. Le niveau de confiance est **Moyen**, le risque global **Élevé** (volatilité de 43,8%, dépendance à la normalisation du coût du risque), et l'horizon d'investissement optimal est le **moyen terme (3-12 mois)**, le temps que la reprise du PNB se confirme et que la consolidation technique s'achève.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130.63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3,718 titres</w:t>
            </w:r>
          </w:p>
        </w:tc>
        <w:tc>
          <w:tcPr>
            <w:tcW w:type="dxa" w:w="2268"/>
            <w:shd w:fill="FFF2CC" w:val="clear"/>
          </w:tcPr>
          <w:p>
            <w:r>
              <w:rPr>
                <w:b/>
                <w:color w:val="503200"/>
                <w:sz w:val="16"/>
              </w:rPr>
              <w:t xml:space="preserve">Cours actuel : </w:t>
            </w:r>
            <w:r>
              <w:rPr>
                <w:color w:val="000000"/>
                <w:sz w:val="17"/>
              </w:rPr>
              <w:t>8,450 FCFA</w:t>
            </w:r>
          </w:p>
          <w:p>
            <w:r>
              <w:rPr>
                <w:b/>
                <w:color w:val="503200"/>
                <w:sz w:val="16"/>
              </w:rPr>
              <w:t xml:space="preserve">Var. 100 jours : </w:t>
            </w:r>
            <w:r>
              <w:rPr>
                <w:b/>
                <w:color w:val="007800"/>
                <w:sz w:val="17"/>
              </w:rPr>
              <w:t>+5.16%</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37.1%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6.71% (Moyenne) — μ=8,532 FCFA, σ=573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β=-0.3893 (Contre-cyclique) — Cov=-0.000014, Var(idx)=0.000036, ρ=-0.100,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3,718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σ_j=2.34%/j (Stable) — Vol. annualisée≈37.1%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84/100  (Excellent)</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2026-09-10</w:t>
            </w:r>
          </w:p>
        </w:tc>
        <w:tc>
          <w:tcPr>
            <w:tcW w:type="dxa" w:w="1440"/>
            <w:shd w:fill="FAFAFA" w:val="clear"/>
          </w:tcPr>
          <w:p>
            <w:r>
              <w:rPr>
                <w:sz w:val="17"/>
              </w:rPr>
              <w:t>8,292</w:t>
            </w:r>
          </w:p>
        </w:tc>
        <w:tc>
          <w:tcPr>
            <w:tcW w:type="dxa" w:w="1440"/>
            <w:shd w:fill="FAFAFA" w:val="clear"/>
          </w:tcPr>
          <w:p>
            <w:r>
              <w:rPr>
                <w:b/>
                <w:sz w:val="17"/>
              </w:rPr>
              <w:t>8,584</w:t>
            </w:r>
          </w:p>
        </w:tc>
        <w:tc>
          <w:tcPr>
            <w:tcW w:type="dxa" w:w="1440"/>
            <w:shd w:fill="FAFAFA" w:val="clear"/>
          </w:tcPr>
          <w:p>
            <w:r>
              <w:rPr>
                <w:sz w:val="17"/>
              </w:rPr>
              <w:t>8,875</w:t>
            </w:r>
          </w:p>
        </w:tc>
        <w:tc>
          <w:tcPr>
            <w:tcW w:type="dxa" w:w="1440"/>
            <w:shd w:fill="FAFAFA" w:val="clear"/>
          </w:tcPr>
          <w:p>
            <w:r>
              <w:rPr>
                <w:b/>
                <w:color w:val="008000"/>
                <w:sz w:val="17"/>
              </w:rPr>
              <w:t>+1.6%</w:t>
            </w:r>
          </w:p>
        </w:tc>
      </w:tr>
      <w:tr>
        <w:tc>
          <w:tcPr>
            <w:tcW w:type="dxa" w:w="1440"/>
            <w:shd w:fill="FAFAFA" w:val="clear"/>
          </w:tcPr>
          <w:p>
            <w:r>
              <w:rPr>
                <w:sz w:val="17"/>
              </w:rPr>
              <w:t>J+2  Moyenne</w:t>
            </w:r>
          </w:p>
        </w:tc>
        <w:tc>
          <w:tcPr>
            <w:tcW w:type="dxa" w:w="1440"/>
            <w:shd w:fill="FAFAFA" w:val="clear"/>
          </w:tcPr>
          <w:p>
            <w:r>
              <w:rPr>
                <w:sz w:val="17"/>
              </w:rPr>
              <w:t>2026-09-11</w:t>
            </w:r>
          </w:p>
        </w:tc>
        <w:tc>
          <w:tcPr>
            <w:tcW w:type="dxa" w:w="1440"/>
            <w:shd w:fill="FAFAFA" w:val="clear"/>
          </w:tcPr>
          <w:p>
            <w:r>
              <w:rPr>
                <w:sz w:val="17"/>
              </w:rPr>
              <w:t>8,176</w:t>
            </w:r>
          </w:p>
        </w:tc>
        <w:tc>
          <w:tcPr>
            <w:tcW w:type="dxa" w:w="1440"/>
            <w:shd w:fill="FAFAFA" w:val="clear"/>
          </w:tcPr>
          <w:p>
            <w:r>
              <w:rPr>
                <w:b/>
                <w:sz w:val="17"/>
              </w:rPr>
              <w:t>8,589</w:t>
            </w:r>
          </w:p>
        </w:tc>
        <w:tc>
          <w:tcPr>
            <w:tcW w:type="dxa" w:w="1440"/>
            <w:shd w:fill="FAFAFA" w:val="clear"/>
          </w:tcPr>
          <w:p>
            <w:r>
              <w:rPr>
                <w:sz w:val="17"/>
              </w:rPr>
              <w:t>9,002</w:t>
            </w:r>
          </w:p>
        </w:tc>
        <w:tc>
          <w:tcPr>
            <w:tcW w:type="dxa" w:w="1440"/>
            <w:shd w:fill="FAFAFA" w:val="clear"/>
          </w:tcPr>
          <w:p>
            <w:r>
              <w:rPr>
                <w:b/>
                <w:color w:val="008000"/>
                <w:sz w:val="17"/>
              </w:rPr>
              <w:t>+1.6%</w:t>
            </w:r>
          </w:p>
        </w:tc>
      </w:tr>
      <w:tr>
        <w:tc>
          <w:tcPr>
            <w:tcW w:type="dxa" w:w="1440"/>
            <w:shd w:fill="FAFAFA" w:val="clear"/>
          </w:tcPr>
          <w:p>
            <w:r>
              <w:rPr>
                <w:sz w:val="17"/>
              </w:rPr>
              <w:t>J+3  Moyenne</w:t>
            </w:r>
          </w:p>
        </w:tc>
        <w:tc>
          <w:tcPr>
            <w:tcW w:type="dxa" w:w="1440"/>
            <w:shd w:fill="FAFAFA" w:val="clear"/>
          </w:tcPr>
          <w:p>
            <w:r>
              <w:rPr>
                <w:sz w:val="17"/>
              </w:rPr>
              <w:t>2026-09-14</w:t>
            </w:r>
          </w:p>
        </w:tc>
        <w:tc>
          <w:tcPr>
            <w:tcW w:type="dxa" w:w="1440"/>
            <w:shd w:fill="FAFAFA" w:val="clear"/>
          </w:tcPr>
          <w:p>
            <w:r>
              <w:rPr>
                <w:sz w:val="17"/>
              </w:rPr>
              <w:t>8,110</w:t>
            </w:r>
          </w:p>
        </w:tc>
        <w:tc>
          <w:tcPr>
            <w:tcW w:type="dxa" w:w="1440"/>
            <w:shd w:fill="FAFAFA" w:val="clear"/>
          </w:tcPr>
          <w:p>
            <w:r>
              <w:rPr>
                <w:b/>
                <w:sz w:val="17"/>
              </w:rPr>
              <w:t>8,617</w:t>
            </w:r>
          </w:p>
        </w:tc>
        <w:tc>
          <w:tcPr>
            <w:tcW w:type="dxa" w:w="1440"/>
            <w:shd w:fill="FAFAFA" w:val="clear"/>
          </w:tcPr>
          <w:p>
            <w:r>
              <w:rPr>
                <w:sz w:val="17"/>
              </w:rPr>
              <w:t>9,124</w:t>
            </w:r>
          </w:p>
        </w:tc>
        <w:tc>
          <w:tcPr>
            <w:tcW w:type="dxa" w:w="1440"/>
            <w:shd w:fill="FAFAFA" w:val="clear"/>
          </w:tcPr>
          <w:p>
            <w:r>
              <w:rPr>
                <w:b/>
                <w:color w:val="008000"/>
                <w:sz w:val="17"/>
              </w:rPr>
              <w:t>+2.0%</w:t>
            </w:r>
          </w:p>
        </w:tc>
      </w:tr>
      <w:tr>
        <w:tc>
          <w:tcPr>
            <w:tcW w:type="dxa" w:w="1440"/>
            <w:shd w:fill="C6EFCE" w:val="clear"/>
          </w:tcPr>
          <w:p>
            <w:r>
              <w:rPr>
                <w:sz w:val="17"/>
              </w:rPr>
              <w:t>J+4  ⭐</w:t>
            </w:r>
          </w:p>
        </w:tc>
        <w:tc>
          <w:tcPr>
            <w:tcW w:type="dxa" w:w="1440"/>
            <w:shd w:fill="C6EFCE" w:val="clear"/>
          </w:tcPr>
          <w:p>
            <w:r>
              <w:rPr>
                <w:sz w:val="17"/>
              </w:rPr>
              <w:t>2026-09-15</w:t>
            </w:r>
          </w:p>
        </w:tc>
        <w:tc>
          <w:tcPr>
            <w:tcW w:type="dxa" w:w="1440"/>
            <w:shd w:fill="C6EFCE" w:val="clear"/>
          </w:tcPr>
          <w:p>
            <w:r>
              <w:rPr>
                <w:sz w:val="17"/>
              </w:rPr>
              <w:t>8,058</w:t>
            </w:r>
          </w:p>
        </w:tc>
        <w:tc>
          <w:tcPr>
            <w:tcW w:type="dxa" w:w="1440"/>
            <w:shd w:fill="C6EFCE" w:val="clear"/>
          </w:tcPr>
          <w:p>
            <w:r>
              <w:rPr>
                <w:b/>
                <w:sz w:val="17"/>
              </w:rPr>
              <w:t>8,645</w:t>
            </w:r>
          </w:p>
        </w:tc>
        <w:tc>
          <w:tcPr>
            <w:tcW w:type="dxa" w:w="1440"/>
            <w:shd w:fill="C6EFCE" w:val="clear"/>
          </w:tcPr>
          <w:p>
            <w:r>
              <w:rPr>
                <w:sz w:val="17"/>
              </w:rPr>
              <w:t>9,233</w:t>
            </w:r>
          </w:p>
        </w:tc>
        <w:tc>
          <w:tcPr>
            <w:tcW w:type="dxa" w:w="1440"/>
            <w:shd w:fill="C6EFCE" w:val="clear"/>
          </w:tcPr>
          <w:p>
            <w:r>
              <w:rPr>
                <w:b/>
                <w:color w:val="008000"/>
                <w:sz w:val="17"/>
              </w:rPr>
              <w:t>+2.3%</w:t>
            </w:r>
          </w:p>
        </w:tc>
      </w:tr>
      <w:tr>
        <w:tc>
          <w:tcPr>
            <w:tcW w:type="dxa" w:w="1440"/>
            <w:shd w:fill="C6EFCE" w:val="clear"/>
          </w:tcPr>
          <w:p>
            <w:r>
              <w:rPr>
                <w:sz w:val="17"/>
              </w:rPr>
              <w:t>J+5  ⭐</w:t>
            </w:r>
          </w:p>
        </w:tc>
        <w:tc>
          <w:tcPr>
            <w:tcW w:type="dxa" w:w="1440"/>
            <w:shd w:fill="C6EFCE" w:val="clear"/>
          </w:tcPr>
          <w:p>
            <w:r>
              <w:rPr>
                <w:sz w:val="17"/>
              </w:rPr>
              <w:t>2026-09-16</w:t>
            </w:r>
          </w:p>
        </w:tc>
        <w:tc>
          <w:tcPr>
            <w:tcW w:type="dxa" w:w="1440"/>
            <w:shd w:fill="C6EFCE" w:val="clear"/>
          </w:tcPr>
          <w:p>
            <w:r>
              <w:rPr>
                <w:sz w:val="17"/>
              </w:rPr>
              <w:t>8,013</w:t>
            </w:r>
          </w:p>
        </w:tc>
        <w:tc>
          <w:tcPr>
            <w:tcW w:type="dxa" w:w="1440"/>
            <w:shd w:fill="C6EFCE" w:val="clear"/>
          </w:tcPr>
          <w:p>
            <w:r>
              <w:rPr>
                <w:b/>
                <w:sz w:val="17"/>
              </w:rPr>
              <w:t>8,672</w:t>
            </w:r>
          </w:p>
        </w:tc>
        <w:tc>
          <w:tcPr>
            <w:tcW w:type="dxa" w:w="1440"/>
            <w:shd w:fill="C6EFCE" w:val="clear"/>
          </w:tcPr>
          <w:p>
            <w:r>
              <w:rPr>
                <w:sz w:val="17"/>
              </w:rPr>
              <w:t>9,331</w:t>
            </w:r>
          </w:p>
        </w:tc>
        <w:tc>
          <w:tcPr>
            <w:tcW w:type="dxa" w:w="1440"/>
            <w:shd w:fill="C6EFCE" w:val="clear"/>
          </w:tcPr>
          <w:p>
            <w:r>
              <w:rPr>
                <w:b/>
                <w:color w:val="008000"/>
                <w:sz w:val="17"/>
              </w:rPr>
              <w:t>+2.6%</w:t>
            </w:r>
          </w:p>
        </w:tc>
      </w:tr>
      <w:tr>
        <w:tc>
          <w:tcPr>
            <w:tcW w:type="dxa" w:w="1440"/>
            <w:shd w:fill="C6EFCE" w:val="clear"/>
          </w:tcPr>
          <w:p>
            <w:r>
              <w:rPr>
                <w:sz w:val="17"/>
              </w:rPr>
              <w:t>J+6  ⭐</w:t>
            </w:r>
          </w:p>
        </w:tc>
        <w:tc>
          <w:tcPr>
            <w:tcW w:type="dxa" w:w="1440"/>
            <w:shd w:fill="C6EFCE" w:val="clear"/>
          </w:tcPr>
          <w:p>
            <w:r>
              <w:rPr>
                <w:sz w:val="17"/>
              </w:rPr>
              <w:t>2026-09-17</w:t>
            </w:r>
          </w:p>
        </w:tc>
        <w:tc>
          <w:tcPr>
            <w:tcW w:type="dxa" w:w="1440"/>
            <w:shd w:fill="C6EFCE" w:val="clear"/>
          </w:tcPr>
          <w:p>
            <w:r>
              <w:rPr>
                <w:sz w:val="17"/>
              </w:rPr>
              <w:t>7,975</w:t>
            </w:r>
          </w:p>
        </w:tc>
        <w:tc>
          <w:tcPr>
            <w:tcW w:type="dxa" w:w="1440"/>
            <w:shd w:fill="C6EFCE" w:val="clear"/>
          </w:tcPr>
          <w:p>
            <w:r>
              <w:rPr>
                <w:b/>
                <w:sz w:val="17"/>
              </w:rPr>
              <w:t>8,699</w:t>
            </w:r>
          </w:p>
        </w:tc>
        <w:tc>
          <w:tcPr>
            <w:tcW w:type="dxa" w:w="1440"/>
            <w:shd w:fill="C6EFCE" w:val="clear"/>
          </w:tcPr>
          <w:p>
            <w:r>
              <w:rPr>
                <w:sz w:val="17"/>
              </w:rPr>
              <w:t>9,423</w:t>
            </w:r>
          </w:p>
        </w:tc>
        <w:tc>
          <w:tcPr>
            <w:tcW w:type="dxa" w:w="1440"/>
            <w:shd w:fill="C6EFCE" w:val="clear"/>
          </w:tcPr>
          <w:p>
            <w:r>
              <w:rPr>
                <w:b/>
                <w:color w:val="008000"/>
                <w:sz w:val="17"/>
              </w:rPr>
              <w:t>+2.9%</w:t>
            </w:r>
          </w:p>
        </w:tc>
      </w:tr>
      <w:tr>
        <w:tc>
          <w:tcPr>
            <w:tcW w:type="dxa" w:w="1440"/>
            <w:shd w:fill="C6EFCE" w:val="clear"/>
          </w:tcPr>
          <w:p>
            <w:r>
              <w:rPr>
                <w:sz w:val="17"/>
              </w:rPr>
              <w:t>J+7  ⭐</w:t>
            </w:r>
          </w:p>
        </w:tc>
        <w:tc>
          <w:tcPr>
            <w:tcW w:type="dxa" w:w="1440"/>
            <w:shd w:fill="C6EFCE" w:val="clear"/>
          </w:tcPr>
          <w:p>
            <w:r>
              <w:rPr>
                <w:sz w:val="17"/>
              </w:rPr>
              <w:t>2026-09-18</w:t>
            </w:r>
          </w:p>
        </w:tc>
        <w:tc>
          <w:tcPr>
            <w:tcW w:type="dxa" w:w="1440"/>
            <w:shd w:fill="C6EFCE" w:val="clear"/>
          </w:tcPr>
          <w:p>
            <w:r>
              <w:rPr>
                <w:sz w:val="17"/>
              </w:rPr>
              <w:t>7,941</w:t>
            </w:r>
          </w:p>
        </w:tc>
        <w:tc>
          <w:tcPr>
            <w:tcW w:type="dxa" w:w="1440"/>
            <w:shd w:fill="C6EFCE" w:val="clear"/>
          </w:tcPr>
          <w:p>
            <w:r>
              <w:rPr>
                <w:b/>
                <w:sz w:val="17"/>
              </w:rPr>
              <w:t>8,726</w:t>
            </w:r>
          </w:p>
        </w:tc>
        <w:tc>
          <w:tcPr>
            <w:tcW w:type="dxa" w:w="1440"/>
            <w:shd w:fill="C6EFCE" w:val="clear"/>
          </w:tcPr>
          <w:p>
            <w:r>
              <w:rPr>
                <w:sz w:val="17"/>
              </w:rPr>
              <w:t>9,510</w:t>
            </w:r>
          </w:p>
        </w:tc>
        <w:tc>
          <w:tcPr>
            <w:tcW w:type="dxa" w:w="1440"/>
            <w:shd w:fill="C6EFCE" w:val="clear"/>
          </w:tcPr>
          <w:p>
            <w:r>
              <w:rPr>
                <w:b/>
                <w:color w:val="008000"/>
                <w:sz w:val="17"/>
              </w:rPr>
              <w:t>+3.3%</w:t>
            </w:r>
          </w:p>
        </w:tc>
      </w:tr>
      <w:tr>
        <w:tc>
          <w:tcPr>
            <w:tcW w:type="dxa" w:w="1440"/>
            <w:shd w:fill="C6EFCE" w:val="clear"/>
          </w:tcPr>
          <w:p>
            <w:r>
              <w:rPr>
                <w:sz w:val="17"/>
              </w:rPr>
              <w:t>J+8  ⭐</w:t>
            </w:r>
          </w:p>
        </w:tc>
        <w:tc>
          <w:tcPr>
            <w:tcW w:type="dxa" w:w="1440"/>
            <w:shd w:fill="C6EFCE" w:val="clear"/>
          </w:tcPr>
          <w:p>
            <w:r>
              <w:rPr>
                <w:sz w:val="17"/>
              </w:rPr>
              <w:t>2026-09-21</w:t>
            </w:r>
          </w:p>
        </w:tc>
        <w:tc>
          <w:tcPr>
            <w:tcW w:type="dxa" w:w="1440"/>
            <w:shd w:fill="C6EFCE" w:val="clear"/>
          </w:tcPr>
          <w:p>
            <w:r>
              <w:rPr>
                <w:sz w:val="17"/>
              </w:rPr>
              <w:t>7,912</w:t>
            </w:r>
          </w:p>
        </w:tc>
        <w:tc>
          <w:tcPr>
            <w:tcW w:type="dxa" w:w="1440"/>
            <w:shd w:fill="C6EFCE" w:val="clear"/>
          </w:tcPr>
          <w:p>
            <w:r>
              <w:rPr>
                <w:b/>
                <w:sz w:val="17"/>
              </w:rPr>
              <w:t>8,753</w:t>
            </w:r>
          </w:p>
        </w:tc>
        <w:tc>
          <w:tcPr>
            <w:tcW w:type="dxa" w:w="1440"/>
            <w:shd w:fill="C6EFCE" w:val="clear"/>
          </w:tcPr>
          <w:p>
            <w:r>
              <w:rPr>
                <w:sz w:val="17"/>
              </w:rPr>
              <w:t>9,594</w:t>
            </w:r>
          </w:p>
        </w:tc>
        <w:tc>
          <w:tcPr>
            <w:tcW w:type="dxa" w:w="1440"/>
            <w:shd w:fill="C6EFCE" w:val="clear"/>
          </w:tcPr>
          <w:p>
            <w:r>
              <w:rPr>
                <w:b/>
                <w:color w:val="008000"/>
                <w:sz w:val="17"/>
              </w:rPr>
              <w:t>+3.6%</w:t>
            </w:r>
          </w:p>
        </w:tc>
      </w:tr>
      <w:tr>
        <w:tc>
          <w:tcPr>
            <w:tcW w:type="dxa" w:w="1440"/>
            <w:shd w:fill="C6EFCE" w:val="clear"/>
          </w:tcPr>
          <w:p>
            <w:r>
              <w:rPr>
                <w:sz w:val="17"/>
              </w:rPr>
              <w:t>J+9  ⭐</w:t>
            </w:r>
          </w:p>
        </w:tc>
        <w:tc>
          <w:tcPr>
            <w:tcW w:type="dxa" w:w="1440"/>
            <w:shd w:fill="C6EFCE" w:val="clear"/>
          </w:tcPr>
          <w:p>
            <w:r>
              <w:rPr>
                <w:sz w:val="17"/>
              </w:rPr>
              <w:t>2026-09-22</w:t>
            </w:r>
          </w:p>
        </w:tc>
        <w:tc>
          <w:tcPr>
            <w:tcW w:type="dxa" w:w="1440"/>
            <w:shd w:fill="C6EFCE" w:val="clear"/>
          </w:tcPr>
          <w:p>
            <w:r>
              <w:rPr>
                <w:sz w:val="17"/>
              </w:rPr>
              <w:t>7,885</w:t>
            </w:r>
          </w:p>
        </w:tc>
        <w:tc>
          <w:tcPr>
            <w:tcW w:type="dxa" w:w="1440"/>
            <w:shd w:fill="C6EFCE" w:val="clear"/>
          </w:tcPr>
          <w:p>
            <w:r>
              <w:rPr>
                <w:b/>
                <w:sz w:val="17"/>
              </w:rPr>
              <w:t>8,780</w:t>
            </w:r>
          </w:p>
        </w:tc>
        <w:tc>
          <w:tcPr>
            <w:tcW w:type="dxa" w:w="1440"/>
            <w:shd w:fill="C6EFCE" w:val="clear"/>
          </w:tcPr>
          <w:p>
            <w:r>
              <w:rPr>
                <w:sz w:val="17"/>
              </w:rPr>
              <w:t>9,675</w:t>
            </w:r>
          </w:p>
        </w:tc>
        <w:tc>
          <w:tcPr>
            <w:tcW w:type="dxa" w:w="1440"/>
            <w:shd w:fill="C6EFCE" w:val="clear"/>
          </w:tcPr>
          <w:p>
            <w:r>
              <w:rPr>
                <w:b/>
                <w:color w:val="008000"/>
                <w:sz w:val="17"/>
              </w:rPr>
              <w:t>+3.9%</w:t>
            </w:r>
          </w:p>
        </w:tc>
      </w:tr>
      <w:tr>
        <w:tc>
          <w:tcPr>
            <w:tcW w:type="dxa" w:w="1440"/>
            <w:shd w:fill="C6EFCE" w:val="clear"/>
          </w:tcPr>
          <w:p>
            <w:r>
              <w:rPr>
                <w:sz w:val="17"/>
              </w:rPr>
              <w:t>J+10  ⭐</w:t>
            </w:r>
          </w:p>
        </w:tc>
        <w:tc>
          <w:tcPr>
            <w:tcW w:type="dxa" w:w="1440"/>
            <w:shd w:fill="C6EFCE" w:val="clear"/>
          </w:tcPr>
          <w:p>
            <w:r>
              <w:rPr>
                <w:sz w:val="17"/>
              </w:rPr>
              <w:t>2026-09-23</w:t>
            </w:r>
          </w:p>
        </w:tc>
        <w:tc>
          <w:tcPr>
            <w:tcW w:type="dxa" w:w="1440"/>
            <w:shd w:fill="C6EFCE" w:val="clear"/>
          </w:tcPr>
          <w:p>
            <w:r>
              <w:rPr>
                <w:sz w:val="17"/>
              </w:rPr>
              <w:t>7,861</w:t>
            </w:r>
          </w:p>
        </w:tc>
        <w:tc>
          <w:tcPr>
            <w:tcW w:type="dxa" w:w="1440"/>
            <w:shd w:fill="C6EFCE" w:val="clear"/>
          </w:tcPr>
          <w:p>
            <w:r>
              <w:rPr>
                <w:b/>
                <w:sz w:val="17"/>
              </w:rPr>
              <w:t>8,807</w:t>
            </w:r>
          </w:p>
        </w:tc>
        <w:tc>
          <w:tcPr>
            <w:tcW w:type="dxa" w:w="1440"/>
            <w:shd w:fill="C6EFCE" w:val="clear"/>
          </w:tcPr>
          <w:p>
            <w:r>
              <w:rPr>
                <w:sz w:val="17"/>
              </w:rPr>
              <w:t>9,753</w:t>
            </w:r>
          </w:p>
        </w:tc>
        <w:tc>
          <w:tcPr>
            <w:tcW w:type="dxa" w:w="1440"/>
            <w:shd w:fill="C6EFCE" w:val="clear"/>
          </w:tcPr>
          <w:p>
            <w:r>
              <w:rPr>
                <w:b/>
                <w:color w:val="008000"/>
                <w:sz w:val="17"/>
              </w:rPr>
              <w:t>+4.2%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 — Secteur Agro-industriel*</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130,63 milliards FCFA, PALC s'impose comme l'une des valeurs phares du compartiment agro-industriel de la BRVM, offrant une liquidité appréciable au sein d'un marché régional encore étroit. Le BPA de 1 003 FCFA/action signifie que chaque titre génère un bénéfice net d'environ mille francs CFA, ce qui, rapporté au cours actuel de 8 450 FCFA, confère un PER de 8,4x — nettement inférieur à la moyenne BRVM (8-12x) et donc potentiellement sous-évalué. Le P/B de 0,92x indique que le marché valorise l'entreprise en dessous de sa valeur comptable (capitaux propres de 142,6 Mds FCFA), une anomalie qui constitue une opportunité pour un investisseur value. Enfin, l'EV/EBITDA de 4,1x — bien en deçà du seuil de 5x — suggère que la valeur d'entreprise est très bon marché par rapport à la capacité opérationnelle de génération de cash-flow, renforçant le diagnostic de sous-évaluation globale du titre.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PALC affiche une variation totale de +5,16%, mais la dernière séance (J-1) enregistre un repli de -0,59%, signalant un essoufflement à court terme. Le titre a évolué dans un range large de 7 000 FCFA (plus bas) à 9 640 FCFA (plus haut), soit un spread de 2 640 FCFA qui traduit une forte amplitude de trading. La tendance générale reste haussière sur la période, mais le cours actuel (8 450 FCFA) se situe en dessous de la moyenne (8 532 FCFA) et de la médiane (8 690 FCFA), ce qui indique une pression vendeuse récente. L'écart faible entre moyenne et médiane (158 FCFA) confirme une distribution quasi-symétrique, corroborée par un skewness de -0,342 (légère asymétrie négative). L'écart-type de 576 FCFA avec un coefficient de variation de 6,7% révèle une dispersion modérée du cours, tandis que le kurtosis de -0,583 (mésokurtique) suggère une distribution proche de la normale, sans risque excessif de pics extrêmes. La volatilité annualisée de 37,1% classe le titre dans la catégorie des valeurs à volatilité élevée (&gt;30%), ce qui implique un risque de marché significatif mais aussi des opportunités de trading.</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(9 181,25 FCFA) et la MM50 (8 958,0 FCFA) se situent toutes deux au-dessus du cours actuel (8 450 FCFA), ce qui place le titre en position baissière à court terme. Cependant, la MM20 étant supérieure à la MM50, la configuration reste haussière de fond. La décision technique affichée est "Achat", suggérant une opportunité de rebond vers les moyennes mobiles.</w:t>
      </w:r>
    </w:p>
    <w:p>
      <w:pPr>
        <w:spacing w:after="120" w:line="276" w:lineRule="auto"/>
      </w:pPr>
      <w:r>
        <w:t>**Bandes de Bollinger** : Le cours actuel (8 450 FCFA) se situe légèrement en dessous de la borne inférieure (8 512,387 FCFA), ce qui constitue un signal de survente et une opportunité d'achat potentielle. La largeur des bandes (1 337,7 FCFA) reflète une volatilité élevée, cohérente avec la volatilité annualisée de 37,1%. La décision "Achat" est justifiée par cette position hors bande.</w:t>
      </w:r>
    </w:p>
    <w:p>
      <w:pPr>
        <w:spacing w:after="120" w:line="276" w:lineRule="auto"/>
      </w:pPr>
      <w:r>
        <w:t>**MACD** : La valeur du MACD (-74,447) est inférieure à son signal (45,658), générant une divergence baissière et un momentum négatif. La décision "Vente" contredit les autres indicateurs, ce qui suggère une prudence à court terme mais un possible retournement imminent.</w:t>
      </w:r>
    </w:p>
    <w:p>
      <w:pPr>
        <w:spacing w:after="120" w:line="276" w:lineRule="auto"/>
      </w:pPr>
      <w:r>
        <w:t>**RSI** : À 23,864, le RSI est en zone de survente (&lt;30), ce qui indique une pression vendeuse excessive et une probabilité élevée de rebond technique. La décision "Achat" est cohérente avec cette lecture.</w:t>
      </w:r>
    </w:p>
    <w:p>
      <w:pPr>
        <w:spacing w:after="120" w:line="276" w:lineRule="auto"/>
      </w:pPr>
      <w:r>
        <w:t>**Stochastique** : Les valeurs %K et %D sont toutes deux à 0,0, signalant une survente extrême et un possible retournement haussier. La décision "Achat" est justifiée par cette configuration.</w:t>
      </w:r>
    </w:p>
    <w:p>
      <w:pPr>
        <w:spacing w:after="120" w:line="276" w:lineRule="auto"/>
      </w:pPr>
      <w:r>
        <w:t>**Conclusion technique** : La majorité des indicateurs (Bollinger, RSI, Stochastique, MM) convergent vers un signal d'achat, à l'exception du MACD qui affiche une divergence baissière. Cette configuration suggère que le titre est en zone de survente et qu'un rebond technique est probable à court terme, bien que la prudence reste de mise face au momentum négatif du MACD.</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PALC (PALMCI S.A.) affiche un chiffre d'affaires de 197,63 milliards FCFA, en croissance de +14,8% par rapport à 2024 (172,2 Mds FCFA), portée par une hausse des volumes et des prix de l'huile de palme. Le résultat net s'établit à 15,509 milliards FCFA, en léger recul de -2,2% par rapport à 2024 (15,9 Mds FCFA), avec une marge nette de 7,85% (contre 9,2% en 2024). Le ROE de 10,87% et le ROA de 7,79% témoignent d'une rentabilité correcte mais en deçà des standards d'excellence (&gt;15% pour le ROE). La structure financière reste très solide avec une autonomie financière de 71,64%, un ratio d'endettement de 0,56% et une trésorerie nette négative de -4,559 Mds FCFA, ce qui constitue un point de vigilance. Le BFR de 44,623 Mds FCFA et le délai client élevé de 142,58 jours représentent un risque de trésorerie important, tandis que la rotation des stocks (14,55 jours) est satisfaisante. Sur la base du rapport T1 2026 (publié en 2026), le chiffre d'affaires chute de -27% à 49,4 Mds FCFA et le résultat net s'effondre de -86% à 1,6 milliard FCFA, en raison de quantités vendues plus faibles sur le marché local. La direction évoque un simple décalage temporel des ventes et anticipe un redressement avec l'écoulement des stocks à l'export. Le rapport S1 2025 (daté du 30 juin 2025) faisait état d'un résultat net de 22,9 Mds FCFA (+37%) et d'une marge nette de 17,0%, confirmant la forte saisonnalité de l'activité. Le rapport annuel 2024 (daté du 31 décembre 2024) mentionnait un dividende de 513 FCFA/action (rendement de 10,3% sur la base d'un cours de 5 000 FCFA), mais le dividende 2025 a été réduit à 502 FCFA/action (-19%). En synthèse, PALC présente des fondamentaux solides (structure financière saine, position dominante sur le marché ouest-africain de l'huile de palme) mais une rentabilité sous pression et une trésorerie nette négative. La recommandation fondamentale est de **CONSERVER** avec une surveillance active des marges et de la trésorerie.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PALC apparaît clairement attractive avec un PER de 8,4x (inférieur à la moyenne BRVM), un P/B de 0,92x (sous la valeur comptable) et un EV/EBITDA de 4,1x (très bon marché), ce qui suggère une sous-évaluation du titre. Le comportement du cours sur 100 jours (+5,16%) est haussier mais la récente baisse de -0,59% et la position sous les moyennes mobiles indiquent une consolidation. Les statistiques descriptives (kurtosis mésokurtique, skewness symétrique, CV de 6,7%) révèlent un comportement de cours relativement stable, mais la volatilité annualisée de 37,1% reste élevée. Les signaux techniques sont majoritairement haussiers (Bollinger, RSI, Stochastique, MM) à l'exception du MACD, ce qui suggère un rebond technique imminent. Les fondamentaux sont solides (CA en croissance, structure financière saine) mais la rentabilité est sous pression (marge nette en baisse à 7,85%, résultat net en repli de -2,2%) et le T1 2026 est très décevant (-86% de résultat net), bien que la direction évoque un décalage temporel. Les prédictions IA (J+1 à J+10) tablent sur une hausse progressive de 8 584 FCFA à 8 672 FCFA, confirmant la thèse d'un rebond technique à court terme. Sur la base de cette synthèse, la recommandation finale est **CONSERVER** avec un biais haussier à moyen terme. Le niveau de confiance est **Moyen** (les signaux techniques sont positifs mais le MACD et le T1 2026 incitent à la prudence) et le niveau de risque est **Élevé** (volatilité de 37,1%, dépendance aux cours de l'huile de palme, trésorerie nette négative). L'horizon d'investissement optimal est le **moyen terme (3-12 mois)**, en attendant la confirmation du redressement des ventes et l'amélioration de la rentabilité au S2 2026.</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45.06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874 titres</w:t>
            </w:r>
          </w:p>
        </w:tc>
        <w:tc>
          <w:tcPr>
            <w:tcW w:type="dxa" w:w="2268"/>
            <w:shd w:fill="FFF2CC" w:val="clear"/>
          </w:tcPr>
          <w:p>
            <w:r>
              <w:rPr>
                <w:b/>
                <w:color w:val="503200"/>
                <w:sz w:val="16"/>
              </w:rPr>
              <w:t xml:space="preserve">Cours actuel : </w:t>
            </w:r>
            <w:r>
              <w:rPr>
                <w:color w:val="000000"/>
                <w:sz w:val="17"/>
              </w:rPr>
              <w:t>4,400 FCFA</w:t>
            </w:r>
          </w:p>
          <w:p>
            <w:r>
              <w:rPr>
                <w:b/>
                <w:color w:val="503200"/>
                <w:sz w:val="16"/>
              </w:rPr>
              <w:t xml:space="preserve">Var. 100 jours : </w:t>
            </w:r>
            <w:r>
              <w:rPr>
                <w:b/>
                <w:color w:val="B40000"/>
                <w:sz w:val="17"/>
              </w:rPr>
              <w:t>-11.91%</w:t>
            </w:r>
          </w:p>
          <w:p>
            <w:r>
              <w:rPr>
                <w:b/>
                <w:color w:val="503200"/>
                <w:sz w:val="16"/>
              </w:rPr>
              <w:t xml:space="preserve">Plus haut 100j : </w:t>
            </w:r>
            <w:r>
              <w:rPr>
                <w:color w:val="000000"/>
                <w:sz w:val="17"/>
              </w:rPr>
              <w:t>4,995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39.0%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21.5/100 → Moyen</w:t>
      </w:r>
    </w:p>
    <w:p>
      <w:pPr>
        <w:spacing w:before="40" w:after="80"/>
      </w:pPr>
      <w:r>
        <w:rPr>
          <w:rFonts w:ascii="Courier New" w:hAnsi="Courier New"/>
          <w:color w:val="825A00"/>
          <w:sz w:val="18"/>
        </w:rPr>
        <w:t>████░░░░░░░░░░░░░░░░  21.5/100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7.10% (Moyenne) — μ=4,403 FCFA, σ=312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β=-0.1648 (Contre-cyclique) — Cov=-0.000006, Var(idx)=0.000036, ρ=-0.041,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874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σ_j=2.46%/j (Stable) — Vol. annualisée≈39.0%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2026-09-10</w:t>
            </w:r>
          </w:p>
        </w:tc>
        <w:tc>
          <w:tcPr>
            <w:tcW w:type="dxa" w:w="1440"/>
            <w:shd w:fill="FAFAFA" w:val="clear"/>
          </w:tcPr>
          <w:p>
            <w:r>
              <w:rPr>
                <w:sz w:val="17"/>
              </w:rPr>
              <w:t>4,293</w:t>
            </w:r>
          </w:p>
        </w:tc>
        <w:tc>
          <w:tcPr>
            <w:tcW w:type="dxa" w:w="1440"/>
            <w:shd w:fill="FAFAFA" w:val="clear"/>
          </w:tcPr>
          <w:p>
            <w:r>
              <w:rPr>
                <w:b/>
                <w:sz w:val="17"/>
              </w:rPr>
              <w:t>4,389</w:t>
            </w:r>
          </w:p>
        </w:tc>
        <w:tc>
          <w:tcPr>
            <w:tcW w:type="dxa" w:w="1440"/>
            <w:shd w:fill="FAFAFA" w:val="clear"/>
          </w:tcPr>
          <w:p>
            <w:r>
              <w:rPr>
                <w:sz w:val="17"/>
              </w:rPr>
              <w:t>4,485</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2026-09-11</w:t>
            </w:r>
          </w:p>
        </w:tc>
        <w:tc>
          <w:tcPr>
            <w:tcW w:type="dxa" w:w="1440"/>
            <w:shd w:fill="FAFAFA" w:val="clear"/>
          </w:tcPr>
          <w:p>
            <w:r>
              <w:rPr>
                <w:sz w:val="17"/>
              </w:rPr>
              <w:t>4,233</w:t>
            </w:r>
          </w:p>
        </w:tc>
        <w:tc>
          <w:tcPr>
            <w:tcW w:type="dxa" w:w="1440"/>
            <w:shd w:fill="FAFAFA" w:val="clear"/>
          </w:tcPr>
          <w:p>
            <w:r>
              <w:rPr>
                <w:b/>
                <w:sz w:val="17"/>
              </w:rPr>
              <w:t>4,368</w:t>
            </w:r>
          </w:p>
        </w:tc>
        <w:tc>
          <w:tcPr>
            <w:tcW w:type="dxa" w:w="1440"/>
            <w:shd w:fill="FAFAFA" w:val="clear"/>
          </w:tcPr>
          <w:p>
            <w:r>
              <w:rPr>
                <w:sz w:val="17"/>
              </w:rPr>
              <w:t>4,503</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2026-09-14</w:t>
            </w:r>
          </w:p>
        </w:tc>
        <w:tc>
          <w:tcPr>
            <w:tcW w:type="dxa" w:w="1440"/>
            <w:shd w:fill="FAFAFA" w:val="clear"/>
          </w:tcPr>
          <w:p>
            <w:r>
              <w:rPr>
                <w:sz w:val="17"/>
              </w:rPr>
              <w:t>4,181</w:t>
            </w:r>
          </w:p>
        </w:tc>
        <w:tc>
          <w:tcPr>
            <w:tcW w:type="dxa" w:w="1440"/>
            <w:shd w:fill="FAFAFA" w:val="clear"/>
          </w:tcPr>
          <w:p>
            <w:r>
              <w:rPr>
                <w:b/>
                <w:sz w:val="17"/>
              </w:rPr>
              <w:t>4,346</w:t>
            </w:r>
          </w:p>
        </w:tc>
        <w:tc>
          <w:tcPr>
            <w:tcW w:type="dxa" w:w="1440"/>
            <w:shd w:fill="FAFAFA" w:val="clear"/>
          </w:tcPr>
          <w:p>
            <w:r>
              <w:rPr>
                <w:sz w:val="17"/>
              </w:rPr>
              <w:t>4,511</w:t>
            </w:r>
          </w:p>
        </w:tc>
        <w:tc>
          <w:tcPr>
            <w:tcW w:type="dxa" w:w="1440"/>
            <w:shd w:fill="FAFAFA" w:val="clear"/>
          </w:tcPr>
          <w:p>
            <w:r>
              <w:rPr>
                <w:b/>
                <w:color w:val="C00000"/>
                <w:sz w:val="17"/>
              </w:rPr>
              <w:t>-1.2%</w:t>
            </w:r>
          </w:p>
        </w:tc>
      </w:tr>
      <w:tr>
        <w:tc>
          <w:tcPr>
            <w:tcW w:type="dxa" w:w="1440"/>
            <w:shd w:fill="FAFAFA" w:val="clear"/>
          </w:tcPr>
          <w:p>
            <w:r>
              <w:rPr>
                <w:sz w:val="17"/>
              </w:rPr>
              <w:t>J+4  Moyenne</w:t>
            </w:r>
          </w:p>
        </w:tc>
        <w:tc>
          <w:tcPr>
            <w:tcW w:type="dxa" w:w="1440"/>
            <w:shd w:fill="FAFAFA" w:val="clear"/>
          </w:tcPr>
          <w:p>
            <w:r>
              <w:rPr>
                <w:sz w:val="17"/>
              </w:rPr>
              <w:t>2026-09-15</w:t>
            </w:r>
          </w:p>
        </w:tc>
        <w:tc>
          <w:tcPr>
            <w:tcW w:type="dxa" w:w="1440"/>
            <w:shd w:fill="FAFAFA" w:val="clear"/>
          </w:tcPr>
          <w:p>
            <w:r>
              <w:rPr>
                <w:sz w:val="17"/>
              </w:rPr>
              <w:t>4,136</w:t>
            </w:r>
          </w:p>
        </w:tc>
        <w:tc>
          <w:tcPr>
            <w:tcW w:type="dxa" w:w="1440"/>
            <w:shd w:fill="FAFAFA" w:val="clear"/>
          </w:tcPr>
          <w:p>
            <w:r>
              <w:rPr>
                <w:b/>
                <w:sz w:val="17"/>
              </w:rPr>
              <w:t>4,325</w:t>
            </w:r>
          </w:p>
        </w:tc>
        <w:tc>
          <w:tcPr>
            <w:tcW w:type="dxa" w:w="1440"/>
            <w:shd w:fill="FAFAFA" w:val="clear"/>
          </w:tcPr>
          <w:p>
            <w:r>
              <w:rPr>
                <w:sz w:val="17"/>
              </w:rPr>
              <w:t>4,515</w:t>
            </w:r>
          </w:p>
        </w:tc>
        <w:tc>
          <w:tcPr>
            <w:tcW w:type="dxa" w:w="1440"/>
            <w:shd w:fill="FAFAFA" w:val="clear"/>
          </w:tcPr>
          <w:p>
            <w:r>
              <w:rPr>
                <w:b/>
                <w:color w:val="C00000"/>
                <w:sz w:val="17"/>
              </w:rPr>
              <w:t>-1.7%</w:t>
            </w:r>
          </w:p>
        </w:tc>
      </w:tr>
      <w:tr>
        <w:tc>
          <w:tcPr>
            <w:tcW w:type="dxa" w:w="1440"/>
            <w:shd w:fill="FFDCE0" w:val="clear"/>
          </w:tcPr>
          <w:p>
            <w:r>
              <w:rPr>
                <w:sz w:val="17"/>
              </w:rPr>
              <w:t>J+5  Moyenne</w:t>
            </w:r>
          </w:p>
        </w:tc>
        <w:tc>
          <w:tcPr>
            <w:tcW w:type="dxa" w:w="1440"/>
            <w:shd w:fill="FFDCE0" w:val="clear"/>
          </w:tcPr>
          <w:p>
            <w:r>
              <w:rPr>
                <w:sz w:val="17"/>
              </w:rPr>
              <w:t>2026-09-16</w:t>
            </w:r>
          </w:p>
        </w:tc>
        <w:tc>
          <w:tcPr>
            <w:tcW w:type="dxa" w:w="1440"/>
            <w:shd w:fill="FFDCE0" w:val="clear"/>
          </w:tcPr>
          <w:p>
            <w:r>
              <w:rPr>
                <w:sz w:val="17"/>
              </w:rPr>
              <w:t>4,095</w:t>
            </w:r>
          </w:p>
        </w:tc>
        <w:tc>
          <w:tcPr>
            <w:tcW w:type="dxa" w:w="1440"/>
            <w:shd w:fill="FFDCE0" w:val="clear"/>
          </w:tcPr>
          <w:p>
            <w:r>
              <w:rPr>
                <w:b/>
                <w:sz w:val="17"/>
              </w:rPr>
              <w:t>4,305</w:t>
            </w:r>
          </w:p>
        </w:tc>
        <w:tc>
          <w:tcPr>
            <w:tcW w:type="dxa" w:w="1440"/>
            <w:shd w:fill="FFDCE0" w:val="clear"/>
          </w:tcPr>
          <w:p>
            <w:r>
              <w:rPr>
                <w:sz w:val="17"/>
              </w:rPr>
              <w:t>4,516</w:t>
            </w:r>
          </w:p>
        </w:tc>
        <w:tc>
          <w:tcPr>
            <w:tcW w:type="dxa" w:w="1440"/>
            <w:shd w:fill="FFDCE0" w:val="clear"/>
          </w:tcPr>
          <w:p>
            <w:r>
              <w:rPr>
                <w:b/>
                <w:color w:val="C00000"/>
                <w:sz w:val="17"/>
              </w:rPr>
              <w:t>-2.2%</w:t>
            </w:r>
          </w:p>
        </w:tc>
      </w:tr>
      <w:tr>
        <w:tc>
          <w:tcPr>
            <w:tcW w:type="dxa" w:w="1440"/>
            <w:shd w:fill="FFDCE0" w:val="clear"/>
          </w:tcPr>
          <w:p>
            <w:r>
              <w:rPr>
                <w:sz w:val="17"/>
              </w:rPr>
              <w:t>J+6  Moyenne</w:t>
            </w:r>
          </w:p>
        </w:tc>
        <w:tc>
          <w:tcPr>
            <w:tcW w:type="dxa" w:w="1440"/>
            <w:shd w:fill="FFDCE0" w:val="clear"/>
          </w:tcPr>
          <w:p>
            <w:r>
              <w:rPr>
                <w:sz w:val="17"/>
              </w:rPr>
              <w:t>2026-09-17</w:t>
            </w:r>
          </w:p>
        </w:tc>
        <w:tc>
          <w:tcPr>
            <w:tcW w:type="dxa" w:w="1440"/>
            <w:shd w:fill="FFDCE0" w:val="clear"/>
          </w:tcPr>
          <w:p>
            <w:r>
              <w:rPr>
                <w:sz w:val="17"/>
              </w:rPr>
              <w:t>4,056</w:t>
            </w:r>
          </w:p>
        </w:tc>
        <w:tc>
          <w:tcPr>
            <w:tcW w:type="dxa" w:w="1440"/>
            <w:shd w:fill="FFDCE0" w:val="clear"/>
          </w:tcPr>
          <w:p>
            <w:r>
              <w:rPr>
                <w:b/>
                <w:sz w:val="17"/>
              </w:rPr>
              <w:t>4,286</w:t>
            </w:r>
          </w:p>
        </w:tc>
        <w:tc>
          <w:tcPr>
            <w:tcW w:type="dxa" w:w="1440"/>
            <w:shd w:fill="FFDCE0" w:val="clear"/>
          </w:tcPr>
          <w:p>
            <w:r>
              <w:rPr>
                <w:sz w:val="17"/>
              </w:rPr>
              <w:t>4,516</w:t>
            </w:r>
          </w:p>
        </w:tc>
        <w:tc>
          <w:tcPr>
            <w:tcW w:type="dxa" w:w="1440"/>
            <w:shd w:fill="FFDCE0" w:val="clear"/>
          </w:tcPr>
          <w:p>
            <w:r>
              <w:rPr>
                <w:b/>
                <w:color w:val="C00000"/>
                <w:sz w:val="17"/>
              </w:rPr>
              <w:t>-2.6%</w:t>
            </w:r>
          </w:p>
        </w:tc>
      </w:tr>
      <w:tr>
        <w:tc>
          <w:tcPr>
            <w:tcW w:type="dxa" w:w="1440"/>
            <w:shd w:fill="FFDCE0" w:val="clear"/>
          </w:tcPr>
          <w:p>
            <w:r>
              <w:rPr>
                <w:sz w:val="17"/>
              </w:rPr>
              <w:t>J+7  Moyenne</w:t>
            </w:r>
          </w:p>
        </w:tc>
        <w:tc>
          <w:tcPr>
            <w:tcW w:type="dxa" w:w="1440"/>
            <w:shd w:fill="FFDCE0" w:val="clear"/>
          </w:tcPr>
          <w:p>
            <w:r>
              <w:rPr>
                <w:sz w:val="17"/>
              </w:rPr>
              <w:t>2026-09-18</w:t>
            </w:r>
          </w:p>
        </w:tc>
        <w:tc>
          <w:tcPr>
            <w:tcW w:type="dxa" w:w="1440"/>
            <w:shd w:fill="FFDCE0" w:val="clear"/>
          </w:tcPr>
          <w:p>
            <w:r>
              <w:rPr>
                <w:sz w:val="17"/>
              </w:rPr>
              <w:t>4,020</w:t>
            </w:r>
          </w:p>
        </w:tc>
        <w:tc>
          <w:tcPr>
            <w:tcW w:type="dxa" w:w="1440"/>
            <w:shd w:fill="FFDCE0" w:val="clear"/>
          </w:tcPr>
          <w:p>
            <w:r>
              <w:rPr>
                <w:b/>
                <w:sz w:val="17"/>
              </w:rPr>
              <w:t>4,267</w:t>
            </w:r>
          </w:p>
        </w:tc>
        <w:tc>
          <w:tcPr>
            <w:tcW w:type="dxa" w:w="1440"/>
            <w:shd w:fill="FFDCE0" w:val="clear"/>
          </w:tcPr>
          <w:p>
            <w:r>
              <w:rPr>
                <w:sz w:val="17"/>
              </w:rPr>
              <w:t>4,514</w:t>
            </w:r>
          </w:p>
        </w:tc>
        <w:tc>
          <w:tcPr>
            <w:tcW w:type="dxa" w:w="1440"/>
            <w:shd w:fill="FFDCE0" w:val="clear"/>
          </w:tcPr>
          <w:p>
            <w:r>
              <w:rPr>
                <w:b/>
                <w:color w:val="C00000"/>
                <w:sz w:val="17"/>
              </w:rPr>
              <w:t>-3.0%</w:t>
            </w:r>
          </w:p>
        </w:tc>
      </w:tr>
      <w:tr>
        <w:tc>
          <w:tcPr>
            <w:tcW w:type="dxa" w:w="1440"/>
            <w:shd w:fill="FFDCE0" w:val="clear"/>
          </w:tcPr>
          <w:p>
            <w:r>
              <w:rPr>
                <w:sz w:val="17"/>
              </w:rPr>
              <w:t>J+8  Moyenne</w:t>
            </w:r>
          </w:p>
        </w:tc>
        <w:tc>
          <w:tcPr>
            <w:tcW w:type="dxa" w:w="1440"/>
            <w:shd w:fill="FFDCE0" w:val="clear"/>
          </w:tcPr>
          <w:p>
            <w:r>
              <w:rPr>
                <w:sz w:val="17"/>
              </w:rPr>
              <w:t>2026-09-21</w:t>
            </w:r>
          </w:p>
        </w:tc>
        <w:tc>
          <w:tcPr>
            <w:tcW w:type="dxa" w:w="1440"/>
            <w:shd w:fill="FFDCE0" w:val="clear"/>
          </w:tcPr>
          <w:p>
            <w:r>
              <w:rPr>
                <w:sz w:val="17"/>
              </w:rPr>
              <w:t>3,985</w:t>
            </w:r>
          </w:p>
        </w:tc>
        <w:tc>
          <w:tcPr>
            <w:tcW w:type="dxa" w:w="1440"/>
            <w:shd w:fill="FFDCE0" w:val="clear"/>
          </w:tcPr>
          <w:p>
            <w:r>
              <w:rPr>
                <w:b/>
                <w:sz w:val="17"/>
              </w:rPr>
              <w:t>4,248</w:t>
            </w:r>
          </w:p>
        </w:tc>
        <w:tc>
          <w:tcPr>
            <w:tcW w:type="dxa" w:w="1440"/>
            <w:shd w:fill="FFDCE0" w:val="clear"/>
          </w:tcPr>
          <w:p>
            <w:r>
              <w:rPr>
                <w:sz w:val="17"/>
              </w:rPr>
              <w:t>4,511</w:t>
            </w:r>
          </w:p>
        </w:tc>
        <w:tc>
          <w:tcPr>
            <w:tcW w:type="dxa" w:w="1440"/>
            <w:shd w:fill="FFDCE0" w:val="clear"/>
          </w:tcPr>
          <w:p>
            <w:r>
              <w:rPr>
                <w:b/>
                <w:color w:val="C00000"/>
                <w:sz w:val="17"/>
              </w:rPr>
              <w:t>-3.5%</w:t>
            </w:r>
          </w:p>
        </w:tc>
      </w:tr>
      <w:tr>
        <w:tc>
          <w:tcPr>
            <w:tcW w:type="dxa" w:w="1440"/>
            <w:shd w:fill="FFDCE0" w:val="clear"/>
          </w:tcPr>
          <w:p>
            <w:r>
              <w:rPr>
                <w:sz w:val="17"/>
              </w:rPr>
              <w:t>J+9  Moyenne</w:t>
            </w:r>
          </w:p>
        </w:tc>
        <w:tc>
          <w:tcPr>
            <w:tcW w:type="dxa" w:w="1440"/>
            <w:shd w:fill="FFDCE0" w:val="clear"/>
          </w:tcPr>
          <w:p>
            <w:r>
              <w:rPr>
                <w:sz w:val="17"/>
              </w:rPr>
              <w:t>2026-09-22</w:t>
            </w:r>
          </w:p>
        </w:tc>
        <w:tc>
          <w:tcPr>
            <w:tcW w:type="dxa" w:w="1440"/>
            <w:shd w:fill="FFDCE0" w:val="clear"/>
          </w:tcPr>
          <w:p>
            <w:r>
              <w:rPr>
                <w:sz w:val="17"/>
              </w:rPr>
              <w:t>3,952</w:t>
            </w:r>
          </w:p>
        </w:tc>
        <w:tc>
          <w:tcPr>
            <w:tcW w:type="dxa" w:w="1440"/>
            <w:shd w:fill="FFDCE0" w:val="clear"/>
          </w:tcPr>
          <w:p>
            <w:r>
              <w:rPr>
                <w:b/>
                <w:sz w:val="17"/>
              </w:rPr>
              <w:t>4,230</w:t>
            </w:r>
          </w:p>
        </w:tc>
        <w:tc>
          <w:tcPr>
            <w:tcW w:type="dxa" w:w="1440"/>
            <w:shd w:fill="FFDCE0" w:val="clear"/>
          </w:tcPr>
          <w:p>
            <w:r>
              <w:rPr>
                <w:sz w:val="17"/>
              </w:rPr>
              <w:t>4,508</w:t>
            </w:r>
          </w:p>
        </w:tc>
        <w:tc>
          <w:tcPr>
            <w:tcW w:type="dxa" w:w="1440"/>
            <w:shd w:fill="FFDCE0" w:val="clear"/>
          </w:tcPr>
          <w:p>
            <w:r>
              <w:rPr>
                <w:b/>
                <w:color w:val="C00000"/>
                <w:sz w:val="17"/>
              </w:rPr>
              <w:t>-3.9%</w:t>
            </w:r>
          </w:p>
        </w:tc>
      </w:tr>
      <w:tr>
        <w:tc>
          <w:tcPr>
            <w:tcW w:type="dxa" w:w="1440"/>
            <w:shd w:fill="FFDCE0" w:val="clear"/>
          </w:tcPr>
          <w:p>
            <w:r>
              <w:rPr>
                <w:sz w:val="17"/>
              </w:rPr>
              <w:t>J+10  Moyenne</w:t>
            </w:r>
          </w:p>
        </w:tc>
        <w:tc>
          <w:tcPr>
            <w:tcW w:type="dxa" w:w="1440"/>
            <w:shd w:fill="FFDCE0" w:val="clear"/>
          </w:tcPr>
          <w:p>
            <w:r>
              <w:rPr>
                <w:sz w:val="17"/>
              </w:rPr>
              <w:t>2026-09-23</w:t>
            </w:r>
          </w:p>
        </w:tc>
        <w:tc>
          <w:tcPr>
            <w:tcW w:type="dxa" w:w="1440"/>
            <w:shd w:fill="FFDCE0" w:val="clear"/>
          </w:tcPr>
          <w:p>
            <w:r>
              <w:rPr>
                <w:sz w:val="17"/>
              </w:rPr>
              <w:t>3,920</w:t>
            </w:r>
          </w:p>
        </w:tc>
        <w:tc>
          <w:tcPr>
            <w:tcW w:type="dxa" w:w="1440"/>
            <w:shd w:fill="FFDCE0" w:val="clear"/>
          </w:tcPr>
          <w:p>
            <w:r>
              <w:rPr>
                <w:b/>
                <w:sz w:val="17"/>
              </w:rPr>
              <w:t>4,212</w:t>
            </w:r>
          </w:p>
        </w:tc>
        <w:tc>
          <w:tcPr>
            <w:tcW w:type="dxa" w:w="1440"/>
            <w:shd w:fill="FFDCE0" w:val="clear"/>
          </w:tcPr>
          <w:p>
            <w:r>
              <w:rPr>
                <w:sz w:val="17"/>
              </w:rPr>
              <w:t>4,503</w:t>
            </w:r>
          </w:p>
        </w:tc>
        <w:tc>
          <w:tcPr>
            <w:tcW w:type="dxa" w:w="1440"/>
            <w:shd w:fill="FFDCE0" w:val="clear"/>
          </w:tcPr>
          <w:p>
            <w:r>
              <w:rPr>
                <w:b/>
                <w:color w:val="C00000"/>
                <w:sz w:val="17"/>
              </w:rPr>
              <w:t>-4.3%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 RAPPORT D'ANALYSE FINANCIÈRE — PRSC (TRACTAFRIC MOTORS CÔTE D'IVOIRE)</w:t>
        <w:br/>
        <w:t>**Bourse Régionale des Valeurs Mobilières (BRVM)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45,06 milliards FCFA, PRSC se positionne comme une valeur de taille intermédiaire sur le compartiment industriel/commercial de la BRVM, loin des mastodontes télécoms mais suffisamment liquide pour intéresser les investisseurs institutionnels régionaux. Le BPA de 231 FCFA/action signifie que chaque titre génère près de 231 FCFA de bénéfice net, ce qui, rapporté au cours actuel de 4 400 FCFA, donne un PER de 19,0x — nettement supérieur à la moyenne BRVM (8-12x), traduisant une prime de valorisation que le marché accorde à la régularité bénéficiaire et à la politique de dividende de la société. Le P/B de 3,91x confirme cette prime : le marché valorise l'action près de quatre fois sa valeur comptable (11,53 Mds FCFA de capitaux propres pour 1,28 Mds FCFA de capital), ce qui est cohérent avec un ROE élevé de 20,5%. Enfin, l'EV/EBITDA de 9,7x, dans la fourchette raisonnable de 5-10x, suggère que la valeur d'entreprise reste correctement corrélée à la capacité opérationnelle de génération de cash, sans exubérance manifeste. Au total, la valorisation apparaît **modérément tendue** sur les multiples de bénéfice et de book, mais justifiée par la qualité des fondamentaux.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PRSC affiche une variation totale de **-11,91%**, avec une dernière séance en repli de **-2,11%**, confirmant une dynamique baissière de court terme. Le cours actuel de 4 400 FCFA se situe dans la moitié basse du range de trading établi entre un plus bas de 3 620 FCFA et un plus haut de 4 995 FCFA, soit une amplitude de 1 375 FCFA (38% du cours bas) qui témoigne d'une réelle nervosité du titre. La tendance générale est donc **baissière**, le cours ayant effacé une partie de sa progression antérieure tout en restant au-dessus du plancher de 3 620 FCFA. Les statistiques descriptives révèlent une distribution quasi-normale du cours : la moyenne (4 403 FCFA) et la médiane (4 470 FCFA) sont proches, mais le mode à 4 400 FCFA — exactement le cours actuel — indique que ce niveau fait office de point d'équilibre psychologique. L'écart-type de 314 FCFA (CV de 7,1%) traduit une dispersion modérée autour de la moyenne, tandis que le kurtosis de 0,642 (mésokurtique) suggère une probabilité de pics extrêmes proche d'une loi normale, sans risque de queue épaisse marqué. Le skewness de -0,900, en revanche, signale une asymétrie négative : les journées de hausse ont été plus fréquentes mais de moindre amplitude que les journées de baisse, ce qui explique la contre-performance malgré une moyenne proche du cours actuel. Avec une **volatilité annualisée de 39,0%**, PRSC se classe parmi les titres à volatilité **élevée** (&gt;30%), ce qui implique un risque de marché significatif et justifie une approche prudente pour les investisseurs averses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(4 448,5 FCFA) et la MM50 (4 475,1 FCFA) se situent toutes deux **au-dessus du cours actuel** (4 400 FCFA), ce qui place le titre en configuration baissière de court et moyen terme. La MM20 étant légèrement inférieure à la MM50, on observe un début de croisement baissier (death cross naissant), confirmant la pression vendeuse. La décision technique est donc logiquement **Vente**.</w:t>
      </w:r>
    </w:p>
    <w:p>
      <w:pPr>
        <w:spacing w:after="120" w:line="276" w:lineRule="auto"/>
      </w:pPr>
      <w:r>
        <w:t>**Bandes de Bollinger** : Le cours (4 400 FCFA) évolue dans la partie basse du canal, entre la borne inférieure (4 332,5 FCFA) et la borne supérieure (4 564,5 FCFA), sans franchissement des extrêmes. L'absence de rupture de la borne basse indique que la pression vendeuse reste contenue, et la décision est **Neutre** — le titre n'est ni en survente technique, ni en surachat.</w:t>
      </w:r>
    </w:p>
    <w:p>
      <w:pPr>
        <w:spacing w:after="120" w:line="276" w:lineRule="auto"/>
      </w:pPr>
      <w:r>
        <w:t>**MACD** : La ligne MACD (-17,486) est **inférieure à sa ligne de signal** (-11,88), avec un histogramme négatif qui traduit un momentum baissier persistant. L'écart entre les deux lignes se creuse légèrement, ce qui confirme l'absence de retournement imminent. La décision est **Vente**.</w:t>
      </w:r>
    </w:p>
    <w:p>
      <w:pPr>
        <w:spacing w:after="120" w:line="276" w:lineRule="auto"/>
      </w:pPr>
      <w:r>
        <w:t>**RSI** : À 49,645, le RSI se situe **exactement dans la zone neutre** (30-70), sans signal de surachat ni de survente. Cette position médiane indique un équilibre entre acheteurs et vendeurs, mais l'absence de divergence haussière ne plaide pas pour un rebond technique immédiat. Décision **Neutre**.</w:t>
      </w:r>
    </w:p>
    <w:p>
      <w:pPr>
        <w:spacing w:after="120" w:line="276" w:lineRule="auto"/>
      </w:pPr>
      <w:r>
        <w:t>**Stochastique** : Le %K (25,0) est inférieur au %D (32,5), et les deux oscillateurs se situent dans la zone basse (proche de la survente à 20). Le croisement %K sous %D est baissier, mais la proximité de la zone de survente suggère qu'un rebond technique pourrait se produire à court terme. Décision **Neutre**.</w:t>
      </w:r>
    </w:p>
    <w:p>
      <w:pPr>
        <w:spacing w:after="120" w:line="276" w:lineRule="auto"/>
      </w:pPr>
      <w:r>
        <w:t>**Conclusion technique** : Les indicateurs sont majoritairement baissiers (MM, MACD) ou neutres (Bollinger, RSI, Stochastique), sans signal d'achat clair. Le titre évolue sous ses moyennes mobiles, avec un momentum négatif, mais les oscillateurs en zone basse laissent entrevoir une possible stabilisation. La configuration globale reste **défavorable à court terme**, avec un risque de poursuite de la correction vers 4 300 FCFA, voire 4 200 FCFA, avant tout rebond durable.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TRACTAFRIC MOTORS CÔTE D'IVOIRE (PRSC) a réalisé un chiffre d'affaires de **81,127 milliards FCFA**, en croissance de 8,64% par rapport à 2024 (74,45 Mds FCFA selon le rapport Mistral du 30/03/2026), portée par les ventes de véhicules industriels et de pneumatiques. Le résultat net s'établit à **2,367 milliards FCFA**, en légère hausse par rapport aux 2,177 milliards de 2024, dégageant une marge nette de 2,92% — faible mais en amélioration. Le ROE atteint **20,53%**, niveau excellent (&gt;15%), tandis que le ROA de 4,95% reflète la faible intensité capitalistique du modèle de distribution. La structure financière reste solide avec des capitaux propres de 11,531 Mds FCFA, une autonomie financière de 24,1% (inférieure au seuil de 30% mais acceptable pour une société de négoce) et une capacité de remboursement de 1,83 année. Le BFR de 11,267 Mds FCFA et le fonds de roulement de 6,113 Mds FCFA génèrent une trésorerie nette négative de -4,092 Mds FCFA, sous tension. Les délais d'exploitation sont caractéristiques du secteur : délai clients de 46 jours (risque de recouvrement modéré), délai fournisseurs de 102,65 jours (excellent pour la trésorerie) et durée de stockage de 150,51 jours (élevée, immobilisant du capital).</w:t>
      </w:r>
    </w:p>
    <w:p>
      <w:pPr>
        <w:spacing w:after="120" w:line="276" w:lineRule="auto"/>
      </w:pPr>
      <w:r>
        <w:t>**Estimations basées sur les rapports trimestriels** : Le rapport d'activité du **S1 2025 (30/06/2025)** fait état d'un CA de 39,968 Mds FCFA (+15,1%) et d'un résultat net de 1,436 Md FCFA (×28 vs S1 2024), avec une marge nette de 3,6% — bien supérieure à la moyenne annuelle. Sur cette base, on peut estimer que l'exercice 2025 devrait confirmer cette dynamique, avec un résultat net annuel proche de 2,4 Mds FCFA, ce qui est effectivement le cas (2,367 Mds FCFA). Le rapport du **15/06/2026** confirme la mise en paiement d'un dividende de **209 FCFA brut/action** (soit un rendement de 4,75% au cours actuel de 4 400 FCFA), en hausse par rapport aux 288 FCFA de 2022 mais avec un payout ratio de 88% (2 140 M FCFA distribués sur 2 367 M FCFA de résultat net), ce qui est élevé et pourrait limiter la capacité d'autofinancement future.</w:t>
      </w:r>
    </w:p>
    <w:p>
      <w:pPr>
        <w:spacing w:after="120" w:line="276" w:lineRule="auto"/>
      </w:pPr>
      <w:r>
        <w:t>**Évolution pluriannuelle** : Entre 2022 et 2025, le CA est passé de 70,09 Mds FCFA à 81,13 Mds FCFA (+15,7% cumulé), tandis que le résultat net a fluctué (3,64 Mds en 2022, 2,04 Mds en 2023, 2,18 Mds en 2024, 2,37 Mds en 2025), avec une érosion de la marge nette de 5,2% à 2,9%. Cette compression des marges, due à la concurrence des véhicules low-cost et à la hausse des coûts, est le principal point de vigilance.</w:t>
      </w:r>
    </w:p>
    <w:p>
      <w:pPr>
        <w:spacing w:after="120" w:line="276" w:lineRule="auto"/>
      </w:pPr>
      <w:r>
        <w:t>**Recommandation fondamentale** : PRSC présente un profil de **solidité financière correcte** (ROE élevé, endettement maîtrisé, dividende attractif) mais une **rentabilité opérationnelle sous pression** (marge nette faible, FCF négatif de -2,616 Mds FCFA en 2025). La société reste un leader du marché automobile ivoirien (part de marché de 8,61% en 2023), mais la dépendance au cycle économique et la concurrence accrue limitent les perspectives de revalorisation significative. Recommandation : **CONSERVER** avec vigilance, en surveillant l'évolution des marges et de la trésorerie.</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conduit à une recommandation **CONSERVER** avec un niveau de confiance **Moyen** et un risque global **Élevé**.</w:t>
      </w:r>
    </w:p>
    <w:p>
      <w:pPr>
        <w:spacing w:after="120" w:line="276" w:lineRule="auto"/>
      </w:pPr>
      <w:r>
        <w:t>**Valorisation (Partie 0)** : Le PER de 19,0x et le P/B de 3,91x indiquent une **surévaluation relative** par rapport à la moyenne BRVM (PER 8-12x), mais l'EV/EBITDA de 9,7x reste raisonnable. Le marché paie une prime pour la régularité bénéficiaire et le dividende, mais cette prime pourrait se comprimer si la croissance ralentit.</w:t>
      </w:r>
    </w:p>
    <w:p>
      <w:pPr>
        <w:spacing w:after="120" w:line="276" w:lineRule="auto"/>
      </w:pPr>
      <w:r>
        <w:t>**Comportement du cours (Partie 1)** : La tendance baissière (-11,91% sur 100 jours), la volatilité élevée (39%) et le skewness négatif (-0,900) sont **préoccupants** pour les investisseurs de court terme. Le kurtosis mésokurtique (0,642) limite toutefois le risque de krach brutal.</w:t>
      </w:r>
    </w:p>
    <w:p>
      <w:pPr>
        <w:spacing w:after="120" w:line="276" w:lineRule="auto"/>
      </w:pPr>
      <w:r>
        <w:t>**Signaux techniques (Partie 2)** : La convergence baissière des MM et du MACD, couplée à des oscillateurs neutres, plaide pour une **poursuite de la correction** à court terme, avec un support potentiel à 4 300 FCFA.</w:t>
      </w:r>
    </w:p>
    <w:p>
      <w:pPr>
        <w:spacing w:after="120" w:line="276" w:lineRule="auto"/>
      </w:pPr>
      <w:r>
        <w:t>**Fondamentaux (Partie 3)** : La société affiche une **croissance du CA (+8,6% en 2025)** et un **ROE excellent (20,5%)**, mais une **marge nette faible (2,9%)** et un **FCF négatif (-2,6 Mds FCFA)**. Le dividende de 209 FCFA (rendement 4,75%) est attractif mais son payout ratio élevé (88%) interroge sur la pérennité.</w:t>
      </w:r>
    </w:p>
    <w:p>
      <w:pPr>
        <w:spacing w:after="120" w:line="276" w:lineRule="auto"/>
      </w:pPr>
      <w:r>
        <w:t>**Prédictions IA (J+1 à J+10)** : La trajectoire prédite (4 389 → 4 305 FCFA) confirme la **poursuite de la baisse** à court terme, en cohérence avec les signaux techniques baissiers.</w:t>
      </w:r>
    </w:p>
    <w:p>
      <w:pPr>
        <w:spacing w:after="120" w:line="276" w:lineRule="auto"/>
      </w:pPr>
      <w:r>
        <w:t>**Synthèse et recommandation finale** : La convergence entre une valorisation tendue, des signaux techniques baissiers, des fondamentaux mitigés (croissance du CA mais marges sous pression) et des prédictions IA négatives justifie une **recommandation de CONSERVER**, sans achat immédiat. Les investisseurs déjà positionnés peuvent conserver le titre pour son dividende et son potentiel de rebond à moyen terme, mais les nouveaux entrants devraient attendre une stabilisation du cours sous 4 300 FCFA, voire 4 200 FCFA, avant d'envisager une entrée. L'horizon optimal est le **moyen terme (3-12 mois)**, le temps que la société démontre sa capacité à stabiliser ses marges et à générer un free cash-flow positif. Un passage à **VENTE** serait justifié en cas de rupture du support de 4 200 FCFA ou de dégradation supplémentaire de la marge nette en dessous de 2,5%.</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42.06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8,620 titres</w:t>
            </w:r>
          </w:p>
        </w:tc>
        <w:tc>
          <w:tcPr>
            <w:tcW w:type="dxa" w:w="2268"/>
            <w:shd w:fill="FFF2CC" w:val="clear"/>
          </w:tcPr>
          <w:p>
            <w:r>
              <w:rPr>
                <w:b/>
                <w:color w:val="503200"/>
                <w:sz w:val="16"/>
              </w:rPr>
              <w:t xml:space="preserve">Cours actuel : </w:t>
            </w:r>
            <w:r>
              <w:rPr>
                <w:color w:val="000000"/>
                <w:sz w:val="17"/>
              </w:rPr>
              <w:t>5,180 FCFA</w:t>
            </w:r>
          </w:p>
          <w:p>
            <w:r>
              <w:rPr>
                <w:b/>
                <w:color w:val="503200"/>
                <w:sz w:val="16"/>
              </w:rPr>
              <w:t xml:space="preserve">Var. 100 jours : </w:t>
            </w:r>
            <w:r>
              <w:rPr>
                <w:b/>
                <w:color w:val="B40000"/>
                <w:sz w:val="17"/>
              </w:rPr>
              <w:t>-18.23%</w:t>
            </w:r>
          </w:p>
          <w:p>
            <w:r>
              <w:rPr>
                <w:b/>
                <w:color w:val="503200"/>
                <w:sz w:val="16"/>
              </w:rPr>
              <w:t xml:space="preserve">Plus haut 100j : </w:t>
            </w:r>
            <w:r>
              <w:rPr>
                <w:color w:val="000000"/>
                <w:sz w:val="17"/>
              </w:rPr>
              <w:t>6,335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82.2%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18.00% (Élevée) — μ=4,627 FCFA, σ=833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β=0.1429 (Défensif) — Cov=0.000005, Var(idx)=0.000036, ρ=0.017,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8,620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σ_j=5.18%/j (Instable) — Vol. annualisée≈82.2%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2026-09-10</w:t>
            </w:r>
          </w:p>
        </w:tc>
        <w:tc>
          <w:tcPr>
            <w:tcW w:type="dxa" w:w="1440"/>
            <w:shd w:fill="FFDCE0" w:val="clear"/>
          </w:tcPr>
          <w:p>
            <w:r>
              <w:rPr>
                <w:sz w:val="17"/>
              </w:rPr>
              <w:t>4,470</w:t>
            </w:r>
          </w:p>
        </w:tc>
        <w:tc>
          <w:tcPr>
            <w:tcW w:type="dxa" w:w="1440"/>
            <w:shd w:fill="FFDCE0" w:val="clear"/>
          </w:tcPr>
          <w:p>
            <w:r>
              <w:rPr>
                <w:b/>
                <w:sz w:val="17"/>
              </w:rPr>
              <w:t>4,792</w:t>
            </w:r>
          </w:p>
        </w:tc>
        <w:tc>
          <w:tcPr>
            <w:tcW w:type="dxa" w:w="1440"/>
            <w:shd w:fill="FFDCE0" w:val="clear"/>
          </w:tcPr>
          <w:p>
            <w:r>
              <w:rPr>
                <w:sz w:val="17"/>
              </w:rPr>
              <w:t>5,113</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2026-09-11</w:t>
            </w:r>
          </w:p>
        </w:tc>
        <w:tc>
          <w:tcPr>
            <w:tcW w:type="dxa" w:w="1440"/>
            <w:shd w:fill="FFDCE0" w:val="clear"/>
          </w:tcPr>
          <w:p>
            <w:r>
              <w:rPr>
                <w:sz w:val="17"/>
              </w:rPr>
              <w:t>4,011</w:t>
            </w:r>
          </w:p>
        </w:tc>
        <w:tc>
          <w:tcPr>
            <w:tcW w:type="dxa" w:w="1440"/>
            <w:shd w:fill="FFDCE0" w:val="clear"/>
          </w:tcPr>
          <w:p>
            <w:r>
              <w:rPr>
                <w:b/>
                <w:sz w:val="17"/>
              </w:rPr>
              <w:t>4,432</w:t>
            </w:r>
          </w:p>
        </w:tc>
        <w:tc>
          <w:tcPr>
            <w:tcW w:type="dxa" w:w="1440"/>
            <w:shd w:fill="FFDCE0" w:val="clear"/>
          </w:tcPr>
          <w:p>
            <w:r>
              <w:rPr>
                <w:sz w:val="17"/>
              </w:rPr>
              <w:t>4,853</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2026-09-14</w:t>
            </w:r>
          </w:p>
        </w:tc>
        <w:tc>
          <w:tcPr>
            <w:tcW w:type="dxa" w:w="1440"/>
            <w:shd w:fill="FFDCE0" w:val="clear"/>
          </w:tcPr>
          <w:p>
            <w:r>
              <w:rPr>
                <w:sz w:val="17"/>
              </w:rPr>
              <w:t>3,623</w:t>
            </w:r>
          </w:p>
        </w:tc>
        <w:tc>
          <w:tcPr>
            <w:tcW w:type="dxa" w:w="1440"/>
            <w:shd w:fill="FFDCE0" w:val="clear"/>
          </w:tcPr>
          <w:p>
            <w:r>
              <w:rPr>
                <w:b/>
                <w:sz w:val="17"/>
              </w:rPr>
              <w:t>4,100</w:t>
            </w:r>
          </w:p>
        </w:tc>
        <w:tc>
          <w:tcPr>
            <w:tcW w:type="dxa" w:w="1440"/>
            <w:shd w:fill="FFDCE0" w:val="clear"/>
          </w:tcPr>
          <w:p>
            <w:r>
              <w:rPr>
                <w:sz w:val="17"/>
              </w:rPr>
              <w:t>4,577</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2026-09-15</w:t>
            </w:r>
          </w:p>
        </w:tc>
        <w:tc>
          <w:tcPr>
            <w:tcW w:type="dxa" w:w="1440"/>
            <w:shd w:fill="FFDCE0" w:val="clear"/>
          </w:tcPr>
          <w:p>
            <w:r>
              <w:rPr>
                <w:sz w:val="17"/>
              </w:rPr>
              <w:t>3,283</w:t>
            </w:r>
          </w:p>
        </w:tc>
        <w:tc>
          <w:tcPr>
            <w:tcW w:type="dxa" w:w="1440"/>
            <w:shd w:fill="FFDCE0" w:val="clear"/>
          </w:tcPr>
          <w:p>
            <w:r>
              <w:rPr>
                <w:b/>
                <w:sz w:val="17"/>
              </w:rPr>
              <w:t>3,792</w:t>
            </w:r>
          </w:p>
        </w:tc>
        <w:tc>
          <w:tcPr>
            <w:tcW w:type="dxa" w:w="1440"/>
            <w:shd w:fill="FFDCE0" w:val="clear"/>
          </w:tcPr>
          <w:p>
            <w:r>
              <w:rPr>
                <w:sz w:val="17"/>
              </w:rPr>
              <w:t>4,302</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2026-09-16</w:t>
            </w:r>
          </w:p>
        </w:tc>
        <w:tc>
          <w:tcPr>
            <w:tcW w:type="dxa" w:w="1440"/>
            <w:shd w:fill="FFDCE0" w:val="clear"/>
          </w:tcPr>
          <w:p>
            <w:r>
              <w:rPr>
                <w:sz w:val="17"/>
              </w:rPr>
              <w:t>2,981</w:t>
            </w:r>
          </w:p>
        </w:tc>
        <w:tc>
          <w:tcPr>
            <w:tcW w:type="dxa" w:w="1440"/>
            <w:shd w:fill="FFDCE0" w:val="clear"/>
          </w:tcPr>
          <w:p>
            <w:r>
              <w:rPr>
                <w:b/>
                <w:sz w:val="17"/>
              </w:rPr>
              <w:t>3,508</w:t>
            </w:r>
          </w:p>
        </w:tc>
        <w:tc>
          <w:tcPr>
            <w:tcW w:type="dxa" w:w="1440"/>
            <w:shd w:fill="FFDCE0" w:val="clear"/>
          </w:tcPr>
          <w:p>
            <w:r>
              <w:rPr>
                <w:sz w:val="17"/>
              </w:rPr>
              <w:t>4,035</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2026-09-17</w:t>
            </w:r>
          </w:p>
        </w:tc>
        <w:tc>
          <w:tcPr>
            <w:tcW w:type="dxa" w:w="1440"/>
            <w:shd w:fill="FFDCE0" w:val="clear"/>
          </w:tcPr>
          <w:p>
            <w:r>
              <w:rPr>
                <w:sz w:val="17"/>
              </w:rPr>
              <w:t>2,711</w:t>
            </w:r>
          </w:p>
        </w:tc>
        <w:tc>
          <w:tcPr>
            <w:tcW w:type="dxa" w:w="1440"/>
            <w:shd w:fill="FFDCE0" w:val="clear"/>
          </w:tcPr>
          <w:p>
            <w:r>
              <w:rPr>
                <w:b/>
                <w:sz w:val="17"/>
              </w:rPr>
              <w:t>3,245</w:t>
            </w:r>
          </w:p>
        </w:tc>
        <w:tc>
          <w:tcPr>
            <w:tcW w:type="dxa" w:w="1440"/>
            <w:shd w:fill="FFDCE0" w:val="clear"/>
          </w:tcPr>
          <w:p>
            <w:r>
              <w:rPr>
                <w:sz w:val="17"/>
              </w:rPr>
              <w:t>3,779</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2026-09-18</w:t>
            </w:r>
          </w:p>
        </w:tc>
        <w:tc>
          <w:tcPr>
            <w:tcW w:type="dxa" w:w="1440"/>
            <w:shd w:fill="FFDCE0" w:val="clear"/>
          </w:tcPr>
          <w:p>
            <w:r>
              <w:rPr>
                <w:sz w:val="17"/>
              </w:rPr>
              <w:t>2,468</w:t>
            </w:r>
          </w:p>
        </w:tc>
        <w:tc>
          <w:tcPr>
            <w:tcW w:type="dxa" w:w="1440"/>
            <w:shd w:fill="FFDCE0" w:val="clear"/>
          </w:tcPr>
          <w:p>
            <w:r>
              <w:rPr>
                <w:b/>
                <w:sz w:val="17"/>
              </w:rPr>
              <w:t>3,001</w:t>
            </w:r>
          </w:p>
        </w:tc>
        <w:tc>
          <w:tcPr>
            <w:tcW w:type="dxa" w:w="1440"/>
            <w:shd w:fill="FFDCE0" w:val="clear"/>
          </w:tcPr>
          <w:p>
            <w:r>
              <w:rPr>
                <w:sz w:val="17"/>
              </w:rPr>
              <w:t>3,535</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2026-09-21</w:t>
            </w:r>
          </w:p>
        </w:tc>
        <w:tc>
          <w:tcPr>
            <w:tcW w:type="dxa" w:w="1440"/>
            <w:shd w:fill="FFDCE0" w:val="clear"/>
          </w:tcPr>
          <w:p>
            <w:r>
              <w:rPr>
                <w:sz w:val="17"/>
              </w:rPr>
              <w:t>2,249</w:t>
            </w:r>
          </w:p>
        </w:tc>
        <w:tc>
          <w:tcPr>
            <w:tcW w:type="dxa" w:w="1440"/>
            <w:shd w:fill="FFDCE0" w:val="clear"/>
          </w:tcPr>
          <w:p>
            <w:r>
              <w:rPr>
                <w:b/>
                <w:sz w:val="17"/>
              </w:rPr>
              <w:t>2,776</w:t>
            </w:r>
          </w:p>
        </w:tc>
        <w:tc>
          <w:tcPr>
            <w:tcW w:type="dxa" w:w="1440"/>
            <w:shd w:fill="FFDCE0" w:val="clear"/>
          </w:tcPr>
          <w:p>
            <w:r>
              <w:rPr>
                <w:sz w:val="17"/>
              </w:rPr>
              <w:t>3,304</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2026-09-22</w:t>
            </w:r>
          </w:p>
        </w:tc>
        <w:tc>
          <w:tcPr>
            <w:tcW w:type="dxa" w:w="1440"/>
            <w:shd w:fill="FFDCE0" w:val="clear"/>
          </w:tcPr>
          <w:p>
            <w:r>
              <w:rPr>
                <w:sz w:val="17"/>
              </w:rPr>
              <w:t>2,050</w:t>
            </w:r>
          </w:p>
        </w:tc>
        <w:tc>
          <w:tcPr>
            <w:tcW w:type="dxa" w:w="1440"/>
            <w:shd w:fill="FFDCE0" w:val="clear"/>
          </w:tcPr>
          <w:p>
            <w:r>
              <w:rPr>
                <w:b/>
                <w:sz w:val="17"/>
              </w:rPr>
              <w:t>2,568</w:t>
            </w:r>
          </w:p>
        </w:tc>
        <w:tc>
          <w:tcPr>
            <w:tcW w:type="dxa" w:w="1440"/>
            <w:shd w:fill="FFDCE0" w:val="clear"/>
          </w:tcPr>
          <w:p>
            <w:r>
              <w:rPr>
                <w:sz w:val="17"/>
              </w:rPr>
              <w:t>3,086</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2026-09-23</w:t>
            </w:r>
          </w:p>
        </w:tc>
        <w:tc>
          <w:tcPr>
            <w:tcW w:type="dxa" w:w="1440"/>
            <w:shd w:fill="FFDCE0" w:val="clear"/>
          </w:tcPr>
          <w:p>
            <w:r>
              <w:rPr>
                <w:sz w:val="17"/>
              </w:rPr>
              <w:t>1,871</w:t>
            </w:r>
          </w:p>
        </w:tc>
        <w:tc>
          <w:tcPr>
            <w:tcW w:type="dxa" w:w="1440"/>
            <w:shd w:fill="FFDCE0" w:val="clear"/>
          </w:tcPr>
          <w:p>
            <w:r>
              <w:rPr>
                <w:b/>
                <w:sz w:val="17"/>
              </w:rPr>
              <w:t>2,375</w:t>
            </w:r>
          </w:p>
        </w:tc>
        <w:tc>
          <w:tcPr>
            <w:tcW w:type="dxa" w:w="1440"/>
            <w:shd w:fill="FFDCE0" w:val="clear"/>
          </w:tcPr>
          <w:p>
            <w:r>
              <w:rPr>
                <w:sz w:val="17"/>
              </w:rPr>
              <w:t>2,880</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 📊 RAPPORT D'ANALYSE FINANCIÈRE — SAFC (ALIOS FINANCE CÔTE D'IVOIRE)</w:t>
        <w:br/>
        <w:t>### BRVM | Secteur : Banque / Financement spécialisé | 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**42,06 Mds FCFA**, SAFC se situe dans la catégorie des petites valeurs de la BRVM, ce qui la rend sensible aux mouvements de faible volume et à la spéculation. Le **BPA de 86 FCFA/action** (exercice 2025) signifie que chaque titre génère moins de 100 FCFA de bénéfice net, un niveau modeste qui, rapporté au cours actuel de 5 180 FCFA, aboutit à un **PER de 60,0x** — soit environ 5 à 7 fois la moyenne du marché BRVM (~8-12x), signalant une valorisation très exigeante qui intègre déjà une forte anticipation de croissance. Le **P/B de 7,11x** confirme cette prime : le marché paie plus de 7 fois la valeur comptable des fonds propres (5 916 M FCFA), ce qui est difficilement justifiable pour un établissement dont le ROE n'est que de 11,85%. Enfin, l'**EV/EBITDA de 78,5x** traduit une valeur d'entreprise totalement déconnectée de la capacité opérationnelle actuelle, ce qui rend le titre vulnérable à toute déception sur les résultats. En synthèse, ces ratios indiquent une **surévaluation manifeste** au regard des fondamentaux présents, tempérée uniquement par la dynamique de redressement en cours.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SAFC affiche une **variation totale de -18,23%**, avec une chute brutale de **-7,42% sur la seule dernière séance**, signe d'une pression vendeuse récente et d'un sentiment négatif marqué. Le cours actuel (5 180 FCFA) se situe dans la partie haute du range de trading établi entre **3 340 FCFA (plus bas)** et **6 335 FCFA (plus haut)**, soit un écart de près de 90% entre les extrêmes — une amplitude considérable qui témoigne d'une forte instabilité. La tendance générale est **baissière sur la période**, le titre ayant perdu près d'un cinquième de sa valeur malgré un rebond depuis les points bas. Les statistiques descriptives révèlent une **moyenne (4 627 FCFA) supérieure à la médiane (4 505 FCFA)**, écart qui indique une légère asymétrie positive avec quelques pics haussiers tirant la moyenne vers le haut. L'**écart-type de 837 FCFA (CV = 18,1%)** confirme une dispersion élevée du cours, tandis que le **kurtosis de -1,115 (distribution platykurtique)** signale une distribution aplatie avec des mouvements amples plutôt que des pics extrêmes concentrés, et le **skewness de 0,368** une asymétrie légèrement positive. Enfin, la **volatilité annualisée de 82,2%** classe ce titre dans la catégorie **très élevée (&gt;30%)**, ce qui en fait un placement à haut risque, réservé aux investisseurs avertis.</w:t>
      </w:r>
    </w:p>
    <w:p>
      <w:pPr>
        <w:spacing w:after="120" w:line="276" w:lineRule="auto"/>
      </w:pPr>
      <w:r>
        <w:t>---</w:t>
      </w:r>
    </w:p>
    <w:p>
      <w:pPr>
        <w:spacing w:after="120" w:line="276" w:lineRule="auto"/>
      </w:pPr>
      <w:r>
        <w:t>## PARTIE 2 : ANALYSE TECHNIQUE DÉTAILLÉE</w:t>
      </w:r>
    </w:p>
    <w:p>
      <w:pPr>
        <w:spacing w:after="120" w:line="276" w:lineRule="auto"/>
      </w:pPr>
      <w:r>
        <w:t>**Moyennes Mobiles** : La MM20 (5 760,25 FCFA) et la MM50 (5 112,5 FCFA) encadrent le cours actuel (5 180 FCFA), qui se situe sous sa moyenne court terme mais au-dessus de sa moyenne moyen terme. Cette configuration traduit un ralentissement de la dynamique haussière récente, mais la décision technique affichée reste **Achat**, portée par le positionnement du cours au-dessus de la MM50 qui joue le rôle de support dynamique.</w:t>
      </w:r>
    </w:p>
    <w:p>
      <w:pPr>
        <w:spacing w:after="120" w:line="276" w:lineRule="auto"/>
      </w:pPr>
      <w:r>
        <w:t>**Bandes de Bollinger** : Le cours (5 180 FCFA) évolue **sous la borne inférieure (5 240,89 FCFA)**, situation inhabituelle qui signale une pression baissière immédiate et une possible surréaction à la vente. La largeur des bandes (supérieure à 6 279,61 FCFA) reflète une volatilité élevée, et la décision affichée est paradoxalement **Achat**, suggérant une anticipation de retour à la moyenne après cette sortie par le bas.</w:t>
      </w:r>
    </w:p>
    <w:p>
      <w:pPr>
        <w:spacing w:after="120" w:line="276" w:lineRule="auto"/>
      </w:pPr>
      <w:r>
        <w:t>**MACD** : La valeur du MACD (171,72) est **inférieure à son signal (263,22)**, configuration baissière classique indiquant un momentum négatif et une perte de vitesse de la tendance haussière. La décision qui en découle est logiquement **Vente**, ce qui contredit les signaux des moyennes mobiles et des bandes de Bollinger.</w:t>
      </w:r>
    </w:p>
    <w:p>
      <w:pPr>
        <w:spacing w:after="120" w:line="276" w:lineRule="auto"/>
      </w:pPr>
      <w:r>
        <w:t>**RSI** : À **37,96**, le RSI se situe dans la zone neutre basse (30-70), sans atteindre la zone de survente (&lt;30) qui déclencherait un signal d'achat technique. La décision est **Neutre**, ce qui traduit l'absence de signal directionnel fort et une certaine indécision du marché.</w:t>
      </w:r>
    </w:p>
    <w:p>
      <w:pPr>
        <w:spacing w:after="120" w:line="276" w:lineRule="auto"/>
      </w:pPr>
      <w:r>
        <w:t>**Stochastique** : Le %K à **0,0** et le %D à **24,01** indiquent que le cours clôture à son plus bas niveau de la période de référence, configuration extrême de survente. Le croisement du %K sous le %D est baissier, mais la décision affichée est **Achat**, les analystes anticipant un rebond technique imminent depuis cette zone de survente profonde.</w:t>
      </w:r>
    </w:p>
    <w:p>
      <w:pPr>
        <w:spacing w:after="120" w:line="276" w:lineRule="auto"/>
      </w:pPr>
      <w:r>
        <w:t>**Conclusion technique** : Les indicateurs sont **divergents** — les moyennes mobiles et les bandes de Bollinger plaident pour un achat sur support, tandis que le MACD confirme une dynamique baissière et que le RSI reste neutre. Le stochastique à 0,0 constitue le signal le plus extrême, suggérant un rebond technique à court terme, mais la faiblesse du MACD invite à la prudence. La convergence partielle vers un **rebond technique** est probable, mais elle s'inscrit dans une tendance de fond encore fragile.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SAFC affiche un **Produit Net Bancaire (PNB) de 5 735 M FCFA**, en hausse spectaculaire de **+44,1%** par rapport à 2024 (3 980 M FCFA), porté par la progression des intérêts (+14,4%) et l'explosion des commissions (+81%). Le **résultat net s'établit à 701 M FCFA**, marquant un retournement historique après une perte de 165 M FCFA en 2024 et huit années consécutives de déficit. Le **ROE de 11,85%** reste inférieur au seuil d'excellence (&gt;15%), et le **ROA de 0,88%** demeure faible, reflétant la modestie des marges. En tant que banque, les indicateurs clés sont préoccupants : le **coefficient d'exploitation de 77,63%** est très supérieur au seuil de 60% (banque efficace), et le **coût du risque de 6,57%** (provisions/charges financières) reste élevé, bien qu'en amélioration. La structure financière est fragile avec une **autonomie financière de seulement 7,44%** (capitaux propres/total bilan), un **ratio d'endettement de 856%** et une **trésorerie nette négative de -35,32 Mds FCFA**, signe d'une dépendance critique aux dettes interbancaires (35,75 Mds FCFA).</w:t>
      </w:r>
    </w:p>
    <w:p>
      <w:pPr>
        <w:spacing w:after="120" w:line="276" w:lineRule="auto"/>
      </w:pPr>
      <w:r>
        <w:t>**Estimations basées sur les rapports trimestriels** : Le rapport **S1 2026 (publié en 2026)** confirme l'accélération avec un **PNB de 2 907 M FCFA (+37%)** et un **résultat net de 731 M FCFA (+231%)**, déjà supérieur au résultat annuel 2025. Le **T1 2026** affichait un résultat net de 151 M FCFA (+1 062%) et une marge nette de 10,8%. Sur cette base, on peut **estimer** que l'exercice 2026 devrait générer un résultat net compris entre **1,4 et 1,6 Md FCFA**, soit un doublement par rapport à 2025, avec un BPA estimé autour de **170-190 FCFA**. Le **ratio CET1 s'est renforcé à 11,49%** (S1 2026) contre 9,65% un an plus tôt, et le coût du risque s'est transformé en **reprise nette de 261 M FCFA**, signalant une nette amélioration de la qualité du portefeuille.</w:t>
      </w:r>
    </w:p>
    <w:p>
      <w:pPr>
        <w:spacing w:after="120" w:line="276" w:lineRule="auto"/>
      </w:pPr>
      <w:r>
        <w:t>**Recommandation fondamentale** : La dynamique de redressement est **indéniable et spectaculaire**, portée par l'intégration au groupe CREDAF et une discipline opérationnelle retrouvée. Cependant, la **fragilité structurelle persiste** : capitaux propres modestes (6,65 Mds FCFA au S1 2026), report à nouveau toujours négatif (-4 123 M FCFA en 2025), dépendance aux refinancements interbancaires et absence de dividende. Le titre reste donc une **valeur de retournement à haut risque**, dont la valorisation actuelle (PER 60x) intègre déjà une grande partie du redressement à venir.</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**décalage préoccupant entre la valorisation et les fondamentaux**. Les ratios de valorisation (PER 60x, P/B 7,11x, EV/EBITDA 78,5x) indiquent une **surévaluation manifeste** au regard des bénéfices actuels, même en intégrant le doublement attendu du résultat 2026. Le comportement du cours est **baissier sur 100 jours (-18,23%)** avec une volatilité extrême (82,2%) et une distribution platykurtique (kurtosis -1,115) qui traduit des mouvements amples et erratiques, peu propices à un investissement serein. Les signaux techniques sont **divergents** : les moyennes mobiles et les bandes de Bollinger plaident pour un rebond, mais le MACD confirme une dynamique baissière et le RSI reste neutre, créant une incertitude directionnelle. Les fondamentaux, bien qu'en **amélioration spectaculaire** (PNB +44% en 2025, résultat net +231% au S1 2026, CET1 renforcé à 11,49%), demeurent fragiles sur le plan structurel (autonomie financière 7,44%, trésorerie nette négative, absence de dividende). Enfin, les **prédictions IA** anticipent une **chute continue de 4 792 FCFA à 3 508 FCFA sur 10 jours**, soit une baisse supplémentaire de -32%, ce qui **contredit** les signaux d'achat techniques et confirme la pression baissière.</w:t>
      </w:r>
    </w:p>
    <w:p>
      <w:pPr>
        <w:spacing w:after="120" w:line="276" w:lineRule="auto"/>
      </w:pPr>
      <w:r>
        <w:t>**Recommandation finale : CONSERVER (avec vigilance accrue)**</w:t>
      </w:r>
    </w:p>
    <w:p>
      <w:pPr>
        <w:spacing w:after="120" w:line="276" w:lineRule="auto"/>
      </w:pPr>
      <w:r>
        <w:t>La convergence des signaux est **partielle et contradictoire** : la valorisation est excessive, le technique est mitigé, les fondamentaux s'améliorent mais restent fragiles, et les prédictions IA sont franchement baissières. Le titre ne justifie ni un achat (valorisation trop tendue, prédictions négatives), ni une vente (dynamique de redressement réelle, ratios prudentiels respectés). La recommandation est donc de **CONSERVER** les positions existantes, avec un **stop-loss serré** en cas de cassure du support des 3 340 FCFA. Le **niveau de confiance est Moyen** (les fondamentaux sont solides mais la valorisation et les prédictions créent une incertitude), et le **risque global est Élevé** (volatilité 82,2%, dépendance au financement interbancaire, absence de dividende). L'**horizon d'investissement optimal est le moyen/long terme (3-12 mois et au-delà)**, le temps que la société consolide ses fonds propres, confirme la durabilité de son redressement et que la valorisation se normalise. Un retour à l'achat ne serait justifié qu'en cas de correction significative du cours (sous 4 000 FCFA) ou de confirmation d'un résultat net 2026 supérieur à 1,5 Md FCFA avec un renforcement des fonds propres.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66.54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10,858 titres</w:t>
            </w:r>
          </w:p>
        </w:tc>
        <w:tc>
          <w:tcPr>
            <w:tcW w:type="dxa" w:w="2268"/>
            <w:shd w:fill="FFF2CC" w:val="clear"/>
          </w:tcPr>
          <w:p>
            <w:r>
              <w:rPr>
                <w:b/>
                <w:color w:val="503200"/>
                <w:sz w:val="16"/>
              </w:rPr>
              <w:t xml:space="preserve">Cours actuel : </w:t>
            </w:r>
            <w:r>
              <w:rPr>
                <w:color w:val="000000"/>
                <w:sz w:val="17"/>
              </w:rPr>
              <w:t>3,395 FCFA</w:t>
            </w:r>
          </w:p>
          <w:p>
            <w:r>
              <w:rPr>
                <w:b/>
                <w:color w:val="503200"/>
                <w:sz w:val="16"/>
              </w:rPr>
              <w:t xml:space="preserve">Var. 100 jours : </w:t>
            </w:r>
            <w:r>
              <w:rPr>
                <w:b/>
                <w:color w:val="007800"/>
                <w:sz w:val="17"/>
              </w:rPr>
              <w:t>+70.18%</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1,990 FCFA</w:t>
            </w:r>
          </w:p>
          <w:p>
            <w:r>
              <w:rPr>
                <w:b/>
                <w:color w:val="503200"/>
                <w:sz w:val="16"/>
              </w:rPr>
              <w:t xml:space="preserve">Volatilité ann. : </w:t>
            </w:r>
            <w:r>
              <w:rPr>
                <w:color w:val="000000"/>
                <w:sz w:val="17"/>
              </w:rPr>
              <w:t>53.7%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19.52% (Élevée) — μ=3,052 FCFA, σ=596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β=0.2357 (Défensif) — Cov=0.000009, Var(idx)=0.000036, ρ=0.042,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10,858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σ_j=3.38%/j (Modérée) — Vol. annualisée≈53.7%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2026-09-10</w:t>
            </w:r>
          </w:p>
        </w:tc>
        <w:tc>
          <w:tcPr>
            <w:tcW w:type="dxa" w:w="1440"/>
            <w:shd w:fill="FFDCE0" w:val="clear"/>
          </w:tcPr>
          <w:p>
            <w:r>
              <w:rPr>
                <w:sz w:val="17"/>
              </w:rPr>
              <w:t>3,020</w:t>
            </w:r>
          </w:p>
        </w:tc>
        <w:tc>
          <w:tcPr>
            <w:tcW w:type="dxa" w:w="1440"/>
            <w:shd w:fill="FFDCE0" w:val="clear"/>
          </w:tcPr>
          <w:p>
            <w:r>
              <w:rPr>
                <w:b/>
                <w:sz w:val="17"/>
              </w:rPr>
              <w:t>3,140</w:t>
            </w:r>
          </w:p>
        </w:tc>
        <w:tc>
          <w:tcPr>
            <w:tcW w:type="dxa" w:w="1440"/>
            <w:shd w:fill="FFDCE0" w:val="clear"/>
          </w:tcPr>
          <w:p>
            <w:r>
              <w:rPr>
                <w:sz w:val="17"/>
              </w:rPr>
              <w:t>3,261</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2026-09-11</w:t>
            </w:r>
          </w:p>
        </w:tc>
        <w:tc>
          <w:tcPr>
            <w:tcW w:type="dxa" w:w="1440"/>
            <w:shd w:fill="FFDCE0" w:val="clear"/>
          </w:tcPr>
          <w:p>
            <w:r>
              <w:rPr>
                <w:sz w:val="17"/>
              </w:rPr>
              <w:t>2,747</w:t>
            </w:r>
          </w:p>
        </w:tc>
        <w:tc>
          <w:tcPr>
            <w:tcW w:type="dxa" w:w="1440"/>
            <w:shd w:fill="FFDCE0" w:val="clear"/>
          </w:tcPr>
          <w:p>
            <w:r>
              <w:rPr>
                <w:b/>
                <w:sz w:val="17"/>
              </w:rPr>
              <w:t>2,905</w:t>
            </w:r>
          </w:p>
        </w:tc>
        <w:tc>
          <w:tcPr>
            <w:tcW w:type="dxa" w:w="1440"/>
            <w:shd w:fill="FFDCE0" w:val="clear"/>
          </w:tcPr>
          <w:p>
            <w:r>
              <w:rPr>
                <w:sz w:val="17"/>
              </w:rPr>
              <w:t>3,063</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2026-09-14</w:t>
            </w:r>
          </w:p>
        </w:tc>
        <w:tc>
          <w:tcPr>
            <w:tcW w:type="dxa" w:w="1440"/>
            <w:shd w:fill="FFDCE0" w:val="clear"/>
          </w:tcPr>
          <w:p>
            <w:r>
              <w:rPr>
                <w:sz w:val="17"/>
              </w:rPr>
              <w:t>2,508</w:t>
            </w:r>
          </w:p>
        </w:tc>
        <w:tc>
          <w:tcPr>
            <w:tcW w:type="dxa" w:w="1440"/>
            <w:shd w:fill="FFDCE0" w:val="clear"/>
          </w:tcPr>
          <w:p>
            <w:r>
              <w:rPr>
                <w:b/>
                <w:sz w:val="17"/>
              </w:rPr>
              <w:t>2,687</w:t>
            </w:r>
          </w:p>
        </w:tc>
        <w:tc>
          <w:tcPr>
            <w:tcW w:type="dxa" w:w="1440"/>
            <w:shd w:fill="FFDCE0" w:val="clear"/>
          </w:tcPr>
          <w:p>
            <w:r>
              <w:rPr>
                <w:sz w:val="17"/>
              </w:rPr>
              <w:t>2,866</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2026-09-15</w:t>
            </w:r>
          </w:p>
        </w:tc>
        <w:tc>
          <w:tcPr>
            <w:tcW w:type="dxa" w:w="1440"/>
            <w:shd w:fill="FFDCE0" w:val="clear"/>
          </w:tcPr>
          <w:p>
            <w:r>
              <w:rPr>
                <w:sz w:val="17"/>
              </w:rPr>
              <w:t>2,294</w:t>
            </w:r>
          </w:p>
        </w:tc>
        <w:tc>
          <w:tcPr>
            <w:tcW w:type="dxa" w:w="1440"/>
            <w:shd w:fill="FFDCE0" w:val="clear"/>
          </w:tcPr>
          <w:p>
            <w:r>
              <w:rPr>
                <w:b/>
                <w:sz w:val="17"/>
              </w:rPr>
              <w:t>2,485</w:t>
            </w:r>
          </w:p>
        </w:tc>
        <w:tc>
          <w:tcPr>
            <w:tcW w:type="dxa" w:w="1440"/>
            <w:shd w:fill="FFDCE0" w:val="clear"/>
          </w:tcPr>
          <w:p>
            <w:r>
              <w:rPr>
                <w:sz w:val="17"/>
              </w:rPr>
              <w:t>2,677</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2026-09-16</w:t>
            </w:r>
          </w:p>
        </w:tc>
        <w:tc>
          <w:tcPr>
            <w:tcW w:type="dxa" w:w="1440"/>
            <w:shd w:fill="FFDCE0" w:val="clear"/>
          </w:tcPr>
          <w:p>
            <w:r>
              <w:rPr>
                <w:sz w:val="17"/>
              </w:rPr>
              <w:t>2,101</w:t>
            </w:r>
          </w:p>
        </w:tc>
        <w:tc>
          <w:tcPr>
            <w:tcW w:type="dxa" w:w="1440"/>
            <w:shd w:fill="FFDCE0" w:val="clear"/>
          </w:tcPr>
          <w:p>
            <w:r>
              <w:rPr>
                <w:b/>
                <w:sz w:val="17"/>
              </w:rPr>
              <w:t>2,299</w:t>
            </w:r>
          </w:p>
        </w:tc>
        <w:tc>
          <w:tcPr>
            <w:tcW w:type="dxa" w:w="1440"/>
            <w:shd w:fill="FFDCE0" w:val="clear"/>
          </w:tcPr>
          <w:p>
            <w:r>
              <w:rPr>
                <w:sz w:val="17"/>
              </w:rPr>
              <w:t>2,497</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2026-09-17</w:t>
            </w:r>
          </w:p>
        </w:tc>
        <w:tc>
          <w:tcPr>
            <w:tcW w:type="dxa" w:w="1440"/>
            <w:shd w:fill="FFDCE0" w:val="clear"/>
          </w:tcPr>
          <w:p>
            <w:r>
              <w:rPr>
                <w:sz w:val="17"/>
              </w:rPr>
              <w:t>1,926</w:t>
            </w:r>
          </w:p>
        </w:tc>
        <w:tc>
          <w:tcPr>
            <w:tcW w:type="dxa" w:w="1440"/>
            <w:shd w:fill="FFDCE0" w:val="clear"/>
          </w:tcPr>
          <w:p>
            <w:r>
              <w:rPr>
                <w:b/>
                <w:sz w:val="17"/>
              </w:rPr>
              <w:t>2,127</w:t>
            </w:r>
          </w:p>
        </w:tc>
        <w:tc>
          <w:tcPr>
            <w:tcW w:type="dxa" w:w="1440"/>
            <w:shd w:fill="FFDCE0" w:val="clear"/>
          </w:tcPr>
          <w:p>
            <w:r>
              <w:rPr>
                <w:sz w:val="17"/>
              </w:rPr>
              <w:t>2,327</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2026-09-18</w:t>
            </w:r>
          </w:p>
        </w:tc>
        <w:tc>
          <w:tcPr>
            <w:tcW w:type="dxa" w:w="1440"/>
            <w:shd w:fill="FFDCE0" w:val="clear"/>
          </w:tcPr>
          <w:p>
            <w:r>
              <w:rPr>
                <w:sz w:val="17"/>
              </w:rPr>
              <w:t>1,767</w:t>
            </w:r>
          </w:p>
        </w:tc>
        <w:tc>
          <w:tcPr>
            <w:tcW w:type="dxa" w:w="1440"/>
            <w:shd w:fill="FFDCE0" w:val="clear"/>
          </w:tcPr>
          <w:p>
            <w:r>
              <w:rPr>
                <w:b/>
                <w:sz w:val="17"/>
              </w:rPr>
              <w:t>1,967</w:t>
            </w:r>
          </w:p>
        </w:tc>
        <w:tc>
          <w:tcPr>
            <w:tcW w:type="dxa" w:w="1440"/>
            <w:shd w:fill="FFDCE0" w:val="clear"/>
          </w:tcPr>
          <w:p>
            <w:r>
              <w:rPr>
                <w:sz w:val="17"/>
              </w:rPr>
              <w:t>2,167</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2026-09-21</w:t>
            </w:r>
          </w:p>
        </w:tc>
        <w:tc>
          <w:tcPr>
            <w:tcW w:type="dxa" w:w="1440"/>
            <w:shd w:fill="FFDCE0" w:val="clear"/>
          </w:tcPr>
          <w:p>
            <w:r>
              <w:rPr>
                <w:sz w:val="17"/>
              </w:rPr>
              <w:t>1,622</w:t>
            </w:r>
          </w:p>
        </w:tc>
        <w:tc>
          <w:tcPr>
            <w:tcW w:type="dxa" w:w="1440"/>
            <w:shd w:fill="FFDCE0" w:val="clear"/>
          </w:tcPr>
          <w:p>
            <w:r>
              <w:rPr>
                <w:b/>
                <w:sz w:val="17"/>
              </w:rPr>
              <w:t>1,820</w:t>
            </w:r>
          </w:p>
        </w:tc>
        <w:tc>
          <w:tcPr>
            <w:tcW w:type="dxa" w:w="1440"/>
            <w:shd w:fill="FFDCE0" w:val="clear"/>
          </w:tcPr>
          <w:p>
            <w:r>
              <w:rPr>
                <w:sz w:val="17"/>
              </w:rPr>
              <w:t>2,017</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2026-09-22</w:t>
            </w:r>
          </w:p>
        </w:tc>
        <w:tc>
          <w:tcPr>
            <w:tcW w:type="dxa" w:w="1440"/>
            <w:shd w:fill="FFDCE0" w:val="clear"/>
          </w:tcPr>
          <w:p>
            <w:r>
              <w:rPr>
                <w:sz w:val="17"/>
              </w:rPr>
              <w:t>1,489</w:t>
            </w:r>
          </w:p>
        </w:tc>
        <w:tc>
          <w:tcPr>
            <w:tcW w:type="dxa" w:w="1440"/>
            <w:shd w:fill="FFDCE0" w:val="clear"/>
          </w:tcPr>
          <w:p>
            <w:r>
              <w:rPr>
                <w:b/>
                <w:sz w:val="17"/>
              </w:rPr>
              <w:t>1,683</w:t>
            </w:r>
          </w:p>
        </w:tc>
        <w:tc>
          <w:tcPr>
            <w:tcW w:type="dxa" w:w="1440"/>
            <w:shd w:fill="FFDCE0" w:val="clear"/>
          </w:tcPr>
          <w:p>
            <w:r>
              <w:rPr>
                <w:sz w:val="17"/>
              </w:rPr>
              <w:t>1,877</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2026-09-23</w:t>
            </w:r>
          </w:p>
        </w:tc>
        <w:tc>
          <w:tcPr>
            <w:tcW w:type="dxa" w:w="1440"/>
            <w:shd w:fill="FFDCE0" w:val="clear"/>
          </w:tcPr>
          <w:p>
            <w:r>
              <w:rPr>
                <w:sz w:val="17"/>
              </w:rPr>
              <w:t>1,368</w:t>
            </w:r>
          </w:p>
        </w:tc>
        <w:tc>
          <w:tcPr>
            <w:tcW w:type="dxa" w:w="1440"/>
            <w:shd w:fill="FFDCE0" w:val="clear"/>
          </w:tcPr>
          <w:p>
            <w:r>
              <w:rPr>
                <w:b/>
                <w:sz w:val="17"/>
              </w:rPr>
              <w:t>1,557</w:t>
            </w:r>
          </w:p>
        </w:tc>
        <w:tc>
          <w:tcPr>
            <w:tcW w:type="dxa" w:w="1440"/>
            <w:shd w:fill="FFDCE0" w:val="clear"/>
          </w:tcPr>
          <w:p>
            <w:r>
              <w:rPr>
                <w:sz w:val="17"/>
              </w:rPr>
              <w:t>1,746</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 RAPPORT D'ANALYSE FINANCIÈRE — SCRC (SUCRIVOIRE)</w:t>
        <w:br/>
        <w:t>**Bourse Régionale des Valeurs Mobilières (BRVM) — Secteur : Agro-industrie / Sucre**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66,54 milliards FCFA, SCRC se positionne comme une valeur de taille moyenne sur la BRVM, représentant une capitalisation modeste à l'échelle régionale mais significative pour le secteur agro-industriel. Le BPA ressort à -406 FCFA/action, traduisant une société déficitaire qui détruit de la valeur par action plutôt qu'elle n'en crée. Le PER de -8,4x est négatif et donc non interprétable en termes de cherté relative — il signale simplement l'absence de bénéfices ; à titre de comparaison, le PER moyen de la BRVM se situe entre 8 et 12x, ce qui rend SCRC inéligible à toute comparaison sectorielle classique. Le P/B de 3,86x indique que le marché valorise l'action près de quatre fois sa valeur comptable, une prime de croissance qui apparaît difficilement justifiable au regard des pertes enregistrées. Enfin, l'EV/EBITDA de 10,6x situe la valeur d'entreprise dans la fourchette haute (10-15x), suggérant que le marché intègre déjà une reprise opérationnelle significative dans les cours actuels.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SCRC affiche une performance remarquable de +70,18%, mais la dernière séance (J-1) marque un repli de -3,00%, signalant un essoufflement de la dynamique haussière. Le titre a évolué dans un range très large de 1 990 FCFA (plus bas) à 3 920 FCFA (plus haut), soit une amplitude de près de 97%, ce qui témoigne d'une volatilité exceptionnelle. La tendance générale reste haussière sur la période, mais le cours actuel (3 395 FCFA) se situe désormais sous ses plus hauts, suggérant une phase de correction. Les statistiques descriptives révèlent une moyenne de 3 052 FCFA contre une médiane de 3 285 FCFA — cet écart de 233 FCFA indique une distribution asymétrique tirée vers le bas par des séances de forte baisse. L'écart-type de 599 FCFA (CV = 19,6%) confirme une dispersion élevée du cours, tandis que le kurtosis de -1,092 (distribution platykurtique) indique une faible concentration des rendements et un risque de pics moins prononcé qu'une loi normale. Le skewness de -0,593 (asymétrie négative) révèle davantage de journées au-dessus de la moyenne, mais avec des baisses plus violentes que les hausses. La volatilité annualisée de 53,7% classe le titre dans la catégorie **très élevée** (&gt;30%), ce qui est caractéristique d'une valeur spéculative à fort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(3 508,25 FCFA) et la MM50 (3 554,90 FCFA) se situent toutes deux au-dessus du cours actuel (3 395 FCFA), ce qui place le titre en position baissière à court et moyen terme. La MM20 étant légèrement sous la MM50, on observe un début de croisement baissier (death cross), confirmant la décision de **Vente**.</w:t>
      </w:r>
    </w:p>
    <w:p>
      <w:pPr>
        <w:spacing w:after="120" w:line="276" w:lineRule="auto"/>
      </w:pPr>
      <w:r>
        <w:t>**Bandes de Bollinger** : Le cours (3 395 FCFA) évolue dans la partie basse de la bande, entre la borne inférieure (3 282,575 FCFA) et la borne supérieure (3 733,925 FCFA), sans franchir les extrêmes. La largeur des bandes traduit une volatilité encore élevée, mais la position neutre du cours justifie la décision **Neutre** — ni suracheté, ni survendu.</w:t>
      </w:r>
    </w:p>
    <w:p>
      <w:pPr>
        <w:spacing w:after="120" w:line="276" w:lineRule="auto"/>
      </w:pPr>
      <w:r>
        <w:t>**MACD** : La valeur du MACD (-10,46) est inférieure à son signal (-3,906), confirmant une divergence baissière et un momentum négatif. Le croisement sous la ligne de signal valide la décision de **Vente**, avec un risque de poursuite de la correction.</w:t>
      </w:r>
    </w:p>
    <w:p>
      <w:pPr>
        <w:spacing w:after="120" w:line="276" w:lineRule="auto"/>
      </w:pPr>
      <w:r>
        <w:t>**RSI** : À 43,056, le RSI se situe dans la zone neutre (30-70), sans signal de surachat ni de survente. Cette position médiane justifie la décision **Neutre**, mais la tendance baissière du RSI depuis les sommets suggère une perte de momentum haussier.</w:t>
      </w:r>
    </w:p>
    <w:p>
      <w:pPr>
        <w:spacing w:after="120" w:line="276" w:lineRule="auto"/>
      </w:pPr>
      <w:r>
        <w:t>**Stochastique** : Le %K (16,364) est très bas et inférieur au %D (41,818), ce qui place le titre en zone de survente. Ce croisement baissier du %K sous le %D est paradoxalement interprété comme un signal d'**Achat** par les indicateurs fournis, car il suggère un potentiel rebond technique à court terme.</w:t>
      </w:r>
    </w:p>
    <w:p>
      <w:pPr>
        <w:spacing w:after="120" w:line="276" w:lineRule="auto"/>
      </w:pPr>
      <w:r>
        <w:t>**Conclusion technique** : Les indicateurs sont majoritairement baissiers (MM, MACD) ou neutres (Bollinger, RSI), avec un seul signal d'achat contradictoire (Stochastique). La convergence des signaux baissiers à moyen terme et la position du cours sous les moyennes mobiles plaident pour une poursuite de la correction, malgré un possible rebond technique à très court terme lié à la survente stochastique.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SCRC a réalisé un chiffre d'affaires de 80,569 milliards FCFA, en **baisse de 7,6%** par rapport à 2024 (87,219 milliards FCFA). Le résultat net est **déficitaire de -7,954 milliards FCFA**, contre un bénéfice de +2,474 milliards en 2024, soit une dégradation de 421%. Le ROE s'établit à **-46,13%** (contre +14,3% en 2024) et le ROA à **-5,08%**, confirmant la destruction de valeur. La marge nette est de **-9,87%** (contre +2,84% en 2024), et la marge opérationnelle de -0,68%, traduisant un résultat d'exploitation négatif de -545 millions FCFA. La structure financière est très dégradée : l'autonomie financière n'est que de **11,02%** (capitaux propres/total bilan), le ratio d'endettement atteint **88,98%**, et la trésorerie nette est négative à **-6,505 milliards FCFA**. Le BFR de 6,529 milliards FCFA est positif (défavorable), avec un délai clients de 12,28 jours (correct) mais un délai fournisseurs de 366 jours (très élevé, signe de tensions de paiement). La capacité de remboursement est de 11,21 années de CAF, ce qui est critique.</w:t>
      </w:r>
    </w:p>
    <w:p>
      <w:pPr>
        <w:spacing w:after="120" w:line="276" w:lineRule="auto"/>
      </w:pPr>
      <w:r>
        <w:t>**Adaptation au secteur ENTREPRISE** : Le BFR positif et la trésorerie nette négative confirment des tensions de liquidité majeures. Le délai fournisseurs anormalement élevé (366 jours) indique que l'entreprise finance son cycle d'exploitation par des retards de paiement, ce qui est insoutenable à long terme. La rotation des actifs (51,5%) reste faible, et la marge brute de 45,8% est correcte mais insuffisante pour couvrir des charges financières de 6,79 milliards FCFA.</w:t>
      </w:r>
    </w:p>
    <w:p>
      <w:pPr>
        <w:spacing w:after="120" w:line="276" w:lineRule="auto"/>
      </w:pPr>
      <w:r>
        <w:t>**Estimations basées sur les rapports trimestriels** : Le rapport S1 2025 (daté du 30/06/2025) faisait état d'un résultat net de -6,71 milliards FCFA et d'un chiffre d'affaires de 42,87 milliards (-5%). Le rapport T1 2025 (31/03/2025) affichait un bénéfice de 3,21 milliards FCFA, mais déjà en repli de 32%. Sur la base de ces tendances, on estime que l'exercice 2026 devrait rester sous pression, avec un chiffre d'affaires probablement stable ou en légère reprise (campagne 2025/26 attendue entre 90 000 et 95 000 tonnes de sucre, +14% à +20%), mais une rentabilité qui restera grevée par les charges financières. Les rapports officiels (avis de convocation AG du 30/04/2026) confirment un résultat net déficitaire de -6,13 milliards FCFA (SYSCOHADA) et -7,95 milliards (IFRS) pour 2025.</w:t>
      </w:r>
    </w:p>
    <w:p>
      <w:pPr>
        <w:spacing w:after="120" w:line="276" w:lineRule="auto"/>
      </w:pPr>
      <w:r>
        <w:t>**Recommandation fondamentale** : La société présente une structure financière très fragile, avec des capitaux propres en érosion (17,24 milliards FCFA), un endettement critique (84,87 milliards FCFA de dettes financières) et une rentabilité négative. Les investissements massifs (25,2 milliards FCFA) pourraient soutenir la croissance future, mais ils aggravent la situation de trésorerie à court terme. La recommandation fondamentale est **VENDRE** en raison des risques de liquidité et de solvabilité.</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révèle une divergence majeure entre la valorisation, le comportement du cours, les signaux techniques et les fondamentaux. **En termes de valorisation (Partie 0)**, le PER négatif (-8,4x) et le P/B élevé (3,86x) indiquent que le marché valorise SCRC bien au-dessus de sa valeur comptable malgré des pertes, ce qui suggère une **surévaluation** manifeste. **Le comportement du cours (Partie 1)** montre une hausse spectaculaire de +70,18% sur 100 jours, mais avec une volatilité très élevée (53,7%) et une asymétrie négative (skewness -0,593) qui préfigure des corrections violentes — le repli de -3,00% en J-1 en est le prémice. **Les signaux techniques (Partie 2)** sont majoritairement baissiers : le cours est sous ses MM20 et MM50, le MACD est en divergence baissière, et seul le stochastique suggère un rebond technique éphémère. **Les fondamentaux (Partie 3)** sont alarmants : perte nette de -7,95 milliards FCFA en 2025, ROE de -46,13%, endettement critique (88,98%), trésorerie nette négative (-6,5 milliards FCFA) et capacité de remboursement de 11,21 ans. **Les prédictions IA (J+1 à J+10)** confirment cette trajectoire baissière, avec une chute attendue de 3 140 FCFA à 2 299 FCFA en 10 jours, soit une baisse supplémentaire de -32% — ce qui valide les signaux techniques et fondamentaux.</w:t>
      </w:r>
    </w:p>
    <w:p>
      <w:pPr>
        <w:spacing w:after="120" w:line="276" w:lineRule="auto"/>
      </w:pPr>
      <w:r>
        <w:t>**Recommandation finale : VENTE FORTE**</w:t>
        <w:br/>
        <w:t>La convergence est totale entre la surévaluation boursière, les signaux techniques baissiers, les fondamentaux dégradés et les prédictions IA à la baisse. Le niveau de confiance est **Élevé** car tous les indicateurs pointent dans la même direction. Le niveau de risque global est **Élevé** en raison de la volatilité extrême (53,7%), de l'endettement critique et des tensions de liquidité. L'horizon d'investissement optimal est **court terme (&lt;3 mois)** pour les investisseurs cherchant à se positionner à la vente, ou **moyen terme (3-12 mois)** pour ceux qui attendent une stabilisation des fondamentaux avant tout achat éventuel. En l'état actuel, aucun signal d'achat n'est justifié, et la prudence commande de rester à l'écart du titre.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121.50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1,234 titres</w:t>
            </w:r>
          </w:p>
        </w:tc>
        <w:tc>
          <w:tcPr>
            <w:tcW w:type="dxa" w:w="2268"/>
            <w:shd w:fill="FFF2CC" w:val="clear"/>
          </w:tcPr>
          <w:p>
            <w:r>
              <w:rPr>
                <w:b/>
                <w:color w:val="503200"/>
                <w:sz w:val="16"/>
              </w:rPr>
              <w:t xml:space="preserve">Cours actuel : </w:t>
            </w:r>
            <w:r>
              <w:rPr>
                <w:color w:val="000000"/>
                <w:sz w:val="17"/>
              </w:rPr>
              <w:t>13,500 FCFA</w:t>
            </w:r>
          </w:p>
          <w:p>
            <w:r>
              <w:rPr>
                <w:b/>
                <w:color w:val="503200"/>
                <w:sz w:val="16"/>
              </w:rPr>
              <w:t xml:space="preserve">Var. 100 jours : </w:t>
            </w:r>
            <w:r>
              <w:rPr>
                <w:b/>
                <w:color w:val="007800"/>
                <w:sz w:val="17"/>
              </w:rPr>
              <w:t>+88.81%</w:t>
            </w:r>
          </w:p>
          <w:p>
            <w:r>
              <w:rPr>
                <w:b/>
                <w:color w:val="503200"/>
                <w:sz w:val="16"/>
              </w:rPr>
              <w:t xml:space="preserve">Plus haut 100j : </w:t>
            </w:r>
            <w:r>
              <w:rPr>
                <w:color w:val="000000"/>
                <w:sz w:val="17"/>
              </w:rPr>
              <w:t>13,710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36.6%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14.79% (Moyenne) — μ=11,151 FCFA, σ=1,650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β=0.0687 (Défensif) — Cov=0.000003, Var(idx)=0.000036, ρ=0.018,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1,234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2026-09-10</w:t>
            </w:r>
          </w:p>
        </w:tc>
        <w:tc>
          <w:tcPr>
            <w:tcW w:type="dxa" w:w="1440"/>
            <w:shd w:fill="FFDCE0" w:val="clear"/>
          </w:tcPr>
          <w:p>
            <w:r>
              <w:rPr>
                <w:sz w:val="17"/>
              </w:rPr>
              <w:t>12,515</w:t>
            </w:r>
          </w:p>
        </w:tc>
        <w:tc>
          <w:tcPr>
            <w:tcW w:type="dxa" w:w="1440"/>
            <w:shd w:fill="FFDCE0" w:val="clear"/>
          </w:tcPr>
          <w:p>
            <w:r>
              <w:rPr>
                <w:b/>
                <w:sz w:val="17"/>
              </w:rPr>
              <w:t>12,928</w:t>
            </w:r>
          </w:p>
        </w:tc>
        <w:tc>
          <w:tcPr>
            <w:tcW w:type="dxa" w:w="1440"/>
            <w:shd w:fill="FFDCE0" w:val="clear"/>
          </w:tcPr>
          <w:p>
            <w:r>
              <w:rPr>
                <w:sz w:val="17"/>
              </w:rPr>
              <w:t>13,342</w:t>
            </w:r>
          </w:p>
        </w:tc>
        <w:tc>
          <w:tcPr>
            <w:tcW w:type="dxa" w:w="1440"/>
            <w:shd w:fill="FFDCE0" w:val="clear"/>
          </w:tcPr>
          <w:p>
            <w:r>
              <w:rPr>
                <w:b/>
                <w:color w:val="C00000"/>
                <w:sz w:val="17"/>
              </w:rPr>
              <w:t>-4.2%</w:t>
            </w:r>
          </w:p>
        </w:tc>
      </w:tr>
      <w:tr>
        <w:tc>
          <w:tcPr>
            <w:tcW w:type="dxa" w:w="1440"/>
            <w:shd w:fill="FFDCE0" w:val="clear"/>
          </w:tcPr>
          <w:p>
            <w:r>
              <w:rPr>
                <w:sz w:val="17"/>
              </w:rPr>
              <w:t>J+2  Moyenne</w:t>
            </w:r>
          </w:p>
        </w:tc>
        <w:tc>
          <w:tcPr>
            <w:tcW w:type="dxa" w:w="1440"/>
            <w:shd w:fill="FFDCE0" w:val="clear"/>
          </w:tcPr>
          <w:p>
            <w:r>
              <w:rPr>
                <w:sz w:val="17"/>
              </w:rPr>
              <w:t>2026-09-11</w:t>
            </w:r>
          </w:p>
        </w:tc>
        <w:tc>
          <w:tcPr>
            <w:tcW w:type="dxa" w:w="1440"/>
            <w:shd w:fill="FFDCE0" w:val="clear"/>
          </w:tcPr>
          <w:p>
            <w:r>
              <w:rPr>
                <w:sz w:val="17"/>
              </w:rPr>
              <w:t>12,115</w:t>
            </w:r>
          </w:p>
        </w:tc>
        <w:tc>
          <w:tcPr>
            <w:tcW w:type="dxa" w:w="1440"/>
            <w:shd w:fill="FFDCE0" w:val="clear"/>
          </w:tcPr>
          <w:p>
            <w:r>
              <w:rPr>
                <w:b/>
                <w:sz w:val="17"/>
              </w:rPr>
              <w:t>12,690</w:t>
            </w:r>
          </w:p>
        </w:tc>
        <w:tc>
          <w:tcPr>
            <w:tcW w:type="dxa" w:w="1440"/>
            <w:shd w:fill="FFDCE0" w:val="clear"/>
          </w:tcPr>
          <w:p>
            <w:r>
              <w:rPr>
                <w:sz w:val="17"/>
              </w:rPr>
              <w:t>13,264</w:t>
            </w:r>
          </w:p>
        </w:tc>
        <w:tc>
          <w:tcPr>
            <w:tcW w:type="dxa" w:w="1440"/>
            <w:shd w:fill="FFDCE0" w:val="clear"/>
          </w:tcPr>
          <w:p>
            <w:r>
              <w:rPr>
                <w:b/>
                <w:color w:val="C00000"/>
                <w:sz w:val="17"/>
              </w:rPr>
              <w:t>-6.0%</w:t>
            </w:r>
          </w:p>
        </w:tc>
      </w:tr>
      <w:tr>
        <w:tc>
          <w:tcPr>
            <w:tcW w:type="dxa" w:w="1440"/>
            <w:shd w:fill="FFDCE0" w:val="clear"/>
          </w:tcPr>
          <w:p>
            <w:r>
              <w:rPr>
                <w:sz w:val="17"/>
              </w:rPr>
              <w:t>J+3  ⭐</w:t>
            </w:r>
          </w:p>
        </w:tc>
        <w:tc>
          <w:tcPr>
            <w:tcW w:type="dxa" w:w="1440"/>
            <w:shd w:fill="FFDCE0" w:val="clear"/>
          </w:tcPr>
          <w:p>
            <w:r>
              <w:rPr>
                <w:sz w:val="17"/>
              </w:rPr>
              <w:t>2026-09-14</w:t>
            </w:r>
          </w:p>
        </w:tc>
        <w:tc>
          <w:tcPr>
            <w:tcW w:type="dxa" w:w="1440"/>
            <w:shd w:fill="FFDCE0" w:val="clear"/>
          </w:tcPr>
          <w:p>
            <w:r>
              <w:rPr>
                <w:sz w:val="17"/>
              </w:rPr>
              <w:t>11,786</w:t>
            </w:r>
          </w:p>
        </w:tc>
        <w:tc>
          <w:tcPr>
            <w:tcW w:type="dxa" w:w="1440"/>
            <w:shd w:fill="FFDCE0" w:val="clear"/>
          </w:tcPr>
          <w:p>
            <w:r>
              <w:rPr>
                <w:b/>
                <w:sz w:val="17"/>
              </w:rPr>
              <w:t>12,478</w:t>
            </w:r>
          </w:p>
        </w:tc>
        <w:tc>
          <w:tcPr>
            <w:tcW w:type="dxa" w:w="1440"/>
            <w:shd w:fill="FFDCE0" w:val="clear"/>
          </w:tcPr>
          <w:p>
            <w:r>
              <w:rPr>
                <w:sz w:val="17"/>
              </w:rPr>
              <w:t>13,169</w:t>
            </w:r>
          </w:p>
        </w:tc>
        <w:tc>
          <w:tcPr>
            <w:tcW w:type="dxa" w:w="1440"/>
            <w:shd w:fill="FFDCE0" w:val="clear"/>
          </w:tcPr>
          <w:p>
            <w:r>
              <w:rPr>
                <w:b/>
                <w:color w:val="C00000"/>
                <w:sz w:val="17"/>
              </w:rPr>
              <w:t>-7.6%</w:t>
            </w:r>
          </w:p>
        </w:tc>
      </w:tr>
      <w:tr>
        <w:tc>
          <w:tcPr>
            <w:tcW w:type="dxa" w:w="1440"/>
            <w:shd w:fill="FFDCE0" w:val="clear"/>
          </w:tcPr>
          <w:p>
            <w:r>
              <w:rPr>
                <w:sz w:val="17"/>
              </w:rPr>
              <w:t>J+4  ⭐</w:t>
            </w:r>
          </w:p>
        </w:tc>
        <w:tc>
          <w:tcPr>
            <w:tcW w:type="dxa" w:w="1440"/>
            <w:shd w:fill="FFDCE0" w:val="clear"/>
          </w:tcPr>
          <w:p>
            <w:r>
              <w:rPr>
                <w:sz w:val="17"/>
              </w:rPr>
              <w:t>2026-09-15</w:t>
            </w:r>
          </w:p>
        </w:tc>
        <w:tc>
          <w:tcPr>
            <w:tcW w:type="dxa" w:w="1440"/>
            <w:shd w:fill="FFDCE0" w:val="clear"/>
          </w:tcPr>
          <w:p>
            <w:r>
              <w:rPr>
                <w:sz w:val="17"/>
              </w:rPr>
              <w:t>11,503</w:t>
            </w:r>
          </w:p>
        </w:tc>
        <w:tc>
          <w:tcPr>
            <w:tcW w:type="dxa" w:w="1440"/>
            <w:shd w:fill="FFDCE0" w:val="clear"/>
          </w:tcPr>
          <w:p>
            <w:r>
              <w:rPr>
                <w:b/>
                <w:sz w:val="17"/>
              </w:rPr>
              <w:t>12,289</w:t>
            </w:r>
          </w:p>
        </w:tc>
        <w:tc>
          <w:tcPr>
            <w:tcW w:type="dxa" w:w="1440"/>
            <w:shd w:fill="FFDCE0" w:val="clear"/>
          </w:tcPr>
          <w:p>
            <w:r>
              <w:rPr>
                <w:sz w:val="17"/>
              </w:rPr>
              <w:t>13,076</w:t>
            </w:r>
          </w:p>
        </w:tc>
        <w:tc>
          <w:tcPr>
            <w:tcW w:type="dxa" w:w="1440"/>
            <w:shd w:fill="FFDCE0" w:val="clear"/>
          </w:tcPr>
          <w:p>
            <w:r>
              <w:rPr>
                <w:b/>
                <w:color w:val="C00000"/>
                <w:sz w:val="17"/>
              </w:rPr>
              <w:t>-9.0%</w:t>
            </w:r>
          </w:p>
        </w:tc>
      </w:tr>
      <w:tr>
        <w:tc>
          <w:tcPr>
            <w:tcW w:type="dxa" w:w="1440"/>
            <w:shd w:fill="FFDCE0" w:val="clear"/>
          </w:tcPr>
          <w:p>
            <w:r>
              <w:rPr>
                <w:sz w:val="17"/>
              </w:rPr>
              <w:t>J+5  ⭐</w:t>
            </w:r>
          </w:p>
        </w:tc>
        <w:tc>
          <w:tcPr>
            <w:tcW w:type="dxa" w:w="1440"/>
            <w:shd w:fill="FFDCE0" w:val="clear"/>
          </w:tcPr>
          <w:p>
            <w:r>
              <w:rPr>
                <w:sz w:val="17"/>
              </w:rPr>
              <w:t>2026-09-16</w:t>
            </w:r>
          </w:p>
        </w:tc>
        <w:tc>
          <w:tcPr>
            <w:tcW w:type="dxa" w:w="1440"/>
            <w:shd w:fill="FFDCE0" w:val="clear"/>
          </w:tcPr>
          <w:p>
            <w:r>
              <w:rPr>
                <w:sz w:val="17"/>
              </w:rPr>
              <w:t>11,254</w:t>
            </w:r>
          </w:p>
        </w:tc>
        <w:tc>
          <w:tcPr>
            <w:tcW w:type="dxa" w:w="1440"/>
            <w:shd w:fill="FFDCE0" w:val="clear"/>
          </w:tcPr>
          <w:p>
            <w:r>
              <w:rPr>
                <w:b/>
                <w:sz w:val="17"/>
              </w:rPr>
              <w:t>12,121</w:t>
            </w:r>
          </w:p>
        </w:tc>
        <w:tc>
          <w:tcPr>
            <w:tcW w:type="dxa" w:w="1440"/>
            <w:shd w:fill="FFDCE0" w:val="clear"/>
          </w:tcPr>
          <w:p>
            <w:r>
              <w:rPr>
                <w:sz w:val="17"/>
              </w:rPr>
              <w:t>12,988</w:t>
            </w:r>
          </w:p>
        </w:tc>
        <w:tc>
          <w:tcPr>
            <w:tcW w:type="dxa" w:w="1440"/>
            <w:shd w:fill="FFDCE0" w:val="clear"/>
          </w:tcPr>
          <w:p>
            <w:r>
              <w:rPr>
                <w:b/>
                <w:color w:val="C00000"/>
                <w:sz w:val="17"/>
              </w:rPr>
              <w:t>-10.2%</w:t>
            </w:r>
          </w:p>
        </w:tc>
      </w:tr>
      <w:tr>
        <w:tc>
          <w:tcPr>
            <w:tcW w:type="dxa" w:w="1440"/>
            <w:shd w:fill="FFDCE0" w:val="clear"/>
          </w:tcPr>
          <w:p>
            <w:r>
              <w:rPr>
                <w:sz w:val="17"/>
              </w:rPr>
              <w:t>J+6  ⭐</w:t>
            </w:r>
          </w:p>
        </w:tc>
        <w:tc>
          <w:tcPr>
            <w:tcW w:type="dxa" w:w="1440"/>
            <w:shd w:fill="FFDCE0" w:val="clear"/>
          </w:tcPr>
          <w:p>
            <w:r>
              <w:rPr>
                <w:sz w:val="17"/>
              </w:rPr>
              <w:t>2026-09-17</w:t>
            </w:r>
          </w:p>
        </w:tc>
        <w:tc>
          <w:tcPr>
            <w:tcW w:type="dxa" w:w="1440"/>
            <w:shd w:fill="FFDCE0" w:val="clear"/>
          </w:tcPr>
          <w:p>
            <w:r>
              <w:rPr>
                <w:sz w:val="17"/>
              </w:rPr>
              <w:t>11,032</w:t>
            </w:r>
          </w:p>
        </w:tc>
        <w:tc>
          <w:tcPr>
            <w:tcW w:type="dxa" w:w="1440"/>
            <w:shd w:fill="FFDCE0" w:val="clear"/>
          </w:tcPr>
          <w:p>
            <w:r>
              <w:rPr>
                <w:b/>
                <w:sz w:val="17"/>
              </w:rPr>
              <w:t>11,970</w:t>
            </w:r>
          </w:p>
        </w:tc>
        <w:tc>
          <w:tcPr>
            <w:tcW w:type="dxa" w:w="1440"/>
            <w:shd w:fill="FFDCE0" w:val="clear"/>
          </w:tcPr>
          <w:p>
            <w:r>
              <w:rPr>
                <w:sz w:val="17"/>
              </w:rPr>
              <w:t>12,908</w:t>
            </w:r>
          </w:p>
        </w:tc>
        <w:tc>
          <w:tcPr>
            <w:tcW w:type="dxa" w:w="1440"/>
            <w:shd w:fill="FFDCE0" w:val="clear"/>
          </w:tcPr>
          <w:p>
            <w:r>
              <w:rPr>
                <w:b/>
                <w:color w:val="C00000"/>
                <w:sz w:val="17"/>
              </w:rPr>
              <w:t>-11.3%</w:t>
            </w:r>
          </w:p>
        </w:tc>
      </w:tr>
      <w:tr>
        <w:tc>
          <w:tcPr>
            <w:tcW w:type="dxa" w:w="1440"/>
            <w:shd w:fill="FFDCE0" w:val="clear"/>
          </w:tcPr>
          <w:p>
            <w:r>
              <w:rPr>
                <w:sz w:val="17"/>
              </w:rPr>
              <w:t>J+7  ⭐</w:t>
            </w:r>
          </w:p>
        </w:tc>
        <w:tc>
          <w:tcPr>
            <w:tcW w:type="dxa" w:w="1440"/>
            <w:shd w:fill="FFDCE0" w:val="clear"/>
          </w:tcPr>
          <w:p>
            <w:r>
              <w:rPr>
                <w:sz w:val="17"/>
              </w:rPr>
              <w:t>2026-09-18</w:t>
            </w:r>
          </w:p>
        </w:tc>
        <w:tc>
          <w:tcPr>
            <w:tcW w:type="dxa" w:w="1440"/>
            <w:shd w:fill="FFDCE0" w:val="clear"/>
          </w:tcPr>
          <w:p>
            <w:r>
              <w:rPr>
                <w:sz w:val="17"/>
              </w:rPr>
              <w:t>10,830</w:t>
            </w:r>
          </w:p>
        </w:tc>
        <w:tc>
          <w:tcPr>
            <w:tcW w:type="dxa" w:w="1440"/>
            <w:shd w:fill="FFDCE0" w:val="clear"/>
          </w:tcPr>
          <w:p>
            <w:r>
              <w:rPr>
                <w:b/>
                <w:sz w:val="17"/>
              </w:rPr>
              <w:t>11,832</w:t>
            </w:r>
          </w:p>
        </w:tc>
        <w:tc>
          <w:tcPr>
            <w:tcW w:type="dxa" w:w="1440"/>
            <w:shd w:fill="FFDCE0" w:val="clear"/>
          </w:tcPr>
          <w:p>
            <w:r>
              <w:rPr>
                <w:sz w:val="17"/>
              </w:rPr>
              <w:t>12,833</w:t>
            </w:r>
          </w:p>
        </w:tc>
        <w:tc>
          <w:tcPr>
            <w:tcW w:type="dxa" w:w="1440"/>
            <w:shd w:fill="FFDCE0" w:val="clear"/>
          </w:tcPr>
          <w:p>
            <w:r>
              <w:rPr>
                <w:b/>
                <w:color w:val="C00000"/>
                <w:sz w:val="17"/>
              </w:rPr>
              <w:t>-12.4%</w:t>
            </w:r>
          </w:p>
        </w:tc>
      </w:tr>
      <w:tr>
        <w:tc>
          <w:tcPr>
            <w:tcW w:type="dxa" w:w="1440"/>
            <w:shd w:fill="FFDCE0" w:val="clear"/>
          </w:tcPr>
          <w:p>
            <w:r>
              <w:rPr>
                <w:sz w:val="17"/>
              </w:rPr>
              <w:t>J+8  ⭐</w:t>
            </w:r>
          </w:p>
        </w:tc>
        <w:tc>
          <w:tcPr>
            <w:tcW w:type="dxa" w:w="1440"/>
            <w:shd w:fill="FFDCE0" w:val="clear"/>
          </w:tcPr>
          <w:p>
            <w:r>
              <w:rPr>
                <w:sz w:val="17"/>
              </w:rPr>
              <w:t>2026-09-21</w:t>
            </w:r>
          </w:p>
        </w:tc>
        <w:tc>
          <w:tcPr>
            <w:tcW w:type="dxa" w:w="1440"/>
            <w:shd w:fill="FFDCE0" w:val="clear"/>
          </w:tcPr>
          <w:p>
            <w:r>
              <w:rPr>
                <w:sz w:val="17"/>
              </w:rPr>
              <w:t>10,645</w:t>
            </w:r>
          </w:p>
        </w:tc>
        <w:tc>
          <w:tcPr>
            <w:tcW w:type="dxa" w:w="1440"/>
            <w:shd w:fill="FFDCE0" w:val="clear"/>
          </w:tcPr>
          <w:p>
            <w:r>
              <w:rPr>
                <w:b/>
                <w:sz w:val="17"/>
              </w:rPr>
              <w:t>11,704</w:t>
            </w:r>
          </w:p>
        </w:tc>
        <w:tc>
          <w:tcPr>
            <w:tcW w:type="dxa" w:w="1440"/>
            <w:shd w:fill="FFDCE0" w:val="clear"/>
          </w:tcPr>
          <w:p>
            <w:r>
              <w:rPr>
                <w:sz w:val="17"/>
              </w:rPr>
              <w:t>12,764</w:t>
            </w:r>
          </w:p>
        </w:tc>
        <w:tc>
          <w:tcPr>
            <w:tcW w:type="dxa" w:w="1440"/>
            <w:shd w:fill="FFDCE0" w:val="clear"/>
          </w:tcPr>
          <w:p>
            <w:r>
              <w:rPr>
                <w:b/>
                <w:color w:val="C00000"/>
                <w:sz w:val="17"/>
              </w:rPr>
              <w:t>-13.3%</w:t>
            </w:r>
          </w:p>
        </w:tc>
      </w:tr>
      <w:tr>
        <w:tc>
          <w:tcPr>
            <w:tcW w:type="dxa" w:w="1440"/>
            <w:shd w:fill="FFDCE0" w:val="clear"/>
          </w:tcPr>
          <w:p>
            <w:r>
              <w:rPr>
                <w:sz w:val="17"/>
              </w:rPr>
              <w:t>J+9  ⭐</w:t>
            </w:r>
          </w:p>
        </w:tc>
        <w:tc>
          <w:tcPr>
            <w:tcW w:type="dxa" w:w="1440"/>
            <w:shd w:fill="FFDCE0" w:val="clear"/>
          </w:tcPr>
          <w:p>
            <w:r>
              <w:rPr>
                <w:sz w:val="17"/>
              </w:rPr>
              <w:t>2026-09-22</w:t>
            </w:r>
          </w:p>
        </w:tc>
        <w:tc>
          <w:tcPr>
            <w:tcW w:type="dxa" w:w="1440"/>
            <w:shd w:fill="FFDCE0" w:val="clear"/>
          </w:tcPr>
          <w:p>
            <w:r>
              <w:rPr>
                <w:sz w:val="17"/>
              </w:rPr>
              <w:t>10,475</w:t>
            </w:r>
          </w:p>
        </w:tc>
        <w:tc>
          <w:tcPr>
            <w:tcW w:type="dxa" w:w="1440"/>
            <w:shd w:fill="FFDCE0" w:val="clear"/>
          </w:tcPr>
          <w:p>
            <w:r>
              <w:rPr>
                <w:b/>
                <w:sz w:val="17"/>
              </w:rPr>
              <w:t>11,587</w:t>
            </w:r>
          </w:p>
        </w:tc>
        <w:tc>
          <w:tcPr>
            <w:tcW w:type="dxa" w:w="1440"/>
            <w:shd w:fill="FFDCE0" w:val="clear"/>
          </w:tcPr>
          <w:p>
            <w:r>
              <w:rPr>
                <w:sz w:val="17"/>
              </w:rPr>
              <w:t>12,700</w:t>
            </w:r>
          </w:p>
        </w:tc>
        <w:tc>
          <w:tcPr>
            <w:tcW w:type="dxa" w:w="1440"/>
            <w:shd w:fill="FFDCE0" w:val="clear"/>
          </w:tcPr>
          <w:p>
            <w:r>
              <w:rPr>
                <w:b/>
                <w:color w:val="C00000"/>
                <w:sz w:val="17"/>
              </w:rPr>
              <w:t>-14.2%</w:t>
            </w:r>
          </w:p>
        </w:tc>
      </w:tr>
      <w:tr>
        <w:tc>
          <w:tcPr>
            <w:tcW w:type="dxa" w:w="1440"/>
            <w:shd w:fill="FFDCE0" w:val="clear"/>
          </w:tcPr>
          <w:p>
            <w:r>
              <w:rPr>
                <w:sz w:val="17"/>
              </w:rPr>
              <w:t>J+10  ⭐</w:t>
            </w:r>
          </w:p>
        </w:tc>
        <w:tc>
          <w:tcPr>
            <w:tcW w:type="dxa" w:w="1440"/>
            <w:shd w:fill="FFDCE0" w:val="clear"/>
          </w:tcPr>
          <w:p>
            <w:r>
              <w:rPr>
                <w:sz w:val="17"/>
              </w:rPr>
              <w:t>2026-09-23</w:t>
            </w:r>
          </w:p>
        </w:tc>
        <w:tc>
          <w:tcPr>
            <w:tcW w:type="dxa" w:w="1440"/>
            <w:shd w:fill="FFDCE0" w:val="clear"/>
          </w:tcPr>
          <w:p>
            <w:r>
              <w:rPr>
                <w:sz w:val="17"/>
              </w:rPr>
              <w:t>10,319</w:t>
            </w:r>
          </w:p>
        </w:tc>
        <w:tc>
          <w:tcPr>
            <w:tcW w:type="dxa" w:w="1440"/>
            <w:shd w:fill="FFDCE0" w:val="clear"/>
          </w:tcPr>
          <w:p>
            <w:r>
              <w:rPr>
                <w:b/>
                <w:sz w:val="17"/>
              </w:rPr>
              <w:t>11,481</w:t>
            </w:r>
          </w:p>
        </w:tc>
        <w:tc>
          <w:tcPr>
            <w:tcW w:type="dxa" w:w="1440"/>
            <w:shd w:fill="FFDCE0" w:val="clear"/>
          </w:tcPr>
          <w:p>
            <w:r>
              <w:rPr>
                <w:sz w:val="17"/>
              </w:rPr>
              <w:t>12,642</w:t>
            </w:r>
          </w:p>
        </w:tc>
        <w:tc>
          <w:tcPr>
            <w:tcW w:type="dxa" w:w="1440"/>
            <w:shd w:fill="FFDCE0" w:val="clear"/>
          </w:tcPr>
          <w:p>
            <w:r>
              <w:rPr>
                <w:b/>
                <w:color w:val="C00000"/>
                <w:sz w:val="17"/>
              </w:rPr>
              <w:t>-15.0%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*Bourse Régionale des Valeurs Mobilières (BRVM) — Secteur : Services publics / Distribution d'eau*</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121,50 milliards FCFA, SDCC se positionne parmi les valeurs de taille intermédiaire à supérieure du compartiment industriel de la BRVM, ce qui traduit une certaine maturité boursière pour un opérateur de service public essentiel. Le BPA de 518 FCFA/action indique que chaque titre génère un bénéfice net de 518 FCFA, ce qui, rapporté au cours actuel de 13 500 FCFA, donne un PER de 26,1x — nettement supérieur à la moyenne du marché BRVM (8-12x), signalant que les investisseurs paient une prime de croissance ou de qualité très marquée. Le ratio P/B de 6,16x confirme cette valorisation exigeante : le marché valorise SDCC à plus de six fois sa valeur comptable, ce qui est élevé pour une entreprise de réseau à forte intensité capitalistique. Enfin, l'EV/EBITDA de 15,1x, supérieur au seuil de 15x, traduit une valorisation tendue par rapport à la capacité opérationnelle de génération de cash, ce qui invite à la prudence quant à la soutenabilité de ces multiples.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SDCC a enregistré une progression spectaculaire de +88,81%, passant d'un plus bas de 7 140 FCFA à un plus haut de 13 710 FCFA, pour un cours actuel de 13 500 FCFA, en léger repli de -1,46% sur la dernière séance. Cette tendance nettement haussière s'inscrit dans un contexte de forte appétence pour les valeurs défensives du secteur de l'eau, mais le repli récent pourrait marquer une prise de bénéfices après un rallye exceptionnel. Les statistiques descriptives révèlent une moyenne de 11 151 FCFA contre une médiane de 11 898 FCFA : cet écart signifie que la distribution des cours est asymétrique, avec davantage de séances passées au-dessus de la moyenne (cohérent avec le skewness négatif de -1,209), indiquant que le rallye a été concentré sur la seconde moitié de la période. L'écart-type de 1 658 FCFA (CV = 14,9%) traduit une dispersion modérée du cours autour de sa moyenne, tandis que le kurtosis de 0,616 (mésokurtique) suggère une distribution proche de la normale, sans risque majeur de pics extrêmes. La volatilité annualisée de 36,6% positionne le titre dans la catégorie des valeurs à volatilité élevée (&gt;30%), ce qui implique un risque de correction significatif après une telle performance.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12 588,25 FCFA et la MM50 à 12 119,60 FCFA, toutes deux inférieures au cours actuel de 13 500 FCFA. Cette configuration haussière (cours &gt; MM20 &gt; MM50) confirme la dynamique positive de court et moyen terme, justifiant la décision d'achat. Toutefois, l'écart important entre le cours et la MM20 (+7,2%) suggère un risque de retour à la moyenne.</w:t>
      </w:r>
    </w:p>
    <w:p>
      <w:pPr>
        <w:spacing w:after="120" w:line="276" w:lineRule="auto"/>
      </w:pPr>
      <w:r>
        <w:t>**Bandes de Bollinger** : La borne supérieure est à 14 051,54 FCFA et la borne inférieure à 11 124,96 FCFA, avec un cours actuel de 13 500 FCFA qui se situe dans la partie haute du canal. La décision est neutre car le cours n'a pas franchi la borne supérieure, mais sa proximité indique une pression acheteuse qui s'essouffle, avec un risque de correction vers la moyenne mobile.</w:t>
      </w:r>
    </w:p>
    <w:p>
      <w:pPr>
        <w:spacing w:after="120" w:line="276" w:lineRule="auto"/>
      </w:pPr>
      <w:r>
        <w:t>**MACD** : La valeur du MACD (464,42) est supérieure à son signal (350,39), confirmant un momentum haussier toujours en place. La décision d'achat est justifiée par cette divergence positive, mais l'écart entre les deux lignes tend à se réduire, ce qui pourrait annoncer un prochain croisement baissier.</w:t>
      </w:r>
    </w:p>
    <w:p>
      <w:pPr>
        <w:spacing w:after="120" w:line="276" w:lineRule="auto"/>
      </w:pPr>
      <w:r>
        <w:t>**RSI** : À 75,33, le RSI est en zone de surachat (&gt;70), ce qui justifie la décision de vente. Cette configuration indique que le titre a été acheté de manière excessive et qu'une correction ou consolidation est probable à court terme, d'autant plus après une hausse de près de 90% en 100 jours.</w:t>
      </w:r>
    </w:p>
    <w:p>
      <w:pPr>
        <w:spacing w:after="120" w:line="276" w:lineRule="auto"/>
      </w:pPr>
      <w:r>
        <w:t>**Stochastique** : Le %K (87,72) et le %D (95,71) sont tous deux en zone de surachat extrême, avec un %D supérieur au %K, ce qui constitue un signal de vente par croisement baissier. La décision de vente est cohérente avec la configuration de surachat généralisée.</w:t>
      </w:r>
    </w:p>
    <w:p>
      <w:pPr>
        <w:spacing w:after="120" w:line="276" w:lineRule="auto"/>
      </w:pPr>
      <w:r>
        <w:t>**Conclusion technique** : Les indicateurs présentent une divergence préoccupante : les moyennes mobiles et le MACD restent haussiers, mais le RSI et le stochastique signalent un surachat extrême, tandis que les bandes de Bollinger indiquent une proximité de la borne supérieure. Cette configuration suggère que la tendance haussière arrive à maturité et qu'une consolidation, voire une correction, est probable à court terme. La prudence est de mise avant tout nouvel achat.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annuels de SDCC affichent un chiffre d'affaires de 189,430 milliards FCFA, en croissance de 9,98% par rapport à 2024, porté par la hausse des volumes d'eau facturés et l'élargissement du portefeuille clients (2,27 millions de clients, +6,14%). Le résultat net s'établit à 4,663 milliards FCFA, en progression de 31% selon le rapport annuel 2025, avec une marge nette de 2,46% et un ROE de 23,65% — un niveau excellent (&gt;15%) qui témoigne d'une forte rentabilité des fonds propres, bien que le ROA reste faible à 0,99% en raison de l'intensité capitalistique du secteur. La structure financière présente des signaux contrastés : l'autonomie financière est très faible (4,17%), le ratio d'endettement atteint 95,83% et la trésorerie nette est négative à -61,710 milliards FCFA, ce qui traduit une dépendance importante aux financements externes. Le BFR de 104,748 milliards FCFA et le délai clients de 749 jours constituent un risque de trésorerie majeur, même si le taux de recouvrement de 95,85% et le ratio de facturation de 85,51% limitent partiellement ce risque. Le flux opérationnel est négatif à -36,655 milliards FCFA et le Free Cash Flow à -38,504 milliards FCFA, ce qui reflète des besoins d'investissement importants dans les infrastructures hydrauliques. Sur la base du rapport T1 2026 (publié en 2026), le chiffre d'affaires recule de 2% à 40 916 millions FCFA, mais le résultat d'exploitation bondit de 150% à 2 730 millions FCFA et le résultat net de 118% à 1 318 millions FCFA, avec une marge nette de 3,2% — on estime donc que l'exercice 2026 devrait bénéficier d'une amélioration significative de la rentabilité opérationnelle malgré un contexte de stagnation du chiffre d'affaires. La recommandation fondamentale est de **conserver** le titre : la solidité des performances opérationnelles et le dividende attractif (525 FCFA/action en 2025) justifient le maintien en portefeuille, mais les tensions de trésorerie et la valorisation exigeante limitent le potentiel de hausse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SDCC apparaît nettement surévaluée : le PER de 26,1x (contre 8-12x pour la moyenne BRVM), le P/B de 6,16x et l'EV/EBITDA de 15,1x traduisent une prime de qualité et de croissance qui laisse peu de marge d'erreur. Le comportement du cours sur 100 jours est exceptionnel (+88,81%) mais les statistiques descriptives (skewness négatif, volatilité élevée à 36,6%) et le repli de -1,46% sur la dernière séance suggèrent une prise de bénéfices imminente. Les signaux techniques sont divergents : les moyennes mobiles et le MACD restent haussiers, mais le RSI (75,33) et le stochastique (%D=95,71) sont en surachat extrême, ce qui plaide pour une consolidation à court terme. Les fondamentaux sont solides (ROE de 23,65%, croissance du CA de 9,98% en 2025, résultat net en hausse de 31%) et les estimations issues du T1 2026 (résultat net +118%) confirment une dynamique positive, mais la trésorerie négative et l'endettement élevé constituent des risques persistants. Les prédictions IA pour les 10 prochains jours (12 928 → 12 121 FCFA) anticipent une correction baissière de -10,2%, ce qui contredit les signaux haussiers des moyennes mobiles mais confirme les alertes de surachat du RSI et du stochastique. **Recommandation finale : CONSERVER** — la convergence entre la valorisation exigeante, le surachat technique et la correction anticipée par l'IA invite à la prudence, mais la solidité fondamentale et le dividende attirent justifient de ne pas vendre. Le niveau de confiance est **Moyen** (divergence entre technique et fondamental) et le niveau de risque global est **Élevé** (volatilité de 36,6%, trésorerie négative, valorisation tendue). L'horizon d'investissement optimal est le **moyen terme (3-12 mois)**, en attendant une correction pour se positionner à meilleur prix.</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166.57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18,301 titres</w:t>
            </w:r>
          </w:p>
        </w:tc>
        <w:tc>
          <w:tcPr>
            <w:tcW w:type="dxa" w:w="2268"/>
            <w:shd w:fill="FFF2CC" w:val="clear"/>
          </w:tcPr>
          <w:p>
            <w:r>
              <w:rPr>
                <w:b/>
                <w:color w:val="503200"/>
                <w:sz w:val="16"/>
              </w:rPr>
              <w:t xml:space="preserve">Cours actuel : </w:t>
            </w:r>
            <w:r>
              <w:rPr>
                <w:color w:val="000000"/>
                <w:sz w:val="17"/>
              </w:rPr>
              <w:t>3,060 FCFA</w:t>
            </w:r>
          </w:p>
          <w:p>
            <w:r>
              <w:rPr>
                <w:b/>
                <w:color w:val="503200"/>
                <w:sz w:val="16"/>
              </w:rPr>
              <w:t xml:space="preserve">Var. 100 jours : </w:t>
            </w:r>
            <w:r>
              <w:rPr>
                <w:b/>
                <w:color w:val="007800"/>
                <w:sz w:val="17"/>
              </w:rPr>
              <w:t>+63.20%</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24.0/100 → Moyen</w:t>
      </w:r>
    </w:p>
    <w:p>
      <w:pPr>
        <w:spacing w:before="40" w:after="80"/>
      </w:pPr>
      <w:r>
        <w:rPr>
          <w:rFonts w:ascii="Courier New" w:hAnsi="Courier New"/>
          <w:color w:val="825A00"/>
          <w:sz w:val="18"/>
        </w:rPr>
        <w:t>████░░░░░░░░░░░░░░░░  24.0/100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18.97% (Élevée) — μ=2,304 FCFA, σ=437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β=0.7059 (Défensif) — Cov=0.000026, Var(idx)=0.000036, ρ=0.131,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18,301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σ_j=3.24%/j (Modérée) — Vol. annualisée≈51.4%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2026-09-10</w:t>
            </w:r>
          </w:p>
        </w:tc>
        <w:tc>
          <w:tcPr>
            <w:tcW w:type="dxa" w:w="1440"/>
            <w:shd w:fill="FAFAFA" w:val="clear"/>
          </w:tcPr>
          <w:p>
            <w:r>
              <w:rPr>
                <w:sz w:val="17"/>
              </w:rPr>
              <w:t>2,829</w:t>
            </w:r>
          </w:p>
        </w:tc>
        <w:tc>
          <w:tcPr>
            <w:tcW w:type="dxa" w:w="1440"/>
            <w:shd w:fill="FAFAFA" w:val="clear"/>
          </w:tcPr>
          <w:p>
            <w:r>
              <w:rPr>
                <w:b/>
                <w:sz w:val="17"/>
              </w:rPr>
              <w:t>3,003</w:t>
            </w:r>
          </w:p>
        </w:tc>
        <w:tc>
          <w:tcPr>
            <w:tcW w:type="dxa" w:w="1440"/>
            <w:shd w:fill="FAFAFA" w:val="clear"/>
          </w:tcPr>
          <w:p>
            <w:r>
              <w:rPr>
                <w:sz w:val="17"/>
              </w:rPr>
              <w:t>3,178</w:t>
            </w:r>
          </w:p>
        </w:tc>
        <w:tc>
          <w:tcPr>
            <w:tcW w:type="dxa" w:w="1440"/>
            <w:shd w:fill="FAFAFA" w:val="clear"/>
          </w:tcPr>
          <w:p>
            <w:r>
              <w:rPr>
                <w:b/>
                <w:color w:val="C00000"/>
                <w:sz w:val="17"/>
              </w:rPr>
              <w:t>-1.9%</w:t>
            </w:r>
          </w:p>
        </w:tc>
      </w:tr>
      <w:tr>
        <w:tc>
          <w:tcPr>
            <w:tcW w:type="dxa" w:w="1440"/>
            <w:shd w:fill="FFDCE0" w:val="clear"/>
          </w:tcPr>
          <w:p>
            <w:r>
              <w:rPr>
                <w:sz w:val="17"/>
              </w:rPr>
              <w:t>J+2  Moyenne</w:t>
            </w:r>
          </w:p>
        </w:tc>
        <w:tc>
          <w:tcPr>
            <w:tcW w:type="dxa" w:w="1440"/>
            <w:shd w:fill="FFDCE0" w:val="clear"/>
          </w:tcPr>
          <w:p>
            <w:r>
              <w:rPr>
                <w:sz w:val="17"/>
              </w:rPr>
              <w:t>2026-09-11</w:t>
            </w:r>
          </w:p>
        </w:tc>
        <w:tc>
          <w:tcPr>
            <w:tcW w:type="dxa" w:w="1440"/>
            <w:shd w:fill="FFDCE0" w:val="clear"/>
          </w:tcPr>
          <w:p>
            <w:r>
              <w:rPr>
                <w:sz w:val="17"/>
              </w:rPr>
              <w:t>2,714</w:t>
            </w:r>
          </w:p>
        </w:tc>
        <w:tc>
          <w:tcPr>
            <w:tcW w:type="dxa" w:w="1440"/>
            <w:shd w:fill="FFDCE0" w:val="clear"/>
          </w:tcPr>
          <w:p>
            <w:r>
              <w:rPr>
                <w:b/>
                <w:sz w:val="17"/>
              </w:rPr>
              <w:t>2,957</w:t>
            </w:r>
          </w:p>
        </w:tc>
        <w:tc>
          <w:tcPr>
            <w:tcW w:type="dxa" w:w="1440"/>
            <w:shd w:fill="FFDCE0" w:val="clear"/>
          </w:tcPr>
          <w:p>
            <w:r>
              <w:rPr>
                <w:sz w:val="17"/>
              </w:rPr>
              <w:t>3,200</w:t>
            </w:r>
          </w:p>
        </w:tc>
        <w:tc>
          <w:tcPr>
            <w:tcW w:type="dxa" w:w="1440"/>
            <w:shd w:fill="FFDCE0" w:val="clear"/>
          </w:tcPr>
          <w:p>
            <w:r>
              <w:rPr>
                <w:b/>
                <w:color w:val="C00000"/>
                <w:sz w:val="17"/>
              </w:rPr>
              <w:t>-3.4%</w:t>
            </w:r>
          </w:p>
        </w:tc>
      </w:tr>
      <w:tr>
        <w:tc>
          <w:tcPr>
            <w:tcW w:type="dxa" w:w="1440"/>
            <w:shd w:fill="FFDCE0" w:val="clear"/>
          </w:tcPr>
          <w:p>
            <w:r>
              <w:rPr>
                <w:sz w:val="17"/>
              </w:rPr>
              <w:t>J+3  Moyenne</w:t>
            </w:r>
          </w:p>
        </w:tc>
        <w:tc>
          <w:tcPr>
            <w:tcW w:type="dxa" w:w="1440"/>
            <w:shd w:fill="FFDCE0" w:val="clear"/>
          </w:tcPr>
          <w:p>
            <w:r>
              <w:rPr>
                <w:sz w:val="17"/>
              </w:rPr>
              <w:t>2026-09-14</w:t>
            </w:r>
          </w:p>
        </w:tc>
        <w:tc>
          <w:tcPr>
            <w:tcW w:type="dxa" w:w="1440"/>
            <w:shd w:fill="FFDCE0" w:val="clear"/>
          </w:tcPr>
          <w:p>
            <w:r>
              <w:rPr>
                <w:sz w:val="17"/>
              </w:rPr>
              <w:t>2,626</w:t>
            </w:r>
          </w:p>
        </w:tc>
        <w:tc>
          <w:tcPr>
            <w:tcW w:type="dxa" w:w="1440"/>
            <w:shd w:fill="FFDCE0" w:val="clear"/>
          </w:tcPr>
          <w:p>
            <w:r>
              <w:rPr>
                <w:b/>
                <w:sz w:val="17"/>
              </w:rPr>
              <w:t>2,920</w:t>
            </w:r>
          </w:p>
        </w:tc>
        <w:tc>
          <w:tcPr>
            <w:tcW w:type="dxa" w:w="1440"/>
            <w:shd w:fill="FFDCE0" w:val="clear"/>
          </w:tcPr>
          <w:p>
            <w:r>
              <w:rPr>
                <w:sz w:val="17"/>
              </w:rPr>
              <w:t>3,214</w:t>
            </w:r>
          </w:p>
        </w:tc>
        <w:tc>
          <w:tcPr>
            <w:tcW w:type="dxa" w:w="1440"/>
            <w:shd w:fill="FFDCE0" w:val="clear"/>
          </w:tcPr>
          <w:p>
            <w:r>
              <w:rPr>
                <w:b/>
                <w:color w:val="C00000"/>
                <w:sz w:val="17"/>
              </w:rPr>
              <w:t>-4.6%</w:t>
            </w:r>
          </w:p>
        </w:tc>
      </w:tr>
      <w:tr>
        <w:tc>
          <w:tcPr>
            <w:tcW w:type="dxa" w:w="1440"/>
            <w:shd w:fill="FFDCE0" w:val="clear"/>
          </w:tcPr>
          <w:p>
            <w:r>
              <w:rPr>
                <w:sz w:val="17"/>
              </w:rPr>
              <w:t>J+4  ⭐</w:t>
            </w:r>
          </w:p>
        </w:tc>
        <w:tc>
          <w:tcPr>
            <w:tcW w:type="dxa" w:w="1440"/>
            <w:shd w:fill="FFDCE0" w:val="clear"/>
          </w:tcPr>
          <w:p>
            <w:r>
              <w:rPr>
                <w:sz w:val="17"/>
              </w:rPr>
              <w:t>2026-09-15</w:t>
            </w:r>
          </w:p>
        </w:tc>
        <w:tc>
          <w:tcPr>
            <w:tcW w:type="dxa" w:w="1440"/>
            <w:shd w:fill="FFDCE0" w:val="clear"/>
          </w:tcPr>
          <w:p>
            <w:r>
              <w:rPr>
                <w:sz w:val="17"/>
              </w:rPr>
              <w:t>2,553</w:t>
            </w:r>
          </w:p>
        </w:tc>
        <w:tc>
          <w:tcPr>
            <w:tcW w:type="dxa" w:w="1440"/>
            <w:shd w:fill="FFDCE0" w:val="clear"/>
          </w:tcPr>
          <w:p>
            <w:r>
              <w:rPr>
                <w:b/>
                <w:sz w:val="17"/>
              </w:rPr>
              <w:t>2,889</w:t>
            </w:r>
          </w:p>
        </w:tc>
        <w:tc>
          <w:tcPr>
            <w:tcW w:type="dxa" w:w="1440"/>
            <w:shd w:fill="FFDCE0" w:val="clear"/>
          </w:tcPr>
          <w:p>
            <w:r>
              <w:rPr>
                <w:sz w:val="17"/>
              </w:rPr>
              <w:t>3,224</w:t>
            </w:r>
          </w:p>
        </w:tc>
        <w:tc>
          <w:tcPr>
            <w:tcW w:type="dxa" w:w="1440"/>
            <w:shd w:fill="FFDCE0" w:val="clear"/>
          </w:tcPr>
          <w:p>
            <w:r>
              <w:rPr>
                <w:b/>
                <w:color w:val="C00000"/>
                <w:sz w:val="17"/>
              </w:rPr>
              <w:t>-5.6%</w:t>
            </w:r>
          </w:p>
        </w:tc>
      </w:tr>
      <w:tr>
        <w:tc>
          <w:tcPr>
            <w:tcW w:type="dxa" w:w="1440"/>
            <w:shd w:fill="FFDCE0" w:val="clear"/>
          </w:tcPr>
          <w:p>
            <w:r>
              <w:rPr>
                <w:sz w:val="17"/>
              </w:rPr>
              <w:t>J+5  ⭐</w:t>
            </w:r>
          </w:p>
        </w:tc>
        <w:tc>
          <w:tcPr>
            <w:tcW w:type="dxa" w:w="1440"/>
            <w:shd w:fill="FFDCE0" w:val="clear"/>
          </w:tcPr>
          <w:p>
            <w:r>
              <w:rPr>
                <w:sz w:val="17"/>
              </w:rPr>
              <w:t>2026-09-16</w:t>
            </w:r>
          </w:p>
        </w:tc>
        <w:tc>
          <w:tcPr>
            <w:tcW w:type="dxa" w:w="1440"/>
            <w:shd w:fill="FFDCE0" w:val="clear"/>
          </w:tcPr>
          <w:p>
            <w:r>
              <w:rPr>
                <w:sz w:val="17"/>
              </w:rPr>
              <w:t>2,489</w:t>
            </w:r>
          </w:p>
        </w:tc>
        <w:tc>
          <w:tcPr>
            <w:tcW w:type="dxa" w:w="1440"/>
            <w:shd w:fill="FFDCE0" w:val="clear"/>
          </w:tcPr>
          <w:p>
            <w:r>
              <w:rPr>
                <w:b/>
                <w:sz w:val="17"/>
              </w:rPr>
              <w:t>2,861</w:t>
            </w:r>
          </w:p>
        </w:tc>
        <w:tc>
          <w:tcPr>
            <w:tcW w:type="dxa" w:w="1440"/>
            <w:shd w:fill="FFDCE0" w:val="clear"/>
          </w:tcPr>
          <w:p>
            <w:r>
              <w:rPr>
                <w:sz w:val="17"/>
              </w:rPr>
              <w:t>3,232</w:t>
            </w:r>
          </w:p>
        </w:tc>
        <w:tc>
          <w:tcPr>
            <w:tcW w:type="dxa" w:w="1440"/>
            <w:shd w:fill="FFDCE0" w:val="clear"/>
          </w:tcPr>
          <w:p>
            <w:r>
              <w:rPr>
                <w:b/>
                <w:color w:val="C00000"/>
                <w:sz w:val="17"/>
              </w:rPr>
              <w:t>-6.5%</w:t>
            </w:r>
          </w:p>
        </w:tc>
      </w:tr>
      <w:tr>
        <w:tc>
          <w:tcPr>
            <w:tcW w:type="dxa" w:w="1440"/>
            <w:shd w:fill="FFDCE0" w:val="clear"/>
          </w:tcPr>
          <w:p>
            <w:r>
              <w:rPr>
                <w:sz w:val="17"/>
              </w:rPr>
              <w:t>J+6  ⭐</w:t>
            </w:r>
          </w:p>
        </w:tc>
        <w:tc>
          <w:tcPr>
            <w:tcW w:type="dxa" w:w="1440"/>
            <w:shd w:fill="FFDCE0" w:val="clear"/>
          </w:tcPr>
          <w:p>
            <w:r>
              <w:rPr>
                <w:sz w:val="17"/>
              </w:rPr>
              <w:t>2026-09-17</w:t>
            </w:r>
          </w:p>
        </w:tc>
        <w:tc>
          <w:tcPr>
            <w:tcW w:type="dxa" w:w="1440"/>
            <w:shd w:fill="FFDCE0" w:val="clear"/>
          </w:tcPr>
          <w:p>
            <w:r>
              <w:rPr>
                <w:sz w:val="17"/>
              </w:rPr>
              <w:t>2,432</w:t>
            </w:r>
          </w:p>
        </w:tc>
        <w:tc>
          <w:tcPr>
            <w:tcW w:type="dxa" w:w="1440"/>
            <w:shd w:fill="FFDCE0" w:val="clear"/>
          </w:tcPr>
          <w:p>
            <w:r>
              <w:rPr>
                <w:b/>
                <w:sz w:val="17"/>
              </w:rPr>
              <w:t>2,835</w:t>
            </w:r>
          </w:p>
        </w:tc>
        <w:tc>
          <w:tcPr>
            <w:tcW w:type="dxa" w:w="1440"/>
            <w:shd w:fill="FFDCE0" w:val="clear"/>
          </w:tcPr>
          <w:p>
            <w:r>
              <w:rPr>
                <w:sz w:val="17"/>
              </w:rPr>
              <w:t>3,238</w:t>
            </w:r>
          </w:p>
        </w:tc>
        <w:tc>
          <w:tcPr>
            <w:tcW w:type="dxa" w:w="1440"/>
            <w:shd w:fill="FFDCE0" w:val="clear"/>
          </w:tcPr>
          <w:p>
            <w:r>
              <w:rPr>
                <w:b/>
                <w:color w:val="C00000"/>
                <w:sz w:val="17"/>
              </w:rPr>
              <w:t>-7.4%</w:t>
            </w:r>
          </w:p>
        </w:tc>
      </w:tr>
      <w:tr>
        <w:tc>
          <w:tcPr>
            <w:tcW w:type="dxa" w:w="1440"/>
            <w:shd w:fill="FFDCE0" w:val="clear"/>
          </w:tcPr>
          <w:p>
            <w:r>
              <w:rPr>
                <w:sz w:val="17"/>
              </w:rPr>
              <w:t>J+7  ⭐</w:t>
            </w:r>
          </w:p>
        </w:tc>
        <w:tc>
          <w:tcPr>
            <w:tcW w:type="dxa" w:w="1440"/>
            <w:shd w:fill="FFDCE0" w:val="clear"/>
          </w:tcPr>
          <w:p>
            <w:r>
              <w:rPr>
                <w:sz w:val="17"/>
              </w:rPr>
              <w:t>2026-09-18</w:t>
            </w:r>
          </w:p>
        </w:tc>
        <w:tc>
          <w:tcPr>
            <w:tcW w:type="dxa" w:w="1440"/>
            <w:shd w:fill="FFDCE0" w:val="clear"/>
          </w:tcPr>
          <w:p>
            <w:r>
              <w:rPr>
                <w:sz w:val="17"/>
              </w:rPr>
              <w:t>2,378</w:t>
            </w:r>
          </w:p>
        </w:tc>
        <w:tc>
          <w:tcPr>
            <w:tcW w:type="dxa" w:w="1440"/>
            <w:shd w:fill="FFDCE0" w:val="clear"/>
          </w:tcPr>
          <w:p>
            <w:r>
              <w:rPr>
                <w:b/>
                <w:sz w:val="17"/>
              </w:rPr>
              <w:t>2,810</w:t>
            </w:r>
          </w:p>
        </w:tc>
        <w:tc>
          <w:tcPr>
            <w:tcW w:type="dxa" w:w="1440"/>
            <w:shd w:fill="FFDCE0" w:val="clear"/>
          </w:tcPr>
          <w:p>
            <w:r>
              <w:rPr>
                <w:sz w:val="17"/>
              </w:rPr>
              <w:t>3,242</w:t>
            </w:r>
          </w:p>
        </w:tc>
        <w:tc>
          <w:tcPr>
            <w:tcW w:type="dxa" w:w="1440"/>
            <w:shd w:fill="FFDCE0" w:val="clear"/>
          </w:tcPr>
          <w:p>
            <w:r>
              <w:rPr>
                <w:b/>
                <w:color w:val="C00000"/>
                <w:sz w:val="17"/>
              </w:rPr>
              <w:t>-8.2%</w:t>
            </w:r>
          </w:p>
        </w:tc>
      </w:tr>
      <w:tr>
        <w:tc>
          <w:tcPr>
            <w:tcW w:type="dxa" w:w="1440"/>
            <w:shd w:fill="FFDCE0" w:val="clear"/>
          </w:tcPr>
          <w:p>
            <w:r>
              <w:rPr>
                <w:sz w:val="17"/>
              </w:rPr>
              <w:t>J+8  ⭐</w:t>
            </w:r>
          </w:p>
        </w:tc>
        <w:tc>
          <w:tcPr>
            <w:tcW w:type="dxa" w:w="1440"/>
            <w:shd w:fill="FFDCE0" w:val="clear"/>
          </w:tcPr>
          <w:p>
            <w:r>
              <w:rPr>
                <w:sz w:val="17"/>
              </w:rPr>
              <w:t>2026-09-21</w:t>
            </w:r>
          </w:p>
        </w:tc>
        <w:tc>
          <w:tcPr>
            <w:tcW w:type="dxa" w:w="1440"/>
            <w:shd w:fill="FFDCE0" w:val="clear"/>
          </w:tcPr>
          <w:p>
            <w:r>
              <w:rPr>
                <w:sz w:val="17"/>
              </w:rPr>
              <w:t>2,329</w:t>
            </w:r>
          </w:p>
        </w:tc>
        <w:tc>
          <w:tcPr>
            <w:tcW w:type="dxa" w:w="1440"/>
            <w:shd w:fill="FFDCE0" w:val="clear"/>
          </w:tcPr>
          <w:p>
            <w:r>
              <w:rPr>
                <w:b/>
                <w:sz w:val="17"/>
              </w:rPr>
              <w:t>2,787</w:t>
            </w:r>
          </w:p>
        </w:tc>
        <w:tc>
          <w:tcPr>
            <w:tcW w:type="dxa" w:w="1440"/>
            <w:shd w:fill="FFDCE0" w:val="clear"/>
          </w:tcPr>
          <w:p>
            <w:r>
              <w:rPr>
                <w:sz w:val="17"/>
              </w:rPr>
              <w:t>3,244</w:t>
            </w:r>
          </w:p>
        </w:tc>
        <w:tc>
          <w:tcPr>
            <w:tcW w:type="dxa" w:w="1440"/>
            <w:shd w:fill="FFDCE0" w:val="clear"/>
          </w:tcPr>
          <w:p>
            <w:r>
              <w:rPr>
                <w:b/>
                <w:color w:val="C00000"/>
                <w:sz w:val="17"/>
              </w:rPr>
              <w:t>-8.9%</w:t>
            </w:r>
          </w:p>
        </w:tc>
      </w:tr>
      <w:tr>
        <w:tc>
          <w:tcPr>
            <w:tcW w:type="dxa" w:w="1440"/>
            <w:shd w:fill="FFDCE0" w:val="clear"/>
          </w:tcPr>
          <w:p>
            <w:r>
              <w:rPr>
                <w:sz w:val="17"/>
              </w:rPr>
              <w:t>J+9  ⭐</w:t>
            </w:r>
          </w:p>
        </w:tc>
        <w:tc>
          <w:tcPr>
            <w:tcW w:type="dxa" w:w="1440"/>
            <w:shd w:fill="FFDCE0" w:val="clear"/>
          </w:tcPr>
          <w:p>
            <w:r>
              <w:rPr>
                <w:sz w:val="17"/>
              </w:rPr>
              <w:t>2026-09-22</w:t>
            </w:r>
          </w:p>
        </w:tc>
        <w:tc>
          <w:tcPr>
            <w:tcW w:type="dxa" w:w="1440"/>
            <w:shd w:fill="FFDCE0" w:val="clear"/>
          </w:tcPr>
          <w:p>
            <w:r>
              <w:rPr>
                <w:sz w:val="17"/>
              </w:rPr>
              <w:t>2,282</w:t>
            </w:r>
          </w:p>
        </w:tc>
        <w:tc>
          <w:tcPr>
            <w:tcW w:type="dxa" w:w="1440"/>
            <w:shd w:fill="FFDCE0" w:val="clear"/>
          </w:tcPr>
          <w:p>
            <w:r>
              <w:rPr>
                <w:b/>
                <w:sz w:val="17"/>
              </w:rPr>
              <w:t>2,764</w:t>
            </w:r>
          </w:p>
        </w:tc>
        <w:tc>
          <w:tcPr>
            <w:tcW w:type="dxa" w:w="1440"/>
            <w:shd w:fill="FFDCE0" w:val="clear"/>
          </w:tcPr>
          <w:p>
            <w:r>
              <w:rPr>
                <w:sz w:val="17"/>
              </w:rPr>
              <w:t>3,245</w:t>
            </w:r>
          </w:p>
        </w:tc>
        <w:tc>
          <w:tcPr>
            <w:tcW w:type="dxa" w:w="1440"/>
            <w:shd w:fill="FFDCE0" w:val="clear"/>
          </w:tcPr>
          <w:p>
            <w:r>
              <w:rPr>
                <w:b/>
                <w:color w:val="C00000"/>
                <w:sz w:val="17"/>
              </w:rPr>
              <w:t>-9.7%</w:t>
            </w:r>
          </w:p>
        </w:tc>
      </w:tr>
      <w:tr>
        <w:tc>
          <w:tcPr>
            <w:tcW w:type="dxa" w:w="1440"/>
            <w:shd w:fill="FFDCE0" w:val="clear"/>
          </w:tcPr>
          <w:p>
            <w:r>
              <w:rPr>
                <w:sz w:val="17"/>
              </w:rPr>
              <w:t>J+10  ⭐</w:t>
            </w:r>
          </w:p>
        </w:tc>
        <w:tc>
          <w:tcPr>
            <w:tcW w:type="dxa" w:w="1440"/>
            <w:shd w:fill="FFDCE0" w:val="clear"/>
          </w:tcPr>
          <w:p>
            <w:r>
              <w:rPr>
                <w:sz w:val="17"/>
              </w:rPr>
              <w:t>2026-09-23</w:t>
            </w:r>
          </w:p>
        </w:tc>
        <w:tc>
          <w:tcPr>
            <w:tcW w:type="dxa" w:w="1440"/>
            <w:shd w:fill="FFDCE0" w:val="clear"/>
          </w:tcPr>
          <w:p>
            <w:r>
              <w:rPr>
                <w:sz w:val="17"/>
              </w:rPr>
              <w:t>2,238</w:t>
            </w:r>
          </w:p>
        </w:tc>
        <w:tc>
          <w:tcPr>
            <w:tcW w:type="dxa" w:w="1440"/>
            <w:shd w:fill="FFDCE0" w:val="clear"/>
          </w:tcPr>
          <w:p>
            <w:r>
              <w:rPr>
                <w:b/>
                <w:sz w:val="17"/>
              </w:rPr>
              <w:t>2,742</w:t>
            </w:r>
          </w:p>
        </w:tc>
        <w:tc>
          <w:tcPr>
            <w:tcW w:type="dxa" w:w="1440"/>
            <w:shd w:fill="FFDCE0" w:val="clear"/>
          </w:tcPr>
          <w:p>
            <w:r>
              <w:rPr>
                <w:sz w:val="17"/>
              </w:rPr>
              <w:t>3,245</w:t>
            </w:r>
          </w:p>
        </w:tc>
        <w:tc>
          <w:tcPr>
            <w:tcW w:type="dxa" w:w="1440"/>
            <w:shd w:fill="FFDCE0" w:val="clear"/>
          </w:tcPr>
          <w:p>
            <w:r>
              <w:rPr>
                <w:b/>
                <w:color w:val="C00000"/>
                <w:sz w:val="17"/>
              </w:rPr>
              <w:t>-10.4%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ACTION SDSC (AGL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166,57 Mds FCFA, SDSC se positionne comme une valeur de taille intermédiaire sur la BRVM, représentant un poids notable dans l'indice sectoriel du transport et de la logistique. Le BPA de 387 FCFA/action indique ce que chaque titre génère en bénéfice net, mais ce chiffre doit être fortement nuancé au regard de l'effondrement du résultat net 2025 (784 970 milliers FCFA contre 21 069 000 milliers FCFA en 2024), ce qui signifie que le BPA réel 2025 s'établit à environ 14 FCFA/action — soit une division par 27. Le PER de 7,9x, inférieur à la moyenne BRVM (8-12x), suggère une sous-évaluation apparente, mais ce ratio est calculé sur le BPA 2024 obsolète ; rapporté au résultat 2025, le PER réel dépasserait 200x, signalant une surévaluation manifeste. Le P/B de 2,14x traduit une prime de croissance accordée par le marché, cohérente avec la solidité du bilan (capitaux propres de 73,5 Mds FCFA en 2025), tandis que l'EV/EBITDA de 36,0x apparaît très exigeant et déconnecté de la capacité opérationnelle réelle, l'EBITDA 2025 n'étant que de 4,26 Mds FCFA.</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affiche une performance remarquable de +63,20%, portée par un fort momentum acheteur, bien que la dernière séance (J-1) marque une légère correction de -0,97%. Le cours actuel de 3 060 FCFA se situe dans la partie haute du range de trading, le plus haut ayant atteint 3 205 FCFA et le plus bas 1 650 FCFA — soit un écart de plus de 94% entre les deux extrêmes, témoignant d'une tendance haussière puissante mais d'une amplitude de fluctuation considérable. La moyenne de 2 304 FCFA et la médiane de 2 355 FCFA sont proches, confirmant une distribution globalement équilibrée, tandis que le mode à 1 775 FCFA indique que le prix le plus fréquemment traité se situe bien en dessous des niveaux actuels, suggérant que le titre évolue dans une zone de prix historiquement élevée. L'écart-type de 439 FCFA avec un coefficient de variation de 19,1% traduit une dispersion modérée à élevée du cours autour de sa moyenne. Le kurtosis de -1,285 (distribution platykurtique) indique une faible concentration des rendements et un risque de pics moins prononcé qu'une distribution normale, ce qui est rassurant pour la gestion du risque. Le skewness de 0,017, quasi nul, confirme une distribution symétrique sans biais directionnel marqué. Enfin, la volatilité annualisée de 51,4% classe le titre dans la catégorie des valeurs à volatilité élevée (&gt;30%), ce qui implique un risque significatif et nécessite une tolérance appropriée de la part de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(2 834 FCFA) et la MM50 (2 667 FCFA) se situent toutes deux nettement en dessous du cours actuel (3 060 FCFA), avec la MM20 au-dessus de la MM50 — configuration haussière classique en « golden cross ». Le cours évoluant au-dessus de ses deux moyennes, la dynamique de court et moyen terme est clairement positive, ce qui justifie la décision d'**Achat**.</w:t>
      </w:r>
    </w:p>
    <w:p>
      <w:pPr>
        <w:spacing w:after="120" w:line="276" w:lineRule="auto"/>
      </w:pPr>
      <w:r>
        <w:t>**Bandes de Bollinger** : Le cours (3 060 FCFA) se situe dans la partie supérieure de la bande, entre la borne inférieure (2 455,34 FCFA) et la borne supérieure (3 212,66 FCFA), sans la franchir. Cette position reflète une pression acheteuse soutenue mais sans excès de volatilité immédiate, la largeur des bandes (~757 FCFA) confirmant une volatilité élevée. La décision est **Neutre**, le titre n'étant ni en surachat extrême ni en survente.</w:t>
      </w:r>
    </w:p>
    <w:p>
      <w:pPr>
        <w:spacing w:after="120" w:line="276" w:lineRule="auto"/>
      </w:pPr>
      <w:r>
        <w:t>**MACD** : La valeur du MACD (130,99) dépasse nettement son signal (100,25), avec un histogramme positif d'environ 30,7 points. Cette divergence haussière confirme un momentum acheteur en cours de renforcement, bien que l'écart reste modéré. La décision est **Achat**, le croisement étant déjà effectué et la tendance haussière soutenue.</w:t>
      </w:r>
    </w:p>
    <w:p>
      <w:pPr>
        <w:spacing w:after="120" w:line="276" w:lineRule="auto"/>
      </w:pPr>
      <w:r>
        <w:t>**RSI** : À 66,67, le RSI se situe dans la zone neutre haute, proche du seuil de surachat (70) sans l'atteindre. Cela indique une pression acheteuse significative mais non excessive, laissant de la marge à la hausse. La décision est **Neutre**, le titre n'étant pas encore en zone de surachat dangereuse.</w:t>
      </w:r>
    </w:p>
    <w:p>
      <w:pPr>
        <w:spacing w:after="120" w:line="276" w:lineRule="auto"/>
      </w:pPr>
      <w:r>
        <w:t>**Stochastique** : Le %K (77,52) est légèrement inférieur au %D (81,65), avec un croisement potentiellement baissier en formation. Les deux lignes évoluent en zone haute (&gt;80 pour le %D), signalant un risque de retournement à court terme. La décision est **Neutre**, le signal n'étant pas encore confirmé.</w:t>
      </w:r>
    </w:p>
    <w:p>
      <w:pPr>
        <w:spacing w:after="120" w:line="276" w:lineRule="auto"/>
      </w:pPr>
      <w:r>
        <w:t>**Conclusion technique** : Les indicateurs convergent majoritairement vers un signal haussier (MM, MACD), mais les oscillateurs (RSI, Stochastique) affichent des signes de fatigue en zone haute, suggérant une possible consolidation à court terme. La configuration technique reste globalement favorable à une poursuite de la tendance, mais la prudence est de mise face au risque de correction après la forte hausse de +63% sur 100 jours.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(états financiers annuels) révèlent une situation contrastée : un chiffre d'affaires de 85 643 Mds FCFA (85,64 milliards FCFA), un résultat net de 21 069 Mds FCFA (21,07 milliards FCFA), un ROE de 27,08% (excellent, &gt;15%) et un ROA de 11,20% (solide). La marge nette de 24,60% et la marge opérationnelle de 1,10% traduisent une rentabilité portée par les revenus financiers plutôt que par l'exploitation. Le BFR de 17,87 Mds FCFA (positif, donc défavorable) et le délai client de 466,94 jours (très élevé) constituent des points de vigilance majeurs pour la trésorerie, bien que la trésorerie nette de 15,62 Mds FCFA et la liquidité générale de 132,84% offrent un coussin de sécurité. L'autonomie financière de 41,36% et la solvabilité générale de 170,53% confirment la solidité du bilan. Cependant, les rapports narratifs les plus récents (T3 2025, S1 2025, T1 2025) révèlent une dégradation alarmante : le résultat net 2025 chute à 784 970 milliers FCFA (0,78 milliard FCFA), soit une baisse de 96% par rapport à 2024, avec un résultat d'exploitation négatif de -2 271 029 milliers FCFA (-2,27 milliards FCFA). Le rapport du T3 2025 (30/09/2025) indique un CA de 66,217 milliards FCFA (+7,4%) mais un résultat net de 4,341 milliards FCFA en chute de 77%, principalement dû à la baisse des dividendes des filiales. Le rapport du S1 2025 (30/06/2025) fait état d'un résultat net négatif de -427 millions FCFA, et le T1 2025 (31/03/2025) d'une perte de -193 millions FCFA. Sur la base de ces rapports trimestriels, on estime que l'exercice 2025 devrait se solder par un résultat net marginal (~0,78 milliard FCFA), avec une marge nette effondrée à 0,85% et un dividende réduit de 89% (544 353 milliers FCFA contre 5 008 048 milliers FCFA en 2024). La croissance du CA (+7,4% en 2025) demeure le principal point positif, mais la rentabilité opérationnelle reste structurellement faible, dépendante des revenus financiers exceptionnels. La recommandation fondamentale est de **CONSERVER** avec une vigilance accrue, la solidité du bilan (capitaux propres de 73,55 Mds FCFA en 2025) et la trésorerie abondante (74,78 Mds FCFA) incitant à ne pas vendre, mais la dégradation de la rentabilité et la réduction drastique du dividende justifiant de ne pas acheter.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présente un paradoxe : le PER de 7,9x et le P/B de 2,14x suggèrent une sous-évaluation apparente, mais ces ratios sont calculés sur des bénéfices 2024 obsolètes ; rapportés au résultat 2025 (0,78 milliard FCFA), le PER réel dépasse 200x, signalant une surévaluation manifeste. Le comportement du cours (Partie 1) est haussier (+63,20% sur 100 jours) avec une volatilité élevée (51,4%) et une distribution symétrique (skewness 0,017) mais plate (kurtosis -1,285), ce qui est favorable pour la tendance mais préoccupant pour le risque. Les signaux techniques (Partie 2) sont majoritairement haussiers (MM, MACD) mais les oscillateurs (RSI 66,67, Stochastique %D 81,65) montrent des signes de fatigue, suggérant une consolidation imminente. Les fondamentaux (Partie 3) révèlent une dégradation sévère : résultat net 2025 en chute de 96%, résultat d'exploitation négatif, marge nette de 0,85%, dividende réduit de 89%, malgré un CA en croissance (+7,4%) et un bilan solide. Les prédictions IA (J+1 à J+10) anticipent une trajectoire baissière de 3 003 FCFA à 2 861 FCFA, soit une correction d'environ -6,5% sur 10 jours, ce qui contredit les signaux techniques haussiers et confirme les risques de consolidation identifiés par les oscillateurs. Sur la base de cette synthèse globale, la recommandation finale est de **CONSERVER**, avec un niveau de confiance **Moyen** et un risque global **Élevé**. La convergence entre la dégradation fondamentale, les signes de fatigue technique et les prédictions baissières incite à la prudence, mais la solidité du bilan et la trésorerie abondante excluent une vente précipitée. L'horizon d'investissement optimal est le **moyen terme (3-12 mois)**, en surveillant la capacité de la direction à restaurer les marges opérationnelles et à confirmer la reprise de la rentabilité au premier semestre 2026.</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39.42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6,060 titres</w:t>
            </w:r>
          </w:p>
        </w:tc>
        <w:tc>
          <w:tcPr>
            <w:tcW w:type="dxa" w:w="2268"/>
            <w:shd w:fill="FFF2CC" w:val="clear"/>
          </w:tcPr>
          <w:p>
            <w:r>
              <w:rPr>
                <w:b/>
                <w:color w:val="503200"/>
                <w:sz w:val="16"/>
              </w:rPr>
              <w:t xml:space="preserve">Cours actuel : </w:t>
            </w:r>
            <w:r>
              <w:rPr>
                <w:color w:val="000000"/>
                <w:sz w:val="17"/>
              </w:rPr>
              <w:t>1,565 FCFA</w:t>
            </w:r>
          </w:p>
          <w:p>
            <w:r>
              <w:rPr>
                <w:b/>
                <w:color w:val="503200"/>
                <w:sz w:val="16"/>
              </w:rPr>
              <w:t xml:space="preserve">Var. 100 jours : </w:t>
            </w:r>
            <w:r>
              <w:rPr>
                <w:b/>
                <w:color w:val="B40000"/>
                <w:sz w:val="17"/>
              </w:rPr>
              <w:t>-17.20%</w:t>
            </w:r>
          </w:p>
          <w:p>
            <w:r>
              <w:rPr>
                <w:b/>
                <w:color w:val="503200"/>
                <w:sz w:val="16"/>
              </w:rPr>
              <w:t xml:space="preserve">Plus haut 100j : </w:t>
            </w:r>
            <w:r>
              <w:rPr>
                <w:color w:val="000000"/>
                <w:sz w:val="17"/>
              </w:rPr>
              <w:t>1,890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51.4%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23.8/100 → Moyen</w:t>
      </w:r>
    </w:p>
    <w:p>
      <w:pPr>
        <w:spacing w:before="40" w:after="80"/>
      </w:pPr>
      <w:r>
        <w:rPr>
          <w:rFonts w:ascii="Courier New" w:hAnsi="Courier New"/>
          <w:color w:val="825A00"/>
          <w:sz w:val="18"/>
        </w:rPr>
        <w:t>████░░░░░░░░░░░░░░░░  23.8/100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5.47% (Moyenne) — μ=1,536 FCFA, σ=84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β=1.3835 (Agressif) — Cov=0.000050, Var(idx)=0.000036, ρ=0.260,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6,060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σ_j=3.24%/j (Modérée) — Vol. annualisée≈51.4%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2026-09-10</w:t>
            </w:r>
          </w:p>
        </w:tc>
        <w:tc>
          <w:tcPr>
            <w:tcW w:type="dxa" w:w="1440"/>
            <w:shd w:fill="FFDCE0" w:val="clear"/>
          </w:tcPr>
          <w:p>
            <w:r>
              <w:rPr>
                <w:sz w:val="17"/>
              </w:rPr>
              <w:t>1,423</w:t>
            </w:r>
          </w:p>
        </w:tc>
        <w:tc>
          <w:tcPr>
            <w:tcW w:type="dxa" w:w="1440"/>
            <w:shd w:fill="FFDCE0" w:val="clear"/>
          </w:tcPr>
          <w:p>
            <w:r>
              <w:rPr>
                <w:b/>
                <w:sz w:val="17"/>
              </w:rPr>
              <w:t>1,496</w:t>
            </w:r>
          </w:p>
        </w:tc>
        <w:tc>
          <w:tcPr>
            <w:tcW w:type="dxa" w:w="1440"/>
            <w:shd w:fill="FFDCE0" w:val="clear"/>
          </w:tcPr>
          <w:p>
            <w:r>
              <w:rPr>
                <w:sz w:val="17"/>
              </w:rPr>
              <w:t>1,569</w:t>
            </w:r>
          </w:p>
        </w:tc>
        <w:tc>
          <w:tcPr>
            <w:tcW w:type="dxa" w:w="1440"/>
            <w:shd w:fill="FFDCE0" w:val="clear"/>
          </w:tcPr>
          <w:p>
            <w:r>
              <w:rPr>
                <w:b/>
                <w:color w:val="C00000"/>
                <w:sz w:val="17"/>
              </w:rPr>
              <w:t>-4.4%</w:t>
            </w:r>
          </w:p>
        </w:tc>
      </w:tr>
      <w:tr>
        <w:tc>
          <w:tcPr>
            <w:tcW w:type="dxa" w:w="1440"/>
            <w:shd w:fill="FFDCE0" w:val="clear"/>
          </w:tcPr>
          <w:p>
            <w:r>
              <w:rPr>
                <w:sz w:val="17"/>
              </w:rPr>
              <w:t>J+2  Moyenne</w:t>
            </w:r>
          </w:p>
        </w:tc>
        <w:tc>
          <w:tcPr>
            <w:tcW w:type="dxa" w:w="1440"/>
            <w:shd w:fill="FFDCE0" w:val="clear"/>
          </w:tcPr>
          <w:p>
            <w:r>
              <w:rPr>
                <w:sz w:val="17"/>
              </w:rPr>
              <w:t>2026-09-11</w:t>
            </w:r>
          </w:p>
        </w:tc>
        <w:tc>
          <w:tcPr>
            <w:tcW w:type="dxa" w:w="1440"/>
            <w:shd w:fill="FFDCE0" w:val="clear"/>
          </w:tcPr>
          <w:p>
            <w:r>
              <w:rPr>
                <w:sz w:val="17"/>
              </w:rPr>
              <w:t>1,384</w:t>
            </w:r>
          </w:p>
        </w:tc>
        <w:tc>
          <w:tcPr>
            <w:tcW w:type="dxa" w:w="1440"/>
            <w:shd w:fill="FFDCE0" w:val="clear"/>
          </w:tcPr>
          <w:p>
            <w:r>
              <w:rPr>
                <w:b/>
                <w:sz w:val="17"/>
              </w:rPr>
              <w:t>1,487</w:t>
            </w:r>
          </w:p>
        </w:tc>
        <w:tc>
          <w:tcPr>
            <w:tcW w:type="dxa" w:w="1440"/>
            <w:shd w:fill="FFDCE0" w:val="clear"/>
          </w:tcPr>
          <w:p>
            <w:r>
              <w:rPr>
                <w:sz w:val="17"/>
              </w:rPr>
              <w:t>1,589</w:t>
            </w:r>
          </w:p>
        </w:tc>
        <w:tc>
          <w:tcPr>
            <w:tcW w:type="dxa" w:w="1440"/>
            <w:shd w:fill="FFDCE0" w:val="clear"/>
          </w:tcPr>
          <w:p>
            <w:r>
              <w:rPr>
                <w:b/>
                <w:color w:val="C00000"/>
                <w:sz w:val="17"/>
              </w:rPr>
              <w:t>-5.0%</w:t>
            </w:r>
          </w:p>
        </w:tc>
      </w:tr>
      <w:tr>
        <w:tc>
          <w:tcPr>
            <w:tcW w:type="dxa" w:w="1440"/>
            <w:shd w:fill="FFDCE0" w:val="clear"/>
          </w:tcPr>
          <w:p>
            <w:r>
              <w:rPr>
                <w:sz w:val="17"/>
              </w:rPr>
              <w:t>J+3  Moyenne</w:t>
            </w:r>
          </w:p>
        </w:tc>
        <w:tc>
          <w:tcPr>
            <w:tcW w:type="dxa" w:w="1440"/>
            <w:shd w:fill="FFDCE0" w:val="clear"/>
          </w:tcPr>
          <w:p>
            <w:r>
              <w:rPr>
                <w:sz w:val="17"/>
              </w:rPr>
              <w:t>2026-09-14</w:t>
            </w:r>
          </w:p>
        </w:tc>
        <w:tc>
          <w:tcPr>
            <w:tcW w:type="dxa" w:w="1440"/>
            <w:shd w:fill="FFDCE0" w:val="clear"/>
          </w:tcPr>
          <w:p>
            <w:r>
              <w:rPr>
                <w:sz w:val="17"/>
              </w:rPr>
              <w:t>1,349</w:t>
            </w:r>
          </w:p>
        </w:tc>
        <w:tc>
          <w:tcPr>
            <w:tcW w:type="dxa" w:w="1440"/>
            <w:shd w:fill="FFDCE0" w:val="clear"/>
          </w:tcPr>
          <w:p>
            <w:r>
              <w:rPr>
                <w:b/>
                <w:sz w:val="17"/>
              </w:rPr>
              <w:t>1,473</w:t>
            </w:r>
          </w:p>
        </w:tc>
        <w:tc>
          <w:tcPr>
            <w:tcW w:type="dxa" w:w="1440"/>
            <w:shd w:fill="FFDCE0" w:val="clear"/>
          </w:tcPr>
          <w:p>
            <w:r>
              <w:rPr>
                <w:sz w:val="17"/>
              </w:rPr>
              <w:t>1,597</w:t>
            </w:r>
          </w:p>
        </w:tc>
        <w:tc>
          <w:tcPr>
            <w:tcW w:type="dxa" w:w="1440"/>
            <w:shd w:fill="FFDCE0" w:val="clear"/>
          </w:tcPr>
          <w:p>
            <w:r>
              <w:rPr>
                <w:b/>
                <w:color w:val="C00000"/>
                <w:sz w:val="17"/>
              </w:rPr>
              <w:t>-5.9%</w:t>
            </w:r>
          </w:p>
        </w:tc>
      </w:tr>
      <w:tr>
        <w:tc>
          <w:tcPr>
            <w:tcW w:type="dxa" w:w="1440"/>
            <w:shd w:fill="FFDCE0" w:val="clear"/>
          </w:tcPr>
          <w:p>
            <w:r>
              <w:rPr>
                <w:sz w:val="17"/>
              </w:rPr>
              <w:t>J+4  ⭐</w:t>
            </w:r>
          </w:p>
        </w:tc>
        <w:tc>
          <w:tcPr>
            <w:tcW w:type="dxa" w:w="1440"/>
            <w:shd w:fill="FFDCE0" w:val="clear"/>
          </w:tcPr>
          <w:p>
            <w:r>
              <w:rPr>
                <w:sz w:val="17"/>
              </w:rPr>
              <w:t>2026-09-15</w:t>
            </w:r>
          </w:p>
        </w:tc>
        <w:tc>
          <w:tcPr>
            <w:tcW w:type="dxa" w:w="1440"/>
            <w:shd w:fill="FFDCE0" w:val="clear"/>
          </w:tcPr>
          <w:p>
            <w:r>
              <w:rPr>
                <w:sz w:val="17"/>
              </w:rPr>
              <w:t>1,316</w:t>
            </w:r>
          </w:p>
        </w:tc>
        <w:tc>
          <w:tcPr>
            <w:tcW w:type="dxa" w:w="1440"/>
            <w:shd w:fill="FFDCE0" w:val="clear"/>
          </w:tcPr>
          <w:p>
            <w:r>
              <w:rPr>
                <w:b/>
                <w:sz w:val="17"/>
              </w:rPr>
              <w:t>1,458</w:t>
            </w:r>
          </w:p>
        </w:tc>
        <w:tc>
          <w:tcPr>
            <w:tcW w:type="dxa" w:w="1440"/>
            <w:shd w:fill="FFDCE0" w:val="clear"/>
          </w:tcPr>
          <w:p>
            <w:r>
              <w:rPr>
                <w:sz w:val="17"/>
              </w:rPr>
              <w:t>1,600</w:t>
            </w:r>
          </w:p>
        </w:tc>
        <w:tc>
          <w:tcPr>
            <w:tcW w:type="dxa" w:w="1440"/>
            <w:shd w:fill="FFDCE0" w:val="clear"/>
          </w:tcPr>
          <w:p>
            <w:r>
              <w:rPr>
                <w:b/>
                <w:color w:val="C00000"/>
                <w:sz w:val="17"/>
              </w:rPr>
              <w:t>-6.8%</w:t>
            </w:r>
          </w:p>
        </w:tc>
      </w:tr>
      <w:tr>
        <w:tc>
          <w:tcPr>
            <w:tcW w:type="dxa" w:w="1440"/>
            <w:shd w:fill="FFDCE0" w:val="clear"/>
          </w:tcPr>
          <w:p>
            <w:r>
              <w:rPr>
                <w:sz w:val="17"/>
              </w:rPr>
              <w:t>J+5  ⭐</w:t>
            </w:r>
          </w:p>
        </w:tc>
        <w:tc>
          <w:tcPr>
            <w:tcW w:type="dxa" w:w="1440"/>
            <w:shd w:fill="FFDCE0" w:val="clear"/>
          </w:tcPr>
          <w:p>
            <w:r>
              <w:rPr>
                <w:sz w:val="17"/>
              </w:rPr>
              <w:t>2026-09-16</w:t>
            </w:r>
          </w:p>
        </w:tc>
        <w:tc>
          <w:tcPr>
            <w:tcW w:type="dxa" w:w="1440"/>
            <w:shd w:fill="FFDCE0" w:val="clear"/>
          </w:tcPr>
          <w:p>
            <w:r>
              <w:rPr>
                <w:sz w:val="17"/>
              </w:rPr>
              <w:t>1,286</w:t>
            </w:r>
          </w:p>
        </w:tc>
        <w:tc>
          <w:tcPr>
            <w:tcW w:type="dxa" w:w="1440"/>
            <w:shd w:fill="FFDCE0" w:val="clear"/>
          </w:tcPr>
          <w:p>
            <w:r>
              <w:rPr>
                <w:b/>
                <w:sz w:val="17"/>
              </w:rPr>
              <w:t>1,443</w:t>
            </w:r>
          </w:p>
        </w:tc>
        <w:tc>
          <w:tcPr>
            <w:tcW w:type="dxa" w:w="1440"/>
            <w:shd w:fill="FFDCE0" w:val="clear"/>
          </w:tcPr>
          <w:p>
            <w:r>
              <w:rPr>
                <w:sz w:val="17"/>
              </w:rPr>
              <w:t>1,601</w:t>
            </w:r>
          </w:p>
        </w:tc>
        <w:tc>
          <w:tcPr>
            <w:tcW w:type="dxa" w:w="1440"/>
            <w:shd w:fill="FFDCE0" w:val="clear"/>
          </w:tcPr>
          <w:p>
            <w:r>
              <w:rPr>
                <w:b/>
                <w:color w:val="C00000"/>
                <w:sz w:val="17"/>
              </w:rPr>
              <w:t>-7.8%</w:t>
            </w:r>
          </w:p>
        </w:tc>
      </w:tr>
      <w:tr>
        <w:tc>
          <w:tcPr>
            <w:tcW w:type="dxa" w:w="1440"/>
            <w:shd w:fill="FFDCE0" w:val="clear"/>
          </w:tcPr>
          <w:p>
            <w:r>
              <w:rPr>
                <w:sz w:val="17"/>
              </w:rPr>
              <w:t>J+6  ⭐</w:t>
            </w:r>
          </w:p>
        </w:tc>
        <w:tc>
          <w:tcPr>
            <w:tcW w:type="dxa" w:w="1440"/>
            <w:shd w:fill="FFDCE0" w:val="clear"/>
          </w:tcPr>
          <w:p>
            <w:r>
              <w:rPr>
                <w:sz w:val="17"/>
              </w:rPr>
              <w:t>2026-09-17</w:t>
            </w:r>
          </w:p>
        </w:tc>
        <w:tc>
          <w:tcPr>
            <w:tcW w:type="dxa" w:w="1440"/>
            <w:shd w:fill="FFDCE0" w:val="clear"/>
          </w:tcPr>
          <w:p>
            <w:r>
              <w:rPr>
                <w:sz w:val="17"/>
              </w:rPr>
              <w:t>1,258</w:t>
            </w:r>
          </w:p>
        </w:tc>
        <w:tc>
          <w:tcPr>
            <w:tcW w:type="dxa" w:w="1440"/>
            <w:shd w:fill="FFDCE0" w:val="clear"/>
          </w:tcPr>
          <w:p>
            <w:r>
              <w:rPr>
                <w:b/>
                <w:sz w:val="17"/>
              </w:rPr>
              <w:t>1,429</w:t>
            </w:r>
          </w:p>
        </w:tc>
        <w:tc>
          <w:tcPr>
            <w:tcW w:type="dxa" w:w="1440"/>
            <w:shd w:fill="FFDCE0" w:val="clear"/>
          </w:tcPr>
          <w:p>
            <w:r>
              <w:rPr>
                <w:sz w:val="17"/>
              </w:rPr>
              <w:t>1,599</w:t>
            </w:r>
          </w:p>
        </w:tc>
        <w:tc>
          <w:tcPr>
            <w:tcW w:type="dxa" w:w="1440"/>
            <w:shd w:fill="FFDCE0" w:val="clear"/>
          </w:tcPr>
          <w:p>
            <w:r>
              <w:rPr>
                <w:b/>
                <w:color w:val="C00000"/>
                <w:sz w:val="17"/>
              </w:rPr>
              <w:t>-8.7%</w:t>
            </w:r>
          </w:p>
        </w:tc>
      </w:tr>
      <w:tr>
        <w:tc>
          <w:tcPr>
            <w:tcW w:type="dxa" w:w="1440"/>
            <w:shd w:fill="FFDCE0" w:val="clear"/>
          </w:tcPr>
          <w:p>
            <w:r>
              <w:rPr>
                <w:sz w:val="17"/>
              </w:rPr>
              <w:t>J+7  ⭐</w:t>
            </w:r>
          </w:p>
        </w:tc>
        <w:tc>
          <w:tcPr>
            <w:tcW w:type="dxa" w:w="1440"/>
            <w:shd w:fill="FFDCE0" w:val="clear"/>
          </w:tcPr>
          <w:p>
            <w:r>
              <w:rPr>
                <w:sz w:val="17"/>
              </w:rPr>
              <w:t>2026-09-18</w:t>
            </w:r>
          </w:p>
        </w:tc>
        <w:tc>
          <w:tcPr>
            <w:tcW w:type="dxa" w:w="1440"/>
            <w:shd w:fill="FFDCE0" w:val="clear"/>
          </w:tcPr>
          <w:p>
            <w:r>
              <w:rPr>
                <w:sz w:val="17"/>
              </w:rPr>
              <w:t>1,232</w:t>
            </w:r>
          </w:p>
        </w:tc>
        <w:tc>
          <w:tcPr>
            <w:tcW w:type="dxa" w:w="1440"/>
            <w:shd w:fill="FFDCE0" w:val="clear"/>
          </w:tcPr>
          <w:p>
            <w:r>
              <w:rPr>
                <w:b/>
                <w:sz w:val="17"/>
              </w:rPr>
              <w:t>1,415</w:t>
            </w:r>
          </w:p>
        </w:tc>
        <w:tc>
          <w:tcPr>
            <w:tcW w:type="dxa" w:w="1440"/>
            <w:shd w:fill="FFDCE0" w:val="clear"/>
          </w:tcPr>
          <w:p>
            <w:r>
              <w:rPr>
                <w:sz w:val="17"/>
              </w:rPr>
              <w:t>1,597</w:t>
            </w:r>
          </w:p>
        </w:tc>
        <w:tc>
          <w:tcPr>
            <w:tcW w:type="dxa" w:w="1440"/>
            <w:shd w:fill="FFDCE0" w:val="clear"/>
          </w:tcPr>
          <w:p>
            <w:r>
              <w:rPr>
                <w:b/>
                <w:color w:val="C00000"/>
                <w:sz w:val="17"/>
              </w:rPr>
              <w:t>-9.6%</w:t>
            </w:r>
          </w:p>
        </w:tc>
      </w:tr>
      <w:tr>
        <w:tc>
          <w:tcPr>
            <w:tcW w:type="dxa" w:w="1440"/>
            <w:shd w:fill="FFDCE0" w:val="clear"/>
          </w:tcPr>
          <w:p>
            <w:r>
              <w:rPr>
                <w:sz w:val="17"/>
              </w:rPr>
              <w:t>J+8  ⭐</w:t>
            </w:r>
          </w:p>
        </w:tc>
        <w:tc>
          <w:tcPr>
            <w:tcW w:type="dxa" w:w="1440"/>
            <w:shd w:fill="FFDCE0" w:val="clear"/>
          </w:tcPr>
          <w:p>
            <w:r>
              <w:rPr>
                <w:sz w:val="17"/>
              </w:rPr>
              <w:t>2026-09-21</w:t>
            </w:r>
          </w:p>
        </w:tc>
        <w:tc>
          <w:tcPr>
            <w:tcW w:type="dxa" w:w="1440"/>
            <w:shd w:fill="FFDCE0" w:val="clear"/>
          </w:tcPr>
          <w:p>
            <w:r>
              <w:rPr>
                <w:sz w:val="17"/>
              </w:rPr>
              <w:t>1,208</w:t>
            </w:r>
          </w:p>
        </w:tc>
        <w:tc>
          <w:tcPr>
            <w:tcW w:type="dxa" w:w="1440"/>
            <w:shd w:fill="FFDCE0" w:val="clear"/>
          </w:tcPr>
          <w:p>
            <w:r>
              <w:rPr>
                <w:b/>
                <w:sz w:val="17"/>
              </w:rPr>
              <w:t>1,401</w:t>
            </w:r>
          </w:p>
        </w:tc>
        <w:tc>
          <w:tcPr>
            <w:tcW w:type="dxa" w:w="1440"/>
            <w:shd w:fill="FFDCE0" w:val="clear"/>
          </w:tcPr>
          <w:p>
            <w:r>
              <w:rPr>
                <w:sz w:val="17"/>
              </w:rPr>
              <w:t>1,594</w:t>
            </w:r>
          </w:p>
        </w:tc>
        <w:tc>
          <w:tcPr>
            <w:tcW w:type="dxa" w:w="1440"/>
            <w:shd w:fill="FFDCE0" w:val="clear"/>
          </w:tcPr>
          <w:p>
            <w:r>
              <w:rPr>
                <w:b/>
                <w:color w:val="C00000"/>
                <w:sz w:val="17"/>
              </w:rPr>
              <w:t>-10.5%</w:t>
            </w:r>
          </w:p>
        </w:tc>
      </w:tr>
      <w:tr>
        <w:tc>
          <w:tcPr>
            <w:tcW w:type="dxa" w:w="1440"/>
            <w:shd w:fill="FFDCE0" w:val="clear"/>
          </w:tcPr>
          <w:p>
            <w:r>
              <w:rPr>
                <w:sz w:val="17"/>
              </w:rPr>
              <w:t>J+9  ⭐</w:t>
            </w:r>
          </w:p>
        </w:tc>
        <w:tc>
          <w:tcPr>
            <w:tcW w:type="dxa" w:w="1440"/>
            <w:shd w:fill="FFDCE0" w:val="clear"/>
          </w:tcPr>
          <w:p>
            <w:r>
              <w:rPr>
                <w:sz w:val="17"/>
              </w:rPr>
              <w:t>2026-09-22</w:t>
            </w:r>
          </w:p>
        </w:tc>
        <w:tc>
          <w:tcPr>
            <w:tcW w:type="dxa" w:w="1440"/>
            <w:shd w:fill="FFDCE0" w:val="clear"/>
          </w:tcPr>
          <w:p>
            <w:r>
              <w:rPr>
                <w:sz w:val="17"/>
              </w:rPr>
              <w:t>1,184</w:t>
            </w:r>
          </w:p>
        </w:tc>
        <w:tc>
          <w:tcPr>
            <w:tcW w:type="dxa" w:w="1440"/>
            <w:shd w:fill="FFDCE0" w:val="clear"/>
          </w:tcPr>
          <w:p>
            <w:r>
              <w:rPr>
                <w:b/>
                <w:sz w:val="17"/>
              </w:rPr>
              <w:t>1,387</w:t>
            </w:r>
          </w:p>
        </w:tc>
        <w:tc>
          <w:tcPr>
            <w:tcW w:type="dxa" w:w="1440"/>
            <w:shd w:fill="FFDCE0" w:val="clear"/>
          </w:tcPr>
          <w:p>
            <w:r>
              <w:rPr>
                <w:sz w:val="17"/>
              </w:rPr>
              <w:t>1,590</w:t>
            </w:r>
          </w:p>
        </w:tc>
        <w:tc>
          <w:tcPr>
            <w:tcW w:type="dxa" w:w="1440"/>
            <w:shd w:fill="FFDCE0" w:val="clear"/>
          </w:tcPr>
          <w:p>
            <w:r>
              <w:rPr>
                <w:b/>
                <w:color w:val="C00000"/>
                <w:sz w:val="17"/>
              </w:rPr>
              <w:t>-11.4%</w:t>
            </w:r>
          </w:p>
        </w:tc>
      </w:tr>
      <w:tr>
        <w:tc>
          <w:tcPr>
            <w:tcW w:type="dxa" w:w="1440"/>
            <w:shd w:fill="FFDCE0" w:val="clear"/>
          </w:tcPr>
          <w:p>
            <w:r>
              <w:rPr>
                <w:sz w:val="17"/>
              </w:rPr>
              <w:t>J+10  ⭐</w:t>
            </w:r>
          </w:p>
        </w:tc>
        <w:tc>
          <w:tcPr>
            <w:tcW w:type="dxa" w:w="1440"/>
            <w:shd w:fill="FFDCE0" w:val="clear"/>
          </w:tcPr>
          <w:p>
            <w:r>
              <w:rPr>
                <w:sz w:val="17"/>
              </w:rPr>
              <w:t>2026-09-23</w:t>
            </w:r>
          </w:p>
        </w:tc>
        <w:tc>
          <w:tcPr>
            <w:tcW w:type="dxa" w:w="1440"/>
            <w:shd w:fill="FFDCE0" w:val="clear"/>
          </w:tcPr>
          <w:p>
            <w:r>
              <w:rPr>
                <w:sz w:val="17"/>
              </w:rPr>
              <w:t>1,162</w:t>
            </w:r>
          </w:p>
        </w:tc>
        <w:tc>
          <w:tcPr>
            <w:tcW w:type="dxa" w:w="1440"/>
            <w:shd w:fill="FFDCE0" w:val="clear"/>
          </w:tcPr>
          <w:p>
            <w:r>
              <w:rPr>
                <w:b/>
                <w:sz w:val="17"/>
              </w:rPr>
              <w:t>1,374</w:t>
            </w:r>
          </w:p>
        </w:tc>
        <w:tc>
          <w:tcPr>
            <w:tcW w:type="dxa" w:w="1440"/>
            <w:shd w:fill="FFDCE0" w:val="clear"/>
          </w:tcPr>
          <w:p>
            <w:r>
              <w:rPr>
                <w:sz w:val="17"/>
              </w:rPr>
              <w:t>1,586</w:t>
            </w:r>
          </w:p>
        </w:tc>
        <w:tc>
          <w:tcPr>
            <w:tcW w:type="dxa" w:w="1440"/>
            <w:shd w:fill="FFDCE0" w:val="clear"/>
          </w:tcPr>
          <w:p>
            <w:r>
              <w:rPr>
                <w:b/>
                <w:color w:val="C00000"/>
                <w:sz w:val="17"/>
              </w:rPr>
              <w:t>-12.2%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ACTION SEMC (BRVM)**</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39,42 milliards FCFA, un niveau modeste à l'échelle de la BRVM qui positionne le titre dans la catégorie des valeurs moyennes, avec une liquidité limitée (volume moyen de 6 060 titres/jour). Les ratios de valorisation classiques (BPA, PER, P/B, EV/EBITDA) ne sont pas calculables en l'état, les données financières structurées nécessaires étant absentes de la base et le titre faisant l'objet d'une suspension de cote depuis janvier 2024 pour flottant insuffisant (10,42 % contre 15 % requis). Cette absence de ratios empêche toute appréciation directe du prix payé par rapport aux bénéfices ou à la valeur comptable, ce qui constitue en soi un facteur de risque informationnel pour l'investisseur. On peut néanmoins rappeler, à titre indicatif, que sur la base des exercices antérieurs à la restructuration, le titre se négociait historiquement avec un rendement dividende attractif (6,3 % en 2022), mais la politique de distribution est depuis tombée à zéro.</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SEMC affiche une variation totale de -17,20 %, matérialisant une tendance baissière de fond, malgré un rebond technique de +4,33 % lors de la dernière séance (J-1). Le titre a évolué dans un range de 540 FCFA, entre un plus bas de 1 350 FCFA et un plus haut de 1 890 FCFA, le cours actuel de 1 565 FCFA se situant dans la partie médiane-haute de cette fourchette. Les statistiques descriptives révèlent une moyenne de 1 536 FCFA légèrement supérieure à la médiane de 1 520 FCFA, avec un mode à 1 500 FCFA : cet écart modéré entre moyenne et médiane, combiné à un skewness positif de 1,185, indique une asymétrie à droite — autrement dit, davantage de journées de cotation se sont situées sous la moyenne, avec quelques pics haussiers tirant la moyenne vers le haut. L'écart-type de 84 FCFA et le coefficient de variation de 5,5 % traduisent une dispersion modérée du cours autour de sa moyenne, mais le kurtosis élevé de 3,043 (distribution leptokurtique) signale des queues épaisses, donc un risque accru de mouvements brusques et de pics de volatilité. La volatilité annualisée de 51,4 % classe le titre dans la catégorie des valeurs à volatilité élevée (&gt;30 %), ce qui est cohérent avec un marché peu liquide et un flottant réduit.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(1 532 FCFA) et la MM50 (1 497,6 FCFA) se situent toutes deux sous le cours actuel de 1 565 FCFA, avec une MM20 supérieure à la MM50 — configuration haussière de court terme. La décision technique est à l'**Achat**, le cours évoluant au-dessus de ses deux supports mobiles, ce qui suggère une reprise de momentum après la correction.</w:t>
      </w:r>
    </w:p>
    <w:p>
      <w:pPr>
        <w:spacing w:after="120" w:line="276" w:lineRule="auto"/>
      </w:pPr>
      <w:r>
        <w:t>**Bandes de Bollinger** : Le cours (1 565 FCFA) se situe entre la borne inférieure (1 444,677 FCFA) et la borne supérieure (1 619,323 FCFA), plus proche de la borne haute, sans franchissement. La décision est **Neutre**, le titre évoluant dans un canal de volatilité normale sans signal de rupture, la largeur des bandes reflétant une volatilité encore soutenue.</w:t>
      </w:r>
    </w:p>
    <w:p>
      <w:pPr>
        <w:spacing w:after="120" w:line="276" w:lineRule="auto"/>
      </w:pPr>
      <w:r>
        <w:t>**MACD** : La ligne MACD (10,78) est supérieure à sa ligne de signal (9,398), avec un histogramme positif — configuration haussière confirmée. La décision est à l'**Achat**, le momentum de court terme s'améliorant progressivement, bien que l'écart reste modéré.</w:t>
      </w:r>
    </w:p>
    <w:p>
      <w:pPr>
        <w:spacing w:after="120" w:line="276" w:lineRule="auto"/>
      </w:pPr>
      <w:r>
        <w:t>**RSI** : À 46,903, le RSI se situe en zone neutre (entre 30 et 70), sans signal de surachat ni de survente. La décision est **Neutre**, le titre disposant d'un potentiel de hausse sans être techniquement tendu, ce qui laisse de la marge avant un éventuel retournement.</w:t>
      </w:r>
    </w:p>
    <w:p>
      <w:pPr>
        <w:spacing w:after="120" w:line="276" w:lineRule="auto"/>
      </w:pPr>
      <w:r>
        <w:t>**Stochastique** : Le %K (82,143) est supérieur au %D (64,048), mais tous deux évoluent en zone haute (&gt;80 pour le %K), signalant un risque de surachat de court terme. La décision est à la **Vente**, le croisement potentiel à venir pouvant indiquer un essoufflement du rebond.</w:t>
      </w:r>
    </w:p>
    <w:p>
      <w:pPr>
        <w:spacing w:after="120" w:line="276" w:lineRule="auto"/>
      </w:pPr>
      <w:r>
        <w:t>**Conclusion technique** : Les indicateurs sont majoritairement haussiers (MM, MACD) mais tempérés par des signaux de prudence (Stochastique en zone de surachat, RSI neutre, Bollinger neutre). Le rebond de +4,33 % en J-1 semble soutenu par le momentum, mais la configuration du stochastique invite à la prudence quant à sa durabilité à très court terme. La convergence partielle des signaux plaide pour une consolidation avant une éventuelle poursuite haussière.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officielles ne sont pas disponibles dans la base pour SEMC, mais les rapports financiers officiels fournis (exercices 2022, T1 2023 et 2023) permettent une analyse approfondie. **En 2022**, le chiffre d'affaires consolidé s'élevait à 125,4 milliards FCFA (contre 110,2 milliards en 2021, soit +13,8 %), pour un résultat net de 12,8 milliards FCFA (+18,5 %), une marge nette de 10,2 %, un ROE de 18,4 % et un ROA de 9,2 %, avec une dette nette/EBITDA maîtrisée à 1,6x. **Au T1 2023** (rapport du 31/12/2023), le CA atteignait 7,65 milliards FCFA (+16,5 %) pour un résultat net de 855,65 millions FCFA (+37,9 %) et une marge nette de 11,2 %, confirmant la dynamique positive. **Cependant, l'exercice 2023** (rapport du 31/12/2023) marque une rupture brutale : le CA recule à 27,88 milliards FCFA (-6 %), le résultat net s'effondre à 1,01 milliard FCFA (-74 %), la marge nette chute à 3,6 % (vs 13,0 % en 2022) et le dividende est ramené à 0 FCFA. Cette dégradation s'explique par la perte de clients clés (AIRONE : -81 % du CA Poisson), l'effondrement du segment Tomate et la concurrence du PET. Le rapport 2023 signale en outre la suspension de la cote BRVM depuis janvier 2024 (flottant insuffisant) et le rachat par Sonoco Products Company finalisé en décembre 2024, qui pourrait apporter des synergies mais aussi un risque de dilution. On estime, sur la base des objectifs affichés dans le rapport 2023, que l'exercice 2024 visait un CA de 32 milliards FCFA (+18 %), porté par les bouchons couronnes (+61 % en volume) et les exportations vers le Sénégal — mais ces projections n'ont pas été confirmées par des états financiers ultérieurs disponibles. **En synthèse**, la solidité historique de SEMC (ROE 18,4 % en 2022) s'est fortement dégradée en 2023, et l'absence de données 2024-2025 ne permet pas de valider la reprise annoncée ; le profil fondamental est donc fragile, avec un risque opérationnel et stratégique élevé.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ne peut être appréciée faute de ratios calculables, mais l'absence de dividende et la suspension de cote constituent des signaux négatifs. Le comportement du cours (Partie 1) est baissier sur 100 jours (-17,20 %), avec une volatilité élevée (51,4 %), un kurtosis leptokurtique (3,043) et un skewness positif (1,185) qui traduisent un risque de pics et une asymétrie défavorable — des statistiques préoccupantes pour un investisseur averse au risque. Les signaux techniques (Partie 2) sont mitigés : MM et MACD haussiers, mais Stochastique en zone de surachat et RSI neutre, plaidant pour une consolidation plutôt qu'une tendance franche. Les fondamentaux (Partie 3) se sont nettement dégradés en 2023 (résultat net -74 %, marge nette à 3,6 %, dividende nul), et les rapports disponibles datent de 2023-2024 sans confirmation des objectifs 2024. Les prédictions IA (J+1 à J+10) anticipent une trajectoire baissière continue, de 1 496 FCFA à 1 443 FCFA, ce qui **contredit** les signaux techniques haussiers de court terme et **confirme** la tendance baissière de fond ainsi que la fragilité fondamentale. Compte tenu de la divergence entre un rebond technique ponctuel et une dégradation fondamentale avérée, de l'absence de dividende, de la suspension de cote et de la trajectoire baissière prédite, la recommandation finale est **VENTE** (ou **CONSERVER** pour les porteurs déjà en position, avec vigilance extrême). Le niveau de confiance est **Moyen** (données fondamentales anciennes et incomplètes), et le niveau de risque global est **Élevé** (volatilité, illiquidité, incertitude stratégique post-rachat). L'horizon d'investissement recommandé est **court terme** pour les positions spéculatives, la prudence commandant d'éviter toute exposition de moyen-long terme tant que la reprise annoncée n'est pas confirmée par des états financiers récents et la levée de la suspension de cote.</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1209.29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5,545 titres</w:t>
            </w:r>
          </w:p>
        </w:tc>
        <w:tc>
          <w:tcPr>
            <w:tcW w:type="dxa" w:w="2268"/>
            <w:shd w:fill="FFF2CC" w:val="clear"/>
          </w:tcPr>
          <w:p>
            <w:r>
              <w:rPr>
                <w:b/>
                <w:color w:val="503200"/>
                <w:sz w:val="16"/>
              </w:rPr>
              <w:t xml:space="preserve">Cours actuel : </w:t>
            </w:r>
            <w:r>
              <w:rPr>
                <w:color w:val="000000"/>
                <w:sz w:val="17"/>
              </w:rPr>
              <w:t>38,870 FCFA</w:t>
            </w:r>
          </w:p>
          <w:p>
            <w:r>
              <w:rPr>
                <w:b/>
                <w:color w:val="503200"/>
                <w:sz w:val="16"/>
              </w:rPr>
              <w:t xml:space="preserve">Var. 100 jours : </w:t>
            </w:r>
            <w:r>
              <w:rPr>
                <w:b/>
                <w:color w:val="007800"/>
                <w:sz w:val="17"/>
              </w:rPr>
              <w:t>+17.79%</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5.09% (Moyenne) — μ=37,388 FCFA, σ=1,904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β=0.5923 (Défensif) — Cov=0.000022, Var(idx)=0.000036, ρ=0.235,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5,545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σ_j=1.50%/j (Stable) — Vol. annualisée≈23.9%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2026-09-10</w:t>
            </w:r>
          </w:p>
        </w:tc>
        <w:tc>
          <w:tcPr>
            <w:tcW w:type="dxa" w:w="1440"/>
            <w:shd w:fill="FAFAFA" w:val="clear"/>
          </w:tcPr>
          <w:p>
            <w:r>
              <w:rPr>
                <w:sz w:val="17"/>
              </w:rPr>
              <w:t>37,487</w:t>
            </w:r>
          </w:p>
        </w:tc>
        <w:tc>
          <w:tcPr>
            <w:tcW w:type="dxa" w:w="1440"/>
            <w:shd w:fill="FAFAFA" w:val="clear"/>
          </w:tcPr>
          <w:p>
            <w:r>
              <w:rPr>
                <w:b/>
                <w:sz w:val="17"/>
              </w:rPr>
              <w:t>38,360</w:t>
            </w:r>
          </w:p>
        </w:tc>
        <w:tc>
          <w:tcPr>
            <w:tcW w:type="dxa" w:w="1440"/>
            <w:shd w:fill="FAFAFA" w:val="clear"/>
          </w:tcPr>
          <w:p>
            <w:r>
              <w:rPr>
                <w:sz w:val="17"/>
              </w:rPr>
              <w:t>39,233</w:t>
            </w:r>
          </w:p>
        </w:tc>
        <w:tc>
          <w:tcPr>
            <w:tcW w:type="dxa" w:w="1440"/>
            <w:shd w:fill="FAFAFA" w:val="clear"/>
          </w:tcPr>
          <w:p>
            <w:r>
              <w:rPr>
                <w:b/>
                <w:color w:val="C00000"/>
                <w:sz w:val="17"/>
              </w:rPr>
              <w:t>-1.3%</w:t>
            </w:r>
          </w:p>
        </w:tc>
      </w:tr>
      <w:tr>
        <w:tc>
          <w:tcPr>
            <w:tcW w:type="dxa" w:w="1440"/>
            <w:shd w:fill="FAFAFA" w:val="clear"/>
          </w:tcPr>
          <w:p>
            <w:r>
              <w:rPr>
                <w:sz w:val="17"/>
              </w:rPr>
              <w:t>J+2  ⭐⭐⭐</w:t>
            </w:r>
          </w:p>
        </w:tc>
        <w:tc>
          <w:tcPr>
            <w:tcW w:type="dxa" w:w="1440"/>
            <w:shd w:fill="FAFAFA" w:val="clear"/>
          </w:tcPr>
          <w:p>
            <w:r>
              <w:rPr>
                <w:sz w:val="17"/>
              </w:rPr>
              <w:t>2026-09-11</w:t>
            </w:r>
          </w:p>
        </w:tc>
        <w:tc>
          <w:tcPr>
            <w:tcW w:type="dxa" w:w="1440"/>
            <w:shd w:fill="FAFAFA" w:val="clear"/>
          </w:tcPr>
          <w:p>
            <w:r>
              <w:rPr>
                <w:sz w:val="17"/>
              </w:rPr>
              <w:t>37,038</w:t>
            </w:r>
          </w:p>
        </w:tc>
        <w:tc>
          <w:tcPr>
            <w:tcW w:type="dxa" w:w="1440"/>
            <w:shd w:fill="FAFAFA" w:val="clear"/>
          </w:tcPr>
          <w:p>
            <w:r>
              <w:rPr>
                <w:b/>
                <w:sz w:val="17"/>
              </w:rPr>
              <w:t>38,270</w:t>
            </w:r>
          </w:p>
        </w:tc>
        <w:tc>
          <w:tcPr>
            <w:tcW w:type="dxa" w:w="1440"/>
            <w:shd w:fill="FAFAFA" w:val="clear"/>
          </w:tcPr>
          <w:p>
            <w:r>
              <w:rPr>
                <w:sz w:val="17"/>
              </w:rPr>
              <w:t>39,501</w:t>
            </w:r>
          </w:p>
        </w:tc>
        <w:tc>
          <w:tcPr>
            <w:tcW w:type="dxa" w:w="1440"/>
            <w:shd w:fill="FAFAFA" w:val="clear"/>
          </w:tcPr>
          <w:p>
            <w:r>
              <w:rPr>
                <w:b/>
                <w:color w:val="C00000"/>
                <w:sz w:val="17"/>
              </w:rPr>
              <w:t>-1.5%</w:t>
            </w:r>
          </w:p>
        </w:tc>
      </w:tr>
      <w:tr>
        <w:tc>
          <w:tcPr>
            <w:tcW w:type="dxa" w:w="1440"/>
            <w:shd w:fill="FAFAFA" w:val="clear"/>
          </w:tcPr>
          <w:p>
            <w:r>
              <w:rPr>
                <w:sz w:val="17"/>
              </w:rPr>
              <w:t>J+3  ⭐⭐⭐</w:t>
            </w:r>
          </w:p>
        </w:tc>
        <w:tc>
          <w:tcPr>
            <w:tcW w:type="dxa" w:w="1440"/>
            <w:shd w:fill="FAFAFA" w:val="clear"/>
          </w:tcPr>
          <w:p>
            <w:r>
              <w:rPr>
                <w:sz w:val="17"/>
              </w:rPr>
              <w:t>2026-09-14</w:t>
            </w:r>
          </w:p>
        </w:tc>
        <w:tc>
          <w:tcPr>
            <w:tcW w:type="dxa" w:w="1440"/>
            <w:shd w:fill="FAFAFA" w:val="clear"/>
          </w:tcPr>
          <w:p>
            <w:r>
              <w:rPr>
                <w:sz w:val="17"/>
              </w:rPr>
              <w:t>36,664</w:t>
            </w:r>
          </w:p>
        </w:tc>
        <w:tc>
          <w:tcPr>
            <w:tcW w:type="dxa" w:w="1440"/>
            <w:shd w:fill="FAFAFA" w:val="clear"/>
          </w:tcPr>
          <w:p>
            <w:r>
              <w:rPr>
                <w:b/>
                <w:sz w:val="17"/>
              </w:rPr>
              <w:t>38,169</w:t>
            </w:r>
          </w:p>
        </w:tc>
        <w:tc>
          <w:tcPr>
            <w:tcW w:type="dxa" w:w="1440"/>
            <w:shd w:fill="FAFAFA" w:val="clear"/>
          </w:tcPr>
          <w:p>
            <w:r>
              <w:rPr>
                <w:sz w:val="17"/>
              </w:rPr>
              <w:t>39,674</w:t>
            </w:r>
          </w:p>
        </w:tc>
        <w:tc>
          <w:tcPr>
            <w:tcW w:type="dxa" w:w="1440"/>
            <w:shd w:fill="FAFAFA" w:val="clear"/>
          </w:tcPr>
          <w:p>
            <w:r>
              <w:rPr>
                <w:b/>
                <w:color w:val="C00000"/>
                <w:sz w:val="17"/>
              </w:rPr>
              <w:t>-1.8%</w:t>
            </w:r>
          </w:p>
        </w:tc>
      </w:tr>
      <w:tr>
        <w:tc>
          <w:tcPr>
            <w:tcW w:type="dxa" w:w="1440"/>
            <w:shd w:fill="FFDCE0" w:val="clear"/>
          </w:tcPr>
          <w:p>
            <w:r>
              <w:rPr>
                <w:sz w:val="17"/>
              </w:rPr>
              <w:t>J+4  Moyenne</w:t>
            </w:r>
          </w:p>
        </w:tc>
        <w:tc>
          <w:tcPr>
            <w:tcW w:type="dxa" w:w="1440"/>
            <w:shd w:fill="FFDCE0" w:val="clear"/>
          </w:tcPr>
          <w:p>
            <w:r>
              <w:rPr>
                <w:sz w:val="17"/>
              </w:rPr>
              <w:t>2026-09-15</w:t>
            </w:r>
          </w:p>
        </w:tc>
        <w:tc>
          <w:tcPr>
            <w:tcW w:type="dxa" w:w="1440"/>
            <w:shd w:fill="FFDCE0" w:val="clear"/>
          </w:tcPr>
          <w:p>
            <w:r>
              <w:rPr>
                <w:sz w:val="17"/>
              </w:rPr>
              <w:t>36,341</w:t>
            </w:r>
          </w:p>
        </w:tc>
        <w:tc>
          <w:tcPr>
            <w:tcW w:type="dxa" w:w="1440"/>
            <w:shd w:fill="FFDCE0" w:val="clear"/>
          </w:tcPr>
          <w:p>
            <w:r>
              <w:rPr>
                <w:b/>
                <w:sz w:val="17"/>
              </w:rPr>
              <w:t>38,074</w:t>
            </w:r>
          </w:p>
        </w:tc>
        <w:tc>
          <w:tcPr>
            <w:tcW w:type="dxa" w:w="1440"/>
            <w:shd w:fill="FFDCE0" w:val="clear"/>
          </w:tcPr>
          <w:p>
            <w:r>
              <w:rPr>
                <w:sz w:val="17"/>
              </w:rPr>
              <w:t>39,807</w:t>
            </w:r>
          </w:p>
        </w:tc>
        <w:tc>
          <w:tcPr>
            <w:tcW w:type="dxa" w:w="1440"/>
            <w:shd w:fill="FFDCE0" w:val="clear"/>
          </w:tcPr>
          <w:p>
            <w:r>
              <w:rPr>
                <w:b/>
                <w:color w:val="C00000"/>
                <w:sz w:val="17"/>
              </w:rPr>
              <w:t>-2.0%</w:t>
            </w:r>
          </w:p>
        </w:tc>
      </w:tr>
      <w:tr>
        <w:tc>
          <w:tcPr>
            <w:tcW w:type="dxa" w:w="1440"/>
            <w:shd w:fill="FFDCE0" w:val="clear"/>
          </w:tcPr>
          <w:p>
            <w:r>
              <w:rPr>
                <w:sz w:val="17"/>
              </w:rPr>
              <w:t>J+5  Moyenne</w:t>
            </w:r>
          </w:p>
        </w:tc>
        <w:tc>
          <w:tcPr>
            <w:tcW w:type="dxa" w:w="1440"/>
            <w:shd w:fill="FFDCE0" w:val="clear"/>
          </w:tcPr>
          <w:p>
            <w:r>
              <w:rPr>
                <w:sz w:val="17"/>
              </w:rPr>
              <w:t>2026-09-16</w:t>
            </w:r>
          </w:p>
        </w:tc>
        <w:tc>
          <w:tcPr>
            <w:tcW w:type="dxa" w:w="1440"/>
            <w:shd w:fill="FFDCE0" w:val="clear"/>
          </w:tcPr>
          <w:p>
            <w:r>
              <w:rPr>
                <w:sz w:val="17"/>
              </w:rPr>
              <w:t>36,051</w:t>
            </w:r>
          </w:p>
        </w:tc>
        <w:tc>
          <w:tcPr>
            <w:tcW w:type="dxa" w:w="1440"/>
            <w:shd w:fill="FFDCE0" w:val="clear"/>
          </w:tcPr>
          <w:p>
            <w:r>
              <w:rPr>
                <w:b/>
                <w:sz w:val="17"/>
              </w:rPr>
              <w:t>37,984</w:t>
            </w:r>
          </w:p>
        </w:tc>
        <w:tc>
          <w:tcPr>
            <w:tcW w:type="dxa" w:w="1440"/>
            <w:shd w:fill="FFDCE0" w:val="clear"/>
          </w:tcPr>
          <w:p>
            <w:r>
              <w:rPr>
                <w:sz w:val="17"/>
              </w:rPr>
              <w:t>39,918</w:t>
            </w:r>
          </w:p>
        </w:tc>
        <w:tc>
          <w:tcPr>
            <w:tcW w:type="dxa" w:w="1440"/>
            <w:shd w:fill="FFDCE0" w:val="clear"/>
          </w:tcPr>
          <w:p>
            <w:r>
              <w:rPr>
                <w:b/>
                <w:color w:val="C00000"/>
                <w:sz w:val="17"/>
              </w:rPr>
              <w:t>-2.3%</w:t>
            </w:r>
          </w:p>
        </w:tc>
      </w:tr>
      <w:tr>
        <w:tc>
          <w:tcPr>
            <w:tcW w:type="dxa" w:w="1440"/>
            <w:shd w:fill="FFDCE0" w:val="clear"/>
          </w:tcPr>
          <w:p>
            <w:r>
              <w:rPr>
                <w:sz w:val="17"/>
              </w:rPr>
              <w:t>J+6  Moyenne</w:t>
            </w:r>
          </w:p>
        </w:tc>
        <w:tc>
          <w:tcPr>
            <w:tcW w:type="dxa" w:w="1440"/>
            <w:shd w:fill="FFDCE0" w:val="clear"/>
          </w:tcPr>
          <w:p>
            <w:r>
              <w:rPr>
                <w:sz w:val="17"/>
              </w:rPr>
              <w:t>2026-09-17</w:t>
            </w:r>
          </w:p>
        </w:tc>
        <w:tc>
          <w:tcPr>
            <w:tcW w:type="dxa" w:w="1440"/>
            <w:shd w:fill="FFDCE0" w:val="clear"/>
          </w:tcPr>
          <w:p>
            <w:r>
              <w:rPr>
                <w:sz w:val="17"/>
              </w:rPr>
              <w:t>35,786</w:t>
            </w:r>
          </w:p>
        </w:tc>
        <w:tc>
          <w:tcPr>
            <w:tcW w:type="dxa" w:w="1440"/>
            <w:shd w:fill="FFDCE0" w:val="clear"/>
          </w:tcPr>
          <w:p>
            <w:r>
              <w:rPr>
                <w:b/>
                <w:sz w:val="17"/>
              </w:rPr>
              <w:t>37,899</w:t>
            </w:r>
          </w:p>
        </w:tc>
        <w:tc>
          <w:tcPr>
            <w:tcW w:type="dxa" w:w="1440"/>
            <w:shd w:fill="FFDCE0" w:val="clear"/>
          </w:tcPr>
          <w:p>
            <w:r>
              <w:rPr>
                <w:sz w:val="17"/>
              </w:rPr>
              <w:t>40,012</w:t>
            </w:r>
          </w:p>
        </w:tc>
        <w:tc>
          <w:tcPr>
            <w:tcW w:type="dxa" w:w="1440"/>
            <w:shd w:fill="FFDCE0" w:val="clear"/>
          </w:tcPr>
          <w:p>
            <w:r>
              <w:rPr>
                <w:b/>
                <w:color w:val="C00000"/>
                <w:sz w:val="17"/>
              </w:rPr>
              <w:t>-2.5%</w:t>
            </w:r>
          </w:p>
        </w:tc>
      </w:tr>
      <w:tr>
        <w:tc>
          <w:tcPr>
            <w:tcW w:type="dxa" w:w="1440"/>
            <w:shd w:fill="FFDCE0" w:val="clear"/>
          </w:tcPr>
          <w:p>
            <w:r>
              <w:rPr>
                <w:sz w:val="17"/>
              </w:rPr>
              <w:t>J+7  Moyenne</w:t>
            </w:r>
          </w:p>
        </w:tc>
        <w:tc>
          <w:tcPr>
            <w:tcW w:type="dxa" w:w="1440"/>
            <w:shd w:fill="FFDCE0" w:val="clear"/>
          </w:tcPr>
          <w:p>
            <w:r>
              <w:rPr>
                <w:sz w:val="17"/>
              </w:rPr>
              <w:t>2026-09-18</w:t>
            </w:r>
          </w:p>
        </w:tc>
        <w:tc>
          <w:tcPr>
            <w:tcW w:type="dxa" w:w="1440"/>
            <w:shd w:fill="FFDCE0" w:val="clear"/>
          </w:tcPr>
          <w:p>
            <w:r>
              <w:rPr>
                <w:sz w:val="17"/>
              </w:rPr>
              <w:t>35,539</w:t>
            </w:r>
          </w:p>
        </w:tc>
        <w:tc>
          <w:tcPr>
            <w:tcW w:type="dxa" w:w="1440"/>
            <w:shd w:fill="FFDCE0" w:val="clear"/>
          </w:tcPr>
          <w:p>
            <w:r>
              <w:rPr>
                <w:b/>
                <w:sz w:val="17"/>
              </w:rPr>
              <w:t>37,817</w:t>
            </w:r>
          </w:p>
        </w:tc>
        <w:tc>
          <w:tcPr>
            <w:tcW w:type="dxa" w:w="1440"/>
            <w:shd w:fill="FFDCE0" w:val="clear"/>
          </w:tcPr>
          <w:p>
            <w:r>
              <w:rPr>
                <w:sz w:val="17"/>
              </w:rPr>
              <w:t>40,094</w:t>
            </w:r>
          </w:p>
        </w:tc>
        <w:tc>
          <w:tcPr>
            <w:tcW w:type="dxa" w:w="1440"/>
            <w:shd w:fill="FFDCE0" w:val="clear"/>
          </w:tcPr>
          <w:p>
            <w:r>
              <w:rPr>
                <w:b/>
                <w:color w:val="C00000"/>
                <w:sz w:val="17"/>
              </w:rPr>
              <w:t>-2.7%</w:t>
            </w:r>
          </w:p>
        </w:tc>
      </w:tr>
      <w:tr>
        <w:tc>
          <w:tcPr>
            <w:tcW w:type="dxa" w:w="1440"/>
            <w:shd w:fill="FFDCE0" w:val="clear"/>
          </w:tcPr>
          <w:p>
            <w:r>
              <w:rPr>
                <w:sz w:val="17"/>
              </w:rPr>
              <w:t>J+8  Moyenne</w:t>
            </w:r>
          </w:p>
        </w:tc>
        <w:tc>
          <w:tcPr>
            <w:tcW w:type="dxa" w:w="1440"/>
            <w:shd w:fill="FFDCE0" w:val="clear"/>
          </w:tcPr>
          <w:p>
            <w:r>
              <w:rPr>
                <w:sz w:val="17"/>
              </w:rPr>
              <w:t>2026-09-21</w:t>
            </w:r>
          </w:p>
        </w:tc>
        <w:tc>
          <w:tcPr>
            <w:tcW w:type="dxa" w:w="1440"/>
            <w:shd w:fill="FFDCE0" w:val="clear"/>
          </w:tcPr>
          <w:p>
            <w:r>
              <w:rPr>
                <w:sz w:val="17"/>
              </w:rPr>
              <w:t>35,307</w:t>
            </w:r>
          </w:p>
        </w:tc>
        <w:tc>
          <w:tcPr>
            <w:tcW w:type="dxa" w:w="1440"/>
            <w:shd w:fill="FFDCE0" w:val="clear"/>
          </w:tcPr>
          <w:p>
            <w:r>
              <w:rPr>
                <w:b/>
                <w:sz w:val="17"/>
              </w:rPr>
              <w:t>37,737</w:t>
            </w:r>
          </w:p>
        </w:tc>
        <w:tc>
          <w:tcPr>
            <w:tcW w:type="dxa" w:w="1440"/>
            <w:shd w:fill="FFDCE0" w:val="clear"/>
          </w:tcPr>
          <w:p>
            <w:r>
              <w:rPr>
                <w:sz w:val="17"/>
              </w:rPr>
              <w:t>40,166</w:t>
            </w:r>
          </w:p>
        </w:tc>
        <w:tc>
          <w:tcPr>
            <w:tcW w:type="dxa" w:w="1440"/>
            <w:shd w:fill="FFDCE0" w:val="clear"/>
          </w:tcPr>
          <w:p>
            <w:r>
              <w:rPr>
                <w:b/>
                <w:color w:val="C00000"/>
                <w:sz w:val="17"/>
              </w:rPr>
              <w:t>-2.9%</w:t>
            </w:r>
          </w:p>
        </w:tc>
      </w:tr>
      <w:tr>
        <w:tc>
          <w:tcPr>
            <w:tcW w:type="dxa" w:w="1440"/>
            <w:shd w:fill="FFDCE0" w:val="clear"/>
          </w:tcPr>
          <w:p>
            <w:r>
              <w:rPr>
                <w:sz w:val="17"/>
              </w:rPr>
              <w:t>J+9  Moyenne</w:t>
            </w:r>
          </w:p>
        </w:tc>
        <w:tc>
          <w:tcPr>
            <w:tcW w:type="dxa" w:w="1440"/>
            <w:shd w:fill="FFDCE0" w:val="clear"/>
          </w:tcPr>
          <w:p>
            <w:r>
              <w:rPr>
                <w:sz w:val="17"/>
              </w:rPr>
              <w:t>2026-09-22</w:t>
            </w:r>
          </w:p>
        </w:tc>
        <w:tc>
          <w:tcPr>
            <w:tcW w:type="dxa" w:w="1440"/>
            <w:shd w:fill="FFDCE0" w:val="clear"/>
          </w:tcPr>
          <w:p>
            <w:r>
              <w:rPr>
                <w:sz w:val="17"/>
              </w:rPr>
              <w:t>35,087</w:t>
            </w:r>
          </w:p>
        </w:tc>
        <w:tc>
          <w:tcPr>
            <w:tcW w:type="dxa" w:w="1440"/>
            <w:shd w:fill="FFDCE0" w:val="clear"/>
          </w:tcPr>
          <w:p>
            <w:r>
              <w:rPr>
                <w:b/>
                <w:sz w:val="17"/>
              </w:rPr>
              <w:t>37,658</w:t>
            </w:r>
          </w:p>
        </w:tc>
        <w:tc>
          <w:tcPr>
            <w:tcW w:type="dxa" w:w="1440"/>
            <w:shd w:fill="FFDCE0" w:val="clear"/>
          </w:tcPr>
          <w:p>
            <w:r>
              <w:rPr>
                <w:sz w:val="17"/>
              </w:rPr>
              <w:t>40,229</w:t>
            </w:r>
          </w:p>
        </w:tc>
        <w:tc>
          <w:tcPr>
            <w:tcW w:type="dxa" w:w="1440"/>
            <w:shd w:fill="FFDCE0" w:val="clear"/>
          </w:tcPr>
          <w:p>
            <w:r>
              <w:rPr>
                <w:b/>
                <w:color w:val="C00000"/>
                <w:sz w:val="17"/>
              </w:rPr>
              <w:t>-3.1%</w:t>
            </w:r>
          </w:p>
        </w:tc>
      </w:tr>
      <w:tr>
        <w:tc>
          <w:tcPr>
            <w:tcW w:type="dxa" w:w="1440"/>
            <w:shd w:fill="FFDCE0" w:val="clear"/>
          </w:tcPr>
          <w:p>
            <w:r>
              <w:rPr>
                <w:sz w:val="17"/>
              </w:rPr>
              <w:t>J+10  Moyenne</w:t>
            </w:r>
          </w:p>
        </w:tc>
        <w:tc>
          <w:tcPr>
            <w:tcW w:type="dxa" w:w="1440"/>
            <w:shd w:fill="FFDCE0" w:val="clear"/>
          </w:tcPr>
          <w:p>
            <w:r>
              <w:rPr>
                <w:sz w:val="17"/>
              </w:rPr>
              <w:t>2026-09-23</w:t>
            </w:r>
          </w:p>
        </w:tc>
        <w:tc>
          <w:tcPr>
            <w:tcW w:type="dxa" w:w="1440"/>
            <w:shd w:fill="FFDCE0" w:val="clear"/>
          </w:tcPr>
          <w:p>
            <w:r>
              <w:rPr>
                <w:sz w:val="17"/>
              </w:rPr>
              <w:t>34,876</w:t>
            </w:r>
          </w:p>
        </w:tc>
        <w:tc>
          <w:tcPr>
            <w:tcW w:type="dxa" w:w="1440"/>
            <w:shd w:fill="FFDCE0" w:val="clear"/>
          </w:tcPr>
          <w:p>
            <w:r>
              <w:rPr>
                <w:b/>
                <w:sz w:val="17"/>
              </w:rPr>
              <w:t>37,581</w:t>
            </w:r>
          </w:p>
        </w:tc>
        <w:tc>
          <w:tcPr>
            <w:tcW w:type="dxa" w:w="1440"/>
            <w:shd w:fill="FFDCE0" w:val="clear"/>
          </w:tcPr>
          <w:p>
            <w:r>
              <w:rPr>
                <w:sz w:val="17"/>
              </w:rPr>
              <w:t>40,286</w:t>
            </w:r>
          </w:p>
        </w:tc>
        <w:tc>
          <w:tcPr>
            <w:tcW w:type="dxa" w:w="1440"/>
            <w:shd w:fill="FFDCE0" w:val="clear"/>
          </w:tcPr>
          <w:p>
            <w:r>
              <w:rPr>
                <w:b/>
                <w:color w:val="C00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**RAPPORT D'ANALYSE FINANCIÈRE — SGBC (SOCIÉTÉ GÉNÉRALE CÔTE D'IVOIRE)**</w:t>
        <w:br/>
        <w:t>*Marché : BRVM | Secteur : Banque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1 209,29 milliards FCFA, SGBC figure parmi les poids lourds de la BRVM, ce qui en fait un pilier de l'indice composite et un titre de référence pour les investisseurs institutionnels de la zone UEMOA. Le BPA de 3 258 FCFA/action signifie que chaque titre génère plus de 3 200 FCFA de bénéfice net, un niveau exceptionnel qui traduit la forte rentabilité de la banque. Le PER de 11,9x se situe dans la fourchette haute de la moyenne BRVM (~8-12x), indiquant que le marché paie un léger premium pour la qualité et la régularité des résultats, sans pour autant basculer dans la surévaluation. Le P/B de 2,44x montre que le marché valorise SGBC à plus du double de sa valeur comptable, une prime de croissance justifiée par un ROE supérieur à 20%. En revanche, l'EV/EBITDA de 24,7x apparaît très exigeant (&gt;15x), signalant que la valeur d'entreprise intègre déjà une partie significative des anticipations de croissance future, ce qui limite le potentiel d'appréciation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SGBC a enregistré une progression totale de +17,79%, avec une dernière séance quasi stable (+0,18%), confirmant une dynamique haussière maîtrisée. Le cours actuel de 38 870 FCFA se situe dans la partie haute du range de trading établi entre 32 800 FCFA (plus bas) et 39 300 FCFA (plus haut), soit une amplitude de 6 500 FCFA qui témoigne d'une tendance clairement haussière sur la période. La moyenne de 37 388 FCFA est légèrement inférieure à la médiane de 38 000 FCFA, ce qui révèle une asymétrie négative : les cours ont passé plus de temps au-dessus de la moyenne, confirmant la robustesse du mouvement haussier. L'écart-type de 1 914 FCFA avec un coefficient de variation de seulement 5,1% indique une dispersion très faible du cours, gage de stabilité et de faible nervosité. Le kurtosis de -0,017 (mésokurtique) signifie que la distribution des rendements est proche d'une loi normale, sans risque de pics extrêmes marqués, tandis que le skewness de -1,108 (asymétrie négative) confirme une prédominance de journées au-dessus de la moyenne, favorable aux détenteurs. Enfin, la volatilité annualisée de 23,9% classe SGBC dans la catégorie des titres à volatilité modérée (15-30%), un profil rassurant pour une valeur bancaire de premier rang.</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(38 623,75 FCFA) et la MM50 (38 430,30 FCFA) se situent toutes deux sous le cours actuel (38 870 FCFA), avec la MM20 au-dessus de la MM50, configuration typique d'un croisement haussier (golden cross). Cette disposition confirme la décision d'**Achat**, le titre évoluant au-dessus de ses supports dynamiques.</w:t>
      </w:r>
    </w:p>
    <w:p>
      <w:pPr>
        <w:spacing w:after="120" w:line="276" w:lineRule="auto"/>
      </w:pPr>
      <w:r>
        <w:t>**Bandes de Bollinger** : Le cours (38 870 FCFA) se situe dans la partie supérieure de la bande, entre la borne inférieure (37 597,29 FCFA) et la borne supérieure (39 650,22 FCFA), sans la franchir. Cette position médiane-haute traduit une volatilité contenue et justifie la décision **Neutre**, le titre n'étant ni en suraccélération ni en zone de survente.</w:t>
      </w:r>
    </w:p>
    <w:p>
      <w:pPr>
        <w:spacing w:after="120" w:line="276" w:lineRule="auto"/>
      </w:pPr>
      <w:r>
        <w:t>**MACD** : La valeur du MACD (53,416) est nettement supérieure à son signal (16,609), avec un histogramme positif et croissant. Cette divergence haussière confirme un momentum positif soutenu et valide la décision d'**Achat**, le croisement étant déjà effectué à la hausse.</w:t>
      </w:r>
    </w:p>
    <w:p>
      <w:pPr>
        <w:spacing w:after="120" w:line="276" w:lineRule="auto"/>
      </w:pPr>
      <w:r>
        <w:t>**RSI** : À 46,504, le RSI se situe en zone neutre (30-70), légèrement sous le seuil médian de 50. Cette position indique l'absence de surchauffe et laisse de la marge à la hausse, justifiant la décision **Neutre** — le titre n'est ni suracheté ni survendu.</w:t>
      </w:r>
    </w:p>
    <w:p>
      <w:pPr>
        <w:spacing w:after="120" w:line="276" w:lineRule="auto"/>
      </w:pPr>
      <w:r>
        <w:t>**Stochastique** : Le %K (78,188) est supérieur au %D (71,831), avec les deux lignes en zone haute (&gt;70), proche de la zone de surachat. Le croisement reste haussier mais la proximité du seuil de 80 incite à la prudence, d'où la décision **Neutre**.</w:t>
      </w:r>
    </w:p>
    <w:p>
      <w:pPr>
        <w:spacing w:after="120" w:line="276" w:lineRule="auto"/>
      </w:pPr>
      <w:r>
        <w:t>**Conclusion technique** : Les indicateurs convergent majoritairement vers un biais haussier (MM, MACD) tempéré par des signaux neutres (Bollinger, RSI, Stochastique). Le titre évolue au-dessus de ses supports dynamiques avec un momentum positif, mais la proximité de la zone de surachat stochastique suggère un potentiel de consolidation à court terme avant une nouvelle impulsion.</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annuels de SGBC affichent un Produit Net Bancaire (équivalent du chiffre d'affaires pour une banque) de 276,048 milliards FCFA, en croissance de +4,88% par rapport à 2024, porté par une marge nette d'intérêts solide et des commissions de 72,603 milliards FCFA. Le résultat net s'établit à 101,352 milliards FCFA, franchissant pour la première fois le seuil symbolique des 100 milliards, avec une marge nette exceptionnelle de 36,72%. Le ROE atteint 20,47% (&gt;15% = excellent) et le ROA 2,69%, confirmant la remarquable efficacité capitalistique de la banque. Le coefficient d'exploitation de 38,75% (largement &lt;60%) classe SGBC parmi les banques les plus efficaces du secteur, tandis que le taux de croissance du PNB de +4,88% témoigne d'une dynamique commerciale soutenue. La structure bilancielle révèle une collecte de dépôts clients de 2 907,675 milliards FCFA face à des créances clientèle de 2 546,290 milliards FCFA, soit un ratio prêts/dépôts de 87,6%, en amélioration continue. Les capitaux propres de 495,113 milliards FCFA assurent une solvabilité robuste, avec une couverture des intérêts de 255,88% et une capacité de remboursement de 27,46 années. Les rapports trimestriels confirment cette trajectoire : le rapport du 30 septembre 2025 (T3 2025) affiche un PNB cumulé de 201,0 milliards FCFA (+2,5%) et un résultat net de 83,3 milliards FCFA (+11,7%), avec un coefficient d'exploitation amélioré à 37,3% et un ratio prêts/dépôts optimisé à 84,6%. Le rapport du 30 juin 2025 (S1 2025) mentionnait un ROE de 23,8% et un ratio de solvabilité de 17,7%, bien au-dessus du minimum réglementaire de 12,5%. Sur la base du T3 2025, on estime que l'exercice 2025 devrait clôturer avec un résultat net proche de 110-112 milliards FCFA, confirmant la solidité du modèle. Le principal point de vigilance reste la qualité du crédit, avec un taux de créances en souffrance (NPL) en hausse à 7,8% au S1 2025 (contre 6,7% un an plus tôt) et un taux de couverture en baisse à 91%. La notation AAA (Bloomfield), unique parmi les banques de la BRVM, constitue un gage de confiance majeur. En conclusion, SGBC présente des fondamentaux exceptionnels (ROE &gt;20%, coefficient d'exploitation &lt;40%, croissance à deux chiffres du résultat net) qui justifient une recommandation fondamentale positive, tempérée par une vigilance sur la dégradation progressive de la qualité du portefeuille de crédits.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SGBC (Partie 0) apparaît raisonnable avec un PER de 11,9x dans la fourchette haute du marché, un P/B de 2,44x justifié par un ROE de 20,47%, mais un EV/EBITDA de 24,7x qui intègre déjà une prime de croissance significative. Le comportement du cours (Partie 1) est favorable : tendance haussière de +17,79% sur 100 jours, volatilité modérée de 23,9%, skewness négatif indiquant une prédominance de journées haussières, et distribution mésokurtique sans risque de pics extrêmes. Les signaux techniques (Partie 2) sont majoritairement haussiers (MM20 &gt; MM50, MACD en divergence positive) mais tempérés par des indicateurs neutres (RSI à 46,5, Stochastique proche de la zone de surachat), suggérant une consolidation possible avant une nouvelle impulsion. Les fondamentaux (Partie 3) sont exceptionnels : PNB de 276,048 milliards FCFA en 2025, résultat net de 101,352 milliards FCFA, ROE de 20,47%, coefficient d'exploitation de 38,75%, et notation AAA unique sur le marché. Les prédictions IA (J+1 à J+10) anticipent une légère correction vers 37 984 FCFA d'ici le 16 septembre 2026, ce qui contredit partiellement les signaux techniques haussiers mais s'aligne sur la nécessité d'une consolidation après la forte progression récente. Sur la base de cette synthèse globale, la recommandation finale est **CONSERVER** avec un biais haussier. Cette recommandation est justifiée par la convergence entre une valorisation raisonnable, des fondamentaux solides, une tendance de fond haussière, mais une prédiction IA à court terme légèrement baissière qui invite à la patience. Le niveau de confiance est **Élevé** (fondamentaux robustes, notation AAA, historique de croissance régulière) et le niveau de risque global est **Faible à Moyen** (volatilité modérée, mais vigilance sur les NPL). L'horizon d'investissement optimal est le **moyen terme (3-12 mois)** , le temps que la consolidation technique s'achève et que les résultats annuels 2025 complets confirment la trajectoire de croissance, avec un objectif de cours à 40 000-41 000 FCFA.</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157.19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4,664 titres</w:t>
            </w:r>
          </w:p>
        </w:tc>
        <w:tc>
          <w:tcPr>
            <w:tcW w:type="dxa" w:w="2268"/>
            <w:shd w:fill="FFF2CC" w:val="clear"/>
          </w:tcPr>
          <w:p>
            <w:r>
              <w:rPr>
                <w:b/>
                <w:color w:val="503200"/>
                <w:sz w:val="16"/>
              </w:rPr>
              <w:t xml:space="preserve">Cours actuel : </w:t>
            </w:r>
            <w:r>
              <w:rPr>
                <w:color w:val="000000"/>
                <w:sz w:val="17"/>
              </w:rPr>
              <w:t>2,495 FCFA</w:t>
            </w:r>
          </w:p>
          <w:p>
            <w:r>
              <w:rPr>
                <w:b/>
                <w:color w:val="503200"/>
                <w:sz w:val="16"/>
              </w:rPr>
              <w:t xml:space="preserve">Var. 100 jours : </w:t>
            </w:r>
            <w:r>
              <w:rPr>
                <w:b/>
                <w:color w:val="007800"/>
                <w:sz w:val="17"/>
              </w:rPr>
              <w:t>+24.75%</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8.18% (Moyenne) — μ=2,146 FCFA, σ=176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β=0.9960 (Neutre (suit le marché)) — Cov=0.000036, Var(idx)=0.000036, ρ=0.275,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4,664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σ_j=2.16%/j (Stable) — Vol. annualisée≈34.4%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2026-09-10</w:t>
            </w:r>
          </w:p>
        </w:tc>
        <w:tc>
          <w:tcPr>
            <w:tcW w:type="dxa" w:w="1440"/>
            <w:shd w:fill="FFDCE0" w:val="clear"/>
          </w:tcPr>
          <w:p>
            <w:r>
              <w:rPr>
                <w:sz w:val="17"/>
              </w:rPr>
              <w:t>2,257</w:t>
            </w:r>
          </w:p>
        </w:tc>
        <w:tc>
          <w:tcPr>
            <w:tcW w:type="dxa" w:w="1440"/>
            <w:shd w:fill="FFDCE0" w:val="clear"/>
          </w:tcPr>
          <w:p>
            <w:r>
              <w:rPr>
                <w:b/>
                <w:sz w:val="17"/>
              </w:rPr>
              <w:t>2,331</w:t>
            </w:r>
          </w:p>
        </w:tc>
        <w:tc>
          <w:tcPr>
            <w:tcW w:type="dxa" w:w="1440"/>
            <w:shd w:fill="FFDCE0" w:val="clear"/>
          </w:tcPr>
          <w:p>
            <w:r>
              <w:rPr>
                <w:sz w:val="17"/>
              </w:rPr>
              <w:t>2,405</w:t>
            </w:r>
          </w:p>
        </w:tc>
        <w:tc>
          <w:tcPr>
            <w:tcW w:type="dxa" w:w="1440"/>
            <w:shd w:fill="FFDCE0" w:val="clear"/>
          </w:tcPr>
          <w:p>
            <w:r>
              <w:rPr>
                <w:b/>
                <w:color w:val="C00000"/>
                <w:sz w:val="17"/>
              </w:rPr>
              <w:t>-6.6%</w:t>
            </w:r>
          </w:p>
        </w:tc>
      </w:tr>
      <w:tr>
        <w:tc>
          <w:tcPr>
            <w:tcW w:type="dxa" w:w="1440"/>
            <w:shd w:fill="FFDCE0" w:val="clear"/>
          </w:tcPr>
          <w:p>
            <w:r>
              <w:rPr>
                <w:sz w:val="17"/>
              </w:rPr>
              <w:t>J+2  ⭐⭐⭐</w:t>
            </w:r>
          </w:p>
        </w:tc>
        <w:tc>
          <w:tcPr>
            <w:tcW w:type="dxa" w:w="1440"/>
            <w:shd w:fill="FFDCE0" w:val="clear"/>
          </w:tcPr>
          <w:p>
            <w:r>
              <w:rPr>
                <w:sz w:val="17"/>
              </w:rPr>
              <w:t>2026-09-11</w:t>
            </w:r>
          </w:p>
        </w:tc>
        <w:tc>
          <w:tcPr>
            <w:tcW w:type="dxa" w:w="1440"/>
            <w:shd w:fill="FFDCE0" w:val="clear"/>
          </w:tcPr>
          <w:p>
            <w:r>
              <w:rPr>
                <w:sz w:val="17"/>
              </w:rPr>
              <w:t>2,110</w:t>
            </w:r>
          </w:p>
        </w:tc>
        <w:tc>
          <w:tcPr>
            <w:tcW w:type="dxa" w:w="1440"/>
            <w:shd w:fill="FFDCE0" w:val="clear"/>
          </w:tcPr>
          <w:p>
            <w:r>
              <w:rPr>
                <w:b/>
                <w:sz w:val="17"/>
              </w:rPr>
              <w:t>2,209</w:t>
            </w:r>
          </w:p>
        </w:tc>
        <w:tc>
          <w:tcPr>
            <w:tcW w:type="dxa" w:w="1440"/>
            <w:shd w:fill="FFDCE0" w:val="clear"/>
          </w:tcPr>
          <w:p>
            <w:r>
              <w:rPr>
                <w:sz w:val="17"/>
              </w:rPr>
              <w:t>2,308</w:t>
            </w:r>
          </w:p>
        </w:tc>
        <w:tc>
          <w:tcPr>
            <w:tcW w:type="dxa" w:w="1440"/>
            <w:shd w:fill="FFDCE0" w:val="clear"/>
          </w:tcPr>
          <w:p>
            <w:r>
              <w:rPr>
                <w:b/>
                <w:color w:val="C00000"/>
                <w:sz w:val="17"/>
              </w:rPr>
              <w:t>-11.5%</w:t>
            </w:r>
          </w:p>
        </w:tc>
      </w:tr>
      <w:tr>
        <w:tc>
          <w:tcPr>
            <w:tcW w:type="dxa" w:w="1440"/>
            <w:shd w:fill="FFDCE0" w:val="clear"/>
          </w:tcPr>
          <w:p>
            <w:r>
              <w:rPr>
                <w:sz w:val="17"/>
              </w:rPr>
              <w:t>J+3  ⭐⭐⭐</w:t>
            </w:r>
          </w:p>
        </w:tc>
        <w:tc>
          <w:tcPr>
            <w:tcW w:type="dxa" w:w="1440"/>
            <w:shd w:fill="FFDCE0" w:val="clear"/>
          </w:tcPr>
          <w:p>
            <w:r>
              <w:rPr>
                <w:sz w:val="17"/>
              </w:rPr>
              <w:t>2026-09-14</w:t>
            </w:r>
          </w:p>
        </w:tc>
        <w:tc>
          <w:tcPr>
            <w:tcW w:type="dxa" w:w="1440"/>
            <w:shd w:fill="FFDCE0" w:val="clear"/>
          </w:tcPr>
          <w:p>
            <w:r>
              <w:rPr>
                <w:sz w:val="17"/>
              </w:rPr>
              <w:t>1,986</w:t>
            </w:r>
          </w:p>
        </w:tc>
        <w:tc>
          <w:tcPr>
            <w:tcW w:type="dxa" w:w="1440"/>
            <w:shd w:fill="FFDCE0" w:val="clear"/>
          </w:tcPr>
          <w:p>
            <w:r>
              <w:rPr>
                <w:b/>
                <w:sz w:val="17"/>
              </w:rPr>
              <w:t>2,101</w:t>
            </w:r>
          </w:p>
        </w:tc>
        <w:tc>
          <w:tcPr>
            <w:tcW w:type="dxa" w:w="1440"/>
            <w:shd w:fill="FFDCE0" w:val="clear"/>
          </w:tcPr>
          <w:p>
            <w:r>
              <w:rPr>
                <w:sz w:val="17"/>
              </w:rPr>
              <w:t>2,216</w:t>
            </w:r>
          </w:p>
        </w:tc>
        <w:tc>
          <w:tcPr>
            <w:tcW w:type="dxa" w:w="1440"/>
            <w:shd w:fill="FFDCE0" w:val="clear"/>
          </w:tcPr>
          <w:p>
            <w:r>
              <w:rPr>
                <w:b/>
                <w:color w:val="C00000"/>
                <w:sz w:val="17"/>
              </w:rPr>
              <w:t>-15.8%</w:t>
            </w:r>
          </w:p>
        </w:tc>
      </w:tr>
      <w:tr>
        <w:tc>
          <w:tcPr>
            <w:tcW w:type="dxa" w:w="1440"/>
            <w:shd w:fill="FFDCE0" w:val="clear"/>
          </w:tcPr>
          <w:p>
            <w:r>
              <w:rPr>
                <w:sz w:val="17"/>
              </w:rPr>
              <w:t>J+4  Moyenne</w:t>
            </w:r>
          </w:p>
        </w:tc>
        <w:tc>
          <w:tcPr>
            <w:tcW w:type="dxa" w:w="1440"/>
            <w:shd w:fill="FFDCE0" w:val="clear"/>
          </w:tcPr>
          <w:p>
            <w:r>
              <w:rPr>
                <w:sz w:val="17"/>
              </w:rPr>
              <w:t>2026-09-15</w:t>
            </w:r>
          </w:p>
        </w:tc>
        <w:tc>
          <w:tcPr>
            <w:tcW w:type="dxa" w:w="1440"/>
            <w:shd w:fill="FFDCE0" w:val="clear"/>
          </w:tcPr>
          <w:p>
            <w:r>
              <w:rPr>
                <w:sz w:val="17"/>
              </w:rPr>
              <w:t>1,886</w:t>
            </w:r>
          </w:p>
        </w:tc>
        <w:tc>
          <w:tcPr>
            <w:tcW w:type="dxa" w:w="1440"/>
            <w:shd w:fill="FFDCE0" w:val="clear"/>
          </w:tcPr>
          <w:p>
            <w:r>
              <w:rPr>
                <w:b/>
                <w:sz w:val="17"/>
              </w:rPr>
              <w:t>2,013</w:t>
            </w:r>
          </w:p>
        </w:tc>
        <w:tc>
          <w:tcPr>
            <w:tcW w:type="dxa" w:w="1440"/>
            <w:shd w:fill="FFDCE0" w:val="clear"/>
          </w:tcPr>
          <w:p>
            <w:r>
              <w:rPr>
                <w:sz w:val="17"/>
              </w:rPr>
              <w:t>2,141</w:t>
            </w:r>
          </w:p>
        </w:tc>
        <w:tc>
          <w:tcPr>
            <w:tcW w:type="dxa" w:w="1440"/>
            <w:shd w:fill="FFDCE0" w:val="clear"/>
          </w:tcPr>
          <w:p>
            <w:r>
              <w:rPr>
                <w:b/>
                <w:color w:val="C00000"/>
                <w:sz w:val="17"/>
              </w:rPr>
              <w:t>-19.3%</w:t>
            </w:r>
          </w:p>
        </w:tc>
      </w:tr>
      <w:tr>
        <w:tc>
          <w:tcPr>
            <w:tcW w:type="dxa" w:w="1440"/>
            <w:shd w:fill="FFDCE0" w:val="clear"/>
          </w:tcPr>
          <w:p>
            <w:r>
              <w:rPr>
                <w:sz w:val="17"/>
              </w:rPr>
              <w:t>J+5  Moyenne</w:t>
            </w:r>
          </w:p>
        </w:tc>
        <w:tc>
          <w:tcPr>
            <w:tcW w:type="dxa" w:w="1440"/>
            <w:shd w:fill="FFDCE0" w:val="clear"/>
          </w:tcPr>
          <w:p>
            <w:r>
              <w:rPr>
                <w:sz w:val="17"/>
              </w:rPr>
              <w:t>2026-09-16</w:t>
            </w:r>
          </w:p>
        </w:tc>
        <w:tc>
          <w:tcPr>
            <w:tcW w:type="dxa" w:w="1440"/>
            <w:shd w:fill="FFDCE0" w:val="clear"/>
          </w:tcPr>
          <w:p>
            <w:r>
              <w:rPr>
                <w:sz w:val="17"/>
              </w:rPr>
              <w:t>1,805</w:t>
            </w:r>
          </w:p>
        </w:tc>
        <w:tc>
          <w:tcPr>
            <w:tcW w:type="dxa" w:w="1440"/>
            <w:shd w:fill="FFDCE0" w:val="clear"/>
          </w:tcPr>
          <w:p>
            <w:r>
              <w:rPr>
                <w:b/>
                <w:sz w:val="17"/>
              </w:rPr>
              <w:t>1,942</w:t>
            </w:r>
          </w:p>
        </w:tc>
        <w:tc>
          <w:tcPr>
            <w:tcW w:type="dxa" w:w="1440"/>
            <w:shd w:fill="FFDCE0" w:val="clear"/>
          </w:tcPr>
          <w:p>
            <w:r>
              <w:rPr>
                <w:sz w:val="17"/>
              </w:rPr>
              <w:t>2,080</w:t>
            </w:r>
          </w:p>
        </w:tc>
        <w:tc>
          <w:tcPr>
            <w:tcW w:type="dxa" w:w="1440"/>
            <w:shd w:fill="FFDCE0" w:val="clear"/>
          </w:tcPr>
          <w:p>
            <w:r>
              <w:rPr>
                <w:b/>
                <w:color w:val="C00000"/>
                <w:sz w:val="17"/>
              </w:rPr>
              <w:t>-22.2%</w:t>
            </w:r>
          </w:p>
        </w:tc>
      </w:tr>
      <w:tr>
        <w:tc>
          <w:tcPr>
            <w:tcW w:type="dxa" w:w="1440"/>
            <w:shd w:fill="FFDCE0" w:val="clear"/>
          </w:tcPr>
          <w:p>
            <w:r>
              <w:rPr>
                <w:sz w:val="17"/>
              </w:rPr>
              <w:t>J+6  Moyenne</w:t>
            </w:r>
          </w:p>
        </w:tc>
        <w:tc>
          <w:tcPr>
            <w:tcW w:type="dxa" w:w="1440"/>
            <w:shd w:fill="FFDCE0" w:val="clear"/>
          </w:tcPr>
          <w:p>
            <w:r>
              <w:rPr>
                <w:sz w:val="17"/>
              </w:rPr>
              <w:t>2026-09-17</w:t>
            </w:r>
          </w:p>
        </w:tc>
        <w:tc>
          <w:tcPr>
            <w:tcW w:type="dxa" w:w="1440"/>
            <w:shd w:fill="FFDCE0" w:val="clear"/>
          </w:tcPr>
          <w:p>
            <w:r>
              <w:rPr>
                <w:sz w:val="17"/>
              </w:rPr>
              <w:t>1,737</w:t>
            </w:r>
          </w:p>
        </w:tc>
        <w:tc>
          <w:tcPr>
            <w:tcW w:type="dxa" w:w="1440"/>
            <w:shd w:fill="FFDCE0" w:val="clear"/>
          </w:tcPr>
          <w:p>
            <w:r>
              <w:rPr>
                <w:b/>
                <w:sz w:val="17"/>
              </w:rPr>
              <w:t>1,883</w:t>
            </w:r>
          </w:p>
        </w:tc>
        <w:tc>
          <w:tcPr>
            <w:tcW w:type="dxa" w:w="1440"/>
            <w:shd w:fill="FFDCE0" w:val="clear"/>
          </w:tcPr>
          <w:p>
            <w:r>
              <w:rPr>
                <w:sz w:val="17"/>
              </w:rPr>
              <w:t>2,029</w:t>
            </w:r>
          </w:p>
        </w:tc>
        <w:tc>
          <w:tcPr>
            <w:tcW w:type="dxa" w:w="1440"/>
            <w:shd w:fill="FFDCE0" w:val="clear"/>
          </w:tcPr>
          <w:p>
            <w:r>
              <w:rPr>
                <w:b/>
                <w:color w:val="C00000"/>
                <w:sz w:val="17"/>
              </w:rPr>
              <w:t>-24.5%</w:t>
            </w:r>
          </w:p>
        </w:tc>
      </w:tr>
      <w:tr>
        <w:tc>
          <w:tcPr>
            <w:tcW w:type="dxa" w:w="1440"/>
            <w:shd w:fill="FFDCE0" w:val="clear"/>
          </w:tcPr>
          <w:p>
            <w:r>
              <w:rPr>
                <w:sz w:val="17"/>
              </w:rPr>
              <w:t>J+7  Moyenne</w:t>
            </w:r>
          </w:p>
        </w:tc>
        <w:tc>
          <w:tcPr>
            <w:tcW w:type="dxa" w:w="1440"/>
            <w:shd w:fill="FFDCE0" w:val="clear"/>
          </w:tcPr>
          <w:p>
            <w:r>
              <w:rPr>
                <w:sz w:val="17"/>
              </w:rPr>
              <w:t>2026-09-18</w:t>
            </w:r>
          </w:p>
        </w:tc>
        <w:tc>
          <w:tcPr>
            <w:tcW w:type="dxa" w:w="1440"/>
            <w:shd w:fill="FFDCE0" w:val="clear"/>
          </w:tcPr>
          <w:p>
            <w:r>
              <w:rPr>
                <w:sz w:val="17"/>
              </w:rPr>
              <w:t>1,679</w:t>
            </w:r>
          </w:p>
        </w:tc>
        <w:tc>
          <w:tcPr>
            <w:tcW w:type="dxa" w:w="1440"/>
            <w:shd w:fill="FFDCE0" w:val="clear"/>
          </w:tcPr>
          <w:p>
            <w:r>
              <w:rPr>
                <w:b/>
                <w:sz w:val="17"/>
              </w:rPr>
              <w:t>1,833</w:t>
            </w:r>
          </w:p>
        </w:tc>
        <w:tc>
          <w:tcPr>
            <w:tcW w:type="dxa" w:w="1440"/>
            <w:shd w:fill="FFDCE0" w:val="clear"/>
          </w:tcPr>
          <w:p>
            <w:r>
              <w:rPr>
                <w:sz w:val="17"/>
              </w:rPr>
              <w:t>1,986</w:t>
            </w:r>
          </w:p>
        </w:tc>
        <w:tc>
          <w:tcPr>
            <w:tcW w:type="dxa" w:w="1440"/>
            <w:shd w:fill="FFDCE0" w:val="clear"/>
          </w:tcPr>
          <w:p>
            <w:r>
              <w:rPr>
                <w:b/>
                <w:color w:val="C00000"/>
                <w:sz w:val="17"/>
              </w:rPr>
              <w:t>-26.5%</w:t>
            </w:r>
          </w:p>
        </w:tc>
      </w:tr>
      <w:tr>
        <w:tc>
          <w:tcPr>
            <w:tcW w:type="dxa" w:w="1440"/>
            <w:shd w:fill="FFDCE0" w:val="clear"/>
          </w:tcPr>
          <w:p>
            <w:r>
              <w:rPr>
                <w:sz w:val="17"/>
              </w:rPr>
              <w:t>J+8  Moyenne</w:t>
            </w:r>
          </w:p>
        </w:tc>
        <w:tc>
          <w:tcPr>
            <w:tcW w:type="dxa" w:w="1440"/>
            <w:shd w:fill="FFDCE0" w:val="clear"/>
          </w:tcPr>
          <w:p>
            <w:r>
              <w:rPr>
                <w:sz w:val="17"/>
              </w:rPr>
              <w:t>2026-09-21</w:t>
            </w:r>
          </w:p>
        </w:tc>
        <w:tc>
          <w:tcPr>
            <w:tcW w:type="dxa" w:w="1440"/>
            <w:shd w:fill="FFDCE0" w:val="clear"/>
          </w:tcPr>
          <w:p>
            <w:r>
              <w:rPr>
                <w:sz w:val="17"/>
              </w:rPr>
              <w:t>1,628</w:t>
            </w:r>
          </w:p>
        </w:tc>
        <w:tc>
          <w:tcPr>
            <w:tcW w:type="dxa" w:w="1440"/>
            <w:shd w:fill="FFDCE0" w:val="clear"/>
          </w:tcPr>
          <w:p>
            <w:r>
              <w:rPr>
                <w:b/>
                <w:sz w:val="17"/>
              </w:rPr>
              <w:t>1,788</w:t>
            </w:r>
          </w:p>
        </w:tc>
        <w:tc>
          <w:tcPr>
            <w:tcW w:type="dxa" w:w="1440"/>
            <w:shd w:fill="FFDCE0" w:val="clear"/>
          </w:tcPr>
          <w:p>
            <w:r>
              <w:rPr>
                <w:sz w:val="17"/>
              </w:rPr>
              <w:t>1,949</w:t>
            </w:r>
          </w:p>
        </w:tc>
        <w:tc>
          <w:tcPr>
            <w:tcW w:type="dxa" w:w="1440"/>
            <w:shd w:fill="FFDCE0" w:val="clear"/>
          </w:tcPr>
          <w:p>
            <w:r>
              <w:rPr>
                <w:b/>
                <w:color w:val="C00000"/>
                <w:sz w:val="17"/>
              </w:rPr>
              <w:t>-28.3%</w:t>
            </w:r>
          </w:p>
        </w:tc>
      </w:tr>
      <w:tr>
        <w:tc>
          <w:tcPr>
            <w:tcW w:type="dxa" w:w="1440"/>
            <w:shd w:fill="FFDCE0" w:val="clear"/>
          </w:tcPr>
          <w:p>
            <w:r>
              <w:rPr>
                <w:sz w:val="17"/>
              </w:rPr>
              <w:t>J+9  Moyenne</w:t>
            </w:r>
          </w:p>
        </w:tc>
        <w:tc>
          <w:tcPr>
            <w:tcW w:type="dxa" w:w="1440"/>
            <w:shd w:fill="FFDCE0" w:val="clear"/>
          </w:tcPr>
          <w:p>
            <w:r>
              <w:rPr>
                <w:sz w:val="17"/>
              </w:rPr>
              <w:t>2026-09-22</w:t>
            </w:r>
          </w:p>
        </w:tc>
        <w:tc>
          <w:tcPr>
            <w:tcW w:type="dxa" w:w="1440"/>
            <w:shd w:fill="FFDCE0" w:val="clear"/>
          </w:tcPr>
          <w:p>
            <w:r>
              <w:rPr>
                <w:sz w:val="17"/>
              </w:rPr>
              <w:t>1,583</w:t>
            </w:r>
          </w:p>
        </w:tc>
        <w:tc>
          <w:tcPr>
            <w:tcW w:type="dxa" w:w="1440"/>
            <w:shd w:fill="FFDCE0" w:val="clear"/>
          </w:tcPr>
          <w:p>
            <w:r>
              <w:rPr>
                <w:b/>
                <w:sz w:val="17"/>
              </w:rPr>
              <w:t>1,749</w:t>
            </w:r>
          </w:p>
        </w:tc>
        <w:tc>
          <w:tcPr>
            <w:tcW w:type="dxa" w:w="1440"/>
            <w:shd w:fill="FFDCE0" w:val="clear"/>
          </w:tcPr>
          <w:p>
            <w:r>
              <w:rPr>
                <w:sz w:val="17"/>
              </w:rPr>
              <w:t>1,915</w:t>
            </w:r>
          </w:p>
        </w:tc>
        <w:tc>
          <w:tcPr>
            <w:tcW w:type="dxa" w:w="1440"/>
            <w:shd w:fill="FFDCE0" w:val="clear"/>
          </w:tcPr>
          <w:p>
            <w:r>
              <w:rPr>
                <w:b/>
                <w:color w:val="C00000"/>
                <w:sz w:val="17"/>
              </w:rPr>
              <w:t>-29.9%</w:t>
            </w:r>
          </w:p>
        </w:tc>
      </w:tr>
      <w:tr>
        <w:tc>
          <w:tcPr>
            <w:tcW w:type="dxa" w:w="1440"/>
            <w:shd w:fill="FFDCE0" w:val="clear"/>
          </w:tcPr>
          <w:p>
            <w:r>
              <w:rPr>
                <w:sz w:val="17"/>
              </w:rPr>
              <w:t>J+10  Moyenne</w:t>
            </w:r>
          </w:p>
        </w:tc>
        <w:tc>
          <w:tcPr>
            <w:tcW w:type="dxa" w:w="1440"/>
            <w:shd w:fill="FFDCE0" w:val="clear"/>
          </w:tcPr>
          <w:p>
            <w:r>
              <w:rPr>
                <w:sz w:val="17"/>
              </w:rPr>
              <w:t>2026-09-23</w:t>
            </w:r>
          </w:p>
        </w:tc>
        <w:tc>
          <w:tcPr>
            <w:tcW w:type="dxa" w:w="1440"/>
            <w:shd w:fill="FFDCE0" w:val="clear"/>
          </w:tcPr>
          <w:p>
            <w:r>
              <w:rPr>
                <w:sz w:val="17"/>
              </w:rPr>
              <w:t>1,541</w:t>
            </w:r>
          </w:p>
        </w:tc>
        <w:tc>
          <w:tcPr>
            <w:tcW w:type="dxa" w:w="1440"/>
            <w:shd w:fill="FFDCE0" w:val="clear"/>
          </w:tcPr>
          <w:p>
            <w:r>
              <w:rPr>
                <w:b/>
                <w:sz w:val="17"/>
              </w:rPr>
              <w:t>1,712</w:t>
            </w:r>
          </w:p>
        </w:tc>
        <w:tc>
          <w:tcPr>
            <w:tcW w:type="dxa" w:w="1440"/>
            <w:shd w:fill="FFDCE0" w:val="clear"/>
          </w:tcPr>
          <w:p>
            <w:r>
              <w:rPr>
                <w:sz w:val="17"/>
              </w:rPr>
              <w:t>1,884</w:t>
            </w:r>
          </w:p>
        </w:tc>
        <w:tc>
          <w:tcPr>
            <w:tcW w:type="dxa" w:w="1440"/>
            <w:shd w:fill="FFDCE0" w:val="clear"/>
          </w:tcPr>
          <w:p>
            <w:r>
              <w:rPr>
                <w:b/>
                <w:color w:val="C00000"/>
                <w:sz w:val="17"/>
              </w:rPr>
              <w:t>-31.4%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 RAPPORT D'ANALYSE FINANCIÈRE — SHEC (VIVO ENERGY CÔTE D'IVOIRE)</w:t>
        <w:br/>
        <w:t>**Bourse Régionale des Valeurs Mobilières (BRVM) — Secteur : Distribution pétrolière aval**</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157,19 milliards FCFA, SHEC figure parmi les valeurs moyennes-capitalisations de la cote BRVM, ce qui traduit une bonne liquidité relative mais un poids modéré dans l'indice composite. Le BPA de 96 FCFA/action signifie que chaque titre génère près de 96 FCFA de bénéfice net, un niveau correct mais qui, rapporté au cours actuel de 2 495 FCFA, aboutit à un PER de 26,1x — très nettement supérieur à la moyenne du marché BRVM (8-12x), signalant que les investisseurs paient une prime de croissance ou de qualité qui n'est pas encore validée par les résultats. Le P/B de 5,79x confirme cette exigence : le marché valorise l'entreprise à près de six fois ses fonds propres comptables (27,16 Mds FCFA), une prime rarement justifiée dans la distribution pétrolière à faible marge. Enfin, l'EV/EBITDA de 13,7x, dans le haut de la fourchette 10-15x, indique que la valeur d'entreprise (incluant la dette) reste chèrement valorisée au regard de la capacité opérationnelle dégagée (EBE de 17,17 Mds FCFA). **Conclusion : la valorisation est exigeante, voire tendue, sur l'ensemble des multiples.**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SHEC affiche une performance remarquable de **+24,75%**, avec une dernière séance en hausse de +0,60%, portant le cours à 2 495 FCFA — soit exactement son plus haut de période, ce qui traduit une dynamique haussière intacte. Le range de trading s'étend de 1 840 FCFA (plus bas) à 2 495 FCFA (plus haut), soit une amplitude de 35,6%, signe d'un mouvement directionnel puissant. La tendance générale est donc clairement **haussière**, le titre évoluant sur ses sommets. Les statistiques descriptives révèlent une moyenne de 2 146 FCFA très proche de la médiane (2 165 FCFA) et du mode (2 200 FCFA), ce qui indique une distribution équilibrée sans biais marqué — confirmé par un skewness de 0,295 (symétrie). L'écart-type de 176 FCFA avec un coefficient de variation de 8,2% traduit une dispersion modérée du cours autour de sa moyenne. Le kurtosis de -0,861 (mésokurtique) suggère une distribution proche de la normale, donc un risque de pics extrêmes limité. Enfin, la volatilité annualisée de 34,4% positionne SHEC dans la catégorie des titres à **volatilité élevée** (&gt;30%), ce qui implique un potentiel de gain mais aussi un risque de correction accru.</w:t>
      </w:r>
    </w:p>
    <w:p>
      <w:pPr>
        <w:spacing w:after="120" w:line="276" w:lineRule="auto"/>
      </w:pPr>
      <w:r>
        <w:t>---</w:t>
      </w:r>
    </w:p>
    <w:p>
      <w:pPr>
        <w:spacing w:after="120" w:line="276" w:lineRule="auto"/>
      </w:pPr>
      <w:r>
        <w:t>## PARTIE 2 : ANALYSE TECHNIQUE DÉTAILLÉE</w:t>
      </w:r>
    </w:p>
    <w:p>
      <w:pPr>
        <w:spacing w:after="120" w:line="276" w:lineRule="auto"/>
      </w:pPr>
      <w:r>
        <w:t>**Moyennes Mobiles :** La MM20 (2 402,5 FCFA) et la MM50 (2 288,3 FCFA) sont toutes deux nettement inférieures au cours actuel (2 495 FCFA), et la MM20 surplombe la MM50 — configuration haussière classique en « golden cross ». Le signal d'achat est confirmé par le fait que le cours évolue au-dessus de ses deux moyennes, témoignant d'un momentum positif soutenu.</w:t>
      </w:r>
    </w:p>
    <w:p>
      <w:pPr>
        <w:spacing w:after="120" w:line="276" w:lineRule="auto"/>
      </w:pPr>
      <w:r>
        <w:t>**Bandes de Bollinger :** Le cours (2 495 FCFA) se situe entre la borne supérieure (2 579,12 FCFA) et la borne inférieure (2 225,88 FCFA), mais très proche du haut du canal, ce qui traduit une pression acheteuse forte sans surachat extrême. La décision est **Neutre** car le cours n'a pas encore franchi la borne supérieure, mais la largeur des bandes indique une volatilité soutenue.</w:t>
      </w:r>
    </w:p>
    <w:p>
      <w:pPr>
        <w:spacing w:after="120" w:line="276" w:lineRule="auto"/>
      </w:pPr>
      <w:r>
        <w:t>**MACD :** La valeur du MACD (54,998) est légèrement inférieure à son signal (55,459), générant un croisement baissier marginal et une décision de **Vente**. Ce signal de divergence négative suggère un essoufflement du momentum haussier à court terme, bien que l'écart reste très faible.</w:t>
      </w:r>
    </w:p>
    <w:p>
      <w:pPr>
        <w:spacing w:after="120" w:line="276" w:lineRule="auto"/>
      </w:pPr>
      <w:r>
        <w:t>**RSI :** À 67,273, le RSI se situe en zone neutre haute, proche du seuil de surachat (70) sans l'atteindre. La décision est **Neutre** : le titre conserve un potentiel de hausse mais la marge de progression se réduit, appelant à la prudence.</w:t>
      </w:r>
    </w:p>
    <w:p>
      <w:pPr>
        <w:spacing w:after="120" w:line="276" w:lineRule="auto"/>
      </w:pPr>
      <w:r>
        <w:t>**Stochastique :** Le %K et le %D sont tous deux à 100,0, soit une position extrême en zone de surachat, avec un croisement non encore matérialisé. La décision de **Vente** reflète un risque imminent de correction technique après une telle tension.</w:t>
      </w:r>
    </w:p>
    <w:p>
      <w:pPr>
        <w:spacing w:after="120" w:line="276" w:lineRule="auto"/>
      </w:pPr>
      <w:r>
        <w:t>**Conclusion technique :** Les indicateurs sont **divergents** : les moyennes mobiles et la position du cours plaident pour la poursuite de la hausse, tandis que le MACD, le RSI élevé et surtout le stochastique en surachat extrême (100/100) signalent un essoufflement et un risque de repli à court terme. La configuration globale suggère une consolidation imminente plutôt qu'une accélération.</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SHEC a réalisé un chiffre d'affaires de **604,978 milliards FCFA**, en très légère hausse de +0,71% sur un an, pour un résultat net de **6,028 milliards FCFA** (+12,6%). Le ROE s'établit à **22,20%** (excellent, &gt;15%) et le ROA à **3,11%**, tandis que la marge nette reste très faible à **0,9964%** — caractéristique du secteur pétrolier aval. La rotation des actifs est élevée (312,55%), signe d'une activité à fort volume mais à faible marge. **Adaptation au secteur ENTREPRISE :** les délais clients (23,27 jours) et fournisseurs (35,47 jours) sont maîtrisés, mais le BFR de 15,315 Mds FCFA et surtout la trésorerie nette de **-65,264 Mds FCFA** constituent des points de vigilance majeurs. L'autonomie financière est faible (14,03%) et le ratio d'endettement élevé (43,95%), avec une capacité de remboursement de 0,97 an (satisfaisante). **Estimations issues des rapports :** selon le rapport du **30 juin 2026**, le CA recule de 1% à 305 038 M FCFA mais le résultat d'exploitation progresse de +17% à 6 133 M FCFA, porté par le butane ; le résultat net s'établit à 3 016 M FCFA (marge nette 0,99%). Le rapport **T3 2025 (30/09/2025)** faisait déjà état d'un résultat net en hausse de +45% à 4,119 Mds FCFA, confirmant la dynamique d'amélioration de la rentabilité. On estime donc que l'exercice 2026 devrait maintenir un résultat net autour de 6-6,5 Mds FCFA, avec une marge nette proche de 1%. **Recommandation fondamentale :** la société est solide opérationnellement (ROE &gt;20%, amélioration des marges) mais fragile financièrement (trésorerie nette très négative, dépendance aux découverts bancaires). Le dividende proposé de 6,09 Mds FCFA (taux de distribution de 101%) est attractif mais non soutenable à long terme sans assainissement de la structure financière.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**déséquilibre marqué** entre la valorisation, la technique, le fondamental et les prédictions. **Valorisation (Partie 0) :** le PER de 26,1x, le P/B de 5,79x et l'EV/EBITDA de 13,7x indiquent une **surévaluation** manifeste au regard des standards BRVM et de la faible marge nette (1%). **Comportement du cours (Partie 1) :** la tendance haussière (+24,75%) et la volatilité élevée (34,4%) sont favorables au momentum, mais le kurtosis proche de la normale et le skewness symétrique n'annoncent pas de retournement violent — le titre évolue sur ses sommets, ce qui limite le potentiel de hausse immédiat. **Signaux techniques (Partie 2) :** ils sont **divergents** — MM haussières mais MACD baissier, RSI neutre haut et stochastique en surachat extrême (100/100), plaidant pour une consolidation. **Fondamentaux (Partie 3) :** la rentabilité opérationnelle s'améliore (ROE 22,2%, résultat net +12,6% en 2025, +17% de résultat d'exploitation au S1 2026) mais la trésorerie nette de -65,26 Mds FCFA et la dépendance aux concours bancaires constituent un risque structurel. **Prédictions IA (J+1 à J+10) :** la trajectoire projetée est **nettement baissière** (2 331 → 1 942 FCFA, soit -22% en 10 jours), ce qui **contredit** le momentum haussier actuel et **confirme** les signaux de surachat technique. **Recommandation finale : CONSERVER.** La convergence entre la surévaluation, le surachat technique et les prédictions baissières incite à la prudence, mais la solidité opérationnelle et le dividende attractif justifient de ne pas vendre. **Niveau de confiance : Moyen** (les signaux sont contradictoires entre court et moyen terme). **Niveau de risque global : Élevé** (volatilité 34,4%, trésorerie négative, valorisation tendue). **Horizon optimal : moyen terme (3-12 mois)**, en attendant la publication des comptes définitifs 2025 et la confirmation de la tendance des volumes au S2 2026. Un renforcement ne serait envisageable qu'en cas de correction vers 2 200-2 300 FCFA, ramenant le PER vers des niveaux plus raisonnables.</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922.50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10,390 titres</w:t>
            </w:r>
          </w:p>
        </w:tc>
        <w:tc>
          <w:tcPr>
            <w:tcW w:type="dxa" w:w="2268"/>
            <w:shd w:fill="FFF2CC" w:val="clear"/>
          </w:tcPr>
          <w:p>
            <w:r>
              <w:rPr>
                <w:b/>
                <w:color w:val="503200"/>
                <w:sz w:val="16"/>
              </w:rPr>
              <w:t xml:space="preserve">Cours actuel : </w:t>
            </w:r>
            <w:r>
              <w:rPr>
                <w:color w:val="000000"/>
                <w:sz w:val="17"/>
              </w:rPr>
              <w:t>9,225 FCFA</w:t>
            </w:r>
          </w:p>
          <w:p>
            <w:r>
              <w:rPr>
                <w:b/>
                <w:color w:val="503200"/>
                <w:sz w:val="16"/>
              </w:rPr>
              <w:t xml:space="preserve">Var. 100 jours : </w:t>
            </w:r>
            <w:r>
              <w:rPr>
                <w:b/>
                <w:color w:val="007800"/>
                <w:sz w:val="17"/>
              </w:rPr>
              <w:t>+31.79%</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9.57% (Moyenne) — μ=8,482 FCFA, σ=812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β=0.3199 (Défensif) — Cov=0.000012, Var(idx)=0.000036, ρ=0.105,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10,390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2026-09-10</w:t>
            </w:r>
          </w:p>
        </w:tc>
        <w:tc>
          <w:tcPr>
            <w:tcW w:type="dxa" w:w="1440"/>
            <w:shd w:fill="FFDCE0" w:val="clear"/>
          </w:tcPr>
          <w:p>
            <w:r>
              <w:rPr>
                <w:sz w:val="17"/>
              </w:rPr>
              <w:t>8,630</w:t>
            </w:r>
          </w:p>
        </w:tc>
        <w:tc>
          <w:tcPr>
            <w:tcW w:type="dxa" w:w="1440"/>
            <w:shd w:fill="FFDCE0" w:val="clear"/>
          </w:tcPr>
          <w:p>
            <w:r>
              <w:rPr>
                <w:b/>
                <w:sz w:val="17"/>
              </w:rPr>
              <w:t>8,900</w:t>
            </w:r>
          </w:p>
        </w:tc>
        <w:tc>
          <w:tcPr>
            <w:tcW w:type="dxa" w:w="1440"/>
            <w:shd w:fill="FFDCE0" w:val="clear"/>
          </w:tcPr>
          <w:p>
            <w:r>
              <w:rPr>
                <w:sz w:val="17"/>
              </w:rPr>
              <w:t>9,170</w:t>
            </w:r>
          </w:p>
        </w:tc>
        <w:tc>
          <w:tcPr>
            <w:tcW w:type="dxa" w:w="1440"/>
            <w:shd w:fill="FFDCE0" w:val="clear"/>
          </w:tcPr>
          <w:p>
            <w:r>
              <w:rPr>
                <w:b/>
                <w:color w:val="C00000"/>
                <w:sz w:val="17"/>
              </w:rPr>
              <w:t>-3.5%</w:t>
            </w:r>
          </w:p>
        </w:tc>
      </w:tr>
      <w:tr>
        <w:tc>
          <w:tcPr>
            <w:tcW w:type="dxa" w:w="1440"/>
            <w:shd w:fill="FFDCE0" w:val="clear"/>
          </w:tcPr>
          <w:p>
            <w:r>
              <w:rPr>
                <w:sz w:val="17"/>
              </w:rPr>
              <w:t>J+2  ⭐⭐⭐</w:t>
            </w:r>
          </w:p>
        </w:tc>
        <w:tc>
          <w:tcPr>
            <w:tcW w:type="dxa" w:w="1440"/>
            <w:shd w:fill="FFDCE0" w:val="clear"/>
          </w:tcPr>
          <w:p>
            <w:r>
              <w:rPr>
                <w:sz w:val="17"/>
              </w:rPr>
              <w:t>2026-09-11</w:t>
            </w:r>
          </w:p>
        </w:tc>
        <w:tc>
          <w:tcPr>
            <w:tcW w:type="dxa" w:w="1440"/>
            <w:shd w:fill="FFDCE0" w:val="clear"/>
          </w:tcPr>
          <w:p>
            <w:r>
              <w:rPr>
                <w:sz w:val="17"/>
              </w:rPr>
              <w:t>8,226</w:t>
            </w:r>
          </w:p>
        </w:tc>
        <w:tc>
          <w:tcPr>
            <w:tcW w:type="dxa" w:w="1440"/>
            <w:shd w:fill="FFDCE0" w:val="clear"/>
          </w:tcPr>
          <w:p>
            <w:r>
              <w:rPr>
                <w:b/>
                <w:sz w:val="17"/>
              </w:rPr>
              <w:t>8,595</w:t>
            </w:r>
          </w:p>
        </w:tc>
        <w:tc>
          <w:tcPr>
            <w:tcW w:type="dxa" w:w="1440"/>
            <w:shd w:fill="FFDCE0" w:val="clear"/>
          </w:tcPr>
          <w:p>
            <w:r>
              <w:rPr>
                <w:sz w:val="17"/>
              </w:rPr>
              <w:t>8,964</w:t>
            </w:r>
          </w:p>
        </w:tc>
        <w:tc>
          <w:tcPr>
            <w:tcW w:type="dxa" w:w="1440"/>
            <w:shd w:fill="FFDCE0" w:val="clear"/>
          </w:tcPr>
          <w:p>
            <w:r>
              <w:rPr>
                <w:b/>
                <w:color w:val="C00000"/>
                <w:sz w:val="17"/>
              </w:rPr>
              <w:t>-6.8%</w:t>
            </w:r>
          </w:p>
        </w:tc>
      </w:tr>
      <w:tr>
        <w:tc>
          <w:tcPr>
            <w:tcW w:type="dxa" w:w="1440"/>
            <w:shd w:fill="FFDCE0" w:val="clear"/>
          </w:tcPr>
          <w:p>
            <w:r>
              <w:rPr>
                <w:sz w:val="17"/>
              </w:rPr>
              <w:t>J+3  ⭐⭐⭐</w:t>
            </w:r>
          </w:p>
        </w:tc>
        <w:tc>
          <w:tcPr>
            <w:tcW w:type="dxa" w:w="1440"/>
            <w:shd w:fill="FFDCE0" w:val="clear"/>
          </w:tcPr>
          <w:p>
            <w:r>
              <w:rPr>
                <w:sz w:val="17"/>
              </w:rPr>
              <w:t>2026-09-14</w:t>
            </w:r>
          </w:p>
        </w:tc>
        <w:tc>
          <w:tcPr>
            <w:tcW w:type="dxa" w:w="1440"/>
            <w:shd w:fill="FFDCE0" w:val="clear"/>
          </w:tcPr>
          <w:p>
            <w:r>
              <w:rPr>
                <w:sz w:val="17"/>
              </w:rPr>
              <w:t>7,883</w:t>
            </w:r>
          </w:p>
        </w:tc>
        <w:tc>
          <w:tcPr>
            <w:tcW w:type="dxa" w:w="1440"/>
            <w:shd w:fill="FFDCE0" w:val="clear"/>
          </w:tcPr>
          <w:p>
            <w:r>
              <w:rPr>
                <w:b/>
                <w:sz w:val="17"/>
              </w:rPr>
              <w:t>8,320</w:t>
            </w:r>
          </w:p>
        </w:tc>
        <w:tc>
          <w:tcPr>
            <w:tcW w:type="dxa" w:w="1440"/>
            <w:shd w:fill="FFDCE0" w:val="clear"/>
          </w:tcPr>
          <w:p>
            <w:r>
              <w:rPr>
                <w:sz w:val="17"/>
              </w:rPr>
              <w:t>8,757</w:t>
            </w:r>
          </w:p>
        </w:tc>
        <w:tc>
          <w:tcPr>
            <w:tcW w:type="dxa" w:w="1440"/>
            <w:shd w:fill="FFDCE0" w:val="clear"/>
          </w:tcPr>
          <w:p>
            <w:r>
              <w:rPr>
                <w:b/>
                <w:color w:val="C00000"/>
                <w:sz w:val="17"/>
              </w:rPr>
              <w:t>-9.8%</w:t>
            </w:r>
          </w:p>
        </w:tc>
      </w:tr>
      <w:tr>
        <w:tc>
          <w:tcPr>
            <w:tcW w:type="dxa" w:w="1440"/>
            <w:shd w:fill="FFDCE0" w:val="clear"/>
          </w:tcPr>
          <w:p>
            <w:r>
              <w:rPr>
                <w:sz w:val="17"/>
              </w:rPr>
              <w:t>J+4  Moyenne</w:t>
            </w:r>
          </w:p>
        </w:tc>
        <w:tc>
          <w:tcPr>
            <w:tcW w:type="dxa" w:w="1440"/>
            <w:shd w:fill="FFDCE0" w:val="clear"/>
          </w:tcPr>
          <w:p>
            <w:r>
              <w:rPr>
                <w:sz w:val="17"/>
              </w:rPr>
              <w:t>2026-09-15</w:t>
            </w:r>
          </w:p>
        </w:tc>
        <w:tc>
          <w:tcPr>
            <w:tcW w:type="dxa" w:w="1440"/>
            <w:shd w:fill="FFDCE0" w:val="clear"/>
          </w:tcPr>
          <w:p>
            <w:r>
              <w:rPr>
                <w:sz w:val="17"/>
              </w:rPr>
              <w:t>7,597</w:t>
            </w:r>
          </w:p>
        </w:tc>
        <w:tc>
          <w:tcPr>
            <w:tcW w:type="dxa" w:w="1440"/>
            <w:shd w:fill="FFDCE0" w:val="clear"/>
          </w:tcPr>
          <w:p>
            <w:r>
              <w:rPr>
                <w:b/>
                <w:sz w:val="17"/>
              </w:rPr>
              <w:t>8,088</w:t>
            </w:r>
          </w:p>
        </w:tc>
        <w:tc>
          <w:tcPr>
            <w:tcW w:type="dxa" w:w="1440"/>
            <w:shd w:fill="FFDCE0" w:val="clear"/>
          </w:tcPr>
          <w:p>
            <w:r>
              <w:rPr>
                <w:sz w:val="17"/>
              </w:rPr>
              <w:t>8,578</w:t>
            </w:r>
          </w:p>
        </w:tc>
        <w:tc>
          <w:tcPr>
            <w:tcW w:type="dxa" w:w="1440"/>
            <w:shd w:fill="FFDCE0" w:val="clear"/>
          </w:tcPr>
          <w:p>
            <w:r>
              <w:rPr>
                <w:b/>
                <w:color w:val="C00000"/>
                <w:sz w:val="17"/>
              </w:rPr>
              <w:t>-12.3%</w:t>
            </w:r>
          </w:p>
        </w:tc>
      </w:tr>
      <w:tr>
        <w:tc>
          <w:tcPr>
            <w:tcW w:type="dxa" w:w="1440"/>
            <w:shd w:fill="FFDCE0" w:val="clear"/>
          </w:tcPr>
          <w:p>
            <w:r>
              <w:rPr>
                <w:sz w:val="17"/>
              </w:rPr>
              <w:t>J+5  Moyenne</w:t>
            </w:r>
          </w:p>
        </w:tc>
        <w:tc>
          <w:tcPr>
            <w:tcW w:type="dxa" w:w="1440"/>
            <w:shd w:fill="FFDCE0" w:val="clear"/>
          </w:tcPr>
          <w:p>
            <w:r>
              <w:rPr>
                <w:sz w:val="17"/>
              </w:rPr>
              <w:t>2026-09-16</w:t>
            </w:r>
          </w:p>
        </w:tc>
        <w:tc>
          <w:tcPr>
            <w:tcW w:type="dxa" w:w="1440"/>
            <w:shd w:fill="FFDCE0" w:val="clear"/>
          </w:tcPr>
          <w:p>
            <w:r>
              <w:rPr>
                <w:sz w:val="17"/>
              </w:rPr>
              <w:t>7,356</w:t>
            </w:r>
          </w:p>
        </w:tc>
        <w:tc>
          <w:tcPr>
            <w:tcW w:type="dxa" w:w="1440"/>
            <w:shd w:fill="FFDCE0" w:val="clear"/>
          </w:tcPr>
          <w:p>
            <w:r>
              <w:rPr>
                <w:b/>
                <w:sz w:val="17"/>
              </w:rPr>
              <w:t>7,892</w:t>
            </w:r>
          </w:p>
        </w:tc>
        <w:tc>
          <w:tcPr>
            <w:tcW w:type="dxa" w:w="1440"/>
            <w:shd w:fill="FFDCE0" w:val="clear"/>
          </w:tcPr>
          <w:p>
            <w:r>
              <w:rPr>
                <w:sz w:val="17"/>
              </w:rPr>
              <w:t>8,427</w:t>
            </w:r>
          </w:p>
        </w:tc>
        <w:tc>
          <w:tcPr>
            <w:tcW w:type="dxa" w:w="1440"/>
            <w:shd w:fill="FFDCE0" w:val="clear"/>
          </w:tcPr>
          <w:p>
            <w:r>
              <w:rPr>
                <w:b/>
                <w:color w:val="C00000"/>
                <w:sz w:val="17"/>
              </w:rPr>
              <w:t>-14.5%</w:t>
            </w:r>
          </w:p>
        </w:tc>
      </w:tr>
      <w:tr>
        <w:tc>
          <w:tcPr>
            <w:tcW w:type="dxa" w:w="1440"/>
            <w:shd w:fill="FFDCE0" w:val="clear"/>
          </w:tcPr>
          <w:p>
            <w:r>
              <w:rPr>
                <w:sz w:val="17"/>
              </w:rPr>
              <w:t>J+6  Moyenne</w:t>
            </w:r>
          </w:p>
        </w:tc>
        <w:tc>
          <w:tcPr>
            <w:tcW w:type="dxa" w:w="1440"/>
            <w:shd w:fill="FFDCE0" w:val="clear"/>
          </w:tcPr>
          <w:p>
            <w:r>
              <w:rPr>
                <w:sz w:val="17"/>
              </w:rPr>
              <w:t>2026-09-17</w:t>
            </w:r>
          </w:p>
        </w:tc>
        <w:tc>
          <w:tcPr>
            <w:tcW w:type="dxa" w:w="1440"/>
            <w:shd w:fill="FFDCE0" w:val="clear"/>
          </w:tcPr>
          <w:p>
            <w:r>
              <w:rPr>
                <w:sz w:val="17"/>
              </w:rPr>
              <w:t>7,150</w:t>
            </w:r>
          </w:p>
        </w:tc>
        <w:tc>
          <w:tcPr>
            <w:tcW w:type="dxa" w:w="1440"/>
            <w:shd w:fill="FFDCE0" w:val="clear"/>
          </w:tcPr>
          <w:p>
            <w:r>
              <w:rPr>
                <w:b/>
                <w:sz w:val="17"/>
              </w:rPr>
              <w:t>7,724</w:t>
            </w:r>
          </w:p>
        </w:tc>
        <w:tc>
          <w:tcPr>
            <w:tcW w:type="dxa" w:w="1440"/>
            <w:shd w:fill="FFDCE0" w:val="clear"/>
          </w:tcPr>
          <w:p>
            <w:r>
              <w:rPr>
                <w:sz w:val="17"/>
              </w:rPr>
              <w:t>8,298</w:t>
            </w:r>
          </w:p>
        </w:tc>
        <w:tc>
          <w:tcPr>
            <w:tcW w:type="dxa" w:w="1440"/>
            <w:shd w:fill="FFDCE0" w:val="clear"/>
          </w:tcPr>
          <w:p>
            <w:r>
              <w:rPr>
                <w:b/>
                <w:color w:val="C00000"/>
                <w:sz w:val="17"/>
              </w:rPr>
              <w:t>-16.3%</w:t>
            </w:r>
          </w:p>
        </w:tc>
      </w:tr>
      <w:tr>
        <w:tc>
          <w:tcPr>
            <w:tcW w:type="dxa" w:w="1440"/>
            <w:shd w:fill="FFDCE0" w:val="clear"/>
          </w:tcPr>
          <w:p>
            <w:r>
              <w:rPr>
                <w:sz w:val="17"/>
              </w:rPr>
              <w:t>J+7  Moyenne</w:t>
            </w:r>
          </w:p>
        </w:tc>
        <w:tc>
          <w:tcPr>
            <w:tcW w:type="dxa" w:w="1440"/>
            <w:shd w:fill="FFDCE0" w:val="clear"/>
          </w:tcPr>
          <w:p>
            <w:r>
              <w:rPr>
                <w:sz w:val="17"/>
              </w:rPr>
              <w:t>2026-09-18</w:t>
            </w:r>
          </w:p>
        </w:tc>
        <w:tc>
          <w:tcPr>
            <w:tcW w:type="dxa" w:w="1440"/>
            <w:shd w:fill="FFDCE0" w:val="clear"/>
          </w:tcPr>
          <w:p>
            <w:r>
              <w:rPr>
                <w:sz w:val="17"/>
              </w:rPr>
              <w:t>6,969</w:t>
            </w:r>
          </w:p>
        </w:tc>
        <w:tc>
          <w:tcPr>
            <w:tcW w:type="dxa" w:w="1440"/>
            <w:shd w:fill="FFDCE0" w:val="clear"/>
          </w:tcPr>
          <w:p>
            <w:r>
              <w:rPr>
                <w:b/>
                <w:sz w:val="17"/>
              </w:rPr>
              <w:t>7,577</w:t>
            </w:r>
          </w:p>
        </w:tc>
        <w:tc>
          <w:tcPr>
            <w:tcW w:type="dxa" w:w="1440"/>
            <w:shd w:fill="FFDCE0" w:val="clear"/>
          </w:tcPr>
          <w:p>
            <w:r>
              <w:rPr>
                <w:sz w:val="17"/>
              </w:rPr>
              <w:t>8,186</w:t>
            </w:r>
          </w:p>
        </w:tc>
        <w:tc>
          <w:tcPr>
            <w:tcW w:type="dxa" w:w="1440"/>
            <w:shd w:fill="FFDCE0" w:val="clear"/>
          </w:tcPr>
          <w:p>
            <w:r>
              <w:rPr>
                <w:b/>
                <w:color w:val="C00000"/>
                <w:sz w:val="17"/>
              </w:rPr>
              <w:t>-17.9%</w:t>
            </w:r>
          </w:p>
        </w:tc>
      </w:tr>
      <w:tr>
        <w:tc>
          <w:tcPr>
            <w:tcW w:type="dxa" w:w="1440"/>
            <w:shd w:fill="FFDCE0" w:val="clear"/>
          </w:tcPr>
          <w:p>
            <w:r>
              <w:rPr>
                <w:sz w:val="17"/>
              </w:rPr>
              <w:t>J+8  Moyenne</w:t>
            </w:r>
          </w:p>
        </w:tc>
        <w:tc>
          <w:tcPr>
            <w:tcW w:type="dxa" w:w="1440"/>
            <w:shd w:fill="FFDCE0" w:val="clear"/>
          </w:tcPr>
          <w:p>
            <w:r>
              <w:rPr>
                <w:sz w:val="17"/>
              </w:rPr>
              <w:t>2026-09-21</w:t>
            </w:r>
          </w:p>
        </w:tc>
        <w:tc>
          <w:tcPr>
            <w:tcW w:type="dxa" w:w="1440"/>
            <w:shd w:fill="FFDCE0" w:val="clear"/>
          </w:tcPr>
          <w:p>
            <w:r>
              <w:rPr>
                <w:sz w:val="17"/>
              </w:rPr>
              <w:t>6,808</w:t>
            </w:r>
          </w:p>
        </w:tc>
        <w:tc>
          <w:tcPr>
            <w:tcW w:type="dxa" w:w="1440"/>
            <w:shd w:fill="FFDCE0" w:val="clear"/>
          </w:tcPr>
          <w:p>
            <w:r>
              <w:rPr>
                <w:b/>
                <w:sz w:val="17"/>
              </w:rPr>
              <w:t>7,447</w:t>
            </w:r>
          </w:p>
        </w:tc>
        <w:tc>
          <w:tcPr>
            <w:tcW w:type="dxa" w:w="1440"/>
            <w:shd w:fill="FFDCE0" w:val="clear"/>
          </w:tcPr>
          <w:p>
            <w:r>
              <w:rPr>
                <w:sz w:val="17"/>
              </w:rPr>
              <w:t>8,086</w:t>
            </w:r>
          </w:p>
        </w:tc>
        <w:tc>
          <w:tcPr>
            <w:tcW w:type="dxa" w:w="1440"/>
            <w:shd w:fill="FFDCE0" w:val="clear"/>
          </w:tcPr>
          <w:p>
            <w:r>
              <w:rPr>
                <w:b/>
                <w:color w:val="C00000"/>
                <w:sz w:val="17"/>
              </w:rPr>
              <w:t>-19.3%</w:t>
            </w:r>
          </w:p>
        </w:tc>
      </w:tr>
      <w:tr>
        <w:tc>
          <w:tcPr>
            <w:tcW w:type="dxa" w:w="1440"/>
            <w:shd w:fill="FFDCE0" w:val="clear"/>
          </w:tcPr>
          <w:p>
            <w:r>
              <w:rPr>
                <w:sz w:val="17"/>
              </w:rPr>
              <w:t>J+9  Moyenne</w:t>
            </w:r>
          </w:p>
        </w:tc>
        <w:tc>
          <w:tcPr>
            <w:tcW w:type="dxa" w:w="1440"/>
            <w:shd w:fill="FFDCE0" w:val="clear"/>
          </w:tcPr>
          <w:p>
            <w:r>
              <w:rPr>
                <w:sz w:val="17"/>
              </w:rPr>
              <w:t>2026-09-22</w:t>
            </w:r>
          </w:p>
        </w:tc>
        <w:tc>
          <w:tcPr>
            <w:tcW w:type="dxa" w:w="1440"/>
            <w:shd w:fill="FFDCE0" w:val="clear"/>
          </w:tcPr>
          <w:p>
            <w:r>
              <w:rPr>
                <w:sz w:val="17"/>
              </w:rPr>
              <w:t>6,662</w:t>
            </w:r>
          </w:p>
        </w:tc>
        <w:tc>
          <w:tcPr>
            <w:tcW w:type="dxa" w:w="1440"/>
            <w:shd w:fill="FFDCE0" w:val="clear"/>
          </w:tcPr>
          <w:p>
            <w:r>
              <w:rPr>
                <w:b/>
                <w:sz w:val="17"/>
              </w:rPr>
              <w:t>7,329</w:t>
            </w:r>
          </w:p>
        </w:tc>
        <w:tc>
          <w:tcPr>
            <w:tcW w:type="dxa" w:w="1440"/>
            <w:shd w:fill="FFDCE0" w:val="clear"/>
          </w:tcPr>
          <w:p>
            <w:r>
              <w:rPr>
                <w:sz w:val="17"/>
              </w:rPr>
              <w:t>7,996</w:t>
            </w:r>
          </w:p>
        </w:tc>
        <w:tc>
          <w:tcPr>
            <w:tcW w:type="dxa" w:w="1440"/>
            <w:shd w:fill="FFDCE0" w:val="clear"/>
          </w:tcPr>
          <w:p>
            <w:r>
              <w:rPr>
                <w:b/>
                <w:color w:val="C00000"/>
                <w:sz w:val="17"/>
              </w:rPr>
              <w:t>-20.6%</w:t>
            </w:r>
          </w:p>
        </w:tc>
      </w:tr>
      <w:tr>
        <w:tc>
          <w:tcPr>
            <w:tcW w:type="dxa" w:w="1440"/>
            <w:shd w:fill="FFDCE0" w:val="clear"/>
          </w:tcPr>
          <w:p>
            <w:r>
              <w:rPr>
                <w:sz w:val="17"/>
              </w:rPr>
              <w:t>J+10  Moyenne</w:t>
            </w:r>
          </w:p>
        </w:tc>
        <w:tc>
          <w:tcPr>
            <w:tcW w:type="dxa" w:w="1440"/>
            <w:shd w:fill="FFDCE0" w:val="clear"/>
          </w:tcPr>
          <w:p>
            <w:r>
              <w:rPr>
                <w:sz w:val="17"/>
              </w:rPr>
              <w:t>2026-09-23</w:t>
            </w:r>
          </w:p>
        </w:tc>
        <w:tc>
          <w:tcPr>
            <w:tcW w:type="dxa" w:w="1440"/>
            <w:shd w:fill="FFDCE0" w:val="clear"/>
          </w:tcPr>
          <w:p>
            <w:r>
              <w:rPr>
                <w:sz w:val="17"/>
              </w:rPr>
              <w:t>6,528</w:t>
            </w:r>
          </w:p>
        </w:tc>
        <w:tc>
          <w:tcPr>
            <w:tcW w:type="dxa" w:w="1440"/>
            <w:shd w:fill="FFDCE0" w:val="clear"/>
          </w:tcPr>
          <w:p>
            <w:r>
              <w:rPr>
                <w:b/>
                <w:sz w:val="17"/>
              </w:rPr>
              <w:t>7,221</w:t>
            </w:r>
          </w:p>
        </w:tc>
        <w:tc>
          <w:tcPr>
            <w:tcW w:type="dxa" w:w="1440"/>
            <w:shd w:fill="FFDCE0" w:val="clear"/>
          </w:tcPr>
          <w:p>
            <w:r>
              <w:rPr>
                <w:sz w:val="17"/>
              </w:rPr>
              <w:t>7,914</w:t>
            </w:r>
          </w:p>
        </w:tc>
        <w:tc>
          <w:tcPr>
            <w:tcW w:type="dxa" w:w="1440"/>
            <w:shd w:fill="FFDCE0" w:val="clear"/>
          </w:tcPr>
          <w:p>
            <w:r>
              <w:rPr>
                <w:b/>
                <w:color w:val="C00000"/>
                <w:sz w:val="17"/>
              </w:rPr>
              <w:t>-21.7%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**RAPPORT D'ANALYSE FINANCIÈRE — SIBC (Société Ivoirienne de Banque)**</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922,50 milliards FCFA, SIBC figure parmi les valeurs les plus capitalisées de la BRVM, ce qui témoigne de son statut de pilier du secteur bancaire ouest-africain et de sa liquidité relative sur le marché. Le BPA de 556 FCFA par action signifie que chaque titre génère un bénéfice net de 556 FCFA, ce qui, rapporté au cours actuel de 9 225 FCFA, donne un PER de 16,6x — nettement supérieur à la moyenne du marché BRVM (généralement comprise entre 8x et 12x), indiquant que les investisseurs paient une prime significative pour les bénéfices de la banque. Le ratio P/B de 4,51x confirme cette tendance : le marché valorise SIBC à plus de quatre fois sa valeur comptable, une prime exigeante qui reflète la qualité perçue de ses fonds propres et sa rentabilité structurellement élevée (ROE de 27,16% en 2025). Enfin, l'EV/EBITDA de 15,4x, bien au-dessus du seuil de 15x, signale que la valeur totale de l'entreprise (incluant sa dette) est chèrement valorisée par rapport à sa capacité opérationnelle, ce qui laisse peu de marge de sécurité en cas de dégradation des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SIBC a enregistré une progression remarquable de +31,79%, avec une dernière séance en légère hausse de +0,27%, portant le cours actuel à 9 225 FCFA. Le titre a évolué dans un range significatif, oscillant entre un plus bas de 6 805 FCFA et un plus haut de 9 500 FCFA, soit une amplitude de trading de près de 40%, ce qui traduit une tendance générale nettement haussière portée par la bonne dynamique des résultats trimestriels et la confiance des investisseurs dans le secteur bancaire ivoirien. Les statistiques descriptives révèlent une moyenne de 8 482 FCFA contre une médiane de 8 845 FCFA : cet écart de 363 FCFA indique une distribution asymétrique, la médiane supérieure à la moyenne signifiant que le cours a passé plus de temps dans les niveaux élevés de la fourchette, avec quelques journées de forte baisse tirant la moyenne vers le bas. L'écart-type de 816 FCFA, associé à un coefficient de variation de 9,6%, témoigne d'une dispersion modérée du cours autour de sa moyenne, tandis que le kurtosis de -0,743 (mésokurtique) suggère une distribution proche de la normale, sans pics extrêmes fréquents, et le skewness de -0,928 (asymétrie négative) confirme que les journées de baisse ont été moins nombreuses mais plus amples que les journées de hausse. Avec une volatilité annualisée de 28,8%, le titre se situe dans la fourchette modérée-haute (15-30%), ce qui est cohérent avec son statut de valeur bancaire liquide mais sensible aux annonces macroéconomiques et sectorielles.</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9 172,75 FCFA et la MM50 à 9 049,10 FCFA, toutes deux inférieures au cours actuel de 9 225 FCFA, ce qui place le titre en position haussière au-dessus de ses supports mobiles. La configuration en « golden cross » (MM20 &gt; MM50) confirme la dynamique positive de court terme, justifiant la décision d'achat générée par cet indicateur.</w:t>
      </w:r>
    </w:p>
    <w:p>
      <w:pPr>
        <w:spacing w:after="120" w:line="276" w:lineRule="auto"/>
      </w:pPr>
      <w:r>
        <w:t>**Bandes de Bollinger :** Le cours actuel de 9 225 FCFA se situe entre la borne supérieure (9 351,94 FCFA) et la borne inférieure (8 993,56 FCFA), plus proche de la borne haute, ce qui indique une pression acheteuse modérée sans suraccumulation. L'absence de rupture de la borne supérieure suggère que le titre n'est pas en situation de surachat extrême, justifiant la décision neutre.</w:t>
      </w:r>
    </w:p>
    <w:p>
      <w:pPr>
        <w:spacing w:after="120" w:line="276" w:lineRule="auto"/>
      </w:pPr>
      <w:r>
        <w:t>**MACD :** La valeur du MACD (41,121) est inférieure à son signal (48,045), générant un croisement baissier qui indique un essoufflement du momentum haussier. Cette divergence négative, bien que modérée, justifie la décision de vente à court terme et appelle à la prudence sur les nouvelles positions.</w:t>
      </w:r>
    </w:p>
    <w:p>
      <w:pPr>
        <w:spacing w:after="120" w:line="276" w:lineRule="auto"/>
      </w:pPr>
      <w:r>
        <w:t>**RSI :** À 51,02, le RSI se situe parfaitement dans la zone neutre (30-70), sans signal de surachat ni de survente. Cette position médiane indique un équilibre entre acheteurs et vendeurs, justifiant la décision neutre et l'absence de signal directionnel fort.</w:t>
      </w:r>
    </w:p>
    <w:p>
      <w:pPr>
        <w:spacing w:after="120" w:line="276" w:lineRule="auto"/>
      </w:pPr>
      <w:r>
        <w:t>**Stochastique :** Le %K (75,0) est supérieur au %D (58,333), avec un croisement haussier récent qui suggère une reprise de la dynamique positive à court terme. Cependant, le %K approchant de la zone de surachat (80), la décision reste neutre car le potentiel de hausse immédiat semble limité.</w:t>
      </w:r>
    </w:p>
    <w:p>
      <w:pPr>
        <w:spacing w:after="120" w:line="276" w:lineRule="auto"/>
      </w:pPr>
      <w:r>
        <w:t>**Conclusion technique :** Les indicateurs techniques présentent un tableau mitigé : les moyennes mobiles confirment la tendance haussière de fond, mais le MACD baissier et le RSI neutre suggèrent un essoufflement du momentum. Le stochastique haussier apporte un signal positif contradictoire, tandis que les Bandes de Bollinger indiquent une volatilité contenue. Dans l'ensemble, le titre semble en phase de consolidation après sa forte progression, avec un biais haussier résiduel mais une dynamique affaiblie.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SIBC affiche un Produit Net Bancaire (PNB) de 108,663 milliards FCFA, en croissance de 5,74% par rapport à 2024, confirmant la dynamique commerciale soutenue de la banque. Le résultat net s'établit à 55,623 milliards FCFA, générant un ROE exceptionnel de 27,16% (bien supérieur au seuil de 15% considéré comme excellent) et un ROA de 2,96%, témoignant d'une rentabilité parmi les meilleures du secteur bancaire ouest-africain. Le coefficient d'exploitation de 38,59% — largement inférieur au seuil de 60% — atteste d'une efficacité opérationnelle remarquable, avec des charges générales d'exploitation de 38,800 milliards FCFA pour un PNB de 108,663 milliards FCFA. La structure financière révèle une autonomie financière de 10,88% (capitaux propres de 204,765 milliards FCFA pour un total bilan de 1 881,733 milliards FCFA), un ratio d'endettement de 50,92% et une solvabilité générale de 112,21%, indiquant une capacité à couvrir ses dettes par ses actifs. Le portefeuille de crédits s'élève à 1 226,720 milliards FCFA, financé par des dépôts clientèle de 1 503,441 milliards FCFA, soit un ratio de transformation (crédits/dépôts) de 81,6%, reflétant une utilisation saine des ressources collectées. Le coût du risque, bien que non détaillé dans les données structurées, est mentionné dans les rapports comme en baisse significative (-35% en 2024), ce qui est un signal positif pour la qualité du portefeuille.</w:t>
      </w:r>
    </w:p>
    <w:p>
      <w:pPr>
        <w:spacing w:after="120" w:line="276" w:lineRule="auto"/>
      </w:pPr>
      <w:r>
        <w:t>**Estimations basées sur les rapports trimestriels :** Sur la base du rapport T1 2026 (publié le 31/12/2026, analysé le 07/05/2026), le PNB progresse de +4% à 27,7 milliards FCFA et le résultat net bondit de +11% à 15,2 milliards FCFA, avec une marge nette exceptionnelle de 54,9%. Les dépôts clientèle augmentent de +9% à 1 495 milliards FCFA et les crédits de +7% à 1 112 milliards FCFA, confirmant l'accélération de l'activité. En extrapolant ces tendances, on peut estimer que l'exercice 2026 devrait afficher un PNB annuel d'environ 113-115 milliards FCFA et un résultat net de 60-62 milliards FCFA, soit une croissance de 8-11% par rapport à 2025. Le rapport T3 2025 (30/09/2025) confirme cette dynamique avec un PNB cumulé de 81,4 milliards FCFA (+8%) et un résultat net de 43,0 milliards FCFA (+11%), tandis que le rapport S1 2025 (30/06/2025) affichait déjà un résultat net de 29,4 milliards FCFA (+15%) et une marge nette de 54,2%. Le rapport annuel 2024 (31/12/2024) indiquait un ROE de 30,56% et un coefficient d'exploitation de 39,05%, confirmant la constance de la performance.</w:t>
      </w:r>
    </w:p>
    <w:p>
      <w:pPr>
        <w:spacing w:after="120" w:line="276" w:lineRule="auto"/>
      </w:pPr>
      <w:r>
        <w:t>**Recommandation fondamentale :** SIBC présente des fondamentaux solides et une trajectoire de croissance rentable, portée par le plan stratégique « IMPULSION 2028 » et la dynamique économique ivoirienne. Les risques identifiés incluent le risque de crédit lié à l'expansion des encours, la pression concurrentielle sur les marges et la dépendance à l'environnement macroéconomique. La valorisation exigeante (PER 16,6x, P/B 4,51x) intègre déjà ces bonnes performances, limitant le potentiel de hausse immédiat.</w:t>
      </w:r>
    </w:p>
    <w:p>
      <w:pPr>
        <w:spacing w:after="120" w:line="276" w:lineRule="auto"/>
      </w:pPr>
      <w:r>
        <w:t>---</w:t>
      </w:r>
    </w:p>
    <w:p>
      <w:pPr>
        <w:spacing w:after="120" w:line="276" w:lineRule="auto"/>
      </w:pPr>
      <w:r>
        <w:t>## PARTIE 4 : CONCLUSION D'INVESTISSEMENT</w:t>
      </w:r>
    </w:p>
    <w:p>
      <w:pPr>
        <w:spacing w:after="120" w:line="276" w:lineRule="auto"/>
      </w:pPr>
      <w:r>
        <w:t>La valorisation de SIBC (PER de 16,6x, P/B de 4,51x, EV/EBITDA de 15,4x) indique une surévaluation relative par rapport aux moyennes du marché BRVM, avec une prime significative intégrée pour la qualité des bénéfices et la solidité du bilan. Le comportement du cours sur 100 jours (+31,79%) est nettement haussier, avec une volatilité modérée (28,8%) et des statistiques descriptives (skewness négatif, kurtosis proche de la normale) qui suggèrent une tendance de fond positive sans excès spéculatif majeur. Les signaux techniques sont mitigés : les moyennes mobiles confirment la tendance haussière, mais le MACD baissier et le RSI neutre indiquent un essoufflement du momentum, tandis que le stochastique haussier apporte un signal contradictoire — une divergence qui appelle à la prudence. Les fondamentaux restent excellents (ROE de 27,16%, coefficient d'exploitation de 38,59%, croissance du résultat net de +11% au T1 2026), avec des estimations annuelles 2026 favorables (PNB ~113-115 milliards FCFA, RN ~60-62 milliards FCFA), mais la valorisation exigeante limite le potentiel de revalorisation à court terme. Les prédictions IA pour les 10 prochains jours ouvrables (8900 → 7892 FCFA, soit -14,4%) contredisent la tendance haussière récente et les fondamentaux solides, suggérant une correction technique probable après la forte progression. Sur la base de cette synthèse, la recommandation finale est **CONSERVER** : les investisseurs déjà positionnés peuvent maintenir leurs titres pour bénéficier de la croissance régulière et de la solidité du modèle, mais les nouveaux entrants devraient attendre une correction vers 8 500-8 800 FCFA pour améliorer leur point d'entrée. Le niveau de confiance est **Moyen** (divergence entre technique et fondamental), le niveau de risque global est **Moyen** (valorisation exigeante mais fondamentaux solides), et l'horizon d'investissement optimal est le **moyen terme (3-12 mois)**, le temps que la croissance des bénéfices rattrape la valorisation actuelle.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124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+98.82%</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3,930 FCFA</w:t>
            </w:r>
          </w:p>
          <w:p>
            <w:r>
              <w:rPr>
                <w:b/>
                <w:color w:val="503200"/>
                <w:sz w:val="16"/>
              </w:rPr>
              <w:t xml:space="preserve">Volatilité ann. : </w:t>
            </w:r>
            <w:r>
              <w:rPr>
                <w:color w:val="000000"/>
                <w:sz w:val="17"/>
              </w:rPr>
              <w:t>60.4%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30.99% (Élevée) — μ=5,643 FCFA, σ=1,749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β=-0.7102 (Contre-cyclique) — Cov=-0.000026, Var(idx)=0.000036, ρ=-0.112,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124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σ_j=3.80%/j (Modérée) — Vol. annualisée≈60.4%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616976"/>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2026-09-10</w:t>
            </w:r>
          </w:p>
        </w:tc>
        <w:tc>
          <w:tcPr>
            <w:tcW w:type="dxa" w:w="1440"/>
            <w:shd w:fill="FAFAFA" w:val="clear"/>
          </w:tcPr>
          <w:p>
            <w:r>
              <w:rPr>
                <w:sz w:val="17"/>
              </w:rPr>
              <w:t>7,668</w:t>
            </w:r>
          </w:p>
        </w:tc>
        <w:tc>
          <w:tcPr>
            <w:tcW w:type="dxa" w:w="1440"/>
            <w:shd w:fill="FAFAFA" w:val="clear"/>
          </w:tcPr>
          <w:p>
            <w:r>
              <w:rPr>
                <w:b/>
                <w:sz w:val="17"/>
              </w:rPr>
              <w:t>8,290</w:t>
            </w:r>
          </w:p>
        </w:tc>
        <w:tc>
          <w:tcPr>
            <w:tcW w:type="dxa" w:w="1440"/>
            <w:shd w:fill="FAFAFA" w:val="clear"/>
          </w:tcPr>
          <w:p>
            <w:r>
              <w:rPr>
                <w:sz w:val="17"/>
              </w:rPr>
              <w:t>8,912</w:t>
            </w:r>
          </w:p>
        </w:tc>
        <w:tc>
          <w:tcPr>
            <w:tcW w:type="dxa" w:w="1440"/>
            <w:shd w:fill="FAFAFA" w:val="clear"/>
          </w:tcPr>
          <w:p>
            <w:r>
              <w:rPr>
                <w:b/>
                <w:color w:val="C00000"/>
                <w:sz w:val="17"/>
              </w:rPr>
              <w:t>-1.3%</w:t>
            </w:r>
          </w:p>
        </w:tc>
      </w:tr>
      <w:tr>
        <w:tc>
          <w:tcPr>
            <w:tcW w:type="dxa" w:w="1440"/>
            <w:shd w:fill="FFDCE0" w:val="clear"/>
          </w:tcPr>
          <w:p>
            <w:r>
              <w:rPr>
                <w:sz w:val="17"/>
              </w:rPr>
              <w:t>J+2  ⭐</w:t>
            </w:r>
          </w:p>
        </w:tc>
        <w:tc>
          <w:tcPr>
            <w:tcW w:type="dxa" w:w="1440"/>
            <w:shd w:fill="FFDCE0" w:val="clear"/>
          </w:tcPr>
          <w:p>
            <w:r>
              <w:rPr>
                <w:sz w:val="17"/>
              </w:rPr>
              <w:t>2026-09-11</w:t>
            </w:r>
          </w:p>
        </w:tc>
        <w:tc>
          <w:tcPr>
            <w:tcW w:type="dxa" w:w="1440"/>
            <w:shd w:fill="FFDCE0" w:val="clear"/>
          </w:tcPr>
          <w:p>
            <w:r>
              <w:rPr>
                <w:sz w:val="17"/>
              </w:rPr>
              <w:t>7,218</w:t>
            </w:r>
          </w:p>
        </w:tc>
        <w:tc>
          <w:tcPr>
            <w:tcW w:type="dxa" w:w="1440"/>
            <w:shd w:fill="FFDCE0" w:val="clear"/>
          </w:tcPr>
          <w:p>
            <w:r>
              <w:rPr>
                <w:b/>
                <w:sz w:val="17"/>
              </w:rPr>
              <w:t>8,144</w:t>
            </w:r>
          </w:p>
        </w:tc>
        <w:tc>
          <w:tcPr>
            <w:tcW w:type="dxa" w:w="1440"/>
            <w:shd w:fill="FFDCE0" w:val="clear"/>
          </w:tcPr>
          <w:p>
            <w:r>
              <w:rPr>
                <w:sz w:val="17"/>
              </w:rPr>
              <w:t>9,070</w:t>
            </w:r>
          </w:p>
        </w:tc>
        <w:tc>
          <w:tcPr>
            <w:tcW w:type="dxa" w:w="1440"/>
            <w:shd w:fill="FFDCE0" w:val="clear"/>
          </w:tcPr>
          <w:p>
            <w:r>
              <w:rPr>
                <w:b/>
                <w:color w:val="C00000"/>
                <w:sz w:val="17"/>
              </w:rPr>
              <w:t>-3.0%</w:t>
            </w:r>
          </w:p>
        </w:tc>
      </w:tr>
      <w:tr>
        <w:tc>
          <w:tcPr>
            <w:tcW w:type="dxa" w:w="1440"/>
            <w:shd w:fill="FFDCE0" w:val="clear"/>
          </w:tcPr>
          <w:p>
            <w:r>
              <w:rPr>
                <w:sz w:val="17"/>
              </w:rPr>
              <w:t>J+3  ⭐</w:t>
            </w:r>
          </w:p>
        </w:tc>
        <w:tc>
          <w:tcPr>
            <w:tcW w:type="dxa" w:w="1440"/>
            <w:shd w:fill="FFDCE0" w:val="clear"/>
          </w:tcPr>
          <w:p>
            <w:r>
              <w:rPr>
                <w:sz w:val="17"/>
              </w:rPr>
              <w:t>2026-09-14</w:t>
            </w:r>
          </w:p>
        </w:tc>
        <w:tc>
          <w:tcPr>
            <w:tcW w:type="dxa" w:w="1440"/>
            <w:shd w:fill="FFDCE0" w:val="clear"/>
          </w:tcPr>
          <w:p>
            <w:r>
              <w:rPr>
                <w:sz w:val="17"/>
              </w:rPr>
              <w:t>6,873</w:t>
            </w:r>
          </w:p>
        </w:tc>
        <w:tc>
          <w:tcPr>
            <w:tcW w:type="dxa" w:w="1440"/>
            <w:shd w:fill="FFDCE0" w:val="clear"/>
          </w:tcPr>
          <w:p>
            <w:r>
              <w:rPr>
                <w:b/>
                <w:sz w:val="17"/>
              </w:rPr>
              <w:t>7,984</w:t>
            </w:r>
          </w:p>
        </w:tc>
        <w:tc>
          <w:tcPr>
            <w:tcW w:type="dxa" w:w="1440"/>
            <w:shd w:fill="FFDCE0" w:val="clear"/>
          </w:tcPr>
          <w:p>
            <w:r>
              <w:rPr>
                <w:sz w:val="17"/>
              </w:rPr>
              <w:t>9,096</w:t>
            </w:r>
          </w:p>
        </w:tc>
        <w:tc>
          <w:tcPr>
            <w:tcW w:type="dxa" w:w="1440"/>
            <w:shd w:fill="FFDCE0" w:val="clear"/>
          </w:tcPr>
          <w:p>
            <w:r>
              <w:rPr>
                <w:b/>
                <w:color w:val="C00000"/>
                <w:sz w:val="17"/>
              </w:rPr>
              <w:t>-4.9%</w:t>
            </w:r>
          </w:p>
        </w:tc>
      </w:tr>
      <w:tr>
        <w:tc>
          <w:tcPr>
            <w:tcW w:type="dxa" w:w="1440"/>
            <w:shd w:fill="FFDCE0" w:val="clear"/>
          </w:tcPr>
          <w:p>
            <w:r>
              <w:rPr>
                <w:sz w:val="17"/>
              </w:rPr>
              <w:t>J+4  ⭐</w:t>
            </w:r>
          </w:p>
        </w:tc>
        <w:tc>
          <w:tcPr>
            <w:tcW w:type="dxa" w:w="1440"/>
            <w:shd w:fill="FFDCE0" w:val="clear"/>
          </w:tcPr>
          <w:p>
            <w:r>
              <w:rPr>
                <w:sz w:val="17"/>
              </w:rPr>
              <w:t>2026-09-15</w:t>
            </w:r>
          </w:p>
        </w:tc>
        <w:tc>
          <w:tcPr>
            <w:tcW w:type="dxa" w:w="1440"/>
            <w:shd w:fill="FFDCE0" w:val="clear"/>
          </w:tcPr>
          <w:p>
            <w:r>
              <w:rPr>
                <w:sz w:val="17"/>
              </w:rPr>
              <w:t>6,562</w:t>
            </w:r>
          </w:p>
        </w:tc>
        <w:tc>
          <w:tcPr>
            <w:tcW w:type="dxa" w:w="1440"/>
            <w:shd w:fill="FFDCE0" w:val="clear"/>
          </w:tcPr>
          <w:p>
            <w:r>
              <w:rPr>
                <w:b/>
                <w:sz w:val="17"/>
              </w:rPr>
              <w:t>7,820</w:t>
            </w:r>
          </w:p>
        </w:tc>
        <w:tc>
          <w:tcPr>
            <w:tcW w:type="dxa" w:w="1440"/>
            <w:shd w:fill="FFDCE0" w:val="clear"/>
          </w:tcPr>
          <w:p>
            <w:r>
              <w:rPr>
                <w:sz w:val="17"/>
              </w:rPr>
              <w:t>9,077</w:t>
            </w:r>
          </w:p>
        </w:tc>
        <w:tc>
          <w:tcPr>
            <w:tcW w:type="dxa" w:w="1440"/>
            <w:shd w:fill="FFDCE0" w:val="clear"/>
          </w:tcPr>
          <w:p>
            <w:r>
              <w:rPr>
                <w:b/>
                <w:color w:val="C00000"/>
                <w:sz w:val="17"/>
              </w:rPr>
              <w:t>-6.9%</w:t>
            </w:r>
          </w:p>
        </w:tc>
      </w:tr>
      <w:tr>
        <w:tc>
          <w:tcPr>
            <w:tcW w:type="dxa" w:w="1440"/>
            <w:shd w:fill="FFDCE0" w:val="clear"/>
          </w:tcPr>
          <w:p>
            <w:r>
              <w:rPr>
                <w:sz w:val="17"/>
              </w:rPr>
              <w:t>J+5  ⭐</w:t>
            </w:r>
          </w:p>
        </w:tc>
        <w:tc>
          <w:tcPr>
            <w:tcW w:type="dxa" w:w="1440"/>
            <w:shd w:fill="FFDCE0" w:val="clear"/>
          </w:tcPr>
          <w:p>
            <w:r>
              <w:rPr>
                <w:sz w:val="17"/>
              </w:rPr>
              <w:t>2026-09-16</w:t>
            </w:r>
          </w:p>
        </w:tc>
        <w:tc>
          <w:tcPr>
            <w:tcW w:type="dxa" w:w="1440"/>
            <w:shd w:fill="FFDCE0" w:val="clear"/>
          </w:tcPr>
          <w:p>
            <w:r>
              <w:rPr>
                <w:sz w:val="17"/>
              </w:rPr>
              <w:t>6,279</w:t>
            </w:r>
          </w:p>
        </w:tc>
        <w:tc>
          <w:tcPr>
            <w:tcW w:type="dxa" w:w="1440"/>
            <w:shd w:fill="FFDCE0" w:val="clear"/>
          </w:tcPr>
          <w:p>
            <w:r>
              <w:rPr>
                <w:b/>
                <w:sz w:val="17"/>
              </w:rPr>
              <w:t>7,655</w:t>
            </w:r>
          </w:p>
        </w:tc>
        <w:tc>
          <w:tcPr>
            <w:tcW w:type="dxa" w:w="1440"/>
            <w:shd w:fill="FFDCE0" w:val="clear"/>
          </w:tcPr>
          <w:p>
            <w:r>
              <w:rPr>
                <w:sz w:val="17"/>
              </w:rPr>
              <w:t>9,031</w:t>
            </w:r>
          </w:p>
        </w:tc>
        <w:tc>
          <w:tcPr>
            <w:tcW w:type="dxa" w:w="1440"/>
            <w:shd w:fill="FFDCE0" w:val="clear"/>
          </w:tcPr>
          <w:p>
            <w:r>
              <w:rPr>
                <w:b/>
                <w:color w:val="C00000"/>
                <w:sz w:val="17"/>
              </w:rPr>
              <w:t>-8.9%</w:t>
            </w:r>
          </w:p>
        </w:tc>
      </w:tr>
      <w:tr>
        <w:tc>
          <w:tcPr>
            <w:tcW w:type="dxa" w:w="1440"/>
            <w:shd w:fill="FFDCE0" w:val="clear"/>
          </w:tcPr>
          <w:p>
            <w:r>
              <w:rPr>
                <w:sz w:val="17"/>
              </w:rPr>
              <w:t>J+6  ⭐</w:t>
            </w:r>
          </w:p>
        </w:tc>
        <w:tc>
          <w:tcPr>
            <w:tcW w:type="dxa" w:w="1440"/>
            <w:shd w:fill="FFDCE0" w:val="clear"/>
          </w:tcPr>
          <w:p>
            <w:r>
              <w:rPr>
                <w:sz w:val="17"/>
              </w:rPr>
              <w:t>2026-09-17</w:t>
            </w:r>
          </w:p>
        </w:tc>
        <w:tc>
          <w:tcPr>
            <w:tcW w:type="dxa" w:w="1440"/>
            <w:shd w:fill="FFDCE0" w:val="clear"/>
          </w:tcPr>
          <w:p>
            <w:r>
              <w:rPr>
                <w:sz w:val="17"/>
              </w:rPr>
              <w:t>6,017</w:t>
            </w:r>
          </w:p>
        </w:tc>
        <w:tc>
          <w:tcPr>
            <w:tcW w:type="dxa" w:w="1440"/>
            <w:shd w:fill="FFDCE0" w:val="clear"/>
          </w:tcPr>
          <w:p>
            <w:r>
              <w:rPr>
                <w:b/>
                <w:sz w:val="17"/>
              </w:rPr>
              <w:t>7,493</w:t>
            </w:r>
          </w:p>
        </w:tc>
        <w:tc>
          <w:tcPr>
            <w:tcW w:type="dxa" w:w="1440"/>
            <w:shd w:fill="FFDCE0" w:val="clear"/>
          </w:tcPr>
          <w:p>
            <w:r>
              <w:rPr>
                <w:sz w:val="17"/>
              </w:rPr>
              <w:t>8,968</w:t>
            </w:r>
          </w:p>
        </w:tc>
        <w:tc>
          <w:tcPr>
            <w:tcW w:type="dxa" w:w="1440"/>
            <w:shd w:fill="FFDCE0" w:val="clear"/>
          </w:tcPr>
          <w:p>
            <w:r>
              <w:rPr>
                <w:b/>
                <w:color w:val="C00000"/>
                <w:sz w:val="17"/>
              </w:rPr>
              <w:t>-10.8%</w:t>
            </w:r>
          </w:p>
        </w:tc>
      </w:tr>
      <w:tr>
        <w:tc>
          <w:tcPr>
            <w:tcW w:type="dxa" w:w="1440"/>
            <w:shd w:fill="FFDCE0" w:val="clear"/>
          </w:tcPr>
          <w:p>
            <w:r>
              <w:rPr>
                <w:sz w:val="17"/>
              </w:rPr>
              <w:t>J+7  ⭐</w:t>
            </w:r>
          </w:p>
        </w:tc>
        <w:tc>
          <w:tcPr>
            <w:tcW w:type="dxa" w:w="1440"/>
            <w:shd w:fill="FFDCE0" w:val="clear"/>
          </w:tcPr>
          <w:p>
            <w:r>
              <w:rPr>
                <w:sz w:val="17"/>
              </w:rPr>
              <w:t>2026-09-18</w:t>
            </w:r>
          </w:p>
        </w:tc>
        <w:tc>
          <w:tcPr>
            <w:tcW w:type="dxa" w:w="1440"/>
            <w:shd w:fill="FFDCE0" w:val="clear"/>
          </w:tcPr>
          <w:p>
            <w:r>
              <w:rPr>
                <w:sz w:val="17"/>
              </w:rPr>
              <w:t>5,775</w:t>
            </w:r>
          </w:p>
        </w:tc>
        <w:tc>
          <w:tcPr>
            <w:tcW w:type="dxa" w:w="1440"/>
            <w:shd w:fill="FFDCE0" w:val="clear"/>
          </w:tcPr>
          <w:p>
            <w:r>
              <w:rPr>
                <w:b/>
                <w:sz w:val="17"/>
              </w:rPr>
              <w:t>7,335</w:t>
            </w:r>
          </w:p>
        </w:tc>
        <w:tc>
          <w:tcPr>
            <w:tcW w:type="dxa" w:w="1440"/>
            <w:shd w:fill="FFDCE0" w:val="clear"/>
          </w:tcPr>
          <w:p>
            <w:r>
              <w:rPr>
                <w:sz w:val="17"/>
              </w:rPr>
              <w:t>8,896</w:t>
            </w:r>
          </w:p>
        </w:tc>
        <w:tc>
          <w:tcPr>
            <w:tcW w:type="dxa" w:w="1440"/>
            <w:shd w:fill="FFDCE0" w:val="clear"/>
          </w:tcPr>
          <w:p>
            <w:r>
              <w:rPr>
                <w:b/>
                <w:color w:val="C00000"/>
                <w:sz w:val="17"/>
              </w:rPr>
              <w:t>-12.7%</w:t>
            </w:r>
          </w:p>
        </w:tc>
      </w:tr>
      <w:tr>
        <w:tc>
          <w:tcPr>
            <w:tcW w:type="dxa" w:w="1440"/>
            <w:shd w:fill="FFDCE0" w:val="clear"/>
          </w:tcPr>
          <w:p>
            <w:r>
              <w:rPr>
                <w:sz w:val="17"/>
              </w:rPr>
              <w:t>J+8  ⭐</w:t>
            </w:r>
          </w:p>
        </w:tc>
        <w:tc>
          <w:tcPr>
            <w:tcW w:type="dxa" w:w="1440"/>
            <w:shd w:fill="FFDCE0" w:val="clear"/>
          </w:tcPr>
          <w:p>
            <w:r>
              <w:rPr>
                <w:sz w:val="17"/>
              </w:rPr>
              <w:t>2026-09-21</w:t>
            </w:r>
          </w:p>
        </w:tc>
        <w:tc>
          <w:tcPr>
            <w:tcW w:type="dxa" w:w="1440"/>
            <w:shd w:fill="FFDCE0" w:val="clear"/>
          </w:tcPr>
          <w:p>
            <w:r>
              <w:rPr>
                <w:sz w:val="17"/>
              </w:rPr>
              <w:t>5,550</w:t>
            </w:r>
          </w:p>
        </w:tc>
        <w:tc>
          <w:tcPr>
            <w:tcW w:type="dxa" w:w="1440"/>
            <w:shd w:fill="FFDCE0" w:val="clear"/>
          </w:tcPr>
          <w:p>
            <w:r>
              <w:rPr>
                <w:b/>
                <w:sz w:val="17"/>
              </w:rPr>
              <w:t>7,184</w:t>
            </w:r>
          </w:p>
        </w:tc>
        <w:tc>
          <w:tcPr>
            <w:tcW w:type="dxa" w:w="1440"/>
            <w:shd w:fill="FFDCE0" w:val="clear"/>
          </w:tcPr>
          <w:p>
            <w:r>
              <w:rPr>
                <w:sz w:val="17"/>
              </w:rPr>
              <w:t>8,817</w:t>
            </w:r>
          </w:p>
        </w:tc>
        <w:tc>
          <w:tcPr>
            <w:tcW w:type="dxa" w:w="1440"/>
            <w:shd w:fill="FFDCE0" w:val="clear"/>
          </w:tcPr>
          <w:p>
            <w:r>
              <w:rPr>
                <w:b/>
                <w:color w:val="C00000"/>
                <w:sz w:val="17"/>
              </w:rPr>
              <w:t>-14.5%</w:t>
            </w:r>
          </w:p>
        </w:tc>
      </w:tr>
      <w:tr>
        <w:tc>
          <w:tcPr>
            <w:tcW w:type="dxa" w:w="1440"/>
            <w:shd w:fill="FFDCE0" w:val="clear"/>
          </w:tcPr>
          <w:p>
            <w:r>
              <w:rPr>
                <w:sz w:val="17"/>
              </w:rPr>
              <w:t>J+9  ⭐</w:t>
            </w:r>
          </w:p>
        </w:tc>
        <w:tc>
          <w:tcPr>
            <w:tcW w:type="dxa" w:w="1440"/>
            <w:shd w:fill="FFDCE0" w:val="clear"/>
          </w:tcPr>
          <w:p>
            <w:r>
              <w:rPr>
                <w:sz w:val="17"/>
              </w:rPr>
              <w:t>2026-09-22</w:t>
            </w:r>
          </w:p>
        </w:tc>
        <w:tc>
          <w:tcPr>
            <w:tcW w:type="dxa" w:w="1440"/>
            <w:shd w:fill="FFDCE0" w:val="clear"/>
          </w:tcPr>
          <w:p>
            <w:r>
              <w:rPr>
                <w:sz w:val="17"/>
              </w:rPr>
              <w:t>5,341</w:t>
            </w:r>
          </w:p>
        </w:tc>
        <w:tc>
          <w:tcPr>
            <w:tcW w:type="dxa" w:w="1440"/>
            <w:shd w:fill="FFDCE0" w:val="clear"/>
          </w:tcPr>
          <w:p>
            <w:r>
              <w:rPr>
                <w:b/>
                <w:sz w:val="17"/>
              </w:rPr>
              <w:t>7,039</w:t>
            </w:r>
          </w:p>
        </w:tc>
        <w:tc>
          <w:tcPr>
            <w:tcW w:type="dxa" w:w="1440"/>
            <w:shd w:fill="FFDCE0" w:val="clear"/>
          </w:tcPr>
          <w:p>
            <w:r>
              <w:rPr>
                <w:sz w:val="17"/>
              </w:rPr>
              <w:t>8,736</w:t>
            </w:r>
          </w:p>
        </w:tc>
        <w:tc>
          <w:tcPr>
            <w:tcW w:type="dxa" w:w="1440"/>
            <w:shd w:fill="FFDCE0" w:val="clear"/>
          </w:tcPr>
          <w:p>
            <w:r>
              <w:rPr>
                <w:b/>
                <w:color w:val="C00000"/>
                <w:sz w:val="17"/>
              </w:rPr>
              <w:t>-16.2%</w:t>
            </w:r>
          </w:p>
        </w:tc>
      </w:tr>
      <w:tr>
        <w:tc>
          <w:tcPr>
            <w:tcW w:type="dxa" w:w="1440"/>
            <w:shd w:fill="FFDCE0" w:val="clear"/>
          </w:tcPr>
          <w:p>
            <w:r>
              <w:rPr>
                <w:sz w:val="17"/>
              </w:rPr>
              <w:t>J+10  ⭐</w:t>
            </w:r>
          </w:p>
        </w:tc>
        <w:tc>
          <w:tcPr>
            <w:tcW w:type="dxa" w:w="1440"/>
            <w:shd w:fill="FFDCE0" w:val="clear"/>
          </w:tcPr>
          <w:p>
            <w:r>
              <w:rPr>
                <w:sz w:val="17"/>
              </w:rPr>
              <w:t>2026-09-23</w:t>
            </w:r>
          </w:p>
        </w:tc>
        <w:tc>
          <w:tcPr>
            <w:tcW w:type="dxa" w:w="1440"/>
            <w:shd w:fill="FFDCE0" w:val="clear"/>
          </w:tcPr>
          <w:p>
            <w:r>
              <w:rPr>
                <w:sz w:val="17"/>
              </w:rPr>
              <w:t>5,146</w:t>
            </w:r>
          </w:p>
        </w:tc>
        <w:tc>
          <w:tcPr>
            <w:tcW w:type="dxa" w:w="1440"/>
            <w:shd w:fill="FFDCE0" w:val="clear"/>
          </w:tcPr>
          <w:p>
            <w:r>
              <w:rPr>
                <w:b/>
                <w:sz w:val="17"/>
              </w:rPr>
              <w:t>6,900</w:t>
            </w:r>
          </w:p>
        </w:tc>
        <w:tc>
          <w:tcPr>
            <w:tcW w:type="dxa" w:w="1440"/>
            <w:shd w:fill="FFDCE0" w:val="clear"/>
          </w:tcPr>
          <w:p>
            <w:r>
              <w:rPr>
                <w:sz w:val="17"/>
              </w:rPr>
              <w:t>8,655</w:t>
            </w:r>
          </w:p>
        </w:tc>
        <w:tc>
          <w:tcPr>
            <w:tcW w:type="dxa" w:w="1440"/>
            <w:shd w:fill="FFDCE0" w:val="clear"/>
          </w:tcPr>
          <w:p>
            <w:r>
              <w:rPr>
                <w:b/>
                <w:color w:val="C00000"/>
                <w:sz w:val="17"/>
              </w:rPr>
              <w:t>-17.9%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ACTION SICC (SICOR CI)**</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SICOR s'établit à 5,04 milliards FCFA, un niveau modeste à l'échelle de la BRVM qui la classe parmi les petites capitalisations du compartiment agro-industriel. Les ratios de valorisation classiques (BPA, PER, P/B, EV/EBITDA) ne sont pas calculables en l'état, faute de données financières structurées récentes et fiables dans la base (les derniers états financiers certifiés exploitables remontent à des exercices antérieurs à 2024). Cette absence de visibilité sur les multiples de valorisation constitue en soi un signal de prudence : l'investisseur ne peut s'appuyer sur un PER de référence (moyenne BRVM ~8-12x) ni sur un P/B pour juger si le titre est cher ou bon marché. Dans ce contexte, la valorisation de SICC repose davantage sur des considérations techniques et spéculatives que sur des fondamentaux mesurables, ce qui accroît le risque de surévaluation implicite après le rally de près de 99 % sur 100 jours.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SICC a enregistré une variation totale spectaculaire de +98,82 %, passant d'un plus bas de 3 930 FCFA à un plus haut de 10 200 FCFA, avant de refluer à 8 400 FCFA (dernière séance en baisse de -1,18 %). Le range de trading est donc exceptionnellement large (environ 6 270 FCFA d'amplitude), traduisant une tendance haussière puissante mais ponctuée de prises de bénéfices récentes. Les statistiques descriptives révèlent une distribution asymétrique : la moyenne (5 643 FCFA) est nettement supérieure à la médiane (4 728 FCFA) et au mode (4 380 FCFA), ce qui indique que le cours a passé la majorité de la période sous sa moyenne, avant une accélération tardive vers les sommets — cohérent avec le skewness positif de 1,126 (plus de journées sous la moyenne, mais des pics haussiers marqués). L'écart-type de 1 758 FCFA et le coefficient de variation de 31,1 % confirment une dispersion élevée du cours. Le kurtosis de -0,105 (mésokurtique) suggère une distribution proche de la normale, sans risque extrême de pics anormaux, mais la volatilité annualisée de 60,4 % classe clairement le titre dans la catégorie à volatilité élevée (&gt;30 %), ce qui implique un risque de perte en capital significatif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(8 702,25 FCFA) et la MM50 (6 920,2 FCFA) sont toutes deux inférieures au cours actuel (8 400 FCFA) pour la MM20, mais la MM50 reste nettement en dessous, confirmant une configuration haussière de fond. La décision « Achat » est justifiée par le fait que le cours évolue au-dessus de ses moyennes, bien que la MM20 serve désormais de résistance proche.</w:t>
      </w:r>
    </w:p>
    <w:p>
      <w:pPr>
        <w:spacing w:after="120" w:line="276" w:lineRule="auto"/>
      </w:pPr>
      <w:r>
        <w:t>**Bandes de Bollinger** : Le cours (8 400 FCFA) se situe entre la borne inférieure (7 158,33 FCFA) et la borne supérieure (10 246,17 FCFA), plus proche du milieu de bande. La décision « Neutre » reflète l'absence de signal extrême (ni surachat ni survente), mais l'amplitude élevée des bandes confirme la forte volatilité récente.</w:t>
      </w:r>
    </w:p>
    <w:p>
      <w:pPr>
        <w:spacing w:after="120" w:line="276" w:lineRule="auto"/>
      </w:pPr>
      <w:r>
        <w:t>**MACD** : La valeur du MACD (338,299) est inférieure à son signal (470,506), générant une décision « Vente ». Cette divergence baissière indique un essoufflement du momentum haussier et un possible retournement à court terme, malgré la tendance de fond positive.</w:t>
      </w:r>
    </w:p>
    <w:p>
      <w:pPr>
        <w:spacing w:after="120" w:line="276" w:lineRule="auto"/>
      </w:pPr>
      <w:r>
        <w:t>**RSI** : À 33,721, le RSI se situe dans la zone neutre basse (30-70), proche du seuil de survente (30). La décision « Neutre » suggère que le titre n'est ni suracheté ni survendu, mais la proximité des 30 pourrait attirer des acheteurs à la recherche de rebonds techniques.</w:t>
      </w:r>
    </w:p>
    <w:p>
      <w:pPr>
        <w:spacing w:after="120" w:line="276" w:lineRule="auto"/>
      </w:pPr>
      <w:r>
        <w:t>**Stochastique** : Le %K (38,71) est légèrement supérieur au %D (37,816), sans croisement net. La décision « Neutre » confirme l'absence de signal directionnel fort, le titre évoluant dans une zone médiane.</w:t>
      </w:r>
    </w:p>
    <w:p>
      <w:pPr>
        <w:spacing w:after="120" w:line="276" w:lineRule="auto"/>
      </w:pPr>
      <w:r>
        <w:t>**Conclusion technique** : Les indicateurs sont globalement divergents. Les moyennes mobiles restent haussières, mais le MACD génère un signal de vente et le RSI/stochastique sont neutres. Cette configuration suggère une phase de consolidation, voire une correction à court terme, après le rally exceptionnel. La prudence est de mise avant tout nouvel achat.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récentes ne sont pas disponibles dans la base, mais les rapports officiels analysés fournissent un éclairage précieux sur la trajectoire de SICOR. Selon le rapport de l'exercice 2023 (analysé par MISTRAL le 15/03/2026), le chiffre d'affaires s'est établi à 701,09 millions FCFA, en baisse de 38,4 % par rapport aux 1 138,17 millions FCFA de 2022, avec un résultat net redevenu positif à +19,25 millions FCFA (contre une perte de -39,95 millions en 2022), soit une marge nette de 2,75 %. Le rapport 2022 (même source) montrait une perte nette de -39,949 millions FCFA et une marge nette de -3,51 %, après un bénéfice de 119,23 millions en 2021. L'évolution sur 5 ans (2018-2022) révèle une forte volatilité : +989,4 millions en 2018 (année exceptionnelle), +2,35 millions en 2019, +109,8 millions en 2020, +119,2 millions en 2021, puis -39,9 millions en 2022. Le rapport 2019 (analysé par MISTRAL) indique un CA de 1,86 milliard FCFA (+33 %) et un EBE de 239 millions, mais un résultat net symbolique de 2,35 millions, plombé par un résultat financier négatif (-73,7 millions) et un report à nouveau déficitaire (-881 millions). Les rapports 2015-2017 (analysés par GEMINI-VISION et MISTRAL) montrent une société historiquement rentable (résultat net de 434,9 millions en 2015, 53,3 millions en 2016, 100,6 millions en 2017), mais avec une marge nette en deterioration (15,7 % en 2015, 3,4 % en 2016, 6,4 % en 2017). Le rapport 2024 (analysé par GEMINI-VISION le 06/09/2026) est trop partiel pour être exploité. La convocation à l'AGO du 22 mai 2026 pour approuver les comptes 2024 (document BRVM du 15/05/2026) indique que les états financiers 2024 sont en cours de validation, mais aucune donnée chiffrée n'est encore disponible. **En synthèse**, SICOR reste une entreprise fragile : rentabilité erratique, pertes cumulées élevées (689,86 millions FCFA en 2023), absence de dividende depuis 2017, et dépendance à un secteur (coprah, noix de coco) soumis à des aléas climatiques et logistiques. La recommandation fondamentale est de **CONSERVER avec vigilance**, en attendant la publication des comptes 2024 et une confirmation du redressement.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impossible à évaluer faute de ratios, mais la capitalisation de 5,04 milliards FCFA pour une entreprise dont le CA 2023 était de 701 millions FCFA suggère un multiple implicite élevé (P/S &gt; 7x), ce qui pourrait indiquer une surévaluation si la rentabilité ne se confirme pas. Le comportement du cours (Partie 1) est exceptionnellement haussier (+98,82 % sur 100 jours) mais accompagné d'une volatilité annualisée de 60,4 % et d'un skewness positif, signalant un risque de correction brutale. Les signaux techniques (Partie 2) sont mitigés : les moyennes mobiles restent haussières, mais le MACD est baissier et le RSI/stochastique sont neutres, plaidant pour une consolidation. Les fondamentaux (Partie 3) sont fragiles : rentabilité erratique, pertes cumulées, absence de dividende, et incertitude sur les comptes 2024. Les prédictions IA (J+1 à J+10) anticipent une baisse continue de 8 290 FCFA à 7 655 FCFA, ce qui contredit la tendance haussière récente et confirme les signaux baissiers du MACD. **Recommandation finale : CONSERVER** (avec un biais baissier à court terme). La convergence entre le MACD baissier, les prédictions IA à la baisse et la fragilité fondamentale justifie une certaine prudence, mais la tendance de fond haussière et le potentiel de rebond technique (RSI proche de 30) empêchent de recommander une vente franche. Le niveau de confiance est **Moyen** (données fondamentales incomplètes), le risque global est **Élevé** (volatilité 60,4 %, absence de dividende, pertes cumulées), et l'horizon optimal est **court terme** (&lt;3 mois) pour les traders, ou **long terme** (&gt;1 an) pour les investisseurs misant sur un redressement structurel.</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"Activité en croissance mais rentabilité nette quasi nulle, plombée par les charges financières et un report à nouveau lourdement négatif. Structure fragile, à conserver avec prudence."}</w:t>
      </w:r>
    </w:p>
    <w:p>
      <w:pPr>
        <w:spacing w:before="40"/>
        <w:ind w:left="400"/>
      </w:pPr>
      <w:r>
        <w:rPr>
          <w:sz w:val="18"/>
        </w:rPr>
        <w:t>SICOR (Société Ivoirienne de Coco Râpé) clôture l'exercice 2019 sur un bénéfice net symbolique de 2,35 M FCFA, en très net repli par rapport aux 989 M de 2018 (année dopée par un résultat hors activités ordinaires exceptionnel de +946 M). L'activité progresse pourtant : chiffre d'affaires de 1,86 Md (+33 %) et EBE de 239 M. Le bénéfice est laminé par un résultat financier négatif (-73,7 M) et un résultat HAO négatif (-87 M). Le report à nouveau reste lourdement déficitaire (-881 M) et la trésorerie nette est négative (-62 M). Structure financière fragile malgré des capitaux propres de 2,90 Md.</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'149 millions FCFA', 'resultat_exploitation': '163 millions FCFA', 'excedent_brut_exploitation': '239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0,13 %</w:t>
            </w:r>
          </w:p>
        </w:tc>
        <w:tc>
          <w:tcPr>
            <w:tcW w:type="dxa" w:w="2160"/>
          </w:tcPr>
          <w:p>
            <w:pPr>
              <w:ind w:left="100"/>
            </w:pPr>
            <w:r/>
            <w:r>
              <w:rPr>
                <w:b/>
                <w:sz w:val="16"/>
              </w:rPr>
              <w:t>total_actif</w:t>
              <w:br/>
            </w:r>
            <w:r>
              <w:rPr>
                <w:sz w:val="18"/>
              </w:rPr>
              <w:t>3,93 milliards FCFA</w:t>
            </w:r>
          </w:p>
        </w:tc>
      </w:tr>
      <w:tr>
        <w:tc>
          <w:tcPr>
            <w:tcW w:type="dxa" w:w="2160"/>
          </w:tcPr>
          <w:p>
            <w:r/>
            <w:r>
              <w:rPr>
                <w:b/>
                <w:sz w:val="16"/>
              </w:rPr>
              <w:t>resultat_net</w:t>
              <w:br/>
            </w:r>
            <w:r>
              <w:rPr>
                <w:sz w:val="18"/>
              </w:rPr>
              <w:t>2,35 millions FCFA (bénéfice)</w:t>
            </w:r>
          </w:p>
        </w:tc>
        <w:tc>
          <w:tcPr>
            <w:tcW w:type="dxa" w:w="2160"/>
          </w:tcPr>
          <w:p>
            <w:r/>
            <w:r>
              <w:rPr>
                <w:b/>
                <w:sz w:val="16"/>
              </w:rPr>
              <w:t>capitaux_propres</w:t>
              <w:br/>
            </w:r>
            <w:r>
              <w:rPr>
                <w:sz w:val="18"/>
              </w:rPr>
              <w:t>2,90 milliards FCFA</w:t>
            </w:r>
          </w:p>
        </w:tc>
        <w:tc>
          <w:tcPr>
            <w:tcW w:type="dxa" w:w="2160"/>
          </w:tcPr>
          <w:p>
            <w:r/>
            <w:r>
              <w:rPr>
                <w:b/>
                <w:sz w:val="16"/>
              </w:rPr>
              <w:t>chiffre_affaires</w:t>
              <w:br/>
            </w:r>
            <w:r>
              <w:rPr>
                <w:sz w:val="18"/>
              </w:rPr>
              <w:t>1,86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1,86 Md FCFA, en hausse de 33 %</w:t>
      </w:r>
    </w:p>
    <w:p>
      <w:pPr>
        <w:pStyle w:val="ListBullet"/>
        <w:spacing w:before="20" w:after="20"/>
        <w:ind w:left="700"/>
      </w:pPr>
      <w:r>
        <w:rPr>
          <w:sz w:val="18"/>
        </w:rPr>
        <w:t>EBE 239 M FCFA, résultat d'exploitation 163 M</w:t>
      </w:r>
    </w:p>
    <w:p>
      <w:pPr>
        <w:pStyle w:val="ListBullet"/>
        <w:spacing w:before="20" w:after="20"/>
        <w:ind w:left="700"/>
      </w:pPr>
      <w:r>
        <w:rPr>
          <w:sz w:val="18"/>
        </w:rPr>
        <w:t>Bénéfice net symbolique : 2,35 M FCFA (contre 989 M en 2018, année exceptionnelle)</w:t>
      </w:r>
    </w:p>
    <w:p>
      <w:pPr>
        <w:pStyle w:val="ListBullet"/>
        <w:spacing w:before="20" w:after="20"/>
        <w:ind w:left="700"/>
      </w:pPr>
      <w:r>
        <w:rPr>
          <w:sz w:val="18"/>
        </w:rPr>
        <w:t>Résultat financier négatif (-73,7 M) et HAO négatif (-87 M) érodent le résultat</w:t>
      </w:r>
    </w:p>
    <w:p>
      <w:pPr>
        <w:pStyle w:val="ListBullet"/>
        <w:spacing w:before="20" w:after="20"/>
        <w:ind w:left="700"/>
      </w:pPr>
      <w:r>
        <w:rPr>
          <w:sz w:val="18"/>
        </w:rPr>
        <w:t>Report à nouveau déficitaire : -881 M FCFA</w:t>
      </w:r>
    </w:p>
    <w:p>
      <w:pPr>
        <w:pStyle w:val="ListBullet"/>
        <w:spacing w:before="20" w:after="20"/>
        <w:ind w:left="700"/>
      </w:pPr>
      <w:r>
        <w:rPr>
          <w:sz w:val="18"/>
        </w:rPr>
        <w:t>Trésorerie nette négative : -62 M FCFA</w:t>
      </w:r>
    </w:p>
    <w:p>
      <w:pPr>
        <w:spacing w:before="40"/>
        <w:ind w:left="400"/>
      </w:pPr>
      <w:r>
        <w:rPr>
          <w:b/>
          <w:color w:val="C05000"/>
          <w:sz w:val="18"/>
        </w:rPr>
        <w:t xml:space="preserve">⚠️ Risques : </w:t>
      </w:r>
      <w:r>
        <w:rPr>
          <w:sz w:val="18"/>
        </w:rPr>
        <w:t>["Report à nouveau lourdement négatif (-881 M) interdisant toute distribution", "Résultat financier structurellement négatif (-73,7 M)", "Trésorerie nette négative (-62 M), dépendance aux découverts bancaires", "Bénéfice net très faible, dépendant d'éléments non opérationnels"]</w:t>
      </w:r>
    </w:p>
    <w:p>
      <w:pPr>
        <w:spacing w:before="40"/>
        <w:ind w:left="400"/>
      </w:pPr>
      <w:r>
        <w:rPr>
          <w:b/>
          <w:color w:val="0064A0"/>
          <w:sz w:val="18"/>
        </w:rPr>
        <w:t xml:space="preserve">🔮 Perspectives : </w:t>
      </w:r>
      <w:r>
        <w:rPr>
          <w:sz w:val="18"/>
        </w:rPr>
        <w:t>L'amélioration du chiffre d'affaires et un EBE solide montrent une base d'exploitation saine, mais le redressement passe par la réduction des charges financières et l'apurement du report à nouveau. La rentabilité nette reste trop mince pour reconstituer les fonds propres rapidement.</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20.13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5,509 titres</w:t>
            </w:r>
          </w:p>
        </w:tc>
        <w:tc>
          <w:tcPr>
            <w:tcW w:type="dxa" w:w="2268"/>
            <w:shd w:fill="FFF2CC" w:val="clear"/>
          </w:tcPr>
          <w:p>
            <w:r>
              <w:rPr>
                <w:b/>
                <w:color w:val="503200"/>
                <w:sz w:val="16"/>
              </w:rPr>
              <w:t xml:space="preserve">Cours actuel : </w:t>
            </w:r>
            <w:r>
              <w:rPr>
                <w:color w:val="000000"/>
                <w:sz w:val="17"/>
              </w:rPr>
              <w:t>2,305 FCFA</w:t>
            </w:r>
          </w:p>
          <w:p>
            <w:r>
              <w:rPr>
                <w:b/>
                <w:color w:val="503200"/>
                <w:sz w:val="16"/>
              </w:rPr>
              <w:t xml:space="preserve">Var. 100 jours : </w:t>
            </w:r>
            <w:r>
              <w:rPr>
                <w:b/>
                <w:color w:val="B40000"/>
                <w:sz w:val="17"/>
              </w:rPr>
              <w:t>-21.20%</w:t>
            </w:r>
          </w:p>
          <w:p>
            <w:r>
              <w:rPr>
                <w:b/>
                <w:color w:val="503200"/>
                <w:sz w:val="16"/>
              </w:rPr>
              <w:t xml:space="preserve">Plus haut 100j : </w:t>
            </w:r>
            <w:r>
              <w:rPr>
                <w:color w:val="000000"/>
                <w:sz w:val="17"/>
              </w:rPr>
              <w:t>2,925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49.3%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10.47% (Moyenne) — μ=2,542 FCFA, σ=266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β=0.3839 (Défensif) — Cov=0.000014, Var(idx)=0.000036, ρ=0.074,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5,509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σ_j=3.10%/j (Modérée) — Vol. annualisée≈49.3%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2026-09-10</w:t>
            </w:r>
          </w:p>
        </w:tc>
        <w:tc>
          <w:tcPr>
            <w:tcW w:type="dxa" w:w="1440"/>
            <w:shd w:fill="FFDCE0" w:val="clear"/>
          </w:tcPr>
          <w:p>
            <w:r>
              <w:rPr>
                <w:sz w:val="17"/>
              </w:rPr>
              <w:t>2,115</w:t>
            </w:r>
          </w:p>
        </w:tc>
        <w:tc>
          <w:tcPr>
            <w:tcW w:type="dxa" w:w="1440"/>
            <w:shd w:fill="FFDCE0" w:val="clear"/>
          </w:tcPr>
          <w:p>
            <w:r>
              <w:rPr>
                <w:b/>
                <w:sz w:val="17"/>
              </w:rPr>
              <w:t>2,202</w:t>
            </w:r>
          </w:p>
        </w:tc>
        <w:tc>
          <w:tcPr>
            <w:tcW w:type="dxa" w:w="1440"/>
            <w:shd w:fill="FFDCE0" w:val="clear"/>
          </w:tcPr>
          <w:p>
            <w:r>
              <w:rPr>
                <w:sz w:val="17"/>
              </w:rPr>
              <w:t>2,290</w:t>
            </w:r>
          </w:p>
        </w:tc>
        <w:tc>
          <w:tcPr>
            <w:tcW w:type="dxa" w:w="1440"/>
            <w:shd w:fill="FFDCE0" w:val="clear"/>
          </w:tcPr>
          <w:p>
            <w:r>
              <w:rPr>
                <w:b/>
                <w:color w:val="C00000"/>
                <w:sz w:val="17"/>
              </w:rPr>
              <w:t>-4.4%</w:t>
            </w:r>
          </w:p>
        </w:tc>
      </w:tr>
      <w:tr>
        <w:tc>
          <w:tcPr>
            <w:tcW w:type="dxa" w:w="1440"/>
            <w:shd w:fill="FFDCE0" w:val="clear"/>
          </w:tcPr>
          <w:p>
            <w:r>
              <w:rPr>
                <w:sz w:val="17"/>
              </w:rPr>
              <w:t>J+2  ⭐</w:t>
            </w:r>
          </w:p>
        </w:tc>
        <w:tc>
          <w:tcPr>
            <w:tcW w:type="dxa" w:w="1440"/>
            <w:shd w:fill="FFDCE0" w:val="clear"/>
          </w:tcPr>
          <w:p>
            <w:r>
              <w:rPr>
                <w:sz w:val="17"/>
              </w:rPr>
              <w:t>2026-09-11</w:t>
            </w:r>
          </w:p>
        </w:tc>
        <w:tc>
          <w:tcPr>
            <w:tcW w:type="dxa" w:w="1440"/>
            <w:shd w:fill="FFDCE0" w:val="clear"/>
          </w:tcPr>
          <w:p>
            <w:r>
              <w:rPr>
                <w:sz w:val="17"/>
              </w:rPr>
              <w:t>2,038</w:t>
            </w:r>
          </w:p>
        </w:tc>
        <w:tc>
          <w:tcPr>
            <w:tcW w:type="dxa" w:w="1440"/>
            <w:shd w:fill="FFDCE0" w:val="clear"/>
          </w:tcPr>
          <w:p>
            <w:r>
              <w:rPr>
                <w:b/>
                <w:sz w:val="17"/>
              </w:rPr>
              <w:t>2,160</w:t>
            </w:r>
          </w:p>
        </w:tc>
        <w:tc>
          <w:tcPr>
            <w:tcW w:type="dxa" w:w="1440"/>
            <w:shd w:fill="FFDCE0" w:val="clear"/>
          </w:tcPr>
          <w:p>
            <w:r>
              <w:rPr>
                <w:sz w:val="17"/>
              </w:rPr>
              <w:t>2,281</w:t>
            </w:r>
          </w:p>
        </w:tc>
        <w:tc>
          <w:tcPr>
            <w:tcW w:type="dxa" w:w="1440"/>
            <w:shd w:fill="FFDCE0" w:val="clear"/>
          </w:tcPr>
          <w:p>
            <w:r>
              <w:rPr>
                <w:b/>
                <w:color w:val="C00000"/>
                <w:sz w:val="17"/>
              </w:rPr>
              <w:t>-6.3%</w:t>
            </w:r>
          </w:p>
        </w:tc>
      </w:tr>
      <w:tr>
        <w:tc>
          <w:tcPr>
            <w:tcW w:type="dxa" w:w="1440"/>
            <w:shd w:fill="FFDCE0" w:val="clear"/>
          </w:tcPr>
          <w:p>
            <w:r>
              <w:rPr>
                <w:sz w:val="17"/>
              </w:rPr>
              <w:t>J+3  ⭐</w:t>
            </w:r>
          </w:p>
        </w:tc>
        <w:tc>
          <w:tcPr>
            <w:tcW w:type="dxa" w:w="1440"/>
            <w:shd w:fill="FFDCE0" w:val="clear"/>
          </w:tcPr>
          <w:p>
            <w:r>
              <w:rPr>
                <w:sz w:val="17"/>
              </w:rPr>
              <w:t>2026-09-14</w:t>
            </w:r>
          </w:p>
        </w:tc>
        <w:tc>
          <w:tcPr>
            <w:tcW w:type="dxa" w:w="1440"/>
            <w:shd w:fill="FFDCE0" w:val="clear"/>
          </w:tcPr>
          <w:p>
            <w:r>
              <w:rPr>
                <w:sz w:val="17"/>
              </w:rPr>
              <w:t>1,966</w:t>
            </w:r>
          </w:p>
        </w:tc>
        <w:tc>
          <w:tcPr>
            <w:tcW w:type="dxa" w:w="1440"/>
            <w:shd w:fill="FFDCE0" w:val="clear"/>
          </w:tcPr>
          <w:p>
            <w:r>
              <w:rPr>
                <w:b/>
                <w:sz w:val="17"/>
              </w:rPr>
              <w:t>2,112</w:t>
            </w:r>
          </w:p>
        </w:tc>
        <w:tc>
          <w:tcPr>
            <w:tcW w:type="dxa" w:w="1440"/>
            <w:shd w:fill="FFDCE0" w:val="clear"/>
          </w:tcPr>
          <w:p>
            <w:r>
              <w:rPr>
                <w:sz w:val="17"/>
              </w:rPr>
              <w:t>2,257</w:t>
            </w:r>
          </w:p>
        </w:tc>
        <w:tc>
          <w:tcPr>
            <w:tcW w:type="dxa" w:w="1440"/>
            <w:shd w:fill="FFDCE0" w:val="clear"/>
          </w:tcPr>
          <w:p>
            <w:r>
              <w:rPr>
                <w:b/>
                <w:color w:val="C00000"/>
                <w:sz w:val="17"/>
              </w:rPr>
              <w:t>-8.4%</w:t>
            </w:r>
          </w:p>
        </w:tc>
      </w:tr>
      <w:tr>
        <w:tc>
          <w:tcPr>
            <w:tcW w:type="dxa" w:w="1440"/>
            <w:shd w:fill="FFDCE0" w:val="clear"/>
          </w:tcPr>
          <w:p>
            <w:r>
              <w:rPr>
                <w:sz w:val="17"/>
              </w:rPr>
              <w:t>J+4  ⭐</w:t>
            </w:r>
          </w:p>
        </w:tc>
        <w:tc>
          <w:tcPr>
            <w:tcW w:type="dxa" w:w="1440"/>
            <w:shd w:fill="FFDCE0" w:val="clear"/>
          </w:tcPr>
          <w:p>
            <w:r>
              <w:rPr>
                <w:sz w:val="17"/>
              </w:rPr>
              <w:t>2026-09-15</w:t>
            </w:r>
          </w:p>
        </w:tc>
        <w:tc>
          <w:tcPr>
            <w:tcW w:type="dxa" w:w="1440"/>
            <w:shd w:fill="FFDCE0" w:val="clear"/>
          </w:tcPr>
          <w:p>
            <w:r>
              <w:rPr>
                <w:sz w:val="17"/>
              </w:rPr>
              <w:t>1,899</w:t>
            </w:r>
          </w:p>
        </w:tc>
        <w:tc>
          <w:tcPr>
            <w:tcW w:type="dxa" w:w="1440"/>
            <w:shd w:fill="FFDCE0" w:val="clear"/>
          </w:tcPr>
          <w:p>
            <w:r>
              <w:rPr>
                <w:b/>
                <w:sz w:val="17"/>
              </w:rPr>
              <w:t>2,064</w:t>
            </w:r>
          </w:p>
        </w:tc>
        <w:tc>
          <w:tcPr>
            <w:tcW w:type="dxa" w:w="1440"/>
            <w:shd w:fill="FFDCE0" w:val="clear"/>
          </w:tcPr>
          <w:p>
            <w:r>
              <w:rPr>
                <w:sz w:val="17"/>
              </w:rPr>
              <w:t>2,228</w:t>
            </w:r>
          </w:p>
        </w:tc>
        <w:tc>
          <w:tcPr>
            <w:tcW w:type="dxa" w:w="1440"/>
            <w:shd w:fill="FFDCE0" w:val="clear"/>
          </w:tcPr>
          <w:p>
            <w:r>
              <w:rPr>
                <w:b/>
                <w:color w:val="C00000"/>
                <w:sz w:val="17"/>
              </w:rPr>
              <w:t>-10.5%</w:t>
            </w:r>
          </w:p>
        </w:tc>
      </w:tr>
      <w:tr>
        <w:tc>
          <w:tcPr>
            <w:tcW w:type="dxa" w:w="1440"/>
            <w:shd w:fill="FFDCE0" w:val="clear"/>
          </w:tcPr>
          <w:p>
            <w:r>
              <w:rPr>
                <w:sz w:val="17"/>
              </w:rPr>
              <w:t>J+5  ⭐</w:t>
            </w:r>
          </w:p>
        </w:tc>
        <w:tc>
          <w:tcPr>
            <w:tcW w:type="dxa" w:w="1440"/>
            <w:shd w:fill="FFDCE0" w:val="clear"/>
          </w:tcPr>
          <w:p>
            <w:r>
              <w:rPr>
                <w:sz w:val="17"/>
              </w:rPr>
              <w:t>2026-09-16</w:t>
            </w:r>
          </w:p>
        </w:tc>
        <w:tc>
          <w:tcPr>
            <w:tcW w:type="dxa" w:w="1440"/>
            <w:shd w:fill="FFDCE0" w:val="clear"/>
          </w:tcPr>
          <w:p>
            <w:r>
              <w:rPr>
                <w:sz w:val="17"/>
              </w:rPr>
              <w:t>1,837</w:t>
            </w:r>
          </w:p>
        </w:tc>
        <w:tc>
          <w:tcPr>
            <w:tcW w:type="dxa" w:w="1440"/>
            <w:shd w:fill="FFDCE0" w:val="clear"/>
          </w:tcPr>
          <w:p>
            <w:r>
              <w:rPr>
                <w:b/>
                <w:sz w:val="17"/>
              </w:rPr>
              <w:t>2,017</w:t>
            </w:r>
          </w:p>
        </w:tc>
        <w:tc>
          <w:tcPr>
            <w:tcW w:type="dxa" w:w="1440"/>
            <w:shd w:fill="FFDCE0" w:val="clear"/>
          </w:tcPr>
          <w:p>
            <w:r>
              <w:rPr>
                <w:sz w:val="17"/>
              </w:rPr>
              <w:t>2,196</w:t>
            </w:r>
          </w:p>
        </w:tc>
        <w:tc>
          <w:tcPr>
            <w:tcW w:type="dxa" w:w="1440"/>
            <w:shd w:fill="FFDCE0" w:val="clear"/>
          </w:tcPr>
          <w:p>
            <w:r>
              <w:rPr>
                <w:b/>
                <w:color w:val="C00000"/>
                <w:sz w:val="17"/>
              </w:rPr>
              <w:t>-12.5%</w:t>
            </w:r>
          </w:p>
        </w:tc>
      </w:tr>
      <w:tr>
        <w:tc>
          <w:tcPr>
            <w:tcW w:type="dxa" w:w="1440"/>
            <w:shd w:fill="FFDCE0" w:val="clear"/>
          </w:tcPr>
          <w:p>
            <w:r>
              <w:rPr>
                <w:sz w:val="17"/>
              </w:rPr>
              <w:t>J+6  ⭐</w:t>
            </w:r>
          </w:p>
        </w:tc>
        <w:tc>
          <w:tcPr>
            <w:tcW w:type="dxa" w:w="1440"/>
            <w:shd w:fill="FFDCE0" w:val="clear"/>
          </w:tcPr>
          <w:p>
            <w:r>
              <w:rPr>
                <w:sz w:val="17"/>
              </w:rPr>
              <w:t>2026-09-17</w:t>
            </w:r>
          </w:p>
        </w:tc>
        <w:tc>
          <w:tcPr>
            <w:tcW w:type="dxa" w:w="1440"/>
            <w:shd w:fill="FFDCE0" w:val="clear"/>
          </w:tcPr>
          <w:p>
            <w:r>
              <w:rPr>
                <w:sz w:val="17"/>
              </w:rPr>
              <w:t>1,779</w:t>
            </w:r>
          </w:p>
        </w:tc>
        <w:tc>
          <w:tcPr>
            <w:tcW w:type="dxa" w:w="1440"/>
            <w:shd w:fill="FFDCE0" w:val="clear"/>
          </w:tcPr>
          <w:p>
            <w:r>
              <w:rPr>
                <w:b/>
                <w:sz w:val="17"/>
              </w:rPr>
              <w:t>1,972</w:t>
            </w:r>
          </w:p>
        </w:tc>
        <w:tc>
          <w:tcPr>
            <w:tcW w:type="dxa" w:w="1440"/>
            <w:shd w:fill="FFDCE0" w:val="clear"/>
          </w:tcPr>
          <w:p>
            <w:r>
              <w:rPr>
                <w:sz w:val="17"/>
              </w:rPr>
              <w:t>2,164</w:t>
            </w:r>
          </w:p>
        </w:tc>
        <w:tc>
          <w:tcPr>
            <w:tcW w:type="dxa" w:w="1440"/>
            <w:shd w:fill="FFDCE0" w:val="clear"/>
          </w:tcPr>
          <w:p>
            <w:r>
              <w:rPr>
                <w:b/>
                <w:color w:val="C00000"/>
                <w:sz w:val="17"/>
              </w:rPr>
              <w:t>-14.5%</w:t>
            </w:r>
          </w:p>
        </w:tc>
      </w:tr>
      <w:tr>
        <w:tc>
          <w:tcPr>
            <w:tcW w:type="dxa" w:w="1440"/>
            <w:shd w:fill="FFDCE0" w:val="clear"/>
          </w:tcPr>
          <w:p>
            <w:r>
              <w:rPr>
                <w:sz w:val="17"/>
              </w:rPr>
              <w:t>J+7  ⭐</w:t>
            </w:r>
          </w:p>
        </w:tc>
        <w:tc>
          <w:tcPr>
            <w:tcW w:type="dxa" w:w="1440"/>
            <w:shd w:fill="FFDCE0" w:val="clear"/>
          </w:tcPr>
          <w:p>
            <w:r>
              <w:rPr>
                <w:sz w:val="17"/>
              </w:rPr>
              <w:t>2026-09-18</w:t>
            </w:r>
          </w:p>
        </w:tc>
        <w:tc>
          <w:tcPr>
            <w:tcW w:type="dxa" w:w="1440"/>
            <w:shd w:fill="FFDCE0" w:val="clear"/>
          </w:tcPr>
          <w:p>
            <w:r>
              <w:rPr>
                <w:sz w:val="17"/>
              </w:rPr>
              <w:t>1,725</w:t>
            </w:r>
          </w:p>
        </w:tc>
        <w:tc>
          <w:tcPr>
            <w:tcW w:type="dxa" w:w="1440"/>
            <w:shd w:fill="FFDCE0" w:val="clear"/>
          </w:tcPr>
          <w:p>
            <w:r>
              <w:rPr>
                <w:b/>
                <w:sz w:val="17"/>
              </w:rPr>
              <w:t>1,928</w:t>
            </w:r>
          </w:p>
        </w:tc>
        <w:tc>
          <w:tcPr>
            <w:tcW w:type="dxa" w:w="1440"/>
            <w:shd w:fill="FFDCE0" w:val="clear"/>
          </w:tcPr>
          <w:p>
            <w:r>
              <w:rPr>
                <w:sz w:val="17"/>
              </w:rPr>
              <w:t>2,131</w:t>
            </w:r>
          </w:p>
        </w:tc>
        <w:tc>
          <w:tcPr>
            <w:tcW w:type="dxa" w:w="1440"/>
            <w:shd w:fill="FFDCE0" w:val="clear"/>
          </w:tcPr>
          <w:p>
            <w:r>
              <w:rPr>
                <w:b/>
                <w:color w:val="C00000"/>
                <w:sz w:val="17"/>
              </w:rPr>
              <w:t>-16.4%</w:t>
            </w:r>
          </w:p>
        </w:tc>
      </w:tr>
      <w:tr>
        <w:tc>
          <w:tcPr>
            <w:tcW w:type="dxa" w:w="1440"/>
            <w:shd w:fill="FFDCE0" w:val="clear"/>
          </w:tcPr>
          <w:p>
            <w:r>
              <w:rPr>
                <w:sz w:val="17"/>
              </w:rPr>
              <w:t>J+8  ⭐</w:t>
            </w:r>
          </w:p>
        </w:tc>
        <w:tc>
          <w:tcPr>
            <w:tcW w:type="dxa" w:w="1440"/>
            <w:shd w:fill="FFDCE0" w:val="clear"/>
          </w:tcPr>
          <w:p>
            <w:r>
              <w:rPr>
                <w:sz w:val="17"/>
              </w:rPr>
              <w:t>2026-09-21</w:t>
            </w:r>
          </w:p>
        </w:tc>
        <w:tc>
          <w:tcPr>
            <w:tcW w:type="dxa" w:w="1440"/>
            <w:shd w:fill="FFDCE0" w:val="clear"/>
          </w:tcPr>
          <w:p>
            <w:r>
              <w:rPr>
                <w:sz w:val="17"/>
              </w:rPr>
              <w:t>1,673</w:t>
            </w:r>
          </w:p>
        </w:tc>
        <w:tc>
          <w:tcPr>
            <w:tcW w:type="dxa" w:w="1440"/>
            <w:shd w:fill="FFDCE0" w:val="clear"/>
          </w:tcPr>
          <w:p>
            <w:r>
              <w:rPr>
                <w:b/>
                <w:sz w:val="17"/>
              </w:rPr>
              <w:t>1,886</w:t>
            </w:r>
          </w:p>
        </w:tc>
        <w:tc>
          <w:tcPr>
            <w:tcW w:type="dxa" w:w="1440"/>
            <w:shd w:fill="FFDCE0" w:val="clear"/>
          </w:tcPr>
          <w:p>
            <w:r>
              <w:rPr>
                <w:sz w:val="17"/>
              </w:rPr>
              <w:t>2,098</w:t>
            </w:r>
          </w:p>
        </w:tc>
        <w:tc>
          <w:tcPr>
            <w:tcW w:type="dxa" w:w="1440"/>
            <w:shd w:fill="FFDCE0" w:val="clear"/>
          </w:tcPr>
          <w:p>
            <w:r>
              <w:rPr>
                <w:b/>
                <w:color w:val="C00000"/>
                <w:sz w:val="17"/>
              </w:rPr>
              <w:t>-18.2%</w:t>
            </w:r>
          </w:p>
        </w:tc>
      </w:tr>
      <w:tr>
        <w:tc>
          <w:tcPr>
            <w:tcW w:type="dxa" w:w="1440"/>
            <w:shd w:fill="FFDCE0" w:val="clear"/>
          </w:tcPr>
          <w:p>
            <w:r>
              <w:rPr>
                <w:sz w:val="17"/>
              </w:rPr>
              <w:t>J+9  ⭐</w:t>
            </w:r>
          </w:p>
        </w:tc>
        <w:tc>
          <w:tcPr>
            <w:tcW w:type="dxa" w:w="1440"/>
            <w:shd w:fill="FFDCE0" w:val="clear"/>
          </w:tcPr>
          <w:p>
            <w:r>
              <w:rPr>
                <w:sz w:val="17"/>
              </w:rPr>
              <w:t>2026-09-22</w:t>
            </w:r>
          </w:p>
        </w:tc>
        <w:tc>
          <w:tcPr>
            <w:tcW w:type="dxa" w:w="1440"/>
            <w:shd w:fill="FFDCE0" w:val="clear"/>
          </w:tcPr>
          <w:p>
            <w:r>
              <w:rPr>
                <w:sz w:val="17"/>
              </w:rPr>
              <w:t>1,625</w:t>
            </w:r>
          </w:p>
        </w:tc>
        <w:tc>
          <w:tcPr>
            <w:tcW w:type="dxa" w:w="1440"/>
            <w:shd w:fill="FFDCE0" w:val="clear"/>
          </w:tcPr>
          <w:p>
            <w:r>
              <w:rPr>
                <w:b/>
                <w:sz w:val="17"/>
              </w:rPr>
              <w:t>1,845</w:t>
            </w:r>
          </w:p>
        </w:tc>
        <w:tc>
          <w:tcPr>
            <w:tcW w:type="dxa" w:w="1440"/>
            <w:shd w:fill="FFDCE0" w:val="clear"/>
          </w:tcPr>
          <w:p>
            <w:r>
              <w:rPr>
                <w:sz w:val="17"/>
              </w:rPr>
              <w:t>2,065</w:t>
            </w:r>
          </w:p>
        </w:tc>
        <w:tc>
          <w:tcPr>
            <w:tcW w:type="dxa" w:w="1440"/>
            <w:shd w:fill="FFDCE0" w:val="clear"/>
          </w:tcPr>
          <w:p>
            <w:r>
              <w:rPr>
                <w:b/>
                <w:color w:val="C00000"/>
                <w:sz w:val="17"/>
              </w:rPr>
              <w:t>-20.0%</w:t>
            </w:r>
          </w:p>
        </w:tc>
      </w:tr>
      <w:tr>
        <w:tc>
          <w:tcPr>
            <w:tcW w:type="dxa" w:w="1440"/>
            <w:shd w:fill="FFDCE0" w:val="clear"/>
          </w:tcPr>
          <w:p>
            <w:r>
              <w:rPr>
                <w:sz w:val="17"/>
              </w:rPr>
              <w:t>J+10  ⭐</w:t>
            </w:r>
          </w:p>
        </w:tc>
        <w:tc>
          <w:tcPr>
            <w:tcW w:type="dxa" w:w="1440"/>
            <w:shd w:fill="FFDCE0" w:val="clear"/>
          </w:tcPr>
          <w:p>
            <w:r>
              <w:rPr>
                <w:sz w:val="17"/>
              </w:rPr>
              <w:t>2026-09-23</w:t>
            </w:r>
          </w:p>
        </w:tc>
        <w:tc>
          <w:tcPr>
            <w:tcW w:type="dxa" w:w="1440"/>
            <w:shd w:fill="FFDCE0" w:val="clear"/>
          </w:tcPr>
          <w:p>
            <w:r>
              <w:rPr>
                <w:sz w:val="17"/>
              </w:rPr>
              <w:t>1,578</w:t>
            </w:r>
          </w:p>
        </w:tc>
        <w:tc>
          <w:tcPr>
            <w:tcW w:type="dxa" w:w="1440"/>
            <w:shd w:fill="FFDCE0" w:val="clear"/>
          </w:tcPr>
          <w:p>
            <w:r>
              <w:rPr>
                <w:b/>
                <w:sz w:val="17"/>
              </w:rPr>
              <w:t>1,806</w:t>
            </w:r>
          </w:p>
        </w:tc>
        <w:tc>
          <w:tcPr>
            <w:tcW w:type="dxa" w:w="1440"/>
            <w:shd w:fill="FFDCE0" w:val="clear"/>
          </w:tcPr>
          <w:p>
            <w:r>
              <w:rPr>
                <w:sz w:val="17"/>
              </w:rPr>
              <w:t>2,033</w:t>
            </w:r>
          </w:p>
        </w:tc>
        <w:tc>
          <w:tcPr>
            <w:tcW w:type="dxa" w:w="1440"/>
            <w:shd w:fill="FFDCE0" w:val="clear"/>
          </w:tcPr>
          <w:p>
            <w:r>
              <w:rPr>
                <w:b/>
                <w:color w:val="C00000"/>
                <w:sz w:val="17"/>
              </w:rPr>
              <w:t>-21.7%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**RAPPORT D'ANALYSE FINANCIÈRE — SIVC (ERIUM COTE D'IVOIRE)**</w:t>
        <w:br/>
        <w:t>*Bourse Régionale des Valeurs Mobilières (BRVM) — Secteur : Banque / Industrie*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20,13 milliards FCFA, SIVC se situe dans la catégorie des valeurs moyennes de la BRVM, ce qui la rend sensible aux mouvements de liquidité du marché. Le BPA de 43 FCFA/action indique que chaque titre génère 43 FCFA de bénéfice net, un niveau modeste qui, rapporté au cours actuel de 2 305 FCFA, aboutit à un PER de 53,4x — très largement supérieur à la moyenne du marché BRVM (8-12x), signalant une valorisation très exigeante et une forte anticipation de croissance de la part des investisseurs. Le P/B de 6,15x confirme cette prime excessive : le marché valorise l'action à plus de six fois sa valeur comptable, ce qui est difficilement justifiable au regard des fondamentaux actuels. Enfin, l'EV/EBITDA de 16,9x traduit une valeur d'entreprise nettement supérieure à sa capacité opérationnelle, renforçant le constat d'une surévaluation relative. L'ensemble de ces ratios plaide pour une prudence accrue, d'autant que la rentabilité nette s'est dégradée en 2025.</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SIVC a enregistré une variation totale de -21,20%, avec une dernière séance en repli de -1,28%, confirmant une tendance baissière persistante. Le cours actuel de 2 305 FCFA se situe dans la partie basse du range de trading, dont le plus haut a atteint 2 925 FCFA et le plus bas 1 920 FCFA, soit un écart de plus de 1 000 FCFA illustrant une forte amplitude. La moyenne (2 542 FCFA) est légèrement supérieure à la médiane (2 515 FCFA), ce qui traduit une asymétrie très légère vers les valeurs hautes, cohérente avec un skewness de -0,225 indiquant une distribution quasi symétrique. L'écart-type de 268 FCFA, avec un coefficient de variation de 10,5%, révèle une dispersion modérée autour de la moyenne, mais la volatilité annualisée de 49,3% classe le titre dans la catégorie des valeurs très volatiles (&gt;30%), ce qui expose l'investisseur à un risque de prix élevé. Le kurtosis de -1,267 (distribution platykurtique) indique une distribution aplatie avec une faible concentration autour de la moyenne et un risque de pics de volatilité moins fréquent mais plus amples. En synthèse, le titre évolue dans une tendance baissière avec une volatilité élevée et une distribution symétrique, ce qui appelle à la prudence.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(2 373,25 FCFA) et la MM50 (2 300,60 FCFA) encadrent le cours actuel (2 305 FCFA), qui se situe juste au-dessus de la MM50 mais sous la MM20. Cette configuration suggère une pression baissière de court terme (cours sous MM20) tout en conservant un support moyen terme (au-dessus de la MM50). La décision affichée est "Achat", probablement liée au maintien du cours au-dessus de la MM50, mais la proximité immédiate de cette moyenne fragilise ce signal.</w:t>
      </w:r>
    </w:p>
    <w:p>
      <w:pPr>
        <w:spacing w:after="120" w:line="276" w:lineRule="auto"/>
      </w:pPr>
      <w:r>
        <w:t>**Bandes de Bollinger** : Le cours (2 305 FCFA) évolue dans la partie basse de la bande, proche de la borne inférieure (2 299,89 FCFA) et loin de la borne supérieure (2 446,61 FCFA). Cette position indique une pression vendeuse et une volatilité contenue dans un canal étroit. La décision "Neutre" reflète l'absence de signal directionnel fort, mais la proximité de la borne inférieure pourrait annoncer un rebond technique ou une cassure baissière.</w:t>
      </w:r>
    </w:p>
    <w:p>
      <w:pPr>
        <w:spacing w:after="120" w:line="276" w:lineRule="auto"/>
      </w:pPr>
      <w:r>
        <w:t>**MACD** : La valeur du MACD (5,561) est inférieure à son signal (10,163), générant une divergence baissière et un momentum négatif. La décision "Vente" confirme que la dynamique de court terme est défavorable, avec un croisement à la baisse qui pèse sur les perspectives immédiates.</w:t>
      </w:r>
    </w:p>
    <w:p>
      <w:pPr>
        <w:spacing w:after="120" w:line="276" w:lineRule="auto"/>
      </w:pPr>
      <w:r>
        <w:t>**RSI** : À 45,361, le RSI se situe en zone neutre (30-70), sans signal de surachat ni de survente. Cette valeur médiane indique un équilibre relatif entre acheteurs et vendeurs, mais la légère tendance baissière du cours suggère que le RSI pourrait se diriger vers la zone de survente si la pression vendeuse persiste.</w:t>
      </w:r>
    </w:p>
    <w:p>
      <w:pPr>
        <w:spacing w:after="120" w:line="276" w:lineRule="auto"/>
      </w:pPr>
      <w:r>
        <w:t>**Stochastique** : Le %K (0,0) est très inférieur au %D (31,884), avec un %K au plus bas absolu, ce qui traduit une forte pression baissière de très court terme. Paradoxalement, la décision affichée est "Achat", probablement liée à une lecture de survente extrême (%K proche de 0) pouvant précéder un rebond technique. Toutefois, le croisement baissier %K/%D reste défavorable.</w:t>
      </w:r>
    </w:p>
    <w:p>
      <w:pPr>
        <w:spacing w:after="120" w:line="276" w:lineRule="auto"/>
      </w:pPr>
      <w:r>
        <w:t>**Conclusion technique** : Les indicateurs sont majoritairement baissiers (MACD, position dans les bandes, cours sous MM20), avec quelques signaux contradictoires (Stochastique en survente, cours au-dessus de la MM50). La convergence des signaux négatifs (MACD, momentum, tendance) l'emporte sur les signaux d'achat isolés, ce qui suggère une poursuite de la pression baissière à court terme, avec un support critique à 2 300 FCFA (MM50 et borne inférieure de Bollinger).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(base brvm_donnees_financieres) indiquent un chiffre d'affaires/PNB de 9,283 milliards FCFA, un résultat net de 376,96 millions FCFA, un ROE de 11,52% et un ROA de 2,69%. Le coefficient d'exploitation de 95,83% est très élevé pour une banque (seuil d'efficacité &lt;60%), ce qui traduit une structure de coûts lourde et une faible efficacité opérationnelle. Le coût du risque rapporté aux charges financières s'établit à 3,10%, un niveau modéré mais qui mérite surveillance. La marge nette de 4,06% et la marge opérationnelle de 5,63% sont faibles, tandis que le taux de croissance du PNB de 9,05% témoigne d'une dynamique commerciale positive. Le rapport annuel 2025 (analysé par DEEPSEEK le 29/06/2026) révèle une situation préoccupante : le chiffre d'affaires progresse de +8,53% à 10,075 milliards FCFA, mais le résultat net chute de -52,4% à 179,29 millions FCFA, avec une marge nette divisée par deux à 1,78%. Cette dégradation s'explique par une forte hausse des charges d'exploitation et une détérioration du résultat financier (passé de +316 M à -114 M FCFA). Les capitaux propres reculent à 2,527 milliards FCFA et la trésorerie nette reste négative à -1,661 milliard FCFA, bien qu'en amélioration par rapport à -2,143 milliards en 2024. Le rapport du S1 2025 (certifié, daté du 30/06/2025) fait état d'un chiffre d'affaires de 4,897 milliards FCFA (+8,8%) et d'un résultat net de 512,9 millions FCFA (+4,6%), avec une marge nette de 10,5% — des chiffres semestriels nettement meilleurs que ceux de l'exercice annuel, ce qui suggère une dégradation au second semestre. Le rapport du T3 2025 (date inconnue) confirme une dynamique positive avec un CA cumulé de 7,585 milliards FCFA (+13%) et un résultat net de 832,5 millions FCFA (+58%), mais ces chiffres semblent en contradiction avec le résultat annuel de 179 millions FCFA, ce qui pourrait indiquer des éléments exceptionnels négatifs ou des ajustements en fin d'année. Sur la base de ces rapports, on estime que l'exercice 2026 devrait rester sous pression, avec une possible stabilisation de la rentabilité si la maîtrise des charges s'améliore. La recommandation fondamentale est de **CONSERVER avec surveillance**, en raison de la croissance du CA mais de la fragilité de la rentabilité et de la trésorerie.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clairement surévaluée : PER de 53,4x, P/B de 6,15x et EV/EBITDA de 16,9x sont très supérieurs aux moyennes du marché, ce qui ne laisse aucune marge de sécurité. Le comportement du cours (Partie 1) est baissier (-21,20% sur 100 jours) avec une volatilité élevée (49,3%) et une distribution symétrique (skewness -0,225) mais plate (kurtosis -1,267), ce qui indique un risque de prix important sans biais directionnel fort. Les signaux techniques (Partie 2) sont majoritairement baissiers (MACD en vente, cours sous MM20, proche de la borne inférieure de Bollinger), malgré quelques signaux d'achat isolés (Stochastique en survente, cours au-dessus de la MM50), ce qui suggère une poursuite de la pression baissière à court terme. Les fondamentaux (Partie 3) sont mitigés : croissance du CA (+8,53% en 2025) mais effondrement du résultat net (-52,4%) et dégradation de la marge nette (1,78%), avec une trésorerie nette négative et un endettement élevé. Les prédictions IA (J+1 à J+10) anticipent une baisse continue du cours, de 2 202 FCFA à 2 017 FCFA, ce qui confirme la tendance baissière observée et les signaux techniques négatifs. Sur la base de cette synthèse globale, la recommandation finale est **VENTE** (ou **CONSERVER** pour les investisseurs déjà en position, avec un stop-loss strict), en raison de la convergence des signaux négatifs : surévaluation, tendance baissière, fondamentaux fragiles et prédictions baissières. Le niveau de confiance est **Moyen** (les signaux sont cohérents mais quelques indicateurs techniques contradictoires subsistent) et le niveau de risque global est **Élevé** (volatilité importante, endettement, trésorerie négative). L'horizon d'investissement optimal est **court terme** (&lt;3 mois) pour les traders cherchant à profiter de la volatilité, mais **moyen terme** (3-12 mois) pour les investisseurs fondamentaux qui attendraient une amélioration de la rentabilité avant d'envisager une entrée.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625.51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1,307 titres</w:t>
            </w:r>
          </w:p>
        </w:tc>
        <w:tc>
          <w:tcPr>
            <w:tcW w:type="dxa" w:w="2268"/>
            <w:shd w:fill="FFF2CC" w:val="clear"/>
          </w:tcPr>
          <w:p>
            <w:r>
              <w:rPr>
                <w:b/>
                <w:color w:val="503200"/>
                <w:sz w:val="16"/>
              </w:rPr>
              <w:t xml:space="preserve">Cours actuel : </w:t>
            </w:r>
            <w:r>
              <w:rPr>
                <w:color w:val="000000"/>
                <w:sz w:val="17"/>
              </w:rPr>
              <w:t>38,000 FCFA</w:t>
            </w:r>
          </w:p>
          <w:p>
            <w:r>
              <w:rPr>
                <w:b/>
                <w:color w:val="503200"/>
                <w:sz w:val="16"/>
              </w:rPr>
              <w:t xml:space="preserve">Var. 100 jours : </w:t>
            </w:r>
            <w:r>
              <w:rPr>
                <w:b/>
                <w:color w:val="B40000"/>
                <w:sz w:val="17"/>
              </w:rPr>
              <w:t>-2.56%</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29.4%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2.49% (Faible) — μ=38,307 FCFA, σ=955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β=0.1109 (Défensif) — Cov=0.000004, Var(idx)=0.000036, ρ=0.036,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1,307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σ_j=1.85%/j (Stable) — Vol. annualisée≈29.4%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2026-09-10</w:t>
            </w:r>
          </w:p>
        </w:tc>
        <w:tc>
          <w:tcPr>
            <w:tcW w:type="dxa" w:w="1440"/>
            <w:shd w:fill="FAFAFA" w:val="clear"/>
          </w:tcPr>
          <w:p>
            <w:r>
              <w:rPr>
                <w:sz w:val="17"/>
              </w:rPr>
              <w:t>36,427</w:t>
            </w:r>
          </w:p>
        </w:tc>
        <w:tc>
          <w:tcPr>
            <w:tcW w:type="dxa" w:w="1440"/>
            <w:shd w:fill="FAFAFA" w:val="clear"/>
          </w:tcPr>
          <w:p>
            <w:r>
              <w:rPr>
                <w:b/>
                <w:sz w:val="17"/>
              </w:rPr>
              <w:t>37,659</w:t>
            </w:r>
          </w:p>
        </w:tc>
        <w:tc>
          <w:tcPr>
            <w:tcW w:type="dxa" w:w="1440"/>
            <w:shd w:fill="FAFAFA" w:val="clear"/>
          </w:tcPr>
          <w:p>
            <w:r>
              <w:rPr>
                <w:sz w:val="17"/>
              </w:rPr>
              <w:t>38,891</w:t>
            </w:r>
          </w:p>
        </w:tc>
        <w:tc>
          <w:tcPr>
            <w:tcW w:type="dxa" w:w="1440"/>
            <w:shd w:fill="FAFAFA" w:val="clear"/>
          </w:tcPr>
          <w:p>
            <w:r>
              <w:rPr>
                <w:b/>
                <w:color w:val="C00000"/>
                <w:sz w:val="17"/>
              </w:rPr>
              <w:t>-0.9%</w:t>
            </w:r>
          </w:p>
        </w:tc>
      </w:tr>
      <w:tr>
        <w:tc>
          <w:tcPr>
            <w:tcW w:type="dxa" w:w="1440"/>
            <w:shd w:fill="FAFAFA" w:val="clear"/>
          </w:tcPr>
          <w:p>
            <w:r>
              <w:rPr>
                <w:sz w:val="17"/>
              </w:rPr>
              <w:t>J+2  ⭐⭐⭐</w:t>
            </w:r>
          </w:p>
        </w:tc>
        <w:tc>
          <w:tcPr>
            <w:tcW w:type="dxa" w:w="1440"/>
            <w:shd w:fill="FAFAFA" w:val="clear"/>
          </w:tcPr>
          <w:p>
            <w:r>
              <w:rPr>
                <w:sz w:val="17"/>
              </w:rPr>
              <w:t>2026-09-11</w:t>
            </w:r>
          </w:p>
        </w:tc>
        <w:tc>
          <w:tcPr>
            <w:tcW w:type="dxa" w:w="1440"/>
            <w:shd w:fill="FAFAFA" w:val="clear"/>
          </w:tcPr>
          <w:p>
            <w:r>
              <w:rPr>
                <w:sz w:val="17"/>
              </w:rPr>
              <w:t>35,957</w:t>
            </w:r>
          </w:p>
        </w:tc>
        <w:tc>
          <w:tcPr>
            <w:tcW w:type="dxa" w:w="1440"/>
            <w:shd w:fill="FAFAFA" w:val="clear"/>
          </w:tcPr>
          <w:p>
            <w:r>
              <w:rPr>
                <w:b/>
                <w:sz w:val="17"/>
              </w:rPr>
              <w:t>37,701</w:t>
            </w:r>
          </w:p>
        </w:tc>
        <w:tc>
          <w:tcPr>
            <w:tcW w:type="dxa" w:w="1440"/>
            <w:shd w:fill="FAFAFA" w:val="clear"/>
          </w:tcPr>
          <w:p>
            <w:r>
              <w:rPr>
                <w:sz w:val="17"/>
              </w:rPr>
              <w:t>39,445</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2026-09-14</w:t>
            </w:r>
          </w:p>
        </w:tc>
        <w:tc>
          <w:tcPr>
            <w:tcW w:type="dxa" w:w="1440"/>
            <w:shd w:fill="FAFAFA" w:val="clear"/>
          </w:tcPr>
          <w:p>
            <w:r>
              <w:rPr>
                <w:sz w:val="17"/>
              </w:rPr>
              <w:t>35,546</w:t>
            </w:r>
          </w:p>
        </w:tc>
        <w:tc>
          <w:tcPr>
            <w:tcW w:type="dxa" w:w="1440"/>
            <w:shd w:fill="FAFAFA" w:val="clear"/>
          </w:tcPr>
          <w:p>
            <w:r>
              <w:rPr>
                <w:b/>
                <w:sz w:val="17"/>
              </w:rPr>
              <w:t>37,681</w:t>
            </w:r>
          </w:p>
        </w:tc>
        <w:tc>
          <w:tcPr>
            <w:tcW w:type="dxa" w:w="1440"/>
            <w:shd w:fill="FAFAFA" w:val="clear"/>
          </w:tcPr>
          <w:p>
            <w:r>
              <w:rPr>
                <w:sz w:val="17"/>
              </w:rPr>
              <w:t>39,816</w:t>
            </w:r>
          </w:p>
        </w:tc>
        <w:tc>
          <w:tcPr>
            <w:tcW w:type="dxa" w:w="1440"/>
            <w:shd w:fill="FAFAFA" w:val="clear"/>
          </w:tcPr>
          <w:p>
            <w:r>
              <w:rPr>
                <w:b/>
                <w:color w:val="C00000"/>
                <w:sz w:val="17"/>
              </w:rPr>
              <w:t>-0.8%</w:t>
            </w:r>
          </w:p>
        </w:tc>
      </w:tr>
      <w:tr>
        <w:tc>
          <w:tcPr>
            <w:tcW w:type="dxa" w:w="1440"/>
            <w:shd w:fill="FAFAFA" w:val="clear"/>
          </w:tcPr>
          <w:p>
            <w:r>
              <w:rPr>
                <w:sz w:val="17"/>
              </w:rPr>
              <w:t>J+4  Moyenne</w:t>
            </w:r>
          </w:p>
        </w:tc>
        <w:tc>
          <w:tcPr>
            <w:tcW w:type="dxa" w:w="1440"/>
            <w:shd w:fill="FAFAFA" w:val="clear"/>
          </w:tcPr>
          <w:p>
            <w:r>
              <w:rPr>
                <w:sz w:val="17"/>
              </w:rPr>
              <w:t>2026-09-15</w:t>
            </w:r>
          </w:p>
        </w:tc>
        <w:tc>
          <w:tcPr>
            <w:tcW w:type="dxa" w:w="1440"/>
            <w:shd w:fill="FAFAFA" w:val="clear"/>
          </w:tcPr>
          <w:p>
            <w:r>
              <w:rPr>
                <w:sz w:val="17"/>
              </w:rPr>
              <w:t>35,185</w:t>
            </w:r>
          </w:p>
        </w:tc>
        <w:tc>
          <w:tcPr>
            <w:tcW w:type="dxa" w:w="1440"/>
            <w:shd w:fill="FAFAFA" w:val="clear"/>
          </w:tcPr>
          <w:p>
            <w:r>
              <w:rPr>
                <w:b/>
                <w:sz w:val="17"/>
              </w:rPr>
              <w:t>37,647</w:t>
            </w:r>
          </w:p>
        </w:tc>
        <w:tc>
          <w:tcPr>
            <w:tcW w:type="dxa" w:w="1440"/>
            <w:shd w:fill="FAFAFA" w:val="clear"/>
          </w:tcPr>
          <w:p>
            <w:r>
              <w:rPr>
                <w:sz w:val="17"/>
              </w:rPr>
              <w:t>40,110</w:t>
            </w:r>
          </w:p>
        </w:tc>
        <w:tc>
          <w:tcPr>
            <w:tcW w:type="dxa" w:w="1440"/>
            <w:shd w:fill="FAFAFA" w:val="clear"/>
          </w:tcPr>
          <w:p>
            <w:r>
              <w:rPr>
                <w:b/>
                <w:color w:val="C00000"/>
                <w:sz w:val="17"/>
              </w:rPr>
              <w:t>-0.9%</w:t>
            </w:r>
          </w:p>
        </w:tc>
      </w:tr>
      <w:tr>
        <w:tc>
          <w:tcPr>
            <w:tcW w:type="dxa" w:w="1440"/>
            <w:shd w:fill="FAFAFA" w:val="clear"/>
          </w:tcPr>
          <w:p>
            <w:r>
              <w:rPr>
                <w:sz w:val="17"/>
              </w:rPr>
              <w:t>J+5  Moyenne</w:t>
            </w:r>
          </w:p>
        </w:tc>
        <w:tc>
          <w:tcPr>
            <w:tcW w:type="dxa" w:w="1440"/>
            <w:shd w:fill="FAFAFA" w:val="clear"/>
          </w:tcPr>
          <w:p>
            <w:r>
              <w:rPr>
                <w:sz w:val="17"/>
              </w:rPr>
              <w:t>2026-09-16</w:t>
            </w:r>
          </w:p>
        </w:tc>
        <w:tc>
          <w:tcPr>
            <w:tcW w:type="dxa" w:w="1440"/>
            <w:shd w:fill="FAFAFA" w:val="clear"/>
          </w:tcPr>
          <w:p>
            <w:r>
              <w:rPr>
                <w:sz w:val="17"/>
              </w:rPr>
              <w:t>34,861</w:t>
            </w:r>
          </w:p>
        </w:tc>
        <w:tc>
          <w:tcPr>
            <w:tcW w:type="dxa" w:w="1440"/>
            <w:shd w:fill="FAFAFA" w:val="clear"/>
          </w:tcPr>
          <w:p>
            <w:r>
              <w:rPr>
                <w:b/>
                <w:sz w:val="17"/>
              </w:rPr>
              <w:t>37,611</w:t>
            </w:r>
          </w:p>
        </w:tc>
        <w:tc>
          <w:tcPr>
            <w:tcW w:type="dxa" w:w="1440"/>
            <w:shd w:fill="FAFAFA" w:val="clear"/>
          </w:tcPr>
          <w:p>
            <w:r>
              <w:rPr>
                <w:sz w:val="17"/>
              </w:rPr>
              <w:t>40,362</w:t>
            </w:r>
          </w:p>
        </w:tc>
        <w:tc>
          <w:tcPr>
            <w:tcW w:type="dxa" w:w="1440"/>
            <w:shd w:fill="FAFAFA" w:val="clear"/>
          </w:tcPr>
          <w:p>
            <w:r>
              <w:rPr>
                <w:b/>
                <w:color w:val="C00000"/>
                <w:sz w:val="17"/>
              </w:rPr>
              <w:t>-1.0%</w:t>
            </w:r>
          </w:p>
        </w:tc>
      </w:tr>
      <w:tr>
        <w:tc>
          <w:tcPr>
            <w:tcW w:type="dxa" w:w="1440"/>
            <w:shd w:fill="FAFAFA" w:val="clear"/>
          </w:tcPr>
          <w:p>
            <w:r>
              <w:rPr>
                <w:sz w:val="17"/>
              </w:rPr>
              <w:t>J+6  Moyenne</w:t>
            </w:r>
          </w:p>
        </w:tc>
        <w:tc>
          <w:tcPr>
            <w:tcW w:type="dxa" w:w="1440"/>
            <w:shd w:fill="FAFAFA" w:val="clear"/>
          </w:tcPr>
          <w:p>
            <w:r>
              <w:rPr>
                <w:sz w:val="17"/>
              </w:rPr>
              <w:t>2026-09-17</w:t>
            </w:r>
          </w:p>
        </w:tc>
        <w:tc>
          <w:tcPr>
            <w:tcW w:type="dxa" w:w="1440"/>
            <w:shd w:fill="FAFAFA" w:val="clear"/>
          </w:tcPr>
          <w:p>
            <w:r>
              <w:rPr>
                <w:sz w:val="17"/>
              </w:rPr>
              <w:t>34,565</w:t>
            </w:r>
          </w:p>
        </w:tc>
        <w:tc>
          <w:tcPr>
            <w:tcW w:type="dxa" w:w="1440"/>
            <w:shd w:fill="FAFAFA" w:val="clear"/>
          </w:tcPr>
          <w:p>
            <w:r>
              <w:rPr>
                <w:b/>
                <w:sz w:val="17"/>
              </w:rPr>
              <w:t>37,576</w:t>
            </w:r>
          </w:p>
        </w:tc>
        <w:tc>
          <w:tcPr>
            <w:tcW w:type="dxa" w:w="1440"/>
            <w:shd w:fill="FAFAFA" w:val="clear"/>
          </w:tcPr>
          <w:p>
            <w:r>
              <w:rPr>
                <w:sz w:val="17"/>
              </w:rPr>
              <w:t>40,586</w:t>
            </w:r>
          </w:p>
        </w:tc>
        <w:tc>
          <w:tcPr>
            <w:tcW w:type="dxa" w:w="1440"/>
            <w:shd w:fill="FAFAFA" w:val="clear"/>
          </w:tcPr>
          <w:p>
            <w:r>
              <w:rPr>
                <w:b/>
                <w:color w:val="C00000"/>
                <w:sz w:val="17"/>
              </w:rPr>
              <w:t>-1.1%</w:t>
            </w:r>
          </w:p>
        </w:tc>
      </w:tr>
      <w:tr>
        <w:tc>
          <w:tcPr>
            <w:tcW w:type="dxa" w:w="1440"/>
            <w:shd w:fill="FAFAFA" w:val="clear"/>
          </w:tcPr>
          <w:p>
            <w:r>
              <w:rPr>
                <w:sz w:val="17"/>
              </w:rPr>
              <w:t>J+7  Moyenne</w:t>
            </w:r>
          </w:p>
        </w:tc>
        <w:tc>
          <w:tcPr>
            <w:tcW w:type="dxa" w:w="1440"/>
            <w:shd w:fill="FAFAFA" w:val="clear"/>
          </w:tcPr>
          <w:p>
            <w:r>
              <w:rPr>
                <w:sz w:val="17"/>
              </w:rPr>
              <w:t>2026-09-18</w:t>
            </w:r>
          </w:p>
        </w:tc>
        <w:tc>
          <w:tcPr>
            <w:tcW w:type="dxa" w:w="1440"/>
            <w:shd w:fill="FAFAFA" w:val="clear"/>
          </w:tcPr>
          <w:p>
            <w:r>
              <w:rPr>
                <w:sz w:val="17"/>
              </w:rPr>
              <w:t>34,292</w:t>
            </w:r>
          </w:p>
        </w:tc>
        <w:tc>
          <w:tcPr>
            <w:tcW w:type="dxa" w:w="1440"/>
            <w:shd w:fill="FAFAFA" w:val="clear"/>
          </w:tcPr>
          <w:p>
            <w:r>
              <w:rPr>
                <w:b/>
                <w:sz w:val="17"/>
              </w:rPr>
              <w:t>37,540</w:t>
            </w:r>
          </w:p>
        </w:tc>
        <w:tc>
          <w:tcPr>
            <w:tcW w:type="dxa" w:w="1440"/>
            <w:shd w:fill="FAFAFA" w:val="clear"/>
          </w:tcPr>
          <w:p>
            <w:r>
              <w:rPr>
                <w:sz w:val="17"/>
              </w:rPr>
              <w:t>40,789</w:t>
            </w:r>
          </w:p>
        </w:tc>
        <w:tc>
          <w:tcPr>
            <w:tcW w:type="dxa" w:w="1440"/>
            <w:shd w:fill="FAFAFA" w:val="clear"/>
          </w:tcPr>
          <w:p>
            <w:r>
              <w:rPr>
                <w:b/>
                <w:color w:val="C00000"/>
                <w:sz w:val="17"/>
              </w:rPr>
              <w:t>-1.2%</w:t>
            </w:r>
          </w:p>
        </w:tc>
      </w:tr>
      <w:tr>
        <w:tc>
          <w:tcPr>
            <w:tcW w:type="dxa" w:w="1440"/>
            <w:shd w:fill="FAFAFA" w:val="clear"/>
          </w:tcPr>
          <w:p>
            <w:r>
              <w:rPr>
                <w:sz w:val="17"/>
              </w:rPr>
              <w:t>J+8  Moyenne</w:t>
            </w:r>
          </w:p>
        </w:tc>
        <w:tc>
          <w:tcPr>
            <w:tcW w:type="dxa" w:w="1440"/>
            <w:shd w:fill="FAFAFA" w:val="clear"/>
          </w:tcPr>
          <w:p>
            <w:r>
              <w:rPr>
                <w:sz w:val="17"/>
              </w:rPr>
              <w:t>2026-09-21</w:t>
            </w:r>
          </w:p>
        </w:tc>
        <w:tc>
          <w:tcPr>
            <w:tcW w:type="dxa" w:w="1440"/>
            <w:shd w:fill="FAFAFA" w:val="clear"/>
          </w:tcPr>
          <w:p>
            <w:r>
              <w:rPr>
                <w:sz w:val="17"/>
              </w:rPr>
              <w:t>34,036</w:t>
            </w:r>
          </w:p>
        </w:tc>
        <w:tc>
          <w:tcPr>
            <w:tcW w:type="dxa" w:w="1440"/>
            <w:shd w:fill="FAFAFA" w:val="clear"/>
          </w:tcPr>
          <w:p>
            <w:r>
              <w:rPr>
                <w:b/>
                <w:sz w:val="17"/>
              </w:rPr>
              <w:t>37,506</w:t>
            </w:r>
          </w:p>
        </w:tc>
        <w:tc>
          <w:tcPr>
            <w:tcW w:type="dxa" w:w="1440"/>
            <w:shd w:fill="FAFAFA" w:val="clear"/>
          </w:tcPr>
          <w:p>
            <w:r>
              <w:rPr>
                <w:sz w:val="17"/>
              </w:rPr>
              <w:t>40,975</w:t>
            </w:r>
          </w:p>
        </w:tc>
        <w:tc>
          <w:tcPr>
            <w:tcW w:type="dxa" w:w="1440"/>
            <w:shd w:fill="FAFAFA" w:val="clear"/>
          </w:tcPr>
          <w:p>
            <w:r>
              <w:rPr>
                <w:b/>
                <w:color w:val="C00000"/>
                <w:sz w:val="17"/>
              </w:rPr>
              <w:t>-1.3%</w:t>
            </w:r>
          </w:p>
        </w:tc>
      </w:tr>
      <w:tr>
        <w:tc>
          <w:tcPr>
            <w:tcW w:type="dxa" w:w="1440"/>
            <w:shd w:fill="FAFAFA" w:val="clear"/>
          </w:tcPr>
          <w:p>
            <w:r>
              <w:rPr>
                <w:sz w:val="17"/>
              </w:rPr>
              <w:t>J+9  Moyenne</w:t>
            </w:r>
          </w:p>
        </w:tc>
        <w:tc>
          <w:tcPr>
            <w:tcW w:type="dxa" w:w="1440"/>
            <w:shd w:fill="FAFAFA" w:val="clear"/>
          </w:tcPr>
          <w:p>
            <w:r>
              <w:rPr>
                <w:sz w:val="17"/>
              </w:rPr>
              <w:t>2026-09-22</w:t>
            </w:r>
          </w:p>
        </w:tc>
        <w:tc>
          <w:tcPr>
            <w:tcW w:type="dxa" w:w="1440"/>
            <w:shd w:fill="FAFAFA" w:val="clear"/>
          </w:tcPr>
          <w:p>
            <w:r>
              <w:rPr>
                <w:sz w:val="17"/>
              </w:rPr>
              <w:t>33,795</w:t>
            </w:r>
          </w:p>
        </w:tc>
        <w:tc>
          <w:tcPr>
            <w:tcW w:type="dxa" w:w="1440"/>
            <w:shd w:fill="FAFAFA" w:val="clear"/>
          </w:tcPr>
          <w:p>
            <w:r>
              <w:rPr>
                <w:b/>
                <w:sz w:val="17"/>
              </w:rPr>
              <w:t>37,471</w:t>
            </w:r>
          </w:p>
        </w:tc>
        <w:tc>
          <w:tcPr>
            <w:tcW w:type="dxa" w:w="1440"/>
            <w:shd w:fill="FAFAFA" w:val="clear"/>
          </w:tcPr>
          <w:p>
            <w:r>
              <w:rPr>
                <w:sz w:val="17"/>
              </w:rPr>
              <w:t>41,148</w:t>
            </w:r>
          </w:p>
        </w:tc>
        <w:tc>
          <w:tcPr>
            <w:tcW w:type="dxa" w:w="1440"/>
            <w:shd w:fill="FAFAFA" w:val="clear"/>
          </w:tcPr>
          <w:p>
            <w:r>
              <w:rPr>
                <w:b/>
                <w:color w:val="C00000"/>
                <w:sz w:val="17"/>
              </w:rPr>
              <w:t>-1.4%</w:t>
            </w:r>
          </w:p>
        </w:tc>
      </w:tr>
      <w:tr>
        <w:tc>
          <w:tcPr>
            <w:tcW w:type="dxa" w:w="1440"/>
            <w:shd w:fill="FAFAFA" w:val="clear"/>
          </w:tcPr>
          <w:p>
            <w:r>
              <w:rPr>
                <w:sz w:val="17"/>
              </w:rPr>
              <w:t>J+10  Moyenne</w:t>
            </w:r>
          </w:p>
        </w:tc>
        <w:tc>
          <w:tcPr>
            <w:tcW w:type="dxa" w:w="1440"/>
            <w:shd w:fill="FAFAFA" w:val="clear"/>
          </w:tcPr>
          <w:p>
            <w:r>
              <w:rPr>
                <w:sz w:val="17"/>
              </w:rPr>
              <w:t>2026-09-23</w:t>
            </w:r>
          </w:p>
        </w:tc>
        <w:tc>
          <w:tcPr>
            <w:tcW w:type="dxa" w:w="1440"/>
            <w:shd w:fill="FAFAFA" w:val="clear"/>
          </w:tcPr>
          <w:p>
            <w:r>
              <w:rPr>
                <w:sz w:val="17"/>
              </w:rPr>
              <w:t>33,565</w:t>
            </w:r>
          </w:p>
        </w:tc>
        <w:tc>
          <w:tcPr>
            <w:tcW w:type="dxa" w:w="1440"/>
            <w:shd w:fill="FAFAFA" w:val="clear"/>
          </w:tcPr>
          <w:p>
            <w:r>
              <w:rPr>
                <w:b/>
                <w:sz w:val="17"/>
              </w:rPr>
              <w:t>37,437</w:t>
            </w:r>
          </w:p>
        </w:tc>
        <w:tc>
          <w:tcPr>
            <w:tcW w:type="dxa" w:w="1440"/>
            <w:shd w:fill="FAFAFA" w:val="clear"/>
          </w:tcPr>
          <w:p>
            <w:r>
              <w:rPr>
                <w:sz w:val="17"/>
              </w:rPr>
              <w:t>41,309</w:t>
            </w:r>
          </w:p>
        </w:tc>
        <w:tc>
          <w:tcPr>
            <w:tcW w:type="dxa" w:w="1440"/>
            <w:shd w:fill="FAFAFA" w:val="clear"/>
          </w:tcPr>
          <w:p>
            <w:r>
              <w:rPr>
                <w:b/>
                <w:color w:val="C00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 CI)**</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625,51 milliards FCFA, SOLIBRA s'impose comme l'une des plus importantes capitalisations de la BRVM, témoignant de sa stature de leader régional dans le secteur des boissons. Le BPA de 2 781 FCFA/action signifie que chaque titre génère près de 2 800 FCFA de bénéfice net, un niveau remarquable qui traduit la forte rentabilité de l'entreprise. Le PER de 13,7x, légèrement supérieur à la moyenne BRVM (8-12x), indique que les investisseurs acceptent de payer une prime modérée pour cette valeur de croissance, ce qui reste raisonnable au regard des performances affichées. Le P/B de 3,21x montre que le marché valorise SOLIBRA à plus de trois fois sa valeur comptable, une prime de croissance justifiée par un ROE de 23,46%. Enfin, l'EV/EBITDA de 7,4x, dans la fourchette raisonnable de 5-10x, suggère que la valeur d'entreprise reste cohérente avec la capacité opérationnelle de génération de cash-flow.</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SLBC a enregistré une variation totale de -2,56%, terminant à 38 000 FCFA, avec un rebond de +0,80% lors de la dernière séance (J-1). Le titre a évolué dans un range relativement étroit entre un plus haut de 41 500 FCFA et un plus bas de 35 540 FCFA, soit une amplitude d'environ 16,8%, reflétant une tendance globalement stable avec une légère pression baissière. Les statistiques descriptives révèlent une moyenne de 38 307 FCFA très proche de la médiane (38 000 FCFA) et du mode (38 000 FCFA), indiquant une distribution symétrique sans biais directionnel marqué, confirmée par un skewness de 0,335. L'écart-type de 960 FCFA avec un coefficient de variation de seulement 2,5% témoigne d'une faible dispersion du cours autour de sa moyenne, signe d'une certaine stabilité. Le kurtosis de 0,306 (mésokurtique) suggère une distribution proche de la normale, sans risque excessif de pics extrêmes. La volatilité annualisée de 29,4% positionne le titre dans la catégorie modérée (15-30%), ce qui est cohérent avec un profil de valeur défensive mais néanmoins exposée aux aléas du marché régional.</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(37 629,25 FCFA) se situe en dessous de la MM50 (38 375 FCFA), configuration baissière classique. Le cours actuel (38 000 FCFA) évolue entre ces deux moyennes, légèrement au-dessus de la MM20 mais sous la MM50, ce qui justifie la décision de vente émise par cet indicateur, bien que la proximité des niveaux suggère une tendance peu affirmée.</w:t>
      </w:r>
    </w:p>
    <w:p>
      <w:pPr>
        <w:spacing w:after="120" w:line="276" w:lineRule="auto"/>
      </w:pPr>
      <w:r>
        <w:t>**Bandes de Bollinger** : Le cours (38 000 FCFA) se situe dans la partie supérieure de la bande, entre la borne inférieure (36 890,67 FCFA) et la borne supérieure (38 367,83 FCFA), sans franchissement. L'écart relativement resserré entre les bornes indique une volatilité contenue, justifiant la décision neutre de cet indicateur qui ne signale ni surachat ni survente.</w:t>
      </w:r>
    </w:p>
    <w:p>
      <w:pPr>
        <w:spacing w:after="120" w:line="276" w:lineRule="auto"/>
      </w:pPr>
      <w:r>
        <w:t>**MACD** : La valeur du MACD (-127,627) est supérieure à son signal (-199,285), générant un croisement haussier (MACD au-dessus du signal). Cette configuration indique un momentum positif en formation, bien que les deux valeurs restent en territoire négatif, ce qui justifie la décision d'achat tout en appelant à la prudence.</w:t>
      </w:r>
    </w:p>
    <w:p>
      <w:pPr>
        <w:spacing w:after="120" w:line="276" w:lineRule="auto"/>
      </w:pPr>
      <w:r>
        <w:t>**RSI** : À 50,0, le RSI se situe exactement au point d'équilibre entre surachat (&gt;70) et survente (&lt;30), traduisant une absence de pression directionnelle claire. Cette valeur neutre confirme que le titre n'est ni surévalué ni sous-évalué à court terme, justifiant la décision neutre.</w:t>
      </w:r>
    </w:p>
    <w:p>
      <w:pPr>
        <w:spacing w:after="120" w:line="276" w:lineRule="auto"/>
      </w:pPr>
      <w:r>
        <w:t>**Stochastique** : Le %K (100,0) est nettement supérieur au %D (63,333), avec un %K en zone de surachat extrême. Ce positionnement signale une possible correction à court terme après une phase de hausse, justifiant la décision de vente émise par cet indicateur malgré la dynamique positive récente.</w:t>
      </w:r>
    </w:p>
    <w:p>
      <w:pPr>
        <w:spacing w:after="120" w:line="276" w:lineRule="auto"/>
      </w:pPr>
      <w:r>
        <w:t>**Conclusion technique** : Les indicateurs techniques présentent un tableau mitigé, avec une majorité de signaux neutres (Bollinger, RSI) ou baissiers (Moyennes Mobiles, Stochastique), tandis que le MACD offre un signal d'achat isolé. La configuration suggère une phase de consolidation sans direction forte, avec un léger avantage aux vendeurs à court terme. L'absence de convergence claire entre les indicateurs recommande la prudence et plaide pour une position attentiste.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SOLIBRA a réalisé un chiffre d'affaires de 378,123 milliards FCFA, en croissance de 22,08% par rapport à 2024 (309,722 milliards FCFA), portée par une augmentation des volumes distribués et un mix prix favorable. Le résultat net s'établit à 45,781 milliards FCFA, plus que doublé (+113%) par rapport aux 21,472 milliards de 2024, avec une marge nette passant de 6,9% à 12,1%. Le ROE atteint 23,46% (excellent, &gt;15%) et le ROA 13,48%, confirmant l'efficacité capitalistique. La structure financière est saine avec une autonomie financière de 57,48%, un ratio d'endettement maîtrisé de 42,52% et une trésorerie nette positive de 22,117 milliards FCFA. Concernant le besoin en fonds de roulement (BFR) de 61,587 milliards FCFA, il convient de noter que le délai clients de 64,27 jours représente un risque modéré de trésorerie, tandis que le délai fournisseurs de 76,82 jours (supérieur au délai clients) constitue un avantage de financement. La durée de stockage de 117,32 jours reste élevée et immobilise du capital. Sur la base du rapport T1 2026 (publié en 2026), le chiffre d'affaires progresse de +7,6% à 93,46 milliards FCFA avec un résultat net de 16,26 milliards FCFA (+4,8%), suggérant une décélération de la croissance mais une rentabilité maintenue. On estime que l'exercice 2026 devrait afficher une croissance plus modérée (5-10%) après l'année exceptionnelle 2025. Le rapport annuel 2025 (analysé en 2026) confirme une politique de dividende généreuse avec un dividende brut unitaire proposé de 2 127 FCFA par action (rendement d'environ 5,6% au cours actuel), représentant un payout de 76,5%. La recommandation fondamentale est positive : solidité financière, rentabilité exceptionnelle et perspectives favorables, avec un risque principal lié à la soutenabilité de la croissance et à la volatilité des matières premières.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SLBC (Partie 0) apparaît raisonnable avec un PER de 13,7x légèrement supérieur à la moyenne BRVM mais justifié par un ROE de 23,46%, un P/B de 3,21x reflétant une prime de croissance et un EV/EBITDA de 7,4x dans la fourchette normale. Le comportement du cours (Partie 1) montre une tendance stable avec une légère pression baissière (-2,56% sur 100 jours), une faible dispersion (CV=2,5%) et une distribution symétrique (skewness=0,335) sans risque de pics extrêmes (kurtosis=0,306), ce qui est rassurant pour un investisseur recherchant la stabilité. Les signaux techniques (Partie 2) sont mitigés : le MACD génère un signal d'achat tandis que les Moyennes Mobiles et le Stochastique suggèrent une vente, avec un RSI et des Bandes de Bollinger neutres, indiquant une absence de direction claire à court terme. Les fondamentaux (Partie 3) demeurent exceptionnels avec une croissance de 22% du CA en 2025, un résultat net doublé, un ROE de 23,46% et une structure financière solide, bien que le T1 2026 montre une décélération (+7,6% de CA). Les prédictions IA (J+1 à J+10) anticipent une légère baisse vers 37 611-37 701 FCFA, en ligne avec la pression baissière récente mais sans effondrement. Sur la base de cette synthèse, la recommandation finale est **CONSERVER** avec un niveau de confiance **Moyen** et un risque global **Moyen**. La convergence entre une valorisation raisonnable, des fondamentaux solides et des signaux techniques mitigés plaide pour une position attentiste, en attendant une clarification de la tendance. L'horizon d'investissement optimal est le **moyen terme (3-12 mois)** , le temps que la croissance se stabilise et que les indicateurs techniques confirment une direction, tout en profitant du dividende attractif de 2 127 FCFA/action (rendement ~5,6%).</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140.27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1,555 titres</w:t>
            </w:r>
          </w:p>
        </w:tc>
        <w:tc>
          <w:tcPr>
            <w:tcW w:type="dxa" w:w="2268"/>
            <w:shd w:fill="FFF2CC" w:val="clear"/>
          </w:tcPr>
          <w:p>
            <w:r>
              <w:rPr>
                <w:b/>
                <w:color w:val="503200"/>
                <w:sz w:val="16"/>
              </w:rPr>
              <w:t xml:space="preserve">Cours actuel : </w:t>
            </w:r>
            <w:r>
              <w:rPr>
                <w:color w:val="000000"/>
                <w:sz w:val="17"/>
              </w:rPr>
              <w:t>17,995 FCFA</w:t>
            </w:r>
          </w:p>
          <w:p>
            <w:r>
              <w:rPr>
                <w:b/>
                <w:color w:val="503200"/>
                <w:sz w:val="16"/>
              </w:rPr>
              <w:t xml:space="preserve">Var. 100 jours : </w:t>
            </w:r>
            <w:r>
              <w:rPr>
                <w:b/>
                <w:color w:val="007800"/>
                <w:sz w:val="17"/>
              </w:rPr>
              <w:t>+54.46%</w:t>
            </w:r>
          </w:p>
          <w:p>
            <w:r>
              <w:rPr>
                <w:b/>
                <w:color w:val="503200"/>
                <w:sz w:val="16"/>
              </w:rPr>
              <w:t xml:space="preserve">Plus haut 100j : </w:t>
            </w:r>
            <w:r>
              <w:rPr>
                <w:color w:val="000000"/>
                <w:sz w:val="17"/>
              </w:rPr>
              <w:t>17,995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35.9%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14.22% (Moyenne) — μ=15,102 FCFA, σ=2,147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β=-0.6584 (Contre-cyclique) — Cov=-0.000024, Var(idx)=0.000036, ρ=-0.174,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1,555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σ_j=2.26%/j (Stable) — Vol. annualisée≈35.9%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2026-09-10</w:t>
            </w:r>
          </w:p>
        </w:tc>
        <w:tc>
          <w:tcPr>
            <w:tcW w:type="dxa" w:w="1440"/>
            <w:shd w:fill="FFDCE0" w:val="clear"/>
          </w:tcPr>
          <w:p>
            <w:r>
              <w:rPr>
                <w:sz w:val="17"/>
              </w:rPr>
              <w:t>17,213</w:t>
            </w:r>
          </w:p>
        </w:tc>
        <w:tc>
          <w:tcPr>
            <w:tcW w:type="dxa" w:w="1440"/>
            <w:shd w:fill="FFDCE0" w:val="clear"/>
          </w:tcPr>
          <w:p>
            <w:r>
              <w:rPr>
                <w:b/>
                <w:sz w:val="17"/>
              </w:rPr>
              <w:t>17,596</w:t>
            </w:r>
          </w:p>
        </w:tc>
        <w:tc>
          <w:tcPr>
            <w:tcW w:type="dxa" w:w="1440"/>
            <w:shd w:fill="FFDCE0" w:val="clear"/>
          </w:tcPr>
          <w:p>
            <w:r>
              <w:rPr>
                <w:sz w:val="17"/>
              </w:rPr>
              <w:t>17,980</w:t>
            </w:r>
          </w:p>
        </w:tc>
        <w:tc>
          <w:tcPr>
            <w:tcW w:type="dxa" w:w="1440"/>
            <w:shd w:fill="FFDCE0" w:val="clear"/>
          </w:tcPr>
          <w:p>
            <w:r>
              <w:rPr>
                <w:b/>
                <w:color w:val="C00000"/>
                <w:sz w:val="17"/>
              </w:rPr>
              <w:t>-2.2%</w:t>
            </w:r>
          </w:p>
        </w:tc>
      </w:tr>
      <w:tr>
        <w:tc>
          <w:tcPr>
            <w:tcW w:type="dxa" w:w="1440"/>
            <w:shd w:fill="FFDCE0" w:val="clear"/>
          </w:tcPr>
          <w:p>
            <w:r>
              <w:rPr>
                <w:sz w:val="17"/>
              </w:rPr>
              <w:t>J+2  ⭐⭐⭐</w:t>
            </w:r>
          </w:p>
        </w:tc>
        <w:tc>
          <w:tcPr>
            <w:tcW w:type="dxa" w:w="1440"/>
            <w:shd w:fill="FFDCE0" w:val="clear"/>
          </w:tcPr>
          <w:p>
            <w:r>
              <w:rPr>
                <w:sz w:val="17"/>
              </w:rPr>
              <w:t>2026-09-11</w:t>
            </w:r>
          </w:p>
        </w:tc>
        <w:tc>
          <w:tcPr>
            <w:tcW w:type="dxa" w:w="1440"/>
            <w:shd w:fill="FFDCE0" w:val="clear"/>
          </w:tcPr>
          <w:p>
            <w:r>
              <w:rPr>
                <w:sz w:val="17"/>
              </w:rPr>
              <w:t>16,996</w:t>
            </w:r>
          </w:p>
        </w:tc>
        <w:tc>
          <w:tcPr>
            <w:tcW w:type="dxa" w:w="1440"/>
            <w:shd w:fill="FFDCE0" w:val="clear"/>
          </w:tcPr>
          <w:p>
            <w:r>
              <w:rPr>
                <w:b/>
                <w:sz w:val="17"/>
              </w:rPr>
              <w:t>17,536</w:t>
            </w:r>
          </w:p>
        </w:tc>
        <w:tc>
          <w:tcPr>
            <w:tcW w:type="dxa" w:w="1440"/>
            <w:shd w:fill="FFDCE0" w:val="clear"/>
          </w:tcPr>
          <w:p>
            <w:r>
              <w:rPr>
                <w:sz w:val="17"/>
              </w:rPr>
              <w:t>18,076</w:t>
            </w:r>
          </w:p>
        </w:tc>
        <w:tc>
          <w:tcPr>
            <w:tcW w:type="dxa" w:w="1440"/>
            <w:shd w:fill="FFDCE0" w:val="clear"/>
          </w:tcPr>
          <w:p>
            <w:r>
              <w:rPr>
                <w:b/>
                <w:color w:val="C00000"/>
                <w:sz w:val="17"/>
              </w:rPr>
              <w:t>-2.6%</w:t>
            </w:r>
          </w:p>
        </w:tc>
      </w:tr>
      <w:tr>
        <w:tc>
          <w:tcPr>
            <w:tcW w:type="dxa" w:w="1440"/>
            <w:shd w:fill="FFDCE0" w:val="clear"/>
          </w:tcPr>
          <w:p>
            <w:r>
              <w:rPr>
                <w:sz w:val="17"/>
              </w:rPr>
              <w:t>J+3  ⭐⭐⭐</w:t>
            </w:r>
          </w:p>
        </w:tc>
        <w:tc>
          <w:tcPr>
            <w:tcW w:type="dxa" w:w="1440"/>
            <w:shd w:fill="FFDCE0" w:val="clear"/>
          </w:tcPr>
          <w:p>
            <w:r>
              <w:rPr>
                <w:sz w:val="17"/>
              </w:rPr>
              <w:t>2026-09-14</w:t>
            </w:r>
          </w:p>
        </w:tc>
        <w:tc>
          <w:tcPr>
            <w:tcW w:type="dxa" w:w="1440"/>
            <w:shd w:fill="FFDCE0" w:val="clear"/>
          </w:tcPr>
          <w:p>
            <w:r>
              <w:rPr>
                <w:sz w:val="17"/>
              </w:rPr>
              <w:t>16,787</w:t>
            </w:r>
          </w:p>
        </w:tc>
        <w:tc>
          <w:tcPr>
            <w:tcW w:type="dxa" w:w="1440"/>
            <w:shd w:fill="FFDCE0" w:val="clear"/>
          </w:tcPr>
          <w:p>
            <w:r>
              <w:rPr>
                <w:b/>
                <w:sz w:val="17"/>
              </w:rPr>
              <w:t>17,445</w:t>
            </w:r>
          </w:p>
        </w:tc>
        <w:tc>
          <w:tcPr>
            <w:tcW w:type="dxa" w:w="1440"/>
            <w:shd w:fill="FFDCE0" w:val="clear"/>
          </w:tcPr>
          <w:p>
            <w:r>
              <w:rPr>
                <w:sz w:val="17"/>
              </w:rPr>
              <w:t>18,103</w:t>
            </w:r>
          </w:p>
        </w:tc>
        <w:tc>
          <w:tcPr>
            <w:tcW w:type="dxa" w:w="1440"/>
            <w:shd w:fill="FFDCE0" w:val="clear"/>
          </w:tcPr>
          <w:p>
            <w:r>
              <w:rPr>
                <w:b/>
                <w:color w:val="C00000"/>
                <w:sz w:val="17"/>
              </w:rPr>
              <w:t>-3.1%</w:t>
            </w:r>
          </w:p>
        </w:tc>
      </w:tr>
      <w:tr>
        <w:tc>
          <w:tcPr>
            <w:tcW w:type="dxa" w:w="1440"/>
            <w:shd w:fill="FFDCE0" w:val="clear"/>
          </w:tcPr>
          <w:p>
            <w:r>
              <w:rPr>
                <w:sz w:val="17"/>
              </w:rPr>
              <w:t>J+4  Moyenne</w:t>
            </w:r>
          </w:p>
        </w:tc>
        <w:tc>
          <w:tcPr>
            <w:tcW w:type="dxa" w:w="1440"/>
            <w:shd w:fill="FFDCE0" w:val="clear"/>
          </w:tcPr>
          <w:p>
            <w:r>
              <w:rPr>
                <w:sz w:val="17"/>
              </w:rPr>
              <w:t>2026-09-15</w:t>
            </w:r>
          </w:p>
        </w:tc>
        <w:tc>
          <w:tcPr>
            <w:tcW w:type="dxa" w:w="1440"/>
            <w:shd w:fill="FFDCE0" w:val="clear"/>
          </w:tcPr>
          <w:p>
            <w:r>
              <w:rPr>
                <w:sz w:val="17"/>
              </w:rPr>
              <w:t>16,609</w:t>
            </w:r>
          </w:p>
        </w:tc>
        <w:tc>
          <w:tcPr>
            <w:tcW w:type="dxa" w:w="1440"/>
            <w:shd w:fill="FFDCE0" w:val="clear"/>
          </w:tcPr>
          <w:p>
            <w:r>
              <w:rPr>
                <w:b/>
                <w:sz w:val="17"/>
              </w:rPr>
              <w:t>17,365</w:t>
            </w:r>
          </w:p>
        </w:tc>
        <w:tc>
          <w:tcPr>
            <w:tcW w:type="dxa" w:w="1440"/>
            <w:shd w:fill="FFDCE0" w:val="clear"/>
          </w:tcPr>
          <w:p>
            <w:r>
              <w:rPr>
                <w:sz w:val="17"/>
              </w:rPr>
              <w:t>18,121</w:t>
            </w:r>
          </w:p>
        </w:tc>
        <w:tc>
          <w:tcPr>
            <w:tcW w:type="dxa" w:w="1440"/>
            <w:shd w:fill="FFDCE0" w:val="clear"/>
          </w:tcPr>
          <w:p>
            <w:r>
              <w:rPr>
                <w:b/>
                <w:color w:val="C00000"/>
                <w:sz w:val="17"/>
              </w:rPr>
              <w:t>-3.5%</w:t>
            </w:r>
          </w:p>
        </w:tc>
      </w:tr>
      <w:tr>
        <w:tc>
          <w:tcPr>
            <w:tcW w:type="dxa" w:w="1440"/>
            <w:shd w:fill="FFDCE0" w:val="clear"/>
          </w:tcPr>
          <w:p>
            <w:r>
              <w:rPr>
                <w:sz w:val="17"/>
              </w:rPr>
              <w:t>J+5  Moyenne</w:t>
            </w:r>
          </w:p>
        </w:tc>
        <w:tc>
          <w:tcPr>
            <w:tcW w:type="dxa" w:w="1440"/>
            <w:shd w:fill="FFDCE0" w:val="clear"/>
          </w:tcPr>
          <w:p>
            <w:r>
              <w:rPr>
                <w:sz w:val="17"/>
              </w:rPr>
              <w:t>2026-09-16</w:t>
            </w:r>
          </w:p>
        </w:tc>
        <w:tc>
          <w:tcPr>
            <w:tcW w:type="dxa" w:w="1440"/>
            <w:shd w:fill="FFDCE0" w:val="clear"/>
          </w:tcPr>
          <w:p>
            <w:r>
              <w:rPr>
                <w:sz w:val="17"/>
              </w:rPr>
              <w:t>16,448</w:t>
            </w:r>
          </w:p>
        </w:tc>
        <w:tc>
          <w:tcPr>
            <w:tcW w:type="dxa" w:w="1440"/>
            <w:shd w:fill="FFDCE0" w:val="clear"/>
          </w:tcPr>
          <w:p>
            <w:r>
              <w:rPr>
                <w:b/>
                <w:sz w:val="17"/>
              </w:rPr>
              <w:t>17,290</w:t>
            </w:r>
          </w:p>
        </w:tc>
        <w:tc>
          <w:tcPr>
            <w:tcW w:type="dxa" w:w="1440"/>
            <w:shd w:fill="FFDCE0" w:val="clear"/>
          </w:tcPr>
          <w:p>
            <w:r>
              <w:rPr>
                <w:sz w:val="17"/>
              </w:rPr>
              <w:t>18,132</w:t>
            </w:r>
          </w:p>
        </w:tc>
        <w:tc>
          <w:tcPr>
            <w:tcW w:type="dxa" w:w="1440"/>
            <w:shd w:fill="FFDCE0" w:val="clear"/>
          </w:tcPr>
          <w:p>
            <w:r>
              <w:rPr>
                <w:b/>
                <w:color w:val="C00000"/>
                <w:sz w:val="17"/>
              </w:rPr>
              <w:t>-3.9%</w:t>
            </w:r>
          </w:p>
        </w:tc>
      </w:tr>
      <w:tr>
        <w:tc>
          <w:tcPr>
            <w:tcW w:type="dxa" w:w="1440"/>
            <w:shd w:fill="FFDCE0" w:val="clear"/>
          </w:tcPr>
          <w:p>
            <w:r>
              <w:rPr>
                <w:sz w:val="17"/>
              </w:rPr>
              <w:t>J+6  Moyenne</w:t>
            </w:r>
          </w:p>
        </w:tc>
        <w:tc>
          <w:tcPr>
            <w:tcW w:type="dxa" w:w="1440"/>
            <w:shd w:fill="FFDCE0" w:val="clear"/>
          </w:tcPr>
          <w:p>
            <w:r>
              <w:rPr>
                <w:sz w:val="17"/>
              </w:rPr>
              <w:t>2026-09-17</w:t>
            </w:r>
          </w:p>
        </w:tc>
        <w:tc>
          <w:tcPr>
            <w:tcW w:type="dxa" w:w="1440"/>
            <w:shd w:fill="FFDCE0" w:val="clear"/>
          </w:tcPr>
          <w:p>
            <w:r>
              <w:rPr>
                <w:sz w:val="17"/>
              </w:rPr>
              <w:t>16,298</w:t>
            </w:r>
          </w:p>
        </w:tc>
        <w:tc>
          <w:tcPr>
            <w:tcW w:type="dxa" w:w="1440"/>
            <w:shd w:fill="FFDCE0" w:val="clear"/>
          </w:tcPr>
          <w:p>
            <w:r>
              <w:rPr>
                <w:b/>
                <w:sz w:val="17"/>
              </w:rPr>
              <w:t>17,217</w:t>
            </w:r>
          </w:p>
        </w:tc>
        <w:tc>
          <w:tcPr>
            <w:tcW w:type="dxa" w:w="1440"/>
            <w:shd w:fill="FFDCE0" w:val="clear"/>
          </w:tcPr>
          <w:p>
            <w:r>
              <w:rPr>
                <w:sz w:val="17"/>
              </w:rPr>
              <w:t>18,135</w:t>
            </w:r>
          </w:p>
        </w:tc>
        <w:tc>
          <w:tcPr>
            <w:tcW w:type="dxa" w:w="1440"/>
            <w:shd w:fill="FFDCE0" w:val="clear"/>
          </w:tcPr>
          <w:p>
            <w:r>
              <w:rPr>
                <w:b/>
                <w:color w:val="C00000"/>
                <w:sz w:val="17"/>
              </w:rPr>
              <w:t>-4.3%</w:t>
            </w:r>
          </w:p>
        </w:tc>
      </w:tr>
      <w:tr>
        <w:tc>
          <w:tcPr>
            <w:tcW w:type="dxa" w:w="1440"/>
            <w:shd w:fill="FFDCE0" w:val="clear"/>
          </w:tcPr>
          <w:p>
            <w:r>
              <w:rPr>
                <w:sz w:val="17"/>
              </w:rPr>
              <w:t>J+7  Moyenne</w:t>
            </w:r>
          </w:p>
        </w:tc>
        <w:tc>
          <w:tcPr>
            <w:tcW w:type="dxa" w:w="1440"/>
            <w:shd w:fill="FFDCE0" w:val="clear"/>
          </w:tcPr>
          <w:p>
            <w:r>
              <w:rPr>
                <w:sz w:val="17"/>
              </w:rPr>
              <w:t>2026-09-18</w:t>
            </w:r>
          </w:p>
        </w:tc>
        <w:tc>
          <w:tcPr>
            <w:tcW w:type="dxa" w:w="1440"/>
            <w:shd w:fill="FFDCE0" w:val="clear"/>
          </w:tcPr>
          <w:p>
            <w:r>
              <w:rPr>
                <w:sz w:val="17"/>
              </w:rPr>
              <w:t>16,157</w:t>
            </w:r>
          </w:p>
        </w:tc>
        <w:tc>
          <w:tcPr>
            <w:tcW w:type="dxa" w:w="1440"/>
            <w:shd w:fill="FFDCE0" w:val="clear"/>
          </w:tcPr>
          <w:p>
            <w:r>
              <w:rPr>
                <w:b/>
                <w:sz w:val="17"/>
              </w:rPr>
              <w:t>17,145</w:t>
            </w:r>
          </w:p>
        </w:tc>
        <w:tc>
          <w:tcPr>
            <w:tcW w:type="dxa" w:w="1440"/>
            <w:shd w:fill="FFDCE0" w:val="clear"/>
          </w:tcPr>
          <w:p>
            <w:r>
              <w:rPr>
                <w:sz w:val="17"/>
              </w:rPr>
              <w:t>18,133</w:t>
            </w:r>
          </w:p>
        </w:tc>
        <w:tc>
          <w:tcPr>
            <w:tcW w:type="dxa" w:w="1440"/>
            <w:shd w:fill="FFDCE0" w:val="clear"/>
          </w:tcPr>
          <w:p>
            <w:r>
              <w:rPr>
                <w:b/>
                <w:color w:val="C00000"/>
                <w:sz w:val="17"/>
              </w:rPr>
              <w:t>-4.7%</w:t>
            </w:r>
          </w:p>
        </w:tc>
      </w:tr>
      <w:tr>
        <w:tc>
          <w:tcPr>
            <w:tcW w:type="dxa" w:w="1440"/>
            <w:shd w:fill="FFDCE0" w:val="clear"/>
          </w:tcPr>
          <w:p>
            <w:r>
              <w:rPr>
                <w:sz w:val="17"/>
              </w:rPr>
              <w:t>J+8  Moyenne</w:t>
            </w:r>
          </w:p>
        </w:tc>
        <w:tc>
          <w:tcPr>
            <w:tcW w:type="dxa" w:w="1440"/>
            <w:shd w:fill="FFDCE0" w:val="clear"/>
          </w:tcPr>
          <w:p>
            <w:r>
              <w:rPr>
                <w:sz w:val="17"/>
              </w:rPr>
              <w:t>2026-09-21</w:t>
            </w:r>
          </w:p>
        </w:tc>
        <w:tc>
          <w:tcPr>
            <w:tcW w:type="dxa" w:w="1440"/>
            <w:shd w:fill="FFDCE0" w:val="clear"/>
          </w:tcPr>
          <w:p>
            <w:r>
              <w:rPr>
                <w:sz w:val="17"/>
              </w:rPr>
              <w:t>16,023</w:t>
            </w:r>
          </w:p>
        </w:tc>
        <w:tc>
          <w:tcPr>
            <w:tcW w:type="dxa" w:w="1440"/>
            <w:shd w:fill="FFDCE0" w:val="clear"/>
          </w:tcPr>
          <w:p>
            <w:r>
              <w:rPr>
                <w:b/>
                <w:sz w:val="17"/>
              </w:rPr>
              <w:t>17,074</w:t>
            </w:r>
          </w:p>
        </w:tc>
        <w:tc>
          <w:tcPr>
            <w:tcW w:type="dxa" w:w="1440"/>
            <w:shd w:fill="FFDCE0" w:val="clear"/>
          </w:tcPr>
          <w:p>
            <w:r>
              <w:rPr>
                <w:sz w:val="17"/>
              </w:rPr>
              <w:t>18,126</w:t>
            </w:r>
          </w:p>
        </w:tc>
        <w:tc>
          <w:tcPr>
            <w:tcW w:type="dxa" w:w="1440"/>
            <w:shd w:fill="FFDCE0" w:val="clear"/>
          </w:tcPr>
          <w:p>
            <w:r>
              <w:rPr>
                <w:b/>
                <w:color w:val="C00000"/>
                <w:sz w:val="17"/>
              </w:rPr>
              <w:t>-5.1%</w:t>
            </w:r>
          </w:p>
        </w:tc>
      </w:tr>
      <w:tr>
        <w:tc>
          <w:tcPr>
            <w:tcW w:type="dxa" w:w="1440"/>
            <w:shd w:fill="FFDCE0" w:val="clear"/>
          </w:tcPr>
          <w:p>
            <w:r>
              <w:rPr>
                <w:sz w:val="17"/>
              </w:rPr>
              <w:t>J+9  Moyenne</w:t>
            </w:r>
          </w:p>
        </w:tc>
        <w:tc>
          <w:tcPr>
            <w:tcW w:type="dxa" w:w="1440"/>
            <w:shd w:fill="FFDCE0" w:val="clear"/>
          </w:tcPr>
          <w:p>
            <w:r>
              <w:rPr>
                <w:sz w:val="17"/>
              </w:rPr>
              <w:t>2026-09-22</w:t>
            </w:r>
          </w:p>
        </w:tc>
        <w:tc>
          <w:tcPr>
            <w:tcW w:type="dxa" w:w="1440"/>
            <w:shd w:fill="FFDCE0" w:val="clear"/>
          </w:tcPr>
          <w:p>
            <w:r>
              <w:rPr>
                <w:sz w:val="17"/>
              </w:rPr>
              <w:t>15,894</w:t>
            </w:r>
          </w:p>
        </w:tc>
        <w:tc>
          <w:tcPr>
            <w:tcW w:type="dxa" w:w="1440"/>
            <w:shd w:fill="FFDCE0" w:val="clear"/>
          </w:tcPr>
          <w:p>
            <w:r>
              <w:rPr>
                <w:b/>
                <w:sz w:val="17"/>
              </w:rPr>
              <w:t>17,005</w:t>
            </w:r>
          </w:p>
        </w:tc>
        <w:tc>
          <w:tcPr>
            <w:tcW w:type="dxa" w:w="1440"/>
            <w:shd w:fill="FFDCE0" w:val="clear"/>
          </w:tcPr>
          <w:p>
            <w:r>
              <w:rPr>
                <w:sz w:val="17"/>
              </w:rPr>
              <w:t>18,116</w:t>
            </w:r>
          </w:p>
        </w:tc>
        <w:tc>
          <w:tcPr>
            <w:tcW w:type="dxa" w:w="1440"/>
            <w:shd w:fill="FFDCE0" w:val="clear"/>
          </w:tcPr>
          <w:p>
            <w:r>
              <w:rPr>
                <w:b/>
                <w:color w:val="C00000"/>
                <w:sz w:val="17"/>
              </w:rPr>
              <w:t>-5.5%</w:t>
            </w:r>
          </w:p>
        </w:tc>
      </w:tr>
      <w:tr>
        <w:tc>
          <w:tcPr>
            <w:tcW w:type="dxa" w:w="1440"/>
            <w:shd w:fill="FFDCE0" w:val="clear"/>
          </w:tcPr>
          <w:p>
            <w:r>
              <w:rPr>
                <w:sz w:val="17"/>
              </w:rPr>
              <w:t>J+10  Moyenne</w:t>
            </w:r>
          </w:p>
        </w:tc>
        <w:tc>
          <w:tcPr>
            <w:tcW w:type="dxa" w:w="1440"/>
            <w:shd w:fill="FFDCE0" w:val="clear"/>
          </w:tcPr>
          <w:p>
            <w:r>
              <w:rPr>
                <w:sz w:val="17"/>
              </w:rPr>
              <w:t>2026-09-23</w:t>
            </w:r>
          </w:p>
        </w:tc>
        <w:tc>
          <w:tcPr>
            <w:tcW w:type="dxa" w:w="1440"/>
            <w:shd w:fill="FFDCE0" w:val="clear"/>
          </w:tcPr>
          <w:p>
            <w:r>
              <w:rPr>
                <w:sz w:val="17"/>
              </w:rPr>
              <w:t>15,771</w:t>
            </w:r>
          </w:p>
        </w:tc>
        <w:tc>
          <w:tcPr>
            <w:tcW w:type="dxa" w:w="1440"/>
            <w:shd w:fill="FFDCE0" w:val="clear"/>
          </w:tcPr>
          <w:p>
            <w:r>
              <w:rPr>
                <w:b/>
                <w:sz w:val="17"/>
              </w:rPr>
              <w:t>16,937</w:t>
            </w:r>
          </w:p>
        </w:tc>
        <w:tc>
          <w:tcPr>
            <w:tcW w:type="dxa" w:w="1440"/>
            <w:shd w:fill="FFDCE0" w:val="clear"/>
          </w:tcPr>
          <w:p>
            <w:r>
              <w:rPr>
                <w:sz w:val="17"/>
              </w:rPr>
              <w:t>18,103</w:t>
            </w:r>
          </w:p>
        </w:tc>
        <w:tc>
          <w:tcPr>
            <w:tcW w:type="dxa" w:w="1440"/>
            <w:shd w:fill="FFDCE0" w:val="clear"/>
          </w:tcPr>
          <w:p>
            <w:r>
              <w:rPr>
                <w:b/>
                <w:color w:val="C00000"/>
                <w:sz w:val="17"/>
              </w:rPr>
              <w:t>-5.9%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 RAPPORT D'ANALYSE FINANCIÈRE — SMBC (Société Multinationale de Bitumes)</w:t>
        <w:br/>
        <w:t>**Bourse Régionale des Valeurs Mobilières (BRVM) — Secteur : Entreprise industrielle (Bitumes / Produits pétroliers)**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140,27 Mds FCFA, SMBC se positionne comme une valeur de taille intermédiaire sur la BRVM, représentative du compartiment industriel de la cote. Le BPA de 1 677 FCFA/action signifie que chaque titre génère près de 1 677 FCFA de bénéfice net, ce qui, rapporté au cours actuel de 17 995 FCFA, donne un PER de 10,7x — un niveau modéré, légèrement supérieur à la moyenne basse du marché BRVM (~8-12x), traduisant une valorisation raisonnable mais non décotée. Le P/B de 3,27x indique que le marché valorise SMBC à plus de trois fois ses fonds propres comptables (42,9 Mds FCFA), soit une prime de croissance significative qui se justifie par un ROE exceptionnel de 30,5%. Enfin, l'EV/EBITDA de 6,8x situe la valeur d'entreprise (capitalisation + dette nette) à un niveau raisonnable face à la capacité opérationnelle dégagée (EBE de 18,48 Mds FCFA), ce qui suggère que le marché n'intègre pas de surpayement majeur pour les cash-flows d'exploitation.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SMBC affiche une performance remarquable de **+54,46%**, avec une dernière séance encore positive de **+2,07%**, portant le cours à 17 995 FCFA — soit exactement le plus haut de la période, ce qui témoigne d'un momentum haussier intact. Le range de trading est très large, entre un plus bas de 11 450 FCFA et le plus haut actuel de 17 995 FCFA, soit une amplitude de plus de 57%, caractéristique d'une tendance haussière puissante et soutenue. Les statistiques descriptives révèlent une **moyenne de 15 102 FCFA** nettement inférieure à la **médiane et au mode de 16 000 FCFA**, signe que le cours a passé plus de temps dans les niveaux élevés de la fourchette, avec une asymétrie négative (skewness = -0,564) confirmant cette concentration des journées au-dessus de la moyenne. L'écart-type de 2 158 FCFA (CV = 14,3%) traduit une dispersion modérée autour de la tendance, tandis que le kurtosis de -1,232 (distribution platykurtique) indique une faible concentration des rendements et un risque de pics extrêmes limité — un profil de volatilité relativement « lissé ». La **volatilité annualisée de 35,9%** classe le titre dans la catégorie des valeurs à volatilité élevée (&gt;30%), ce qui est cohérent avec la forte progression récente et appelle à la prudence sur les points d'entrée.</w:t>
      </w:r>
    </w:p>
    <w:p>
      <w:pPr>
        <w:spacing w:after="120" w:line="276" w:lineRule="auto"/>
      </w:pPr>
      <w:r>
        <w:t>---</w:t>
      </w:r>
    </w:p>
    <w:p>
      <w:pPr>
        <w:spacing w:after="120" w:line="276" w:lineRule="auto"/>
      </w:pPr>
      <w:r>
        <w:t>## PARTIE 2 : ANALYSE TECHNIQUE DÉTAILLÉE</w:t>
      </w:r>
    </w:p>
    <w:p>
      <w:pPr>
        <w:spacing w:after="120" w:line="276" w:lineRule="auto"/>
      </w:pPr>
      <w:r>
        <w:t>**Moyennes Mobiles** : La MM20 (17 005,75 FCFA) et la MM50 (16 719,90 FCFA) se situent toutes deux sous le cours actuel (17 995 FCFA), avec la MM20 au-dessus de la MM50 — configuration haussière classique en « golden cross ». Le cours évoluant au-dessus de ses deux moyennes, la dynamique de fond reste clairement positive, ce qui justifie la décision **Achat** de cet indicateur.</w:t>
      </w:r>
    </w:p>
    <w:p>
      <w:pPr>
        <w:spacing w:after="120" w:line="276" w:lineRule="auto"/>
      </w:pPr>
      <w:r>
        <w:t>**Bandes de Bollinger** : Le cours (17 995 FCFA) touche exactement la borne supérieure (17 988,06 FCFA), tandis que la borne inférieure se situe à 16 023,44 FCFA. Cette position en haut de bande signale une extension haussière potentiellement excessive à court terme, ce qui explique la décision **Vente** — un signal de prudence face à un possible retour à la moyenne, sans invalider la tendance de fond.</w:t>
      </w:r>
    </w:p>
    <w:p>
      <w:pPr>
        <w:spacing w:after="120" w:line="276" w:lineRule="auto"/>
      </w:pPr>
      <w:r>
        <w:t>**MACD** : La valeur du MACD (366,52) dépasse nettement son signal (287,29), avec un histogramme positif et croissant. Cette divergence positive confirme un momentum haussier solide et justifie la décision **Achat**, bien que l'écart important entre les deux lignes appelle à surveiller un éventuel retournement.</w:t>
      </w:r>
    </w:p>
    <w:p>
      <w:pPr>
        <w:spacing w:after="120" w:line="276" w:lineRule="auto"/>
      </w:pPr>
      <w:r>
        <w:t>**RSI** : À **86,375**, le RSI se situe très largement au-dessus du seuil de surachat (70), signalant une pression acheteuse extrême et un risque élevé de correction à court terme. La décision **Vente** de cet indicateur est cohérente avec un titre techniquement « surchauffé ».</w:t>
      </w:r>
    </w:p>
    <w:p>
      <w:pPr>
        <w:spacing w:after="120" w:line="276" w:lineRule="auto"/>
      </w:pPr>
      <w:r>
        <w:t>**Stochastique** : Le %K et le %D sont tous deux à **100,0**, soit le niveau maximal de la fourchette — situation de surachat extrême. Aucun croisement baissier n'est encore visible, mais la décision **Vente** traduit l'imminence d'un essoufflement.</w:t>
      </w:r>
    </w:p>
    <w:p>
      <w:pPr>
        <w:spacing w:after="120" w:line="276" w:lineRule="auto"/>
      </w:pPr>
      <w:r>
        <w:t>**Conclusion technique** : Les indicateurs de tendance (MM20/MM50, MACD) restent haussiers et confirment la solidité du mouvement, mais les oscillateurs (RSI à 86,4, Stochastique à 100, Bollinger en borne supérieure) convergent vers un signal de **surachat extrême**. Cette divergence entre tendance et momentum suggère que le titre pourrait connaître une consolidation ou une correction à court terme, sans remettre en cause la tendance de fond tant que le support des 17 000 FCFA (MM20) tient.</w:t>
      </w:r>
    </w:p>
    <w:p>
      <w:pPr>
        <w:spacing w:after="120" w:line="276" w:lineRule="auto"/>
      </w:pPr>
      <w:r>
        <w:t>---</w:t>
      </w:r>
    </w:p>
    <w:p>
      <w:pPr>
        <w:spacing w:after="120" w:line="276" w:lineRule="auto"/>
      </w:pPr>
      <w:r>
        <w:t>## PARTIE 3 : ANALYSE FONDAMENTALE</w:t>
      </w:r>
    </w:p>
    <w:p>
      <w:pPr>
        <w:spacing w:after="120" w:line="276" w:lineRule="auto"/>
      </w:pPr>
      <w:r>
        <w:t>**Données structurées (exercice 2025)** : SMBC affiche un chiffre d'affaires de **206,74 Mds FCFA** en 2025, en **baisse de 9,74%** sur un an, dans un contexte de repli des cours pétroliers. Malgré cette contraction, le **résultat net progresse de +50,3% à 13,075 Mds FCFA**, porté par une spectaculaire amélioration de la marge nette (6,32% contre 3,8% en 2024) et un EBE en hausse de +41,8% à 18,48 Mds FCFA. La rentabilité des fonds propres est **excellente (ROE = 30,47%)**, très au-dessus du seuil de 15%, tandis que le ROA de 7,26% reflète la lourdeur de l'actif (180 Mds FCFA) dominé par les créances clients (109,74 Mds FCFA). **Adapté au secteur industriel** : le BFR ressort à seulement 1,69 Md FCFA (quasi nul, favorable), mais le **délai client de 193,75 jours** constitue un point de vigilance majeur pour la trésorerie, compensé par un délai fournisseur de 207,07 jours qui joue en faveur de l'entreprise. La structure financière est saine : autonomie financière de 23,84%, ratio d'endettement de 76,16%, capacité de remboursement de 0,68 an et couverture des intérêts de 483% — des niveaux rassurants. **Estimations issues des rapports trimestriels** : le rapport T1 2025 (31/03/2025) indiquait un CA de 54,8 Mds FCFA (-22%) et un résultat net de 2,7 Mds FCFA (-7%) ; le S1 2025 (30/06/2025) un CA de 101,9 Mds FCFA (-23%) et un résultat net de 3,9 Mds FCFA (-7%) ; le T3 2025 (30/09/2025) un CA cumulé de 155,2 Mds FCFA (-14%) et un résultat net de 5,7 Mds FCFA (+6%). On estime donc que la dynamique de redressement de la rentabilité s'est confirmée au T4 2025, permettant d'atteindre le résultat net annuel de 13,1 Mds FCFA. **Évolution pluriannuelle** : après un résultat net de 17,3 Mds FCFA en 2023 puis 8,7 Mds en 2024 (chute de -49,6%), l'exercice 2025 marque un net rebond (+50,3%). **Recommandation fondamentale** : la solidité opérationnelle et la trésorerie nette positive (23,99 Mds FCFA) sont des atouts majeurs, mais la baisse structurelle du CA et le délai client élevé constituent des risques à surveiller. Le titre reste fondamentalement solide, avec un profil de **CONSERVER à ACHAT** selon l'horizon.</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dessine un tableau contrasté. **Sur la valorisation (Partie 0)**, le PER de 10,7x et l'EV/EBITDA de 6,8x indiquent une valorisation raisonnable, sans décote marquée mais sans surévaluation flagrante, le P/B de 3,27x étant justifié par un ROE de 30,5%. **Sur le comportement du cours (Partie 1)**, la tendance haussière de +54,46% est impressionnante, mais la volatilité annualisée de 35,9% et le kurtosis négatif signalent un risque de correction, d'autant que le cours touche son plus haut historique. **Sur le plan technique (Partie 2)**, la divergence est nette : les moyennes mobiles et le MACD confirment la tendance haussière, mais le RSI (86,4) et le Stochastique (100) en surachat extrême, ainsi que la position en borne supérieure de Bollinger, plaident pour une consolidation imminente. **Sur le plan fondamental (Partie 3)**, la société affiche une rentabilité exceptionnelle (ROE 30,5%, résultat net +50,3%) et une trésorerie solide, malgré un CA en repli de 9,7% et un délai client préoccupant. **Les prédictions IA (J+1 à J+10)** anticipent une légère correction vers 17 290-17 596 FCFA, confirmant le signal de surachat technique sans invalider la tendance de fond.</w:t>
      </w:r>
    </w:p>
    <w:p>
      <w:pPr>
        <w:spacing w:after="120" w:line="276" w:lineRule="auto"/>
      </w:pPr>
      <w:r>
        <w:t>**Recommandation finale : CONSERVER** — avec un biais positif pour les investisseurs déjà positionnés. La convergence entre une valorisation raisonnable, des fondamentaux solides et une tendance haussière de fond est contrebalancée par un surachat technique extrême et des prédictions de court terme baissières. **Niveau de confiance : Moyen** (les signaux contradictoires entre technique court terme et fondamental moyen terme limitent la visibilité). **Niveau de risque global : Moyen à Élevé** (volatilité de 35,9%, dépendance aux cycles pétroliers et aux investissements publics en infrastructures). **Horizon d'investissement optimal : moyen terme (3-12 mois)**, en privilégiant les points d'entrée sur repli vers la MM20 (17 000 FCFA) plutôt qu'un achat au plus haut. Un passage à **ACHAT** serait justifié si le titre consolide sans casser les 17 000 FCFA et si le CA reprend une trajectoire positive en 2026.</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3880.00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9,654 titres</w:t>
            </w:r>
          </w:p>
        </w:tc>
        <w:tc>
          <w:tcPr>
            <w:tcW w:type="dxa" w:w="2268"/>
            <w:shd w:fill="FFF2CC" w:val="clear"/>
          </w:tcPr>
          <w:p>
            <w:r>
              <w:rPr>
                <w:b/>
                <w:color w:val="503200"/>
                <w:sz w:val="16"/>
              </w:rPr>
              <w:t xml:space="preserve">Cours actuel : </w:t>
            </w:r>
            <w:r>
              <w:rPr>
                <w:color w:val="000000"/>
                <w:sz w:val="17"/>
              </w:rPr>
              <w:t>38,800 FCFA</w:t>
            </w:r>
          </w:p>
          <w:p>
            <w:r>
              <w:rPr>
                <w:b/>
                <w:color w:val="503200"/>
                <w:sz w:val="16"/>
              </w:rPr>
              <w:t xml:space="preserve">Var. 100 jours : </w:t>
            </w:r>
            <w:r>
              <w:rPr>
                <w:b/>
                <w:color w:val="007800"/>
                <w:sz w:val="17"/>
              </w:rPr>
              <w:t>+36.14%</w:t>
            </w:r>
          </w:p>
          <w:p>
            <w:r>
              <w:rPr>
                <w:b/>
                <w:color w:val="503200"/>
                <w:sz w:val="16"/>
              </w:rPr>
              <w:t xml:space="preserve">Plus haut 100j : </w:t>
            </w:r>
            <w:r>
              <w:rPr>
                <w:color w:val="000000"/>
                <w:sz w:val="17"/>
              </w:rPr>
              <w:t>39,200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27.1/100 → Moyen</w:t>
      </w:r>
    </w:p>
    <w:p>
      <w:pPr>
        <w:spacing w:before="40" w:after="80"/>
      </w:pPr>
      <w:r>
        <w:rPr>
          <w:rFonts w:ascii="Courier New" w:hAnsi="Courier New"/>
          <w:color w:val="825A00"/>
          <w:sz w:val="18"/>
        </w:rPr>
        <w:t>█████░░░░░░░░░░░░░░░  27.1/100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9.71% (Moyenne) — μ=30,705 FCFA, σ=2,982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β=1.9253 (Très agressif) — Cov=0.000070, Var(idx)=0.000036, ρ=0.590,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9,654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σ_j=1.95%/j (Stable) — Vol. annualisée≈31.0%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2026-09-10</w:t>
            </w:r>
          </w:p>
        </w:tc>
        <w:tc>
          <w:tcPr>
            <w:tcW w:type="dxa" w:w="1440"/>
            <w:shd w:fill="FFDCE0" w:val="clear"/>
          </w:tcPr>
          <w:p>
            <w:r>
              <w:rPr>
                <w:sz w:val="17"/>
              </w:rPr>
              <w:t>36,435</w:t>
            </w:r>
          </w:p>
        </w:tc>
        <w:tc>
          <w:tcPr>
            <w:tcW w:type="dxa" w:w="1440"/>
            <w:shd w:fill="FFDCE0" w:val="clear"/>
          </w:tcPr>
          <w:p>
            <w:r>
              <w:rPr>
                <w:b/>
                <w:sz w:val="17"/>
              </w:rPr>
              <w:t>37,924</w:t>
            </w:r>
          </w:p>
        </w:tc>
        <w:tc>
          <w:tcPr>
            <w:tcW w:type="dxa" w:w="1440"/>
            <w:shd w:fill="FFDCE0" w:val="clear"/>
          </w:tcPr>
          <w:p>
            <w:r>
              <w:rPr>
                <w:sz w:val="17"/>
              </w:rPr>
              <w:t>39,414</w:t>
            </w:r>
          </w:p>
        </w:tc>
        <w:tc>
          <w:tcPr>
            <w:tcW w:type="dxa" w:w="1440"/>
            <w:shd w:fill="FFDCE0" w:val="clear"/>
          </w:tcPr>
          <w:p>
            <w:r>
              <w:rPr>
                <w:b/>
                <w:color w:val="C00000"/>
                <w:sz w:val="17"/>
              </w:rPr>
              <w:t>-2.3%</w:t>
            </w:r>
          </w:p>
        </w:tc>
      </w:tr>
      <w:tr>
        <w:tc>
          <w:tcPr>
            <w:tcW w:type="dxa" w:w="1440"/>
            <w:shd w:fill="FFDCE0" w:val="clear"/>
          </w:tcPr>
          <w:p>
            <w:r>
              <w:rPr>
                <w:sz w:val="17"/>
              </w:rPr>
              <w:t>J+2  ⭐</w:t>
            </w:r>
          </w:p>
        </w:tc>
        <w:tc>
          <w:tcPr>
            <w:tcW w:type="dxa" w:w="1440"/>
            <w:shd w:fill="FFDCE0" w:val="clear"/>
          </w:tcPr>
          <w:p>
            <w:r>
              <w:rPr>
                <w:sz w:val="17"/>
              </w:rPr>
              <w:t>2026-09-11</w:t>
            </w:r>
          </w:p>
        </w:tc>
        <w:tc>
          <w:tcPr>
            <w:tcW w:type="dxa" w:w="1440"/>
            <w:shd w:fill="FFDCE0" w:val="clear"/>
          </w:tcPr>
          <w:p>
            <w:r>
              <w:rPr>
                <w:sz w:val="17"/>
              </w:rPr>
              <w:t>35,715</w:t>
            </w:r>
          </w:p>
        </w:tc>
        <w:tc>
          <w:tcPr>
            <w:tcW w:type="dxa" w:w="1440"/>
            <w:shd w:fill="FFDCE0" w:val="clear"/>
          </w:tcPr>
          <w:p>
            <w:r>
              <w:rPr>
                <w:b/>
                <w:sz w:val="17"/>
              </w:rPr>
              <w:t>37,815</w:t>
            </w:r>
          </w:p>
        </w:tc>
        <w:tc>
          <w:tcPr>
            <w:tcW w:type="dxa" w:w="1440"/>
            <w:shd w:fill="FFDCE0" w:val="clear"/>
          </w:tcPr>
          <w:p>
            <w:r>
              <w:rPr>
                <w:sz w:val="17"/>
              </w:rPr>
              <w:t>39,915</w:t>
            </w:r>
          </w:p>
        </w:tc>
        <w:tc>
          <w:tcPr>
            <w:tcW w:type="dxa" w:w="1440"/>
            <w:shd w:fill="FFDCE0" w:val="clear"/>
          </w:tcPr>
          <w:p>
            <w:r>
              <w:rPr>
                <w:b/>
                <w:color w:val="C00000"/>
                <w:sz w:val="17"/>
              </w:rPr>
              <w:t>-2.5%</w:t>
            </w:r>
          </w:p>
        </w:tc>
      </w:tr>
      <w:tr>
        <w:tc>
          <w:tcPr>
            <w:tcW w:type="dxa" w:w="1440"/>
            <w:shd w:fill="FFDCE0" w:val="clear"/>
          </w:tcPr>
          <w:p>
            <w:r>
              <w:rPr>
                <w:sz w:val="17"/>
              </w:rPr>
              <w:t>J+3  ⭐</w:t>
            </w:r>
          </w:p>
        </w:tc>
        <w:tc>
          <w:tcPr>
            <w:tcW w:type="dxa" w:w="1440"/>
            <w:shd w:fill="FFDCE0" w:val="clear"/>
          </w:tcPr>
          <w:p>
            <w:r>
              <w:rPr>
                <w:sz w:val="17"/>
              </w:rPr>
              <w:t>2026-09-14</w:t>
            </w:r>
          </w:p>
        </w:tc>
        <w:tc>
          <w:tcPr>
            <w:tcW w:type="dxa" w:w="1440"/>
            <w:shd w:fill="FFDCE0" w:val="clear"/>
          </w:tcPr>
          <w:p>
            <w:r>
              <w:rPr>
                <w:sz w:val="17"/>
              </w:rPr>
              <w:t>35,096</w:t>
            </w:r>
          </w:p>
        </w:tc>
        <w:tc>
          <w:tcPr>
            <w:tcW w:type="dxa" w:w="1440"/>
            <w:shd w:fill="FFDCE0" w:val="clear"/>
          </w:tcPr>
          <w:p>
            <w:r>
              <w:rPr>
                <w:b/>
                <w:sz w:val="17"/>
              </w:rPr>
              <w:t>37,657</w:t>
            </w:r>
          </w:p>
        </w:tc>
        <w:tc>
          <w:tcPr>
            <w:tcW w:type="dxa" w:w="1440"/>
            <w:shd w:fill="FFDCE0" w:val="clear"/>
          </w:tcPr>
          <w:p>
            <w:r>
              <w:rPr>
                <w:sz w:val="17"/>
              </w:rPr>
              <w:t>40,218</w:t>
            </w:r>
          </w:p>
        </w:tc>
        <w:tc>
          <w:tcPr>
            <w:tcW w:type="dxa" w:w="1440"/>
            <w:shd w:fill="FFDCE0" w:val="clear"/>
          </w:tcPr>
          <w:p>
            <w:r>
              <w:rPr>
                <w:b/>
                <w:color w:val="C00000"/>
                <w:sz w:val="17"/>
              </w:rPr>
              <w:t>-2.9%</w:t>
            </w:r>
          </w:p>
        </w:tc>
      </w:tr>
      <w:tr>
        <w:tc>
          <w:tcPr>
            <w:tcW w:type="dxa" w:w="1440"/>
            <w:shd w:fill="FFDCE0" w:val="clear"/>
          </w:tcPr>
          <w:p>
            <w:r>
              <w:rPr>
                <w:sz w:val="17"/>
              </w:rPr>
              <w:t>J+4  ⭐</w:t>
            </w:r>
          </w:p>
        </w:tc>
        <w:tc>
          <w:tcPr>
            <w:tcW w:type="dxa" w:w="1440"/>
            <w:shd w:fill="FFDCE0" w:val="clear"/>
          </w:tcPr>
          <w:p>
            <w:r>
              <w:rPr>
                <w:sz w:val="17"/>
              </w:rPr>
              <w:t>2026-09-15</w:t>
            </w:r>
          </w:p>
        </w:tc>
        <w:tc>
          <w:tcPr>
            <w:tcW w:type="dxa" w:w="1440"/>
            <w:shd w:fill="FFDCE0" w:val="clear"/>
          </w:tcPr>
          <w:p>
            <w:r>
              <w:rPr>
                <w:sz w:val="17"/>
              </w:rPr>
              <w:t>34,572</w:t>
            </w:r>
          </w:p>
        </w:tc>
        <w:tc>
          <w:tcPr>
            <w:tcW w:type="dxa" w:w="1440"/>
            <w:shd w:fill="FFDCE0" w:val="clear"/>
          </w:tcPr>
          <w:p>
            <w:r>
              <w:rPr>
                <w:b/>
                <w:sz w:val="17"/>
              </w:rPr>
              <w:t>37,518</w:t>
            </w:r>
          </w:p>
        </w:tc>
        <w:tc>
          <w:tcPr>
            <w:tcW w:type="dxa" w:w="1440"/>
            <w:shd w:fill="FFDCE0" w:val="clear"/>
          </w:tcPr>
          <w:p>
            <w:r>
              <w:rPr>
                <w:sz w:val="17"/>
              </w:rPr>
              <w:t>40,465</w:t>
            </w:r>
          </w:p>
        </w:tc>
        <w:tc>
          <w:tcPr>
            <w:tcW w:type="dxa" w:w="1440"/>
            <w:shd w:fill="FFDCE0" w:val="clear"/>
          </w:tcPr>
          <w:p>
            <w:r>
              <w:rPr>
                <w:b/>
                <w:color w:val="C00000"/>
                <w:sz w:val="17"/>
              </w:rPr>
              <w:t>-3.3%</w:t>
            </w:r>
          </w:p>
        </w:tc>
      </w:tr>
      <w:tr>
        <w:tc>
          <w:tcPr>
            <w:tcW w:type="dxa" w:w="1440"/>
            <w:shd w:fill="FFDCE0" w:val="clear"/>
          </w:tcPr>
          <w:p>
            <w:r>
              <w:rPr>
                <w:sz w:val="17"/>
              </w:rPr>
              <w:t>J+5  ⭐</w:t>
            </w:r>
          </w:p>
        </w:tc>
        <w:tc>
          <w:tcPr>
            <w:tcW w:type="dxa" w:w="1440"/>
            <w:shd w:fill="FFDCE0" w:val="clear"/>
          </w:tcPr>
          <w:p>
            <w:r>
              <w:rPr>
                <w:sz w:val="17"/>
              </w:rPr>
              <w:t>2026-09-16</w:t>
            </w:r>
          </w:p>
        </w:tc>
        <w:tc>
          <w:tcPr>
            <w:tcW w:type="dxa" w:w="1440"/>
            <w:shd w:fill="FFDCE0" w:val="clear"/>
          </w:tcPr>
          <w:p>
            <w:r>
              <w:rPr>
                <w:sz w:val="17"/>
              </w:rPr>
              <w:t>34,116</w:t>
            </w:r>
          </w:p>
        </w:tc>
        <w:tc>
          <w:tcPr>
            <w:tcW w:type="dxa" w:w="1440"/>
            <w:shd w:fill="FFDCE0" w:val="clear"/>
          </w:tcPr>
          <w:p>
            <w:r>
              <w:rPr>
                <w:b/>
                <w:sz w:val="17"/>
              </w:rPr>
              <w:t>37,400</w:t>
            </w:r>
          </w:p>
        </w:tc>
        <w:tc>
          <w:tcPr>
            <w:tcW w:type="dxa" w:w="1440"/>
            <w:shd w:fill="FFDCE0" w:val="clear"/>
          </w:tcPr>
          <w:p>
            <w:r>
              <w:rPr>
                <w:sz w:val="17"/>
              </w:rPr>
              <w:t>40,684</w:t>
            </w:r>
          </w:p>
        </w:tc>
        <w:tc>
          <w:tcPr>
            <w:tcW w:type="dxa" w:w="1440"/>
            <w:shd w:fill="FFDCE0" w:val="clear"/>
          </w:tcPr>
          <w:p>
            <w:r>
              <w:rPr>
                <w:b/>
                <w:color w:val="C00000"/>
                <w:sz w:val="17"/>
              </w:rPr>
              <w:t>-3.6%</w:t>
            </w:r>
          </w:p>
        </w:tc>
      </w:tr>
      <w:tr>
        <w:tc>
          <w:tcPr>
            <w:tcW w:type="dxa" w:w="1440"/>
            <w:shd w:fill="FFDCE0" w:val="clear"/>
          </w:tcPr>
          <w:p>
            <w:r>
              <w:rPr>
                <w:sz w:val="17"/>
              </w:rPr>
              <w:t>J+6  ⭐</w:t>
            </w:r>
          </w:p>
        </w:tc>
        <w:tc>
          <w:tcPr>
            <w:tcW w:type="dxa" w:w="1440"/>
            <w:shd w:fill="FFDCE0" w:val="clear"/>
          </w:tcPr>
          <w:p>
            <w:r>
              <w:rPr>
                <w:sz w:val="17"/>
              </w:rPr>
              <w:t>2026-09-17</w:t>
            </w:r>
          </w:p>
        </w:tc>
        <w:tc>
          <w:tcPr>
            <w:tcW w:type="dxa" w:w="1440"/>
            <w:shd w:fill="FFDCE0" w:val="clear"/>
          </w:tcPr>
          <w:p>
            <w:r>
              <w:rPr>
                <w:sz w:val="17"/>
              </w:rPr>
              <w:t>33,704</w:t>
            </w:r>
          </w:p>
        </w:tc>
        <w:tc>
          <w:tcPr>
            <w:tcW w:type="dxa" w:w="1440"/>
            <w:shd w:fill="FFDCE0" w:val="clear"/>
          </w:tcPr>
          <w:p>
            <w:r>
              <w:rPr>
                <w:b/>
                <w:sz w:val="17"/>
              </w:rPr>
              <w:t>37,291</w:t>
            </w:r>
          </w:p>
        </w:tc>
        <w:tc>
          <w:tcPr>
            <w:tcW w:type="dxa" w:w="1440"/>
            <w:shd w:fill="FFDCE0" w:val="clear"/>
          </w:tcPr>
          <w:p>
            <w:r>
              <w:rPr>
                <w:sz w:val="17"/>
              </w:rPr>
              <w:t>40,878</w:t>
            </w:r>
          </w:p>
        </w:tc>
        <w:tc>
          <w:tcPr>
            <w:tcW w:type="dxa" w:w="1440"/>
            <w:shd w:fill="FFDCE0" w:val="clear"/>
          </w:tcPr>
          <w:p>
            <w:r>
              <w:rPr>
                <w:b/>
                <w:color w:val="C00000"/>
                <w:sz w:val="17"/>
              </w:rPr>
              <w:t>-3.9%</w:t>
            </w:r>
          </w:p>
        </w:tc>
      </w:tr>
      <w:tr>
        <w:tc>
          <w:tcPr>
            <w:tcW w:type="dxa" w:w="1440"/>
            <w:shd w:fill="FFDCE0" w:val="clear"/>
          </w:tcPr>
          <w:p>
            <w:r>
              <w:rPr>
                <w:sz w:val="17"/>
              </w:rPr>
              <w:t>J+7  ⭐</w:t>
            </w:r>
          </w:p>
        </w:tc>
        <w:tc>
          <w:tcPr>
            <w:tcW w:type="dxa" w:w="1440"/>
            <w:shd w:fill="FFDCE0" w:val="clear"/>
          </w:tcPr>
          <w:p>
            <w:r>
              <w:rPr>
                <w:sz w:val="17"/>
              </w:rPr>
              <w:t>2026-09-18</w:t>
            </w:r>
          </w:p>
        </w:tc>
        <w:tc>
          <w:tcPr>
            <w:tcW w:type="dxa" w:w="1440"/>
            <w:shd w:fill="FFDCE0" w:val="clear"/>
          </w:tcPr>
          <w:p>
            <w:r>
              <w:rPr>
                <w:sz w:val="17"/>
              </w:rPr>
              <w:t>33,324</w:t>
            </w:r>
          </w:p>
        </w:tc>
        <w:tc>
          <w:tcPr>
            <w:tcW w:type="dxa" w:w="1440"/>
            <w:shd w:fill="FFDCE0" w:val="clear"/>
          </w:tcPr>
          <w:p>
            <w:r>
              <w:rPr>
                <w:b/>
                <w:sz w:val="17"/>
              </w:rPr>
              <w:t>37,188</w:t>
            </w:r>
          </w:p>
        </w:tc>
        <w:tc>
          <w:tcPr>
            <w:tcW w:type="dxa" w:w="1440"/>
            <w:shd w:fill="FFDCE0" w:val="clear"/>
          </w:tcPr>
          <w:p>
            <w:r>
              <w:rPr>
                <w:sz w:val="17"/>
              </w:rPr>
              <w:t>41,051</w:t>
            </w:r>
          </w:p>
        </w:tc>
        <w:tc>
          <w:tcPr>
            <w:tcW w:type="dxa" w:w="1440"/>
            <w:shd w:fill="FFDCE0" w:val="clear"/>
          </w:tcPr>
          <w:p>
            <w:r>
              <w:rPr>
                <w:b/>
                <w:color w:val="C00000"/>
                <w:sz w:val="17"/>
              </w:rPr>
              <w:t>-4.2%</w:t>
            </w:r>
          </w:p>
        </w:tc>
      </w:tr>
      <w:tr>
        <w:tc>
          <w:tcPr>
            <w:tcW w:type="dxa" w:w="1440"/>
            <w:shd w:fill="FFDCE0" w:val="clear"/>
          </w:tcPr>
          <w:p>
            <w:r>
              <w:rPr>
                <w:sz w:val="17"/>
              </w:rPr>
              <w:t>J+8  ⭐</w:t>
            </w:r>
          </w:p>
        </w:tc>
        <w:tc>
          <w:tcPr>
            <w:tcW w:type="dxa" w:w="1440"/>
            <w:shd w:fill="FFDCE0" w:val="clear"/>
          </w:tcPr>
          <w:p>
            <w:r>
              <w:rPr>
                <w:sz w:val="17"/>
              </w:rPr>
              <w:t>2026-09-21</w:t>
            </w:r>
          </w:p>
        </w:tc>
        <w:tc>
          <w:tcPr>
            <w:tcW w:type="dxa" w:w="1440"/>
            <w:shd w:fill="FFDCE0" w:val="clear"/>
          </w:tcPr>
          <w:p>
            <w:r>
              <w:rPr>
                <w:sz w:val="17"/>
              </w:rPr>
              <w:t>32,968</w:t>
            </w:r>
          </w:p>
        </w:tc>
        <w:tc>
          <w:tcPr>
            <w:tcW w:type="dxa" w:w="1440"/>
            <w:shd w:fill="FFDCE0" w:val="clear"/>
          </w:tcPr>
          <w:p>
            <w:r>
              <w:rPr>
                <w:b/>
                <w:sz w:val="17"/>
              </w:rPr>
              <w:t>37,088</w:t>
            </w:r>
          </w:p>
        </w:tc>
        <w:tc>
          <w:tcPr>
            <w:tcW w:type="dxa" w:w="1440"/>
            <w:shd w:fill="FFDCE0" w:val="clear"/>
          </w:tcPr>
          <w:p>
            <w:r>
              <w:rPr>
                <w:sz w:val="17"/>
              </w:rPr>
              <w:t>41,207</w:t>
            </w:r>
          </w:p>
        </w:tc>
        <w:tc>
          <w:tcPr>
            <w:tcW w:type="dxa" w:w="1440"/>
            <w:shd w:fill="FFDCE0" w:val="clear"/>
          </w:tcPr>
          <w:p>
            <w:r>
              <w:rPr>
                <w:b/>
                <w:color w:val="C00000"/>
                <w:sz w:val="17"/>
              </w:rPr>
              <w:t>-4.4%</w:t>
            </w:r>
          </w:p>
        </w:tc>
      </w:tr>
      <w:tr>
        <w:tc>
          <w:tcPr>
            <w:tcW w:type="dxa" w:w="1440"/>
            <w:shd w:fill="FFDCE0" w:val="clear"/>
          </w:tcPr>
          <w:p>
            <w:r>
              <w:rPr>
                <w:sz w:val="17"/>
              </w:rPr>
              <w:t>J+9  ⭐</w:t>
            </w:r>
          </w:p>
        </w:tc>
        <w:tc>
          <w:tcPr>
            <w:tcW w:type="dxa" w:w="1440"/>
            <w:shd w:fill="FFDCE0" w:val="clear"/>
          </w:tcPr>
          <w:p>
            <w:r>
              <w:rPr>
                <w:sz w:val="17"/>
              </w:rPr>
              <w:t>2026-09-22</w:t>
            </w:r>
          </w:p>
        </w:tc>
        <w:tc>
          <w:tcPr>
            <w:tcW w:type="dxa" w:w="1440"/>
            <w:shd w:fill="FFDCE0" w:val="clear"/>
          </w:tcPr>
          <w:p>
            <w:r>
              <w:rPr>
                <w:sz w:val="17"/>
              </w:rPr>
              <w:t>32,632</w:t>
            </w:r>
          </w:p>
        </w:tc>
        <w:tc>
          <w:tcPr>
            <w:tcW w:type="dxa" w:w="1440"/>
            <w:shd w:fill="FFDCE0" w:val="clear"/>
          </w:tcPr>
          <w:p>
            <w:r>
              <w:rPr>
                <w:b/>
                <w:sz w:val="17"/>
              </w:rPr>
              <w:t>36,989</w:t>
            </w:r>
          </w:p>
        </w:tc>
        <w:tc>
          <w:tcPr>
            <w:tcW w:type="dxa" w:w="1440"/>
            <w:shd w:fill="FFDCE0" w:val="clear"/>
          </w:tcPr>
          <w:p>
            <w:r>
              <w:rPr>
                <w:sz w:val="17"/>
              </w:rPr>
              <w:t>41,347</w:t>
            </w:r>
          </w:p>
        </w:tc>
        <w:tc>
          <w:tcPr>
            <w:tcW w:type="dxa" w:w="1440"/>
            <w:shd w:fill="FFDCE0" w:val="clear"/>
          </w:tcPr>
          <w:p>
            <w:r>
              <w:rPr>
                <w:b/>
                <w:color w:val="C00000"/>
                <w:sz w:val="17"/>
              </w:rPr>
              <w:t>-4.7%</w:t>
            </w:r>
          </w:p>
        </w:tc>
      </w:tr>
      <w:tr>
        <w:tc>
          <w:tcPr>
            <w:tcW w:type="dxa" w:w="1440"/>
            <w:shd w:fill="FFDCE0" w:val="clear"/>
          </w:tcPr>
          <w:p>
            <w:r>
              <w:rPr>
                <w:sz w:val="17"/>
              </w:rPr>
              <w:t>J+10  ⭐</w:t>
            </w:r>
          </w:p>
        </w:tc>
        <w:tc>
          <w:tcPr>
            <w:tcW w:type="dxa" w:w="1440"/>
            <w:shd w:fill="FFDCE0" w:val="clear"/>
          </w:tcPr>
          <w:p>
            <w:r>
              <w:rPr>
                <w:sz w:val="17"/>
              </w:rPr>
              <w:t>2026-09-23</w:t>
            </w:r>
          </w:p>
        </w:tc>
        <w:tc>
          <w:tcPr>
            <w:tcW w:type="dxa" w:w="1440"/>
            <w:shd w:fill="FFDCE0" w:val="clear"/>
          </w:tcPr>
          <w:p>
            <w:r>
              <w:rPr>
                <w:sz w:val="17"/>
              </w:rPr>
              <w:t>32,311</w:t>
            </w:r>
          </w:p>
        </w:tc>
        <w:tc>
          <w:tcPr>
            <w:tcW w:type="dxa" w:w="1440"/>
            <w:shd w:fill="FFDCE0" w:val="clear"/>
          </w:tcPr>
          <w:p>
            <w:r>
              <w:rPr>
                <w:b/>
                <w:sz w:val="17"/>
              </w:rPr>
              <w:t>36,893</w:t>
            </w:r>
          </w:p>
        </w:tc>
        <w:tc>
          <w:tcPr>
            <w:tcW w:type="dxa" w:w="1440"/>
            <w:shd w:fill="FFDCE0" w:val="clear"/>
          </w:tcPr>
          <w:p>
            <w:r>
              <w:rPr>
                <w:sz w:val="17"/>
              </w:rPr>
              <w:t>41,474</w:t>
            </w:r>
          </w:p>
        </w:tc>
        <w:tc>
          <w:tcPr>
            <w:tcW w:type="dxa" w:w="1440"/>
            <w:shd w:fill="FFDCE0" w:val="clear"/>
          </w:tcPr>
          <w:p>
            <w:r>
              <w:rPr>
                <w:b/>
                <w:color w:val="C00000"/>
                <w:sz w:val="17"/>
              </w:rPr>
              <w:t>-4.9%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SONATEL (SNTS)**</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3 880 milliards FCFA, Sonatel confirme son statut de première capitalisation de la BRVM, poids lourd de l'indice BRVM Composite et valeur de référence pour les investisseurs institutionnels de la zone UEMOA. Le BPA de 4 136 FCFA par action signifie que chaque titre génère près de 4 136 FCFA de bénéfice net, un niveau exceptionnel dans le contexte régional. Le PER de 9,4x se situe dans la fourchette basse de la moyenne BRVM (~8-12x), suggérant que le marché ne paie pas de prime excessive pour cette qualité de bénéfices, voire une légère sous-évaluation au regard de la croissance attendue. Le P/B de 2,77x traduit une prime de croissance accordée par le marché (2-4x), cohérente avec la rentabilité des fonds propres (ROE ~29,6%) qui justifie amplement cette valorisation au-dessus de la valeur comptable. Enfin, l'EV/EBITDA de 4,0x (&lt; 5x) indique que la valeur d'entreprise reste très raisonnable face à la capacité opérationnelle de génération de cash, un signal classique de titre bon marché pour un acteur télécom de cette envergure.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SNTS affiche une performance remarquable de +36,14%, portée par un flux acheteur soutenu, même si la dernière séance (J-1) marque une légère consolidation de -1,02% à 38 800 FCFA. Le range de trading est large, entre un plus bas de 27 160 FCFA et un plus haut de 39 200 FCFA, le cours actuel évoluant à seulement 1% de son sommet, ce qui témoigne d'une tendance haussière robuste et d'une pression acheteuse persistante. Les statistiques descriptives révèlent une moyenne de 30 705 FCFA nettement supérieure à la médiane de 29 395 FCFA, avec un mode à 28 500 FCFA : cet écart confirme une distribution asymétrique où le cours a passé plus de temps sous sa moyenne avant de s'envoler en fin de période. L'écart-type de 2 997 FCFA (CV = 9,8%) indique une dispersion modérée, tandis que le kurtosis de 0,969 (mésokurtique) suggère une distribution proche de la normale, sans risque extrême de pics violents. Le skewness de 1,382, positif, confirme cette asymétrie avec davantage de journées sous la moyenne, typique d'un rallye tardif. La volatilité annualisée de 31,0% place le titre dans la catégorie des valeurs à volatilité élevée (&gt;30%), ce qui est cohérent avec un marché frontière et appelle à une gestion rigoureuse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(35 691 FCFA) et la MM50 (32 855 FCFA) se situent toutes deux sous le cours actuel (38 800 FCFA), avec une MM20 au-dessus de la MM50, configuration haussière classique (golden cross). Le cours évolue au-dessus de ses deux moyennes, ce qui valide la décision d'**Achat** et confirme la dynamique positive de moyen terme.</w:t>
      </w:r>
    </w:p>
    <w:p>
      <w:pPr>
        <w:spacing w:after="120" w:line="276" w:lineRule="auto"/>
      </w:pPr>
      <w:r>
        <w:t>**Bandes de Bollinger** : Le cours (38 800 FCFA) évolue dans la partie haute du canal, entre la borne inférieure (30 601 FCFA) et la borne supérieure (40 782 FCFA), sans franchir cette dernière. Cette position proche du haut de bande traduit une volatilité soutenue mais sans excès, justifiant la décision **Neutre** : le titre n'est ni en breakout, ni en zone de survente.</w:t>
      </w:r>
    </w:p>
    <w:p>
      <w:pPr>
        <w:spacing w:after="120" w:line="276" w:lineRule="auto"/>
      </w:pPr>
      <w:r>
        <w:t>**MACD** : Le MACD (1 875,2) est supérieur à son signal (1 638,4), avec un histogramme positif, confirmant un momentum haussier intact. La décision d'**Achat** est validée par cette divergence positive qui indique que la dynamique de fond reste favorable malgré la consolidation récente.</w:t>
      </w:r>
    </w:p>
    <w:p>
      <w:pPr>
        <w:spacing w:after="120" w:line="276" w:lineRule="auto"/>
      </w:pPr>
      <w:r>
        <w:t>**RSI** : À 71,65, le RSI franchit le seuil de surachat (&gt;70), ce qui déclenche une décision de **Vente** à court terme. Ce niveau signale que le titre a beaucoup monté et qu'une correction technique ou une pause est probable avant une nouvelle jambe haussière.</w:t>
      </w:r>
    </w:p>
    <w:p>
      <w:pPr>
        <w:spacing w:after="120" w:line="276" w:lineRule="auto"/>
      </w:pPr>
      <w:r>
        <w:t>**Stochastique** : Le %K (91,67) et le %D (97,22) sont tous deux en zone de surachat extrême, avec un %K sous le %D, amorçant un croisement baissier potentiel. La décision de **Vente** est cohérente : le momentum de court terme est essoufflé et un repli technique se profile.</w:t>
      </w:r>
    </w:p>
    <w:p>
      <w:pPr>
        <w:spacing w:after="120" w:line="276" w:lineRule="auto"/>
      </w:pPr>
      <w:r>
        <w:t>**Conclusion technique** : Les indicateurs de tendance (MM, MACD) restent haussiers et valident une orientation positive de moyen terme, tandis que les oscillateurs (RSI, Stochastique) signalent un surachat marqué à court terme. Cette divergence classique entre tendance et momentum suggère une consolidation imminente, sans remettre en cause la dynamique de fond. Le titre pourrait consolider vers 36 000-37 000 FCFA avant de reprendre sa progression.</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Sonatel affiche des fondamentaux solides : un chiffre d'affaires consolidé de 1 923,1 milliards FCFA (+8,3% sur un an), un résultat net de 413,6 milliards FCFA (+5,1%), un ROE de 29,56% (excellent, &gt;15%) et un ROA de 12,65%, confirmant une rentabilité exceptionnelle des fonds propres et des actifs. La marge nette de 21,51% et la marge opérationnelle de 34,83% témoignent d'une efficacité opérationnelle remarquable, tandis que la marge brute de 67,03% souligne la forte valeur ajoutée du modèle télécom. En tant qu'entreprise non bancaire, l'analyse des délais d'exploitation est cruciale : le délai clients de 46,16 jours est modéré (risque trésorerie limité), le délai fournisseurs de 201,39 jours est très favorable (financement gratuit par les fournisseurs), et la durée de stockage de 14,49 jours est faible. Le BFR est négatif à -284,9 milliards FCFA, ce qui est excellent car il signifie que l'entreprise finance son cycle d'exploitation par ses fournisseurs et non par sa trésorerie. La structure financière est saine : autonomie financière de 42,79% (&gt;30%), solvabilité générale de 174,79% (&gt;1), liquidité générale de 139,07% (&gt;1), et capacité de remboursement de 0,64 an (dette financière/CAF), très faible. La couverture des intérêts est de 2 744,7%, un niveau exceptionnel. Les rapports trimestriels confirment cette dynamique : le S1 2026 (publié le 27/07/2026) affiche un CA de 1 049,8 milliards FCFA (+9,3%) et un résultat net de 230 milliards FCFA (+10,5%), avec une marge EBITDAAL de 48,7% et une notation relevée à AAA (wu) par GCR Ratings. Le T3 2025 (publié le 30/09/2025) montrait déjà un CA de 1 432,5 milliards FCFA (+8,6%) et un résultat net de 311 milliards FCFA (+8,0%). Sur la base de ces tendances, on estime que l'exercice 2026 devrait afficher un CA proche de 2 100 milliards FCFA et un résultat net autour de 450 milliards FCFA, soutenu par la croissance de la fibre (+23%), de la 4G (+19,5%) et l'obtention de licences 5G en Guinée-Bissau et Sierra Leone. Le dividende proposé de 1 933 FCFA brut (1 740 FCFA net) offre un rendement attractif de ~4,5% au cours actuel. La recommandation fondamentale est **solide** : Sonatel est un leader incontesté avec des marges élevées, une croissance rentable et une structure financière robuste, bien que les risques réglementaires et concurrentiels demeurent des points de vigilance.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converge vers un profil d'investissement très favorable, bien que nuancé à court terme. La valorisation (Partie 0) est attractive : PER de 9,4x (bas de fourchette BRVM), EV/EBITDA de 4,0x (&lt; 5x) et P/B de 2,77x justifié par un ROE de 29,6%, indiquant une sous-évaluation relative. Le comportement du cours (Partie 1) est haussier (+36,14% sur 100 jours) avec une volatilité élevée (31%) et une asymétrie positive (skewness 1,382), mais le titre approche de ses plus hauts, ce qui limite le potentiel de court terme. Les signaux techniques (Partie 2) sont mitigés : les MM et le MACD valident une tendance haussière de fond, mais le RSI (71,65) et le Stochastique (91,67/97,22) signalent un surachat extrême, plaidant pour une consolidation. Les fondamentaux (Partie 3) sont excellents : CA de 1 923,1 Mds FCFA en 2025, résultat net de 413,6 Mds FCFA, ROE de 29,56%, BFR négatif, et S1 2026 en croissance de +9,3% avec notation AAA. Les prédictions IA (J+1 à J+10) anticipent une légère correction vers 37 400 FCFA d'ici le 16/09/2026, ce qui confirme la thèse d'une consolidation technique après le rallye. Sur la base de cette synthèse, la recommandation finale est **CONSERVER** : la convergence entre valorisation attractive, fondamentaux solides et tendance haussière de fond est positive, mais le surachat technique et la prédiction de repli à court terme incitent à la prudence pour les nouveaux entrants. Le niveau de confiance est **Élevé** (données fondamentales robustes et rapports officiels concordants), le risque global est **Moyen** (volatilité élevée et pressions réglementaires), et l'horizon d'investissement optimal est **moyen à long terme (3-12 mois et au-delà)** pour profiter de la croissance structurelle et du dividende, en attendant un point d'entrée plus favorable autour de 36 000-37 000 FCFA.</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168.49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6,074 titres</w:t>
            </w:r>
          </w:p>
        </w:tc>
        <w:tc>
          <w:tcPr>
            <w:tcW w:type="dxa" w:w="2268"/>
            <w:shd w:fill="FFF2CC" w:val="clear"/>
          </w:tcPr>
          <w:p>
            <w:r>
              <w:rPr>
                <w:b/>
                <w:color w:val="503200"/>
                <w:sz w:val="16"/>
              </w:rPr>
              <w:t xml:space="preserve">Cours actuel : </w:t>
            </w:r>
            <w:r>
              <w:rPr>
                <w:color w:val="000000"/>
                <w:sz w:val="17"/>
              </w:rPr>
              <w:t>7,800 FCFA</w:t>
            </w:r>
          </w:p>
          <w:p>
            <w:r>
              <w:rPr>
                <w:b/>
                <w:color w:val="503200"/>
                <w:sz w:val="16"/>
              </w:rPr>
              <w:t xml:space="preserve">Var. 100 jours : </w:t>
            </w:r>
            <w:r>
              <w:rPr>
                <w:b/>
                <w:color w:val="B40000"/>
                <w:sz w:val="17"/>
              </w:rPr>
              <w:t>-1.52%</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40.3%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5.06% (Moyenne) — μ=8,022 FCFA, σ=406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β=0.2443 (Défensif) — Cov=0.000009, Var(idx)=0.000036, ρ=0.059,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6,074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σ_j=2.54%/j (Stable) — Vol. annualisée≈40.3%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2026-09-10</w:t>
            </w:r>
          </w:p>
        </w:tc>
        <w:tc>
          <w:tcPr>
            <w:tcW w:type="dxa" w:w="1440"/>
            <w:shd w:fill="FAFAFA" w:val="clear"/>
          </w:tcPr>
          <w:p>
            <w:r>
              <w:rPr>
                <w:sz w:val="17"/>
              </w:rPr>
              <w:t>7,477</w:t>
            </w:r>
          </w:p>
        </w:tc>
        <w:tc>
          <w:tcPr>
            <w:tcW w:type="dxa" w:w="1440"/>
            <w:shd w:fill="FAFAFA" w:val="clear"/>
          </w:tcPr>
          <w:p>
            <w:r>
              <w:rPr>
                <w:b/>
                <w:sz w:val="17"/>
              </w:rPr>
              <w:t>7,903</w:t>
            </w:r>
          </w:p>
        </w:tc>
        <w:tc>
          <w:tcPr>
            <w:tcW w:type="dxa" w:w="1440"/>
            <w:shd w:fill="FAFAFA" w:val="clear"/>
          </w:tcPr>
          <w:p>
            <w:r>
              <w:rPr>
                <w:sz w:val="17"/>
              </w:rPr>
              <w:t>8,328</w:t>
            </w:r>
          </w:p>
        </w:tc>
        <w:tc>
          <w:tcPr>
            <w:tcW w:type="dxa" w:w="1440"/>
            <w:shd w:fill="FAFAFA" w:val="clear"/>
          </w:tcPr>
          <w:p>
            <w:r>
              <w:rPr>
                <w:b/>
                <w:color w:val="008000"/>
                <w:sz w:val="17"/>
              </w:rPr>
              <w:t>+1.3%</w:t>
            </w:r>
          </w:p>
        </w:tc>
      </w:tr>
      <w:tr>
        <w:tc>
          <w:tcPr>
            <w:tcW w:type="dxa" w:w="1440"/>
            <w:shd w:fill="FAFAFA" w:val="clear"/>
          </w:tcPr>
          <w:p>
            <w:r>
              <w:rPr>
                <w:sz w:val="17"/>
              </w:rPr>
              <w:t>J+2  Moyenne</w:t>
            </w:r>
          </w:p>
        </w:tc>
        <w:tc>
          <w:tcPr>
            <w:tcW w:type="dxa" w:w="1440"/>
            <w:shd w:fill="FAFAFA" w:val="clear"/>
          </w:tcPr>
          <w:p>
            <w:r>
              <w:rPr>
                <w:sz w:val="17"/>
              </w:rPr>
              <w:t>2026-09-11</w:t>
            </w:r>
          </w:p>
        </w:tc>
        <w:tc>
          <w:tcPr>
            <w:tcW w:type="dxa" w:w="1440"/>
            <w:shd w:fill="FAFAFA" w:val="clear"/>
          </w:tcPr>
          <w:p>
            <w:r>
              <w:rPr>
                <w:sz w:val="17"/>
              </w:rPr>
              <w:t>7,319</w:t>
            </w:r>
          </w:p>
        </w:tc>
        <w:tc>
          <w:tcPr>
            <w:tcW w:type="dxa" w:w="1440"/>
            <w:shd w:fill="FAFAFA" w:val="clear"/>
          </w:tcPr>
          <w:p>
            <w:r>
              <w:rPr>
                <w:b/>
                <w:sz w:val="17"/>
              </w:rPr>
              <w:t>7,923</w:t>
            </w:r>
          </w:p>
        </w:tc>
        <w:tc>
          <w:tcPr>
            <w:tcW w:type="dxa" w:w="1440"/>
            <w:shd w:fill="FAFAFA" w:val="clear"/>
          </w:tcPr>
          <w:p>
            <w:r>
              <w:rPr>
                <w:sz w:val="17"/>
              </w:rPr>
              <w:t>8,526</w:t>
            </w:r>
          </w:p>
        </w:tc>
        <w:tc>
          <w:tcPr>
            <w:tcW w:type="dxa" w:w="1440"/>
            <w:shd w:fill="FAFAFA" w:val="clear"/>
          </w:tcPr>
          <w:p>
            <w:r>
              <w:rPr>
                <w:b/>
                <w:color w:val="008000"/>
                <w:sz w:val="17"/>
              </w:rPr>
              <w:t>+1.6%</w:t>
            </w:r>
          </w:p>
        </w:tc>
      </w:tr>
      <w:tr>
        <w:tc>
          <w:tcPr>
            <w:tcW w:type="dxa" w:w="1440"/>
            <w:shd w:fill="FAFAFA" w:val="clear"/>
          </w:tcPr>
          <w:p>
            <w:r>
              <w:rPr>
                <w:sz w:val="17"/>
              </w:rPr>
              <w:t>J+3  Moyenne</w:t>
            </w:r>
          </w:p>
        </w:tc>
        <w:tc>
          <w:tcPr>
            <w:tcW w:type="dxa" w:w="1440"/>
            <w:shd w:fill="FAFAFA" w:val="clear"/>
          </w:tcPr>
          <w:p>
            <w:r>
              <w:rPr>
                <w:sz w:val="17"/>
              </w:rPr>
              <w:t>2026-09-14</w:t>
            </w:r>
          </w:p>
        </w:tc>
        <w:tc>
          <w:tcPr>
            <w:tcW w:type="dxa" w:w="1440"/>
            <w:shd w:fill="FAFAFA" w:val="clear"/>
          </w:tcPr>
          <w:p>
            <w:r>
              <w:rPr>
                <w:sz w:val="17"/>
              </w:rPr>
              <w:t>7,201</w:t>
            </w:r>
          </w:p>
        </w:tc>
        <w:tc>
          <w:tcPr>
            <w:tcW w:type="dxa" w:w="1440"/>
            <w:shd w:fill="FAFAFA" w:val="clear"/>
          </w:tcPr>
          <w:p>
            <w:r>
              <w:rPr>
                <w:b/>
                <w:sz w:val="17"/>
              </w:rPr>
              <w:t>7,942</w:t>
            </w:r>
          </w:p>
        </w:tc>
        <w:tc>
          <w:tcPr>
            <w:tcW w:type="dxa" w:w="1440"/>
            <w:shd w:fill="FAFAFA" w:val="clear"/>
          </w:tcPr>
          <w:p>
            <w:r>
              <w:rPr>
                <w:sz w:val="17"/>
              </w:rPr>
              <w:t>8,683</w:t>
            </w:r>
          </w:p>
        </w:tc>
        <w:tc>
          <w:tcPr>
            <w:tcW w:type="dxa" w:w="1440"/>
            <w:shd w:fill="FAFAFA" w:val="clear"/>
          </w:tcPr>
          <w:p>
            <w:r>
              <w:rPr>
                <w:b/>
                <w:color w:val="008000"/>
                <w:sz w:val="17"/>
              </w:rPr>
              <w:t>+1.8%</w:t>
            </w:r>
          </w:p>
        </w:tc>
      </w:tr>
      <w:tr>
        <w:tc>
          <w:tcPr>
            <w:tcW w:type="dxa" w:w="1440"/>
            <w:shd w:fill="FAFAFA" w:val="clear"/>
          </w:tcPr>
          <w:p>
            <w:r>
              <w:rPr>
                <w:sz w:val="17"/>
              </w:rPr>
              <w:t>J+4  ⭐</w:t>
            </w:r>
          </w:p>
        </w:tc>
        <w:tc>
          <w:tcPr>
            <w:tcW w:type="dxa" w:w="1440"/>
            <w:shd w:fill="FAFAFA" w:val="clear"/>
          </w:tcPr>
          <w:p>
            <w:r>
              <w:rPr>
                <w:sz w:val="17"/>
              </w:rPr>
              <w:t>2026-09-15</w:t>
            </w:r>
          </w:p>
        </w:tc>
        <w:tc>
          <w:tcPr>
            <w:tcW w:type="dxa" w:w="1440"/>
            <w:shd w:fill="FAFAFA" w:val="clear"/>
          </w:tcPr>
          <w:p>
            <w:r>
              <w:rPr>
                <w:sz w:val="17"/>
              </w:rPr>
              <w:t>7,098</w:t>
            </w:r>
          </w:p>
        </w:tc>
        <w:tc>
          <w:tcPr>
            <w:tcW w:type="dxa" w:w="1440"/>
            <w:shd w:fill="FAFAFA" w:val="clear"/>
          </w:tcPr>
          <w:p>
            <w:r>
              <w:rPr>
                <w:b/>
                <w:sz w:val="17"/>
              </w:rPr>
              <w:t>7,956</w:t>
            </w:r>
          </w:p>
        </w:tc>
        <w:tc>
          <w:tcPr>
            <w:tcW w:type="dxa" w:w="1440"/>
            <w:shd w:fill="FAFAFA" w:val="clear"/>
          </w:tcPr>
          <w:p>
            <w:r>
              <w:rPr>
                <w:sz w:val="17"/>
              </w:rPr>
              <w:t>8,813</w:t>
            </w:r>
          </w:p>
        </w:tc>
        <w:tc>
          <w:tcPr>
            <w:tcW w:type="dxa" w:w="1440"/>
            <w:shd w:fill="FAFAFA" w:val="clear"/>
          </w:tcPr>
          <w:p>
            <w:r>
              <w:rPr>
                <w:b/>
                <w:color w:val="008000"/>
                <w:sz w:val="17"/>
              </w:rPr>
              <w:t>+2.0%</w:t>
            </w:r>
          </w:p>
        </w:tc>
      </w:tr>
      <w:tr>
        <w:tc>
          <w:tcPr>
            <w:tcW w:type="dxa" w:w="1440"/>
            <w:shd w:fill="C6EFCE" w:val="clear"/>
          </w:tcPr>
          <w:p>
            <w:r>
              <w:rPr>
                <w:sz w:val="17"/>
              </w:rPr>
              <w:t>J+5  ⭐</w:t>
            </w:r>
          </w:p>
        </w:tc>
        <w:tc>
          <w:tcPr>
            <w:tcW w:type="dxa" w:w="1440"/>
            <w:shd w:fill="C6EFCE" w:val="clear"/>
          </w:tcPr>
          <w:p>
            <w:r>
              <w:rPr>
                <w:sz w:val="17"/>
              </w:rPr>
              <w:t>2026-09-16</w:t>
            </w:r>
          </w:p>
        </w:tc>
        <w:tc>
          <w:tcPr>
            <w:tcW w:type="dxa" w:w="1440"/>
            <w:shd w:fill="C6EFCE" w:val="clear"/>
          </w:tcPr>
          <w:p>
            <w:r>
              <w:rPr>
                <w:sz w:val="17"/>
              </w:rPr>
              <w:t>7,009</w:t>
            </w:r>
          </w:p>
        </w:tc>
        <w:tc>
          <w:tcPr>
            <w:tcW w:type="dxa" w:w="1440"/>
            <w:shd w:fill="C6EFCE" w:val="clear"/>
          </w:tcPr>
          <w:p>
            <w:r>
              <w:rPr>
                <w:b/>
                <w:sz w:val="17"/>
              </w:rPr>
              <w:t>7,969</w:t>
            </w:r>
          </w:p>
        </w:tc>
        <w:tc>
          <w:tcPr>
            <w:tcW w:type="dxa" w:w="1440"/>
            <w:shd w:fill="C6EFCE" w:val="clear"/>
          </w:tcPr>
          <w:p>
            <w:r>
              <w:rPr>
                <w:sz w:val="17"/>
              </w:rPr>
              <w:t>8,929</w:t>
            </w:r>
          </w:p>
        </w:tc>
        <w:tc>
          <w:tcPr>
            <w:tcW w:type="dxa" w:w="1440"/>
            <w:shd w:fill="C6EFCE" w:val="clear"/>
          </w:tcPr>
          <w:p>
            <w:r>
              <w:rPr>
                <w:b/>
                <w:color w:val="008000"/>
                <w:sz w:val="17"/>
              </w:rPr>
              <w:t>+2.2%</w:t>
            </w:r>
          </w:p>
        </w:tc>
      </w:tr>
      <w:tr>
        <w:tc>
          <w:tcPr>
            <w:tcW w:type="dxa" w:w="1440"/>
            <w:shd w:fill="C6EFCE" w:val="clear"/>
          </w:tcPr>
          <w:p>
            <w:r>
              <w:rPr>
                <w:sz w:val="17"/>
              </w:rPr>
              <w:t>J+6  ⭐</w:t>
            </w:r>
          </w:p>
        </w:tc>
        <w:tc>
          <w:tcPr>
            <w:tcW w:type="dxa" w:w="1440"/>
            <w:shd w:fill="C6EFCE" w:val="clear"/>
          </w:tcPr>
          <w:p>
            <w:r>
              <w:rPr>
                <w:sz w:val="17"/>
              </w:rPr>
              <w:t>2026-09-17</w:t>
            </w:r>
          </w:p>
        </w:tc>
        <w:tc>
          <w:tcPr>
            <w:tcW w:type="dxa" w:w="1440"/>
            <w:shd w:fill="C6EFCE" w:val="clear"/>
          </w:tcPr>
          <w:p>
            <w:r>
              <w:rPr>
                <w:sz w:val="17"/>
              </w:rPr>
              <w:t>6,929</w:t>
            </w:r>
          </w:p>
        </w:tc>
        <w:tc>
          <w:tcPr>
            <w:tcW w:type="dxa" w:w="1440"/>
            <w:shd w:fill="C6EFCE" w:val="clear"/>
          </w:tcPr>
          <w:p>
            <w:r>
              <w:rPr>
                <w:b/>
                <w:sz w:val="17"/>
              </w:rPr>
              <w:t>7,982</w:t>
            </w:r>
          </w:p>
        </w:tc>
        <w:tc>
          <w:tcPr>
            <w:tcW w:type="dxa" w:w="1440"/>
            <w:shd w:fill="C6EFCE" w:val="clear"/>
          </w:tcPr>
          <w:p>
            <w:r>
              <w:rPr>
                <w:sz w:val="17"/>
              </w:rPr>
              <w:t>9,035</w:t>
            </w:r>
          </w:p>
        </w:tc>
        <w:tc>
          <w:tcPr>
            <w:tcW w:type="dxa" w:w="1440"/>
            <w:shd w:fill="C6EFCE" w:val="clear"/>
          </w:tcPr>
          <w:p>
            <w:r>
              <w:rPr>
                <w:b/>
                <w:color w:val="008000"/>
                <w:sz w:val="17"/>
              </w:rPr>
              <w:t>+2.3%</w:t>
            </w:r>
          </w:p>
        </w:tc>
      </w:tr>
      <w:tr>
        <w:tc>
          <w:tcPr>
            <w:tcW w:type="dxa" w:w="1440"/>
            <w:shd w:fill="C6EFCE" w:val="clear"/>
          </w:tcPr>
          <w:p>
            <w:r>
              <w:rPr>
                <w:sz w:val="17"/>
              </w:rPr>
              <w:t>J+7  ⭐</w:t>
            </w:r>
          </w:p>
        </w:tc>
        <w:tc>
          <w:tcPr>
            <w:tcW w:type="dxa" w:w="1440"/>
            <w:shd w:fill="C6EFCE" w:val="clear"/>
          </w:tcPr>
          <w:p>
            <w:r>
              <w:rPr>
                <w:sz w:val="17"/>
              </w:rPr>
              <w:t>2026-09-18</w:t>
            </w:r>
          </w:p>
        </w:tc>
        <w:tc>
          <w:tcPr>
            <w:tcW w:type="dxa" w:w="1440"/>
            <w:shd w:fill="C6EFCE" w:val="clear"/>
          </w:tcPr>
          <w:p>
            <w:r>
              <w:rPr>
                <w:sz w:val="17"/>
              </w:rPr>
              <w:t>6,855</w:t>
            </w:r>
          </w:p>
        </w:tc>
        <w:tc>
          <w:tcPr>
            <w:tcW w:type="dxa" w:w="1440"/>
            <w:shd w:fill="C6EFCE" w:val="clear"/>
          </w:tcPr>
          <w:p>
            <w:r>
              <w:rPr>
                <w:b/>
                <w:sz w:val="17"/>
              </w:rPr>
              <w:t>7,995</w:t>
            </w:r>
          </w:p>
        </w:tc>
        <w:tc>
          <w:tcPr>
            <w:tcW w:type="dxa" w:w="1440"/>
            <w:shd w:fill="C6EFCE" w:val="clear"/>
          </w:tcPr>
          <w:p>
            <w:r>
              <w:rPr>
                <w:sz w:val="17"/>
              </w:rPr>
              <w:t>9,135</w:t>
            </w:r>
          </w:p>
        </w:tc>
        <w:tc>
          <w:tcPr>
            <w:tcW w:type="dxa" w:w="1440"/>
            <w:shd w:fill="C6EFCE" w:val="clear"/>
          </w:tcPr>
          <w:p>
            <w:r>
              <w:rPr>
                <w:b/>
                <w:color w:val="008000"/>
                <w:sz w:val="17"/>
              </w:rPr>
              <w:t>+2.5%</w:t>
            </w:r>
          </w:p>
        </w:tc>
      </w:tr>
      <w:tr>
        <w:tc>
          <w:tcPr>
            <w:tcW w:type="dxa" w:w="1440"/>
            <w:shd w:fill="C6EFCE" w:val="clear"/>
          </w:tcPr>
          <w:p>
            <w:r>
              <w:rPr>
                <w:sz w:val="17"/>
              </w:rPr>
              <w:t>J+8  ⭐</w:t>
            </w:r>
          </w:p>
        </w:tc>
        <w:tc>
          <w:tcPr>
            <w:tcW w:type="dxa" w:w="1440"/>
            <w:shd w:fill="C6EFCE" w:val="clear"/>
          </w:tcPr>
          <w:p>
            <w:r>
              <w:rPr>
                <w:sz w:val="17"/>
              </w:rPr>
              <w:t>2026-09-21</w:t>
            </w:r>
          </w:p>
        </w:tc>
        <w:tc>
          <w:tcPr>
            <w:tcW w:type="dxa" w:w="1440"/>
            <w:shd w:fill="C6EFCE" w:val="clear"/>
          </w:tcPr>
          <w:p>
            <w:r>
              <w:rPr>
                <w:sz w:val="17"/>
              </w:rPr>
              <w:t>6,788</w:t>
            </w:r>
          </w:p>
        </w:tc>
        <w:tc>
          <w:tcPr>
            <w:tcW w:type="dxa" w:w="1440"/>
            <w:shd w:fill="C6EFCE" w:val="clear"/>
          </w:tcPr>
          <w:p>
            <w:r>
              <w:rPr>
                <w:b/>
                <w:sz w:val="17"/>
              </w:rPr>
              <w:t>8,008</w:t>
            </w:r>
          </w:p>
        </w:tc>
        <w:tc>
          <w:tcPr>
            <w:tcW w:type="dxa" w:w="1440"/>
            <w:shd w:fill="C6EFCE" w:val="clear"/>
          </w:tcPr>
          <w:p>
            <w:r>
              <w:rPr>
                <w:sz w:val="17"/>
              </w:rPr>
              <w:t>9,228</w:t>
            </w:r>
          </w:p>
        </w:tc>
        <w:tc>
          <w:tcPr>
            <w:tcW w:type="dxa" w:w="1440"/>
            <w:shd w:fill="C6EFCE" w:val="clear"/>
          </w:tcPr>
          <w:p>
            <w:r>
              <w:rPr>
                <w:b/>
                <w:color w:val="008000"/>
                <w:sz w:val="17"/>
              </w:rPr>
              <w:t>+2.7%</w:t>
            </w:r>
          </w:p>
        </w:tc>
      </w:tr>
      <w:tr>
        <w:tc>
          <w:tcPr>
            <w:tcW w:type="dxa" w:w="1440"/>
            <w:shd w:fill="C6EFCE" w:val="clear"/>
          </w:tcPr>
          <w:p>
            <w:r>
              <w:rPr>
                <w:sz w:val="17"/>
              </w:rPr>
              <w:t>J+9  ⭐</w:t>
            </w:r>
          </w:p>
        </w:tc>
        <w:tc>
          <w:tcPr>
            <w:tcW w:type="dxa" w:w="1440"/>
            <w:shd w:fill="C6EFCE" w:val="clear"/>
          </w:tcPr>
          <w:p>
            <w:r>
              <w:rPr>
                <w:sz w:val="17"/>
              </w:rPr>
              <w:t>2026-09-22</w:t>
            </w:r>
          </w:p>
        </w:tc>
        <w:tc>
          <w:tcPr>
            <w:tcW w:type="dxa" w:w="1440"/>
            <w:shd w:fill="C6EFCE" w:val="clear"/>
          </w:tcPr>
          <w:p>
            <w:r>
              <w:rPr>
                <w:sz w:val="17"/>
              </w:rPr>
              <w:t>6,725</w:t>
            </w:r>
          </w:p>
        </w:tc>
        <w:tc>
          <w:tcPr>
            <w:tcW w:type="dxa" w:w="1440"/>
            <w:shd w:fill="C6EFCE" w:val="clear"/>
          </w:tcPr>
          <w:p>
            <w:r>
              <w:rPr>
                <w:b/>
                <w:sz w:val="17"/>
              </w:rPr>
              <w:t>8,021</w:t>
            </w:r>
          </w:p>
        </w:tc>
        <w:tc>
          <w:tcPr>
            <w:tcW w:type="dxa" w:w="1440"/>
            <w:shd w:fill="C6EFCE" w:val="clear"/>
          </w:tcPr>
          <w:p>
            <w:r>
              <w:rPr>
                <w:sz w:val="17"/>
              </w:rPr>
              <w:t>9,318</w:t>
            </w:r>
          </w:p>
        </w:tc>
        <w:tc>
          <w:tcPr>
            <w:tcW w:type="dxa" w:w="1440"/>
            <w:shd w:fill="C6EFCE" w:val="clear"/>
          </w:tcPr>
          <w:p>
            <w:r>
              <w:rPr>
                <w:b/>
                <w:color w:val="008000"/>
                <w:sz w:val="17"/>
              </w:rPr>
              <w:t>+2.8%</w:t>
            </w:r>
          </w:p>
        </w:tc>
      </w:tr>
      <w:tr>
        <w:tc>
          <w:tcPr>
            <w:tcW w:type="dxa" w:w="1440"/>
            <w:shd w:fill="C6EFCE" w:val="clear"/>
          </w:tcPr>
          <w:p>
            <w:r>
              <w:rPr>
                <w:sz w:val="17"/>
              </w:rPr>
              <w:t>J+10  ⭐</w:t>
            </w:r>
          </w:p>
        </w:tc>
        <w:tc>
          <w:tcPr>
            <w:tcW w:type="dxa" w:w="1440"/>
            <w:shd w:fill="C6EFCE" w:val="clear"/>
          </w:tcPr>
          <w:p>
            <w:r>
              <w:rPr>
                <w:sz w:val="17"/>
              </w:rPr>
              <w:t>2026-09-23</w:t>
            </w:r>
          </w:p>
        </w:tc>
        <w:tc>
          <w:tcPr>
            <w:tcW w:type="dxa" w:w="1440"/>
            <w:shd w:fill="C6EFCE" w:val="clear"/>
          </w:tcPr>
          <w:p>
            <w:r>
              <w:rPr>
                <w:sz w:val="17"/>
              </w:rPr>
              <w:t>6,665</w:t>
            </w:r>
          </w:p>
        </w:tc>
        <w:tc>
          <w:tcPr>
            <w:tcW w:type="dxa" w:w="1440"/>
            <w:shd w:fill="C6EFCE" w:val="clear"/>
          </w:tcPr>
          <w:p>
            <w:r>
              <w:rPr>
                <w:b/>
                <w:sz w:val="17"/>
              </w:rPr>
              <w:t>8,034</w:t>
            </w:r>
          </w:p>
        </w:tc>
        <w:tc>
          <w:tcPr>
            <w:tcW w:type="dxa" w:w="1440"/>
            <w:shd w:fill="C6EFCE" w:val="clear"/>
          </w:tcPr>
          <w:p>
            <w:r>
              <w:rPr>
                <w:sz w:val="17"/>
              </w:rPr>
              <w:t>9,403</w:t>
            </w:r>
          </w:p>
        </w:tc>
        <w:tc>
          <w:tcPr>
            <w:tcW w:type="dxa" w:w="1440"/>
            <w:shd w:fill="C6EFCE" w:val="clear"/>
          </w:tcPr>
          <w:p>
            <w:r>
              <w:rPr>
                <w:b/>
                <w:color w:val="008000"/>
                <w:sz w:val="17"/>
              </w:rPr>
              <w:t>+3.0%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(SOGB CI)**</w:t>
        <w:br/>
        <w:t>*Bourse Régionale des Valeurs Mobilières (BRVM) — Secteur : Agro-industrie (Hévéa &amp; Palmier à huile)*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168,49 milliards FCFA, la SOGC figure parmi les valeurs moyennes-capitalisations les plus significatives de la cote BRVM, ce qui lui confère une bonne liquidité relative et une visibilité institutionnelle. Le BPA de 578 FCFA/action signifie que chaque titre génère près de 578 FCFA de bénéfice net, un niveau appréciable pour une valeur de 7 800 FCFA. Le PER de 13,5x se situe légèrement au-dessus de la moyenne du marché BRVM (8-12x), traduisant une valorisation modérément exigeante mais justifiée par la qualité des fondamentaux et la générosité du dividende. Le P/B de 2,46x indique que le marché valorise l'entreprise à plus du double de sa valeur comptable, soit une prime de croissance cohérente avec un ROE de 18,26%. Enfin, l'EV/EBITDA de 7,0x apparaît raisonnable dans la fourchette 5-10x, suggérant que la valeur d'entreprise reste proportionnée à la capacité opérationnelle de génération de cash.</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SOGC affiche une variation globale quasi stable de -1,52%, mais la dernière séance (J-1) enregistre un rebond de +1,30% à 7 800 FCFA, signalant une tentative de reprise après une phase de consolidation. Le range de trading s'étend de 7 100 FCFA (plus bas) à 8 875 FCFA (plus haut), soit une amplitude de 25%, ce qui traduit une tendance globalement baissière depuis les sommets, avec le cours actuel positionné dans le tiers inférieur de la fourchette. Les statistiques descriptives révèlent une moyenne de 8 022 FCFA légèrement supérieure à la médiane de 8 145 FCFA — un écart modeste qui, combiné à un skewness de -0,401 (distribution symétrique selon l'interprétation fournie), indique une légère prédominance des valeurs hautes historiques sans asymétrie marquée. L'écart-type de 408 FCFA avec un coefficient de variation de 5,1% dénote une dispersion modérée du cours autour de sa moyenne, tandis que le kurtosis de -0,811 (mésokurtique) suggère une distribution proche de la normale, donc un risque de pics extrêmes limité. La volatilité annualisée de 40,3% classe le titre dans la catégorie des valeurs à volatilité élevée (&gt;30%), ce qui est cohérent avec son exposition aux prix des matières premières agricoles (caoutchouc, huiles).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(8 132 FCFA) et la MM50 (8 194,5 FCFA) se situent toutes deux au-dessus du cours actuel (7 800 FCFA), confirmant une configuration baissière de court et moyen terme. La MM20 étant légèrement sous la MM50, on observe un début de croisement baissier qui renforce le signal de vente émis par cet indicateur.</w:t>
      </w:r>
    </w:p>
    <w:p>
      <w:pPr>
        <w:spacing w:after="120" w:line="276" w:lineRule="auto"/>
      </w:pPr>
      <w:r>
        <w:t>**Bandes de Bollinger** : Le cours (7 800 FCFA) évolue dans la partie basse du canal, entre la borne inférieure (7 409,66 FCFA) et la borne supérieure (8 854,34 FCFA). Cette position proche de la borne basse traduit une pression vendeuse persistante, mais la décision reste « Neutre » car le cours n'a pas encore cassé le support inférieur, laissant une marge de rebond technique.</w:t>
      </w:r>
    </w:p>
    <w:p>
      <w:pPr>
        <w:spacing w:after="120" w:line="276" w:lineRule="auto"/>
      </w:pPr>
      <w:r>
        <w:t>**MACD** : La valeur du MACD (3,963) est nettement inférieure à son signal (42,508), générant un histogramme fortement négatif qui confirme un momentum baissier prononcé. La divergence négative entre les deux lignes justifie pleinement la décision de vente, bien que l'écart important puisse annoncer un essoufflement prochain de la baisse.</w:t>
      </w:r>
    </w:p>
    <w:p>
      <w:pPr>
        <w:spacing w:after="120" w:line="276" w:lineRule="auto"/>
      </w:pPr>
      <w:r>
        <w:t>**RSI** : À 38,813, le RSI se situe dans la zone neutre basse (30-70), sans atteindre le seuil de survente (&lt;30). Cette position indique que le titre n'est pas encore techniquement « soldé », mais qu'il se rapproche d'une zone où un rebond pourrait se matérialiser, d'où la décision neutre.</w:t>
      </w:r>
    </w:p>
    <w:p>
      <w:pPr>
        <w:spacing w:after="120" w:line="276" w:lineRule="auto"/>
      </w:pPr>
      <w:r>
        <w:t>**Stochastique** : Le %K (8,511) et le %D (11,042) évoluent tous deux en zone de survente profonde (&lt;20), avec un %K sous le %D. Cette configuration est typique d'un épuisement baissier et justifie la décision d'achat contrarien, signalant qu'un retournement haussier pourrait se produire à court terme.</w:t>
      </w:r>
    </w:p>
    <w:p>
      <w:pPr>
        <w:spacing w:after="120" w:line="276" w:lineRule="auto"/>
      </w:pPr>
      <w:r>
        <w:t>**Conclusion technique** : Les indicateurs présentent une divergence notable : les moyennes mobiles et le MACD confirment une tendance baissière, tandis que le stochastique en survente extrême et le RSI proche de la zone de survente suggèrent un potentiel rebond technique imminent. Les Bandes de Bollinger en position basse renforcent cette hypothèse d'un retournement à court terme, mais la prudence reste de mise tant que le cours n'aura pas reconquis la MM20 (8 132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officiels de la SOGC affichent un chiffre d'affaires de 98,979 milliards FCFA, en croissance de 10,70% sur un an, porté par la hausse des prix de l'huile de palme (+20%) et de palmiste (+47%) ainsi que par la progression des volumes de caoutchouc (+9%), selon le rapport annuel 2025. Le résultat net s'établit à 12,493 milliards FCFA, en léger recul de 5% par rapport aux 13,11 milliards de 2024, sous l'effet d'une hausse de 15% des coûts d'achat du coagulum qui a comprimé la marge nette à 12,62% (contre 14,0% en 2024). La rentabilité des fonds propres (ROE) demeure excellente à 18,26%, bien supérieure au seuil de 15%, et le ROA de 13,84% témoigne d'une utilisation efficace de l'actif (90,288 milliards FCFA). La structure financière est remarquablement saine : l'autonomie financière atteint 75,79%, le ratio d'endettement est faible (24,21%) et la capacité de remboursement est quasi instantanée (0,04 an). Concernant l'exploitation, le délai clients est maîtrisé à 29,60 jours, le délai fournisseurs à 31,72 jours offre un bon levier de trésorerie, mais la durée de stockage élevée (97,67 jours) immobilise du capital. Le BFR ressort à 7,124 milliards FCFA et le fonds de roulement à 11,699 milliards FCFA, avec une trésorerie nette positive de 4,575 milliards FCFA. Les rapports trimestriels 2025 (T1, S1, 9M) confirment une dynamique exceptionnelle sur les neuf premiers mois : le CA cumulé à fin septembre 2025 atteint 75,6 milliards FCFA (+21,3%) et le résultat net 11,5 milliards FCFA (+39,5%), avec une marge nette de 15,3%. On estime donc que l'exercice 2025 devrait clôturer sur un résultat net autour de 12,5 milliards FCFA, cohérent avec les chiffres annuels publiés. La politique de dividende est très généreuse : un dividende brut de 570 FCFA/action a été proposé à l'AGO du 28 mai 2026, soit un rendement attractif de 7,3% au cours actuel de 7 800 FCFA, bien que le taux de distribution proche de 98% limite les capacités de réinvestissement. En synthèse, la SOGC présente des fondamentaux solides (ROE élevé, endettement faible, trésorerie positive) mais fait face à des risques de compression des marges liés à la concurrence sur l'achat de matière première et à la volatilité des cours internationaux du caoutchouc (SICOM).</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la SOGC apparaît modérément exigeante (PER 13,5x, P/B 2,46x) mais justifiée par un ROE de 18,26% et un rendement du dividende de 7,3%, ce qui place le titre dans une zone de « juste valeur » plutôt que de sous-évaluation flagrante. Le comportement du cours sur 100 jours est baissier (-1,52%) avec une volatilité élevée (40,3%), mais la distribution mésokurtique et symétrique (kurtosis -0,811, skewness -0,401) indique l'absence de risque de queues épaisses, ce qui est rassurant pour la gestion du risque. Les signaux techniques sont divergents : la tendance de fond reste baissière (MM20/MM50 au-dessus du cours, MACD négatif), mais le stochastique en survente extrême (8,5) et le RSI à 38,8 suggèrent un rebond technique imminent, ce qui crée une opportunité d'entrée contrarienne. Les fondamentaux demeurent solides malgré la légère baisse du résultat net 2025 (-5%), avec une génération de cash-flow opérationnel robuste (22,644 milliards FCFA), une trésorerie nette positive et une politique de dividende très attractive. Les prédictions IA pour les 10 prochains jours ouvrables tablent sur une trajectoire haussière modérée, de 7 903 FCFA (J+1) à 7 969 FCFA (J+5), ce qui confirme le scénario d'un rebond technique à court terme sans pour autant inverser la tendance de fond. Sur la base de cette synthèse, la recommandation finale est **CONSERVER**, avec un biais positif pour les investisseurs déjà positionnés et une opportunité d'achat tactique pour les nouveaux entrants à horizon court terme. Le niveau de confiance est **Moyen** (divergence technique/fondamental), le risque global est **Moyen** (volatilité élevée mais fondamentaux solides), et l'horizon d'investissement optimal est le **moyen terme (3-12 mois)**, le temps que la tendance technique se retourne et que les marges se stabilisent.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202.80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4,532 titres</w:t>
            </w:r>
          </w:p>
        </w:tc>
        <w:tc>
          <w:tcPr>
            <w:tcW w:type="dxa" w:w="2268"/>
            <w:shd w:fill="FFF2CC" w:val="clear"/>
          </w:tcPr>
          <w:p>
            <w:r>
              <w:rPr>
                <w:b/>
                <w:color w:val="503200"/>
                <w:sz w:val="16"/>
              </w:rPr>
              <w:t xml:space="preserve">Cours actuel : </w:t>
            </w:r>
            <w:r>
              <w:rPr>
                <w:color w:val="000000"/>
                <w:sz w:val="17"/>
              </w:rPr>
              <w:t>7,935 FCFA</w:t>
            </w:r>
          </w:p>
          <w:p>
            <w:r>
              <w:rPr>
                <w:b/>
                <w:color w:val="503200"/>
                <w:sz w:val="16"/>
              </w:rPr>
              <w:t xml:space="preserve">Var. 100 jours : </w:t>
            </w:r>
            <w:r>
              <w:rPr>
                <w:b/>
                <w:color w:val="007800"/>
                <w:sz w:val="17"/>
              </w:rPr>
              <w:t>+11.76%</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45.0%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10.41% (Moyenne) — μ=7,739 FCFA, σ=806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β=0.8464 (Neutre (suit le marché)) — Cov=0.000031, Var(idx)=0.000036, ρ=0.194,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4,532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σ_j=2.83%/j (Stable) — Vol. annualisée≈45.0%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2026-09-10</w:t>
            </w:r>
          </w:p>
        </w:tc>
        <w:tc>
          <w:tcPr>
            <w:tcW w:type="dxa" w:w="1440"/>
            <w:shd w:fill="C6EFCE" w:val="clear"/>
          </w:tcPr>
          <w:p>
            <w:r>
              <w:rPr>
                <w:sz w:val="17"/>
              </w:rPr>
              <w:t>7,973</w:t>
            </w:r>
          </w:p>
        </w:tc>
        <w:tc>
          <w:tcPr>
            <w:tcW w:type="dxa" w:w="1440"/>
            <w:shd w:fill="C6EFCE" w:val="clear"/>
          </w:tcPr>
          <w:p>
            <w:r>
              <w:rPr>
                <w:b/>
                <w:sz w:val="17"/>
              </w:rPr>
              <w:t>8,525</w:t>
            </w:r>
          </w:p>
        </w:tc>
        <w:tc>
          <w:tcPr>
            <w:tcW w:type="dxa" w:w="1440"/>
            <w:shd w:fill="C6EFCE" w:val="clear"/>
          </w:tcPr>
          <w:p>
            <w:r>
              <w:rPr>
                <w:sz w:val="17"/>
              </w:rPr>
              <w:t>9,077</w:t>
            </w:r>
          </w:p>
        </w:tc>
        <w:tc>
          <w:tcPr>
            <w:tcW w:type="dxa" w:w="1440"/>
            <w:shd w:fill="C6EFCE" w:val="clear"/>
          </w:tcPr>
          <w:p>
            <w:r>
              <w:rPr>
                <w:b/>
                <w:color w:val="008000"/>
                <w:sz w:val="17"/>
              </w:rPr>
              <w:t>+7.4%</w:t>
            </w:r>
          </w:p>
        </w:tc>
      </w:tr>
      <w:tr>
        <w:tc>
          <w:tcPr>
            <w:tcW w:type="dxa" w:w="1440"/>
            <w:shd w:fill="C6EFCE" w:val="clear"/>
          </w:tcPr>
          <w:p>
            <w:r>
              <w:rPr>
                <w:sz w:val="17"/>
              </w:rPr>
              <w:t>J+2  Moyenne</w:t>
            </w:r>
          </w:p>
        </w:tc>
        <w:tc>
          <w:tcPr>
            <w:tcW w:type="dxa" w:w="1440"/>
            <w:shd w:fill="C6EFCE" w:val="clear"/>
          </w:tcPr>
          <w:p>
            <w:r>
              <w:rPr>
                <w:sz w:val="17"/>
              </w:rPr>
              <w:t>2026-09-11</w:t>
            </w:r>
          </w:p>
        </w:tc>
        <w:tc>
          <w:tcPr>
            <w:tcW w:type="dxa" w:w="1440"/>
            <w:shd w:fill="C6EFCE" w:val="clear"/>
          </w:tcPr>
          <w:p>
            <w:r>
              <w:rPr>
                <w:sz w:val="17"/>
              </w:rPr>
              <w:t>7,690</w:t>
            </w:r>
          </w:p>
        </w:tc>
        <w:tc>
          <w:tcPr>
            <w:tcW w:type="dxa" w:w="1440"/>
            <w:shd w:fill="C6EFCE" w:val="clear"/>
          </w:tcPr>
          <w:p>
            <w:r>
              <w:rPr>
                <w:b/>
                <w:sz w:val="17"/>
              </w:rPr>
              <w:t>8,465</w:t>
            </w:r>
          </w:p>
        </w:tc>
        <w:tc>
          <w:tcPr>
            <w:tcW w:type="dxa" w:w="1440"/>
            <w:shd w:fill="C6EFCE" w:val="clear"/>
          </w:tcPr>
          <w:p>
            <w:r>
              <w:rPr>
                <w:sz w:val="17"/>
              </w:rPr>
              <w:t>9,240</w:t>
            </w:r>
          </w:p>
        </w:tc>
        <w:tc>
          <w:tcPr>
            <w:tcW w:type="dxa" w:w="1440"/>
            <w:shd w:fill="C6EFCE" w:val="clear"/>
          </w:tcPr>
          <w:p>
            <w:r>
              <w:rPr>
                <w:b/>
                <w:color w:val="008000"/>
                <w:sz w:val="17"/>
              </w:rPr>
              <w:t>+6.7%</w:t>
            </w:r>
          </w:p>
        </w:tc>
      </w:tr>
      <w:tr>
        <w:tc>
          <w:tcPr>
            <w:tcW w:type="dxa" w:w="1440"/>
            <w:shd w:fill="C6EFCE" w:val="clear"/>
          </w:tcPr>
          <w:p>
            <w:r>
              <w:rPr>
                <w:sz w:val="17"/>
              </w:rPr>
              <w:t>J+3  Moyenne</w:t>
            </w:r>
          </w:p>
        </w:tc>
        <w:tc>
          <w:tcPr>
            <w:tcW w:type="dxa" w:w="1440"/>
            <w:shd w:fill="C6EFCE" w:val="clear"/>
          </w:tcPr>
          <w:p>
            <w:r>
              <w:rPr>
                <w:sz w:val="17"/>
              </w:rPr>
              <w:t>2026-09-14</w:t>
            </w:r>
          </w:p>
        </w:tc>
        <w:tc>
          <w:tcPr>
            <w:tcW w:type="dxa" w:w="1440"/>
            <w:shd w:fill="C6EFCE" w:val="clear"/>
          </w:tcPr>
          <w:p>
            <w:r>
              <w:rPr>
                <w:sz w:val="17"/>
              </w:rPr>
              <w:t>7,504</w:t>
            </w:r>
          </w:p>
        </w:tc>
        <w:tc>
          <w:tcPr>
            <w:tcW w:type="dxa" w:w="1440"/>
            <w:shd w:fill="C6EFCE" w:val="clear"/>
          </w:tcPr>
          <w:p>
            <w:r>
              <w:rPr>
                <w:b/>
                <w:sz w:val="17"/>
              </w:rPr>
              <w:t>8,451</w:t>
            </w:r>
          </w:p>
        </w:tc>
        <w:tc>
          <w:tcPr>
            <w:tcW w:type="dxa" w:w="1440"/>
            <w:shd w:fill="C6EFCE" w:val="clear"/>
          </w:tcPr>
          <w:p>
            <w:r>
              <w:rPr>
                <w:sz w:val="17"/>
              </w:rPr>
              <w:t>9,399</w:t>
            </w:r>
          </w:p>
        </w:tc>
        <w:tc>
          <w:tcPr>
            <w:tcW w:type="dxa" w:w="1440"/>
            <w:shd w:fill="C6EFCE" w:val="clear"/>
          </w:tcPr>
          <w:p>
            <w:r>
              <w:rPr>
                <w:b/>
                <w:color w:val="008000"/>
                <w:sz w:val="17"/>
              </w:rPr>
              <w:t>+6.5%</w:t>
            </w:r>
          </w:p>
        </w:tc>
      </w:tr>
      <w:tr>
        <w:tc>
          <w:tcPr>
            <w:tcW w:type="dxa" w:w="1440"/>
            <w:shd w:fill="C6EFCE" w:val="clear"/>
          </w:tcPr>
          <w:p>
            <w:r>
              <w:rPr>
                <w:sz w:val="17"/>
              </w:rPr>
              <w:t>J+4  ⭐</w:t>
            </w:r>
          </w:p>
        </w:tc>
        <w:tc>
          <w:tcPr>
            <w:tcW w:type="dxa" w:w="1440"/>
            <w:shd w:fill="C6EFCE" w:val="clear"/>
          </w:tcPr>
          <w:p>
            <w:r>
              <w:rPr>
                <w:sz w:val="17"/>
              </w:rPr>
              <w:t>2026-09-15</w:t>
            </w:r>
          </w:p>
        </w:tc>
        <w:tc>
          <w:tcPr>
            <w:tcW w:type="dxa" w:w="1440"/>
            <w:shd w:fill="C6EFCE" w:val="clear"/>
          </w:tcPr>
          <w:p>
            <w:r>
              <w:rPr>
                <w:sz w:val="17"/>
              </w:rPr>
              <w:t>7,335</w:t>
            </w:r>
          </w:p>
        </w:tc>
        <w:tc>
          <w:tcPr>
            <w:tcW w:type="dxa" w:w="1440"/>
            <w:shd w:fill="C6EFCE" w:val="clear"/>
          </w:tcPr>
          <w:p>
            <w:r>
              <w:rPr>
                <w:b/>
                <w:sz w:val="17"/>
              </w:rPr>
              <w:t>8,426</w:t>
            </w:r>
          </w:p>
        </w:tc>
        <w:tc>
          <w:tcPr>
            <w:tcW w:type="dxa" w:w="1440"/>
            <w:shd w:fill="C6EFCE" w:val="clear"/>
          </w:tcPr>
          <w:p>
            <w:r>
              <w:rPr>
                <w:sz w:val="17"/>
              </w:rPr>
              <w:t>9,517</w:t>
            </w:r>
          </w:p>
        </w:tc>
        <w:tc>
          <w:tcPr>
            <w:tcW w:type="dxa" w:w="1440"/>
            <w:shd w:fill="C6EFCE" w:val="clear"/>
          </w:tcPr>
          <w:p>
            <w:r>
              <w:rPr>
                <w:b/>
                <w:color w:val="008000"/>
                <w:sz w:val="17"/>
              </w:rPr>
              <w:t>+6.2%</w:t>
            </w:r>
          </w:p>
        </w:tc>
      </w:tr>
      <w:tr>
        <w:tc>
          <w:tcPr>
            <w:tcW w:type="dxa" w:w="1440"/>
            <w:shd w:fill="C6EFCE" w:val="clear"/>
          </w:tcPr>
          <w:p>
            <w:r>
              <w:rPr>
                <w:sz w:val="17"/>
              </w:rPr>
              <w:t>J+5  ⭐</w:t>
            </w:r>
          </w:p>
        </w:tc>
        <w:tc>
          <w:tcPr>
            <w:tcW w:type="dxa" w:w="1440"/>
            <w:shd w:fill="C6EFCE" w:val="clear"/>
          </w:tcPr>
          <w:p>
            <w:r>
              <w:rPr>
                <w:sz w:val="17"/>
              </w:rPr>
              <w:t>2026-09-16</w:t>
            </w:r>
          </w:p>
        </w:tc>
        <w:tc>
          <w:tcPr>
            <w:tcW w:type="dxa" w:w="1440"/>
            <w:shd w:fill="C6EFCE" w:val="clear"/>
          </w:tcPr>
          <w:p>
            <w:r>
              <w:rPr>
                <w:sz w:val="17"/>
              </w:rPr>
              <w:t>7,181</w:t>
            </w:r>
          </w:p>
        </w:tc>
        <w:tc>
          <w:tcPr>
            <w:tcW w:type="dxa" w:w="1440"/>
            <w:shd w:fill="C6EFCE" w:val="clear"/>
          </w:tcPr>
          <w:p>
            <w:r>
              <w:rPr>
                <w:b/>
                <w:sz w:val="17"/>
              </w:rPr>
              <w:t>8,396</w:t>
            </w:r>
          </w:p>
        </w:tc>
        <w:tc>
          <w:tcPr>
            <w:tcW w:type="dxa" w:w="1440"/>
            <w:shd w:fill="C6EFCE" w:val="clear"/>
          </w:tcPr>
          <w:p>
            <w:r>
              <w:rPr>
                <w:sz w:val="17"/>
              </w:rPr>
              <w:t>9,611</w:t>
            </w:r>
          </w:p>
        </w:tc>
        <w:tc>
          <w:tcPr>
            <w:tcW w:type="dxa" w:w="1440"/>
            <w:shd w:fill="C6EFCE" w:val="clear"/>
          </w:tcPr>
          <w:p>
            <w:r>
              <w:rPr>
                <w:b/>
                <w:color w:val="008000"/>
                <w:sz w:val="17"/>
              </w:rPr>
              <w:t>+5.8%</w:t>
            </w:r>
          </w:p>
        </w:tc>
      </w:tr>
      <w:tr>
        <w:tc>
          <w:tcPr>
            <w:tcW w:type="dxa" w:w="1440"/>
            <w:shd w:fill="C6EFCE" w:val="clear"/>
          </w:tcPr>
          <w:p>
            <w:r>
              <w:rPr>
                <w:sz w:val="17"/>
              </w:rPr>
              <w:t>J+6  ⭐</w:t>
            </w:r>
          </w:p>
        </w:tc>
        <w:tc>
          <w:tcPr>
            <w:tcW w:type="dxa" w:w="1440"/>
            <w:shd w:fill="C6EFCE" w:val="clear"/>
          </w:tcPr>
          <w:p>
            <w:r>
              <w:rPr>
                <w:sz w:val="17"/>
              </w:rPr>
              <w:t>2026-09-17</w:t>
            </w:r>
          </w:p>
        </w:tc>
        <w:tc>
          <w:tcPr>
            <w:tcW w:type="dxa" w:w="1440"/>
            <w:shd w:fill="C6EFCE" w:val="clear"/>
          </w:tcPr>
          <w:p>
            <w:r>
              <w:rPr>
                <w:sz w:val="17"/>
              </w:rPr>
              <w:t>7,040</w:t>
            </w:r>
          </w:p>
        </w:tc>
        <w:tc>
          <w:tcPr>
            <w:tcW w:type="dxa" w:w="1440"/>
            <w:shd w:fill="C6EFCE" w:val="clear"/>
          </w:tcPr>
          <w:p>
            <w:r>
              <w:rPr>
                <w:b/>
                <w:sz w:val="17"/>
              </w:rPr>
              <w:t>8,367</w:t>
            </w:r>
          </w:p>
        </w:tc>
        <w:tc>
          <w:tcPr>
            <w:tcW w:type="dxa" w:w="1440"/>
            <w:shd w:fill="C6EFCE" w:val="clear"/>
          </w:tcPr>
          <w:p>
            <w:r>
              <w:rPr>
                <w:sz w:val="17"/>
              </w:rPr>
              <w:t>9,694</w:t>
            </w:r>
          </w:p>
        </w:tc>
        <w:tc>
          <w:tcPr>
            <w:tcW w:type="dxa" w:w="1440"/>
            <w:shd w:fill="C6EFCE" w:val="clear"/>
          </w:tcPr>
          <w:p>
            <w:r>
              <w:rPr>
                <w:b/>
                <w:color w:val="008000"/>
                <w:sz w:val="17"/>
              </w:rPr>
              <w:t>+5.4%</w:t>
            </w:r>
          </w:p>
        </w:tc>
      </w:tr>
      <w:tr>
        <w:tc>
          <w:tcPr>
            <w:tcW w:type="dxa" w:w="1440"/>
            <w:shd w:fill="C6EFCE" w:val="clear"/>
          </w:tcPr>
          <w:p>
            <w:r>
              <w:rPr>
                <w:sz w:val="17"/>
              </w:rPr>
              <w:t>J+7  ⭐</w:t>
            </w:r>
          </w:p>
        </w:tc>
        <w:tc>
          <w:tcPr>
            <w:tcW w:type="dxa" w:w="1440"/>
            <w:shd w:fill="C6EFCE" w:val="clear"/>
          </w:tcPr>
          <w:p>
            <w:r>
              <w:rPr>
                <w:sz w:val="17"/>
              </w:rPr>
              <w:t>2026-09-18</w:t>
            </w:r>
          </w:p>
        </w:tc>
        <w:tc>
          <w:tcPr>
            <w:tcW w:type="dxa" w:w="1440"/>
            <w:shd w:fill="C6EFCE" w:val="clear"/>
          </w:tcPr>
          <w:p>
            <w:r>
              <w:rPr>
                <w:sz w:val="17"/>
              </w:rPr>
              <w:t>6,911</w:t>
            </w:r>
          </w:p>
        </w:tc>
        <w:tc>
          <w:tcPr>
            <w:tcW w:type="dxa" w:w="1440"/>
            <w:shd w:fill="C6EFCE" w:val="clear"/>
          </w:tcPr>
          <w:p>
            <w:r>
              <w:rPr>
                <w:b/>
                <w:sz w:val="17"/>
              </w:rPr>
              <w:t>8,339</w:t>
            </w:r>
          </w:p>
        </w:tc>
        <w:tc>
          <w:tcPr>
            <w:tcW w:type="dxa" w:w="1440"/>
            <w:shd w:fill="C6EFCE" w:val="clear"/>
          </w:tcPr>
          <w:p>
            <w:r>
              <w:rPr>
                <w:sz w:val="17"/>
              </w:rPr>
              <w:t>9,767</w:t>
            </w:r>
          </w:p>
        </w:tc>
        <w:tc>
          <w:tcPr>
            <w:tcW w:type="dxa" w:w="1440"/>
            <w:shd w:fill="C6EFCE" w:val="clear"/>
          </w:tcPr>
          <w:p>
            <w:r>
              <w:rPr>
                <w:b/>
                <w:color w:val="008000"/>
                <w:sz w:val="17"/>
              </w:rPr>
              <w:t>+5.1%</w:t>
            </w:r>
          </w:p>
        </w:tc>
      </w:tr>
      <w:tr>
        <w:tc>
          <w:tcPr>
            <w:tcW w:type="dxa" w:w="1440"/>
            <w:shd w:fill="C6EFCE" w:val="clear"/>
          </w:tcPr>
          <w:p>
            <w:r>
              <w:rPr>
                <w:sz w:val="17"/>
              </w:rPr>
              <w:t>J+8  ⭐</w:t>
            </w:r>
          </w:p>
        </w:tc>
        <w:tc>
          <w:tcPr>
            <w:tcW w:type="dxa" w:w="1440"/>
            <w:shd w:fill="C6EFCE" w:val="clear"/>
          </w:tcPr>
          <w:p>
            <w:r>
              <w:rPr>
                <w:sz w:val="17"/>
              </w:rPr>
              <w:t>2026-09-21</w:t>
            </w:r>
          </w:p>
        </w:tc>
        <w:tc>
          <w:tcPr>
            <w:tcW w:type="dxa" w:w="1440"/>
            <w:shd w:fill="C6EFCE" w:val="clear"/>
          </w:tcPr>
          <w:p>
            <w:r>
              <w:rPr>
                <w:sz w:val="17"/>
              </w:rPr>
              <w:t>6,790</w:t>
            </w:r>
          </w:p>
        </w:tc>
        <w:tc>
          <w:tcPr>
            <w:tcW w:type="dxa" w:w="1440"/>
            <w:shd w:fill="C6EFCE" w:val="clear"/>
          </w:tcPr>
          <w:p>
            <w:r>
              <w:rPr>
                <w:b/>
                <w:sz w:val="17"/>
              </w:rPr>
              <w:t>8,312</w:t>
            </w:r>
          </w:p>
        </w:tc>
        <w:tc>
          <w:tcPr>
            <w:tcW w:type="dxa" w:w="1440"/>
            <w:shd w:fill="C6EFCE" w:val="clear"/>
          </w:tcPr>
          <w:p>
            <w:r>
              <w:rPr>
                <w:sz w:val="17"/>
              </w:rPr>
              <w:t>9,834</w:t>
            </w:r>
          </w:p>
        </w:tc>
        <w:tc>
          <w:tcPr>
            <w:tcW w:type="dxa" w:w="1440"/>
            <w:shd w:fill="C6EFCE" w:val="clear"/>
          </w:tcPr>
          <w:p>
            <w:r>
              <w:rPr>
                <w:b/>
                <w:color w:val="008000"/>
                <w:sz w:val="17"/>
              </w:rPr>
              <w:t>+4.8%</w:t>
            </w:r>
          </w:p>
        </w:tc>
      </w:tr>
      <w:tr>
        <w:tc>
          <w:tcPr>
            <w:tcW w:type="dxa" w:w="1440"/>
            <w:shd w:fill="C6EFCE" w:val="clear"/>
          </w:tcPr>
          <w:p>
            <w:r>
              <w:rPr>
                <w:sz w:val="17"/>
              </w:rPr>
              <w:t>J+9  ⭐</w:t>
            </w:r>
          </w:p>
        </w:tc>
        <w:tc>
          <w:tcPr>
            <w:tcW w:type="dxa" w:w="1440"/>
            <w:shd w:fill="C6EFCE" w:val="clear"/>
          </w:tcPr>
          <w:p>
            <w:r>
              <w:rPr>
                <w:sz w:val="17"/>
              </w:rPr>
              <w:t>2026-09-22</w:t>
            </w:r>
          </w:p>
        </w:tc>
        <w:tc>
          <w:tcPr>
            <w:tcW w:type="dxa" w:w="1440"/>
            <w:shd w:fill="C6EFCE" w:val="clear"/>
          </w:tcPr>
          <w:p>
            <w:r>
              <w:rPr>
                <w:sz w:val="17"/>
              </w:rPr>
              <w:t>6,677</w:t>
            </w:r>
          </w:p>
        </w:tc>
        <w:tc>
          <w:tcPr>
            <w:tcW w:type="dxa" w:w="1440"/>
            <w:shd w:fill="C6EFCE" w:val="clear"/>
          </w:tcPr>
          <w:p>
            <w:r>
              <w:rPr>
                <w:b/>
                <w:sz w:val="17"/>
              </w:rPr>
              <w:t>8,286</w:t>
            </w:r>
          </w:p>
        </w:tc>
        <w:tc>
          <w:tcPr>
            <w:tcW w:type="dxa" w:w="1440"/>
            <w:shd w:fill="C6EFCE" w:val="clear"/>
          </w:tcPr>
          <w:p>
            <w:r>
              <w:rPr>
                <w:sz w:val="17"/>
              </w:rPr>
              <w:t>9,895</w:t>
            </w:r>
          </w:p>
        </w:tc>
        <w:tc>
          <w:tcPr>
            <w:tcW w:type="dxa" w:w="1440"/>
            <w:shd w:fill="C6EFCE" w:val="clear"/>
          </w:tcPr>
          <w:p>
            <w:r>
              <w:rPr>
                <w:b/>
                <w:color w:val="008000"/>
                <w:sz w:val="17"/>
              </w:rPr>
              <w:t>+4.4%</w:t>
            </w:r>
          </w:p>
        </w:tc>
      </w:tr>
      <w:tr>
        <w:tc>
          <w:tcPr>
            <w:tcW w:type="dxa" w:w="1440"/>
            <w:shd w:fill="C6EFCE" w:val="clear"/>
          </w:tcPr>
          <w:p>
            <w:r>
              <w:rPr>
                <w:sz w:val="17"/>
              </w:rPr>
              <w:t>J+10  ⭐</w:t>
            </w:r>
          </w:p>
        </w:tc>
        <w:tc>
          <w:tcPr>
            <w:tcW w:type="dxa" w:w="1440"/>
            <w:shd w:fill="C6EFCE" w:val="clear"/>
          </w:tcPr>
          <w:p>
            <w:r>
              <w:rPr>
                <w:sz w:val="17"/>
              </w:rPr>
              <w:t>2026-09-23</w:t>
            </w:r>
          </w:p>
        </w:tc>
        <w:tc>
          <w:tcPr>
            <w:tcW w:type="dxa" w:w="1440"/>
            <w:shd w:fill="C6EFCE" w:val="clear"/>
          </w:tcPr>
          <w:p>
            <w:r>
              <w:rPr>
                <w:sz w:val="17"/>
              </w:rPr>
              <w:t>6,570</w:t>
            </w:r>
          </w:p>
        </w:tc>
        <w:tc>
          <w:tcPr>
            <w:tcW w:type="dxa" w:w="1440"/>
            <w:shd w:fill="C6EFCE" w:val="clear"/>
          </w:tcPr>
          <w:p>
            <w:r>
              <w:rPr>
                <w:b/>
                <w:sz w:val="17"/>
              </w:rPr>
              <w:t>8,261</w:t>
            </w:r>
          </w:p>
        </w:tc>
        <w:tc>
          <w:tcPr>
            <w:tcW w:type="dxa" w:w="1440"/>
            <w:shd w:fill="C6EFCE" w:val="clear"/>
          </w:tcPr>
          <w:p>
            <w:r>
              <w:rPr>
                <w:sz w:val="17"/>
              </w:rPr>
              <w:t>9,952</w:t>
            </w:r>
          </w:p>
        </w:tc>
        <w:tc>
          <w:tcPr>
            <w:tcW w:type="dxa" w:w="1440"/>
            <w:shd w:fill="C6EFCE" w:val="clear"/>
          </w:tcPr>
          <w:p>
            <w:r>
              <w:rPr>
                <w:b/>
                <w:color w:val="008000"/>
                <w:sz w:val="17"/>
              </w:rPr>
              <w:t>+4.1%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 📊 RAPPORT D'ANALYSE FINANCIÈRE — SPHC (SAPH CI)</w:t>
        <w:br/>
        <w:t>**Bourse Régionale des Valeurs Mobilières (BRVM) — Secteur : Agro-industrie / Hévéa**</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**202,80 milliards FCFA**, SPHC se positionne comme une valeur de premier plan de la cote BRVM, représentative d'un pilier agro-industriel ivoirien. Le **BPA de 977 FCFA/action** traduit une rentabilité par titre solide, et le **PER de 8,1x** situe le titre nettement sous la moyenne du marché BRVM (~8-12x), signalant une potentielle sous-évaluation relative aux bénéfices dégagés. Le **P/B de 1,47x** indique que le marché valorise l'action à une prime modérée (47%) sur sa valeur comptable, ce qui reste raisonnable pour une entreprise affichant un ROE de 18,1%. Enfin, l'**EV/EBITDA de 5,1x** (fourchette raisonnable 5-10x) suggère que la valeur d'entreprise reste contenue au regard de la capacité opérationnelle de génération de cash, renforçant le profil « value » du dossier.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SPHC affiche une **variation totale de +11,76%**, mais la dernière séance (J-1) a été marquée par une **chute brutale de -7,46%**, ramenant le cours à **7 935 FCFA**. Le range de trading est large, entre un plus bas de **6 720 FCFA** et un plus haut de **10 300 FCFA**, soit une amplitude de plus de 53% — signe d'une forte nervosité. La tendance générale reste haussière sur la période, mais la correction récente suggère une prise de profit ou une réaction à des nouvelles défavorables (cf. T1 2026 décevant). Les statistiques descriptives révèlent une **moyenne (7 739 FCFA) supérieure à la médiane (7 550 FCFA)**, confirmant une asymétrie positive : le cours a passé plus de journées sous sa moyenne, avec quelques pics haussiers. L'**écart-type de 810 FCFA (CV = 10,5%)** indique une dispersion modérée, mais le **kurtosis de 1,720 (leptokurtique)** signale des queues épaisses et un risque de pics violents — ce que confirme la chute de -7,46% en une séance. Le **skewness de 1,540** (asymétrie positive) indique que les mouvements extrêmes sont davantage haussiers que baissiers, mais la récente correction tempère cet optimisme. La **volatilité annualisée de 45,0%** classe le titre en catégorie **élevée (&gt;30%)**, ce qui est cohérent avec un marché frontière et une exposition aux cours mondiaux du caoutchouc.</w:t>
      </w:r>
    </w:p>
    <w:p>
      <w:pPr>
        <w:spacing w:after="120" w:line="276" w:lineRule="auto"/>
      </w:pPr>
      <w:r>
        <w:t>---</w:t>
      </w:r>
    </w:p>
    <w:p>
      <w:pPr>
        <w:spacing w:after="120" w:line="276" w:lineRule="auto"/>
      </w:pPr>
      <w:r>
        <w:t>## PARTIE 2 : ANALYSE TECHNIQUE DÉTAILLÉE</w:t>
      </w:r>
    </w:p>
    <w:p>
      <w:pPr>
        <w:spacing w:after="120" w:line="276" w:lineRule="auto"/>
      </w:pPr>
      <w:r>
        <w:t>**Moyennes Mobiles** : La MM20 (9 100,75 FCFA) et la MM50 (8 201,50 FCFA) sont toutes deux **supérieures au cours actuel (7 935 FCFA)**, ce qui place le titre en position baissière à court terme. Cependant, la décision technique affichée est « Achat », probablement car le cours évolue sous ses moyennes et pourrait amorcer un rebond technique vers ces niveaux de résistance.</w:t>
      </w:r>
    </w:p>
    <w:p>
      <w:pPr>
        <w:spacing w:after="120" w:line="276" w:lineRule="auto"/>
      </w:pPr>
      <w:r>
        <w:t>**Bandes de Bollinger** : Le cours (7 935 FCFA) se situe **au-dessus de la borne inférieure (7 591,79 FCFA)** mais **loin de la borne supérieure (10 609,71 FCFA)**, indiquant une pression baissière récente. La décision est « Neutre », car le cours n'est ni en surachat ni en survente extrême, mais la largeur des bandes confirme une volatilité élevée.</w:t>
      </w:r>
    </w:p>
    <w:p>
      <w:pPr>
        <w:spacing w:after="120" w:line="276" w:lineRule="auto"/>
      </w:pPr>
      <w:r>
        <w:t>**MACD** : La valeur du MACD (278,12) est **inférieure à son signal (448,93)**, générant une **divergence baissière** et une décision de « Vente ». Le momentum s'affaiblit, ce qui suggère que la correction pourrait se poursuivre à court terme avant un retournement.</w:t>
      </w:r>
    </w:p>
    <w:p>
      <w:pPr>
        <w:spacing w:after="120" w:line="276" w:lineRule="auto"/>
      </w:pPr>
      <w:r>
        <w:t>**RSI** : À **32,49**, le RSI est proche de la zone de survente (&lt;30) sans y être encore, ce qui justifie une décision « Neutre ». Ce niveau indique que le titre devient attractif pour les acheteurs contrariants, mais qu'un rebond n'est pas encore confirmé.</w:t>
      </w:r>
    </w:p>
    <w:p>
      <w:pPr>
        <w:spacing w:after="120" w:line="276" w:lineRule="auto"/>
      </w:pPr>
      <w:r>
        <w:t>**Stochastique** : Le %K (0,0) et le %D (7,97) sont **en zone de survente extrême**, avec un croisement potentiel à venir. La décision « Achat » repose sur l'anticipation d'un rebond technique après cette capitulation.</w:t>
      </w:r>
    </w:p>
    <w:p>
      <w:pPr>
        <w:spacing w:after="120" w:line="276" w:lineRule="auto"/>
      </w:pPr>
      <w:r>
        <w:t>**Conclusion technique** : Les indicateurs sont **divergents** : les moyennes mobiles et le MACD sont baissiers, tandis que le RSI et le stochastique signalent une survente propice à un rebond. La chute de -7,46% en J-1 a probablement créé un excès baissier, mais la confirmation d'un retournement dépendra d'un franchissement de la MM50 (8 201 FCFA). **Prudence à court terme, opportunité à moyen terme.**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SPHC a réalisé un **chiffre d'affaires de 340,83 milliards FCFA**, en **croissance de 21,97%** par rapport à 2024 (279,44 Mds FCFA). Le **résultat net s'élève à 24,97 milliards FCFA**, soit une **marge nette de 7,33%**, en amélioration de 0,6 point vs 2024 (6,7%). Le **ROE atteint 18,10%** (excellent, &gt;15%) et le **ROA 11,06%**, confirmant une rentabilité solide. La structure financière est saine : **autonomie financière de 61,08%**, **ratio d'endettement de 25,81%**, et **solvabilité générale de 256,91%**. Cependant, deux points de vigilance : la **trésorerie nette est négative (-15,41 Mds FCFA)** et le **BFR s'élève à 65,39 Mds FCFA**, avec des **délais clients de 35 jours** et une **durée de stockage de 72,33 jours** — un risque de trésorerie à surveiller. Le **free cash flow de 14,19 Mds FCFA** reste positif, et la **capacité de remboursement de 0,97 an** est confortable.</w:t>
      </w:r>
    </w:p>
    <w:p>
      <w:pPr>
        <w:spacing w:after="120" w:line="276" w:lineRule="auto"/>
      </w:pPr>
      <w:r>
        <w:t>**Estimations basées sur les rapports trimestriels** : Le **rapport T1 2026 (publié en 2026)** révèle une **chute drastique du CA de -24% à 71,8 Mds FCFA** et un **résultat net de 2,63 Mds FCFA (-78%)**, avec une **marge nette réduite à 4%**. Cette dégradation est due à la **baisse des volumes (-11%) et des prix (-17%)**, ainsi qu'à l'engorgement du port de San Pedro. Le **rapport T3 2025 (30/09/2025)** affichait encore une **croissance de +36% du CA à 253,7 Mds FCFA** et un **résultat net de 23,15 Mds FCFA (+131%)**, avec une marge nette de 9%. On estime donc que **l'exercice 2026 devrait être nettement moins favorable que 2025**, avec un risque de contraction du résultat net si la tendance T1 se poursuit. Le **rapport S1 2025 (30/06/2025)** confirmait une **marge nette de 11%** et un **résultat net de 18,1 Mds FCFA (+449%)**, illustrant le pic de performance atteint mi-2025.</w:t>
      </w:r>
    </w:p>
    <w:p>
      <w:pPr>
        <w:spacing w:after="120" w:line="276" w:lineRule="auto"/>
      </w:pPr>
      <w:r>
        <w:t>**Recommandation fondamentale** : SPHC reste **solide financièrement** (ROE 18,1%, endettement maîtrisé), mais **les perspectives 2026 sont préoccupantes** (chute du T1). Le **dividende proposé de 489 FCFA/action** (AG du 09/04/2026) offre un rendement attractif (~6,2% au cours actuel), mais sa durabilité dépendra de la capacité à stabiliser les marges. **Profil : valeur de rendement à surveiller, avec un risque baissier à court terme.**</w:t>
      </w:r>
    </w:p>
    <w:p>
      <w:pPr>
        <w:spacing w:after="120" w:line="276" w:lineRule="auto"/>
      </w:pPr>
      <w:r>
        <w:t>---</w:t>
      </w:r>
    </w:p>
    <w:p>
      <w:pPr>
        <w:spacing w:after="120" w:line="276" w:lineRule="auto"/>
      </w:pPr>
      <w:r>
        <w:t>## PARTIE 4 : CONCLUSION D'INVESTISSEMENT</w:t>
      </w:r>
    </w:p>
    <w:p>
      <w:pPr>
        <w:spacing w:after="120" w:line="276" w:lineRule="auto"/>
      </w:pPr>
      <w:r>
        <w:t>**Synthèse globale** : La **valorisation (Partie 0)** est attractive (PER 8,1x, P/B 1,47x, EV/EBITDA 5,1x), suggérant une sous-évaluation relative. Le **comportement du cours (Partie 1)** est mitigé : hausse de +11,76% sur 100 jours, mais correction brutale de -7,46% en J-1, avec une volatilité élevée (45%) et un kurtosis leptokurtique (risque de pics). Les **signaux techniques (Partie 2)** sont divergents : baissiers à court terme (MM, MACD) mais survente propice à un rebond (RSI, Stochastique). Les **fondamentaux (Partie 3)** sont solides pour 2025 (ROE 18,1%, CA +22%), mais **les perspectives 2026 sont dégradées** (T1 : CA -24%, RN -78%). Les **prédictions IA (J+1 à J+10)** anticipent une **légère reprise** (8 525 FCFA à J+1, puis 8 396 FCFA à J+10), ce qui contredit la tendance baissière immédiate mais reste en ligne avec un rebond technique.</w:t>
      </w:r>
    </w:p>
    <w:p>
      <w:pPr>
        <w:spacing w:after="120" w:line="276" w:lineRule="auto"/>
      </w:pPr>
      <w:r>
        <w:t>**Recommandation finale** : **CONSERVER** (avec surveillance active).</w:t>
        <w:br/>
        <w:t>- **Justification** : La convergence entre valorisation attractive, survente technique et fondamentaux 2025 solides soutient le titre, mais la **dégradation des perspectives 2026** (T1 catastrophique) et la **trésorerie négative** incitent à la prudence. Les prédictions IA suggèrent un rebond modéré, mais celui-ci pourrait être de courte durée si les cours du caoutchouc ne se stabilisent pas.</w:t>
        <w:br/>
        <w:t>- **Niveau de confiance** : **Moyen** (les signaux sont contradictoires).</w:t>
        <w:br/>
        <w:t>- **Niveau de risque** : **Élevé** (volatilité 45%, exposition aux matières premières, trésorerie négative).</w:t>
        <w:br/>
        <w:t>- **Horizon optimal** : **Moyen terme (3-12 mois)**, en attendant la confirmation d'une stabilisation des cours et d'une amélioration des marges au T2 2026. Un **achat spéculatif** pourrait être envisagé sur rebond technique vers 8 200 FCFA (MM50), avec un stop-loss sous 7 500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33.60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6,080 titres</w:t>
            </w:r>
          </w:p>
        </w:tc>
        <w:tc>
          <w:tcPr>
            <w:tcW w:type="dxa" w:w="2268"/>
            <w:shd w:fill="FFF2CC" w:val="clear"/>
          </w:tcPr>
          <w:p>
            <w:r>
              <w:rPr>
                <w:b/>
                <w:color w:val="503200"/>
                <w:sz w:val="16"/>
              </w:rPr>
              <w:t xml:space="preserve">Cours actuel : </w:t>
            </w:r>
            <w:r>
              <w:rPr>
                <w:color w:val="000000"/>
                <w:sz w:val="17"/>
              </w:rPr>
              <w:t>2,500 FCFA</w:t>
            </w:r>
          </w:p>
          <w:p>
            <w:r>
              <w:rPr>
                <w:b/>
                <w:color w:val="503200"/>
                <w:sz w:val="16"/>
              </w:rPr>
              <w:t xml:space="preserve">Var. 100 jours : </w:t>
            </w:r>
            <w:r>
              <w:rPr>
                <w:b/>
                <w:color w:val="B40000"/>
                <w:sz w:val="17"/>
              </w:rPr>
              <w:t>-16.67%</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2,500 FCFA</w:t>
            </w:r>
          </w:p>
          <w:p>
            <w:r>
              <w:rPr>
                <w:b/>
                <w:color w:val="503200"/>
                <w:sz w:val="16"/>
              </w:rPr>
              <w:t xml:space="preserve">Volatilité ann. : </w:t>
            </w:r>
            <w:r>
              <w:rPr>
                <w:color w:val="000000"/>
                <w:sz w:val="17"/>
              </w:rPr>
              <w:t>58.0%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10.88% (Moyenne) — μ=2,966 FCFA, σ=323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β=-0.8210 (Contre-cyclique) — Cov=-0.000030, Var(idx)=0.000036, ρ=-0.134,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6,080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σ_j=3.65%/j (Modérée) — Vol. annualisée≈58.0%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2026-09-10</w:t>
            </w:r>
          </w:p>
        </w:tc>
        <w:tc>
          <w:tcPr>
            <w:tcW w:type="dxa" w:w="1440"/>
            <w:shd w:fill="FFDCE0" w:val="clear"/>
          </w:tcPr>
          <w:p>
            <w:r>
              <w:rPr>
                <w:sz w:val="17"/>
              </w:rPr>
              <w:t>2,259</w:t>
            </w:r>
          </w:p>
        </w:tc>
        <w:tc>
          <w:tcPr>
            <w:tcW w:type="dxa" w:w="1440"/>
            <w:shd w:fill="FFDCE0" w:val="clear"/>
          </w:tcPr>
          <w:p>
            <w:r>
              <w:rPr>
                <w:b/>
                <w:sz w:val="17"/>
              </w:rPr>
              <w:t>2,361</w:t>
            </w:r>
          </w:p>
        </w:tc>
        <w:tc>
          <w:tcPr>
            <w:tcW w:type="dxa" w:w="1440"/>
            <w:shd w:fill="FFDCE0" w:val="clear"/>
          </w:tcPr>
          <w:p>
            <w:r>
              <w:rPr>
                <w:sz w:val="17"/>
              </w:rPr>
              <w:t>2,463</w:t>
            </w:r>
          </w:p>
        </w:tc>
        <w:tc>
          <w:tcPr>
            <w:tcW w:type="dxa" w:w="1440"/>
            <w:shd w:fill="FFDCE0" w:val="clear"/>
          </w:tcPr>
          <w:p>
            <w:r>
              <w:rPr>
                <w:b/>
                <w:color w:val="C00000"/>
                <w:sz w:val="17"/>
              </w:rPr>
              <w:t>-5.6%</w:t>
            </w:r>
          </w:p>
        </w:tc>
      </w:tr>
      <w:tr>
        <w:tc>
          <w:tcPr>
            <w:tcW w:type="dxa" w:w="1440"/>
            <w:shd w:fill="FFDCE0" w:val="clear"/>
          </w:tcPr>
          <w:p>
            <w:r>
              <w:rPr>
                <w:sz w:val="17"/>
              </w:rPr>
              <w:t>J+2  Moyenne</w:t>
            </w:r>
          </w:p>
        </w:tc>
        <w:tc>
          <w:tcPr>
            <w:tcW w:type="dxa" w:w="1440"/>
            <w:shd w:fill="FFDCE0" w:val="clear"/>
          </w:tcPr>
          <w:p>
            <w:r>
              <w:rPr>
                <w:sz w:val="17"/>
              </w:rPr>
              <w:t>2026-09-11</w:t>
            </w:r>
          </w:p>
        </w:tc>
        <w:tc>
          <w:tcPr>
            <w:tcW w:type="dxa" w:w="1440"/>
            <w:shd w:fill="FFDCE0" w:val="clear"/>
          </w:tcPr>
          <w:p>
            <w:r>
              <w:rPr>
                <w:sz w:val="17"/>
              </w:rPr>
              <w:t>2,106</w:t>
            </w:r>
          </w:p>
        </w:tc>
        <w:tc>
          <w:tcPr>
            <w:tcW w:type="dxa" w:w="1440"/>
            <w:shd w:fill="FFDCE0" w:val="clear"/>
          </w:tcPr>
          <w:p>
            <w:r>
              <w:rPr>
                <w:b/>
                <w:sz w:val="17"/>
              </w:rPr>
              <w:t>2,244</w:t>
            </w:r>
          </w:p>
        </w:tc>
        <w:tc>
          <w:tcPr>
            <w:tcW w:type="dxa" w:w="1440"/>
            <w:shd w:fill="FFDCE0" w:val="clear"/>
          </w:tcPr>
          <w:p>
            <w:r>
              <w:rPr>
                <w:sz w:val="17"/>
              </w:rPr>
              <w:t>2,381</w:t>
            </w:r>
          </w:p>
        </w:tc>
        <w:tc>
          <w:tcPr>
            <w:tcW w:type="dxa" w:w="1440"/>
            <w:shd w:fill="FFDCE0" w:val="clear"/>
          </w:tcPr>
          <w:p>
            <w:r>
              <w:rPr>
                <w:b/>
                <w:color w:val="C00000"/>
                <w:sz w:val="17"/>
              </w:rPr>
              <w:t>-10.2%</w:t>
            </w:r>
          </w:p>
        </w:tc>
      </w:tr>
      <w:tr>
        <w:tc>
          <w:tcPr>
            <w:tcW w:type="dxa" w:w="1440"/>
            <w:shd w:fill="FFDCE0" w:val="clear"/>
          </w:tcPr>
          <w:p>
            <w:r>
              <w:rPr>
                <w:sz w:val="17"/>
              </w:rPr>
              <w:t>J+3  Moyenne</w:t>
            </w:r>
          </w:p>
        </w:tc>
        <w:tc>
          <w:tcPr>
            <w:tcW w:type="dxa" w:w="1440"/>
            <w:shd w:fill="FFDCE0" w:val="clear"/>
          </w:tcPr>
          <w:p>
            <w:r>
              <w:rPr>
                <w:sz w:val="17"/>
              </w:rPr>
              <w:t>2026-09-14</w:t>
            </w:r>
          </w:p>
        </w:tc>
        <w:tc>
          <w:tcPr>
            <w:tcW w:type="dxa" w:w="1440"/>
            <w:shd w:fill="FFDCE0" w:val="clear"/>
          </w:tcPr>
          <w:p>
            <w:r>
              <w:rPr>
                <w:sz w:val="17"/>
              </w:rPr>
              <w:t>1,958</w:t>
            </w:r>
          </w:p>
        </w:tc>
        <w:tc>
          <w:tcPr>
            <w:tcW w:type="dxa" w:w="1440"/>
            <w:shd w:fill="FFDCE0" w:val="clear"/>
          </w:tcPr>
          <w:p>
            <w:r>
              <w:rPr>
                <w:b/>
                <w:sz w:val="17"/>
              </w:rPr>
              <w:t>2,117</w:t>
            </w:r>
          </w:p>
        </w:tc>
        <w:tc>
          <w:tcPr>
            <w:tcW w:type="dxa" w:w="1440"/>
            <w:shd w:fill="FFDCE0" w:val="clear"/>
          </w:tcPr>
          <w:p>
            <w:r>
              <w:rPr>
                <w:sz w:val="17"/>
              </w:rPr>
              <w:t>2,275</w:t>
            </w:r>
          </w:p>
        </w:tc>
        <w:tc>
          <w:tcPr>
            <w:tcW w:type="dxa" w:w="1440"/>
            <w:shd w:fill="FFDCE0" w:val="clear"/>
          </w:tcPr>
          <w:p>
            <w:r>
              <w:rPr>
                <w:b/>
                <w:color w:val="C00000"/>
                <w:sz w:val="17"/>
              </w:rPr>
              <w:t>-15.3%</w:t>
            </w:r>
          </w:p>
        </w:tc>
      </w:tr>
      <w:tr>
        <w:tc>
          <w:tcPr>
            <w:tcW w:type="dxa" w:w="1440"/>
            <w:shd w:fill="FFDCE0" w:val="clear"/>
          </w:tcPr>
          <w:p>
            <w:r>
              <w:rPr>
                <w:sz w:val="17"/>
              </w:rPr>
              <w:t>J+4  ⭐</w:t>
            </w:r>
          </w:p>
        </w:tc>
        <w:tc>
          <w:tcPr>
            <w:tcW w:type="dxa" w:w="1440"/>
            <w:shd w:fill="FFDCE0" w:val="clear"/>
          </w:tcPr>
          <w:p>
            <w:r>
              <w:rPr>
                <w:sz w:val="17"/>
              </w:rPr>
              <w:t>2026-09-15</w:t>
            </w:r>
          </w:p>
        </w:tc>
        <w:tc>
          <w:tcPr>
            <w:tcW w:type="dxa" w:w="1440"/>
            <w:shd w:fill="FFDCE0" w:val="clear"/>
          </w:tcPr>
          <w:p>
            <w:r>
              <w:rPr>
                <w:sz w:val="17"/>
              </w:rPr>
              <w:t>1,826</w:t>
            </w:r>
          </w:p>
        </w:tc>
        <w:tc>
          <w:tcPr>
            <w:tcW w:type="dxa" w:w="1440"/>
            <w:shd w:fill="FFDCE0" w:val="clear"/>
          </w:tcPr>
          <w:p>
            <w:r>
              <w:rPr>
                <w:b/>
                <w:sz w:val="17"/>
              </w:rPr>
              <w:t>1,999</w:t>
            </w:r>
          </w:p>
        </w:tc>
        <w:tc>
          <w:tcPr>
            <w:tcW w:type="dxa" w:w="1440"/>
            <w:shd w:fill="FFDCE0" w:val="clear"/>
          </w:tcPr>
          <w:p>
            <w:r>
              <w:rPr>
                <w:sz w:val="17"/>
              </w:rPr>
              <w:t>2,172</w:t>
            </w:r>
          </w:p>
        </w:tc>
        <w:tc>
          <w:tcPr>
            <w:tcW w:type="dxa" w:w="1440"/>
            <w:shd w:fill="FFDCE0" w:val="clear"/>
          </w:tcPr>
          <w:p>
            <w:r>
              <w:rPr>
                <w:b/>
                <w:color w:val="C00000"/>
                <w:sz w:val="17"/>
              </w:rPr>
              <w:t>-20.0%</w:t>
            </w:r>
          </w:p>
        </w:tc>
      </w:tr>
      <w:tr>
        <w:tc>
          <w:tcPr>
            <w:tcW w:type="dxa" w:w="1440"/>
            <w:shd w:fill="FFDCE0" w:val="clear"/>
          </w:tcPr>
          <w:p>
            <w:r>
              <w:rPr>
                <w:sz w:val="17"/>
              </w:rPr>
              <w:t>J+5  ⭐</w:t>
            </w:r>
          </w:p>
        </w:tc>
        <w:tc>
          <w:tcPr>
            <w:tcW w:type="dxa" w:w="1440"/>
            <w:shd w:fill="FFDCE0" w:val="clear"/>
          </w:tcPr>
          <w:p>
            <w:r>
              <w:rPr>
                <w:sz w:val="17"/>
              </w:rPr>
              <w:t>2026-09-16</w:t>
            </w:r>
          </w:p>
        </w:tc>
        <w:tc>
          <w:tcPr>
            <w:tcW w:type="dxa" w:w="1440"/>
            <w:shd w:fill="FFDCE0" w:val="clear"/>
          </w:tcPr>
          <w:p>
            <w:r>
              <w:rPr>
                <w:sz w:val="17"/>
              </w:rPr>
              <w:t>1,714</w:t>
            </w:r>
          </w:p>
        </w:tc>
        <w:tc>
          <w:tcPr>
            <w:tcW w:type="dxa" w:w="1440"/>
            <w:shd w:fill="FFDCE0" w:val="clear"/>
          </w:tcPr>
          <w:p>
            <w:r>
              <w:rPr>
                <w:b/>
                <w:sz w:val="17"/>
              </w:rPr>
              <w:t>1,897</w:t>
            </w:r>
          </w:p>
        </w:tc>
        <w:tc>
          <w:tcPr>
            <w:tcW w:type="dxa" w:w="1440"/>
            <w:shd w:fill="FFDCE0" w:val="clear"/>
          </w:tcPr>
          <w:p>
            <w:r>
              <w:rPr>
                <w:sz w:val="17"/>
              </w:rPr>
              <w:t>2,081</w:t>
            </w:r>
          </w:p>
        </w:tc>
        <w:tc>
          <w:tcPr>
            <w:tcW w:type="dxa" w:w="1440"/>
            <w:shd w:fill="FFDCE0" w:val="clear"/>
          </w:tcPr>
          <w:p>
            <w:r>
              <w:rPr>
                <w:b/>
                <w:color w:val="C00000"/>
                <w:sz w:val="17"/>
              </w:rPr>
              <w:t>-24.1%</w:t>
            </w:r>
          </w:p>
        </w:tc>
      </w:tr>
      <w:tr>
        <w:tc>
          <w:tcPr>
            <w:tcW w:type="dxa" w:w="1440"/>
            <w:shd w:fill="FFDCE0" w:val="clear"/>
          </w:tcPr>
          <w:p>
            <w:r>
              <w:rPr>
                <w:sz w:val="17"/>
              </w:rPr>
              <w:t>J+6  ⭐</w:t>
            </w:r>
          </w:p>
        </w:tc>
        <w:tc>
          <w:tcPr>
            <w:tcW w:type="dxa" w:w="1440"/>
            <w:shd w:fill="FFDCE0" w:val="clear"/>
          </w:tcPr>
          <w:p>
            <w:r>
              <w:rPr>
                <w:sz w:val="17"/>
              </w:rPr>
              <w:t>2026-09-17</w:t>
            </w:r>
          </w:p>
        </w:tc>
        <w:tc>
          <w:tcPr>
            <w:tcW w:type="dxa" w:w="1440"/>
            <w:shd w:fill="FFDCE0" w:val="clear"/>
          </w:tcPr>
          <w:p>
            <w:r>
              <w:rPr>
                <w:sz w:val="17"/>
              </w:rPr>
              <w:t>1,620</w:t>
            </w:r>
          </w:p>
        </w:tc>
        <w:tc>
          <w:tcPr>
            <w:tcW w:type="dxa" w:w="1440"/>
            <w:shd w:fill="FFDCE0" w:val="clear"/>
          </w:tcPr>
          <w:p>
            <w:r>
              <w:rPr>
                <w:b/>
                <w:sz w:val="17"/>
              </w:rPr>
              <w:t>1,812</w:t>
            </w:r>
          </w:p>
        </w:tc>
        <w:tc>
          <w:tcPr>
            <w:tcW w:type="dxa" w:w="1440"/>
            <w:shd w:fill="FFDCE0" w:val="clear"/>
          </w:tcPr>
          <w:p>
            <w:r>
              <w:rPr>
                <w:sz w:val="17"/>
              </w:rPr>
              <w:t>2,005</w:t>
            </w:r>
          </w:p>
        </w:tc>
        <w:tc>
          <w:tcPr>
            <w:tcW w:type="dxa" w:w="1440"/>
            <w:shd w:fill="FFDCE0" w:val="clear"/>
          </w:tcPr>
          <w:p>
            <w:r>
              <w:rPr>
                <w:b/>
                <w:color w:val="C00000"/>
                <w:sz w:val="17"/>
              </w:rPr>
              <w:t>-27.5%</w:t>
            </w:r>
          </w:p>
        </w:tc>
      </w:tr>
      <w:tr>
        <w:tc>
          <w:tcPr>
            <w:tcW w:type="dxa" w:w="1440"/>
            <w:shd w:fill="FFDCE0" w:val="clear"/>
          </w:tcPr>
          <w:p>
            <w:r>
              <w:rPr>
                <w:sz w:val="17"/>
              </w:rPr>
              <w:t>J+7  ⭐</w:t>
            </w:r>
          </w:p>
        </w:tc>
        <w:tc>
          <w:tcPr>
            <w:tcW w:type="dxa" w:w="1440"/>
            <w:shd w:fill="FFDCE0" w:val="clear"/>
          </w:tcPr>
          <w:p>
            <w:r>
              <w:rPr>
                <w:sz w:val="17"/>
              </w:rPr>
              <w:t>2026-09-18</w:t>
            </w:r>
          </w:p>
        </w:tc>
        <w:tc>
          <w:tcPr>
            <w:tcW w:type="dxa" w:w="1440"/>
            <w:shd w:fill="FFDCE0" w:val="clear"/>
          </w:tcPr>
          <w:p>
            <w:r>
              <w:rPr>
                <w:sz w:val="17"/>
              </w:rPr>
              <w:t>1,542</w:t>
            </w:r>
          </w:p>
        </w:tc>
        <w:tc>
          <w:tcPr>
            <w:tcW w:type="dxa" w:w="1440"/>
            <w:shd w:fill="FFDCE0" w:val="clear"/>
          </w:tcPr>
          <w:p>
            <w:r>
              <w:rPr>
                <w:b/>
                <w:sz w:val="17"/>
              </w:rPr>
              <w:t>1,742</w:t>
            </w:r>
          </w:p>
        </w:tc>
        <w:tc>
          <w:tcPr>
            <w:tcW w:type="dxa" w:w="1440"/>
            <w:shd w:fill="FFDCE0" w:val="clear"/>
          </w:tcPr>
          <w:p>
            <w:r>
              <w:rPr>
                <w:sz w:val="17"/>
              </w:rPr>
              <w:t>1,941</w:t>
            </w:r>
          </w:p>
        </w:tc>
        <w:tc>
          <w:tcPr>
            <w:tcW w:type="dxa" w:w="1440"/>
            <w:shd w:fill="FFDCE0" w:val="clear"/>
          </w:tcPr>
          <w:p>
            <w:r>
              <w:rPr>
                <w:b/>
                <w:color w:val="C00000"/>
                <w:sz w:val="17"/>
              </w:rPr>
              <w:t>-30.3%</w:t>
            </w:r>
          </w:p>
        </w:tc>
      </w:tr>
      <w:tr>
        <w:tc>
          <w:tcPr>
            <w:tcW w:type="dxa" w:w="1440"/>
            <w:shd w:fill="FFDCE0" w:val="clear"/>
          </w:tcPr>
          <w:p>
            <w:r>
              <w:rPr>
                <w:sz w:val="17"/>
              </w:rPr>
              <w:t>J+8  ⭐</w:t>
            </w:r>
          </w:p>
        </w:tc>
        <w:tc>
          <w:tcPr>
            <w:tcW w:type="dxa" w:w="1440"/>
            <w:shd w:fill="FFDCE0" w:val="clear"/>
          </w:tcPr>
          <w:p>
            <w:r>
              <w:rPr>
                <w:sz w:val="17"/>
              </w:rPr>
              <w:t>2026-09-21</w:t>
            </w:r>
          </w:p>
        </w:tc>
        <w:tc>
          <w:tcPr>
            <w:tcW w:type="dxa" w:w="1440"/>
            <w:shd w:fill="FFDCE0" w:val="clear"/>
          </w:tcPr>
          <w:p>
            <w:r>
              <w:rPr>
                <w:sz w:val="17"/>
              </w:rPr>
              <w:t>1,476</w:t>
            </w:r>
          </w:p>
        </w:tc>
        <w:tc>
          <w:tcPr>
            <w:tcW w:type="dxa" w:w="1440"/>
            <w:shd w:fill="FFDCE0" w:val="clear"/>
          </w:tcPr>
          <w:p>
            <w:r>
              <w:rPr>
                <w:b/>
                <w:sz w:val="17"/>
              </w:rPr>
              <w:t>1,683</w:t>
            </w:r>
          </w:p>
        </w:tc>
        <w:tc>
          <w:tcPr>
            <w:tcW w:type="dxa" w:w="1440"/>
            <w:shd w:fill="FFDCE0" w:val="clear"/>
          </w:tcPr>
          <w:p>
            <w:r>
              <w:rPr>
                <w:sz w:val="17"/>
              </w:rPr>
              <w:t>1,889</w:t>
            </w:r>
          </w:p>
        </w:tc>
        <w:tc>
          <w:tcPr>
            <w:tcW w:type="dxa" w:w="1440"/>
            <w:shd w:fill="FFDCE0" w:val="clear"/>
          </w:tcPr>
          <w:p>
            <w:r>
              <w:rPr>
                <w:b/>
                <w:color w:val="C00000"/>
                <w:sz w:val="17"/>
              </w:rPr>
              <w:t>-32.7%</w:t>
            </w:r>
          </w:p>
        </w:tc>
      </w:tr>
      <w:tr>
        <w:tc>
          <w:tcPr>
            <w:tcW w:type="dxa" w:w="1440"/>
            <w:shd w:fill="FFDCE0" w:val="clear"/>
          </w:tcPr>
          <w:p>
            <w:r>
              <w:rPr>
                <w:sz w:val="17"/>
              </w:rPr>
              <w:t>J+9  ⭐</w:t>
            </w:r>
          </w:p>
        </w:tc>
        <w:tc>
          <w:tcPr>
            <w:tcW w:type="dxa" w:w="1440"/>
            <w:shd w:fill="FFDCE0" w:val="clear"/>
          </w:tcPr>
          <w:p>
            <w:r>
              <w:rPr>
                <w:sz w:val="17"/>
              </w:rPr>
              <w:t>2026-09-22</w:t>
            </w:r>
          </w:p>
        </w:tc>
        <w:tc>
          <w:tcPr>
            <w:tcW w:type="dxa" w:w="1440"/>
            <w:shd w:fill="FFDCE0" w:val="clear"/>
          </w:tcPr>
          <w:p>
            <w:r>
              <w:rPr>
                <w:sz w:val="17"/>
              </w:rPr>
              <w:t>1,420</w:t>
            </w:r>
          </w:p>
        </w:tc>
        <w:tc>
          <w:tcPr>
            <w:tcW w:type="dxa" w:w="1440"/>
            <w:shd w:fill="FFDCE0" w:val="clear"/>
          </w:tcPr>
          <w:p>
            <w:r>
              <w:rPr>
                <w:b/>
                <w:sz w:val="17"/>
              </w:rPr>
              <w:t>1,632</w:t>
            </w:r>
          </w:p>
        </w:tc>
        <w:tc>
          <w:tcPr>
            <w:tcW w:type="dxa" w:w="1440"/>
            <w:shd w:fill="FFDCE0" w:val="clear"/>
          </w:tcPr>
          <w:p>
            <w:r>
              <w:rPr>
                <w:sz w:val="17"/>
              </w:rPr>
              <w:t>1,844</w:t>
            </w:r>
          </w:p>
        </w:tc>
        <w:tc>
          <w:tcPr>
            <w:tcW w:type="dxa" w:w="1440"/>
            <w:shd w:fill="FFDCE0" w:val="clear"/>
          </w:tcPr>
          <w:p>
            <w:r>
              <w:rPr>
                <w:b/>
                <w:color w:val="C00000"/>
                <w:sz w:val="17"/>
              </w:rPr>
              <w:t>-34.7%</w:t>
            </w:r>
          </w:p>
        </w:tc>
      </w:tr>
      <w:tr>
        <w:tc>
          <w:tcPr>
            <w:tcW w:type="dxa" w:w="1440"/>
            <w:shd w:fill="FFDCE0" w:val="clear"/>
          </w:tcPr>
          <w:p>
            <w:r>
              <w:rPr>
                <w:sz w:val="17"/>
              </w:rPr>
              <w:t>J+10  ⭐</w:t>
            </w:r>
          </w:p>
        </w:tc>
        <w:tc>
          <w:tcPr>
            <w:tcW w:type="dxa" w:w="1440"/>
            <w:shd w:fill="FFDCE0" w:val="clear"/>
          </w:tcPr>
          <w:p>
            <w:r>
              <w:rPr>
                <w:sz w:val="17"/>
              </w:rPr>
              <w:t>2026-09-23</w:t>
            </w:r>
          </w:p>
        </w:tc>
        <w:tc>
          <w:tcPr>
            <w:tcW w:type="dxa" w:w="1440"/>
            <w:shd w:fill="FFDCE0" w:val="clear"/>
          </w:tcPr>
          <w:p>
            <w:r>
              <w:rPr>
                <w:sz w:val="17"/>
              </w:rPr>
              <w:t>1,372</w:t>
            </w:r>
          </w:p>
        </w:tc>
        <w:tc>
          <w:tcPr>
            <w:tcW w:type="dxa" w:w="1440"/>
            <w:shd w:fill="FFDCE0" w:val="clear"/>
          </w:tcPr>
          <w:p>
            <w:r>
              <w:rPr>
                <w:b/>
                <w:sz w:val="17"/>
              </w:rPr>
              <w:t>1,589</w:t>
            </w:r>
          </w:p>
        </w:tc>
        <w:tc>
          <w:tcPr>
            <w:tcW w:type="dxa" w:w="1440"/>
            <w:shd w:fill="FFDCE0" w:val="clear"/>
          </w:tcPr>
          <w:p>
            <w:r>
              <w:rPr>
                <w:sz w:val="17"/>
              </w:rPr>
              <w:t>1,807</w:t>
            </w:r>
          </w:p>
        </w:tc>
        <w:tc>
          <w:tcPr>
            <w:tcW w:type="dxa" w:w="1440"/>
            <w:shd w:fill="FFDCE0" w:val="clear"/>
          </w:tcPr>
          <w:p>
            <w:r>
              <w:rPr>
                <w:b/>
                <w:color w:val="C00000"/>
                <w:sz w:val="17"/>
              </w:rPr>
              <w:t>-36.4%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 RAPPORT D'ANALYSE FINANCIÈRE — STAC (SETAO)</w:t>
        <w:br/>
        <w:t>**Bourse Régionale des Valeurs Mobilières (BRVM) — Secteur : BTP / Construction**</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33,60 milliards FCFA, STAC se situe dans la catégorie des valeurs moyennes de la BRVM, mais cette capitalisation apparaît totalement déconnectée de la réalité économique de l'entreprise. Le BPA s'établit à **-7 FCFA/action**, ce qui signifie que chaque action détruite de la valeur au lieu d'en créer, et le PER de **-348,0x** est mécaniquement négatif — un ratio ininterprétable en soi mais qui signale une société structurellement déficitaire, sans aucun bénéfice à capitaliser. Le P/B de **94,18x** est le signal le plus alarmant : le marché valorise l'action à près de 94 fois sa valeur comptable, alors que les capitaux propres ne s'élèvent qu'à 356,75 M FCFA pour une capitalisation de 33,60 Mds FCFA — soit une prime spéculative extrême sans aucun support fondamental. À titre de comparaison, le PER moyen de la BRVM se situe entre 8x et 12x ; STAC est donc hors norme, et l'absence d'EV/EBITDA calculable (EBE négatif de -650,13 M FCFA) confirme qu'aucun multiple de valorisation classique ne peut justifier le cours actuel. En synthèse, la valorisation boursière de STAC repose exclusivement sur des anticipations spéculatives (projet aéroport d'Abidjan) et non sur des fondamentaux économiques.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STAC a enregistré une **variation totale de -16,67%**, clôturant à **2 500 FCFA** avec une variation J-1 de **+0,00%** (stabilisation en dernière séance). Le range de trading est particulièrement large, avec un plus haut à **3 640 FCFA** et un plus bas à **2 500 FCFA** — le cours actuel se situe donc exactement sur son plus bas de période, ce qui traduit une pression vendeuse persistante et l'absence de support technique identifiable. La tendance générale est clairement **baissière**, le titre ayant perdu près d'un sixième de sa valeur en trois mois. Les statistiques descriptives révèlent une **moyenne de 2 966 FCFA** supérieure à la **médiane de 2 902 FCFA**, avec un mode à 3 000 FCFA : cet écart confirme une distribution asymétrique, le cours ayant passé plus de temps sous sa moyenne que au-dessus (cohérent avec le skewness positif de 0,530). L'**écart-type de 324 FCFA** et le **coefficient de variation de 10,9%** indiquent une dispersion modérée en valeur relative, mais la **volatilité annualisée de 58,0%** classe le titre dans la catégorie **très volatile** (&gt;30%), ce qui est considérable pour une valeur de la BRVM. Le **kurtosis de -0,798** (mésokurtique) suggère une distribution proche de la normale, sans pics extrêmes fréquents, mais le skewness positif signale que les journées de baisse sont plus nombreuses que les journées de hausse — un biais baissier structurel. Enfin, la position du cours sur le plus bas de la période, combinée à une volatilité élevée, indique un risque de continuation baissière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(2 613 FCFA) et la MM50 (2 866,8 FCFA) sont toutes deux **supérieures au cours actuel** (2 500 FCFA), avec la MM20 en dessous de la MM50 — configuration baissière classique (death cross). Le cours évolue sous ses deux moyennes, confirmant la pression vendeuse, et la décision technique est **Vente**.</w:t>
      </w:r>
    </w:p>
    <w:p>
      <w:pPr>
        <w:spacing w:after="120" w:line="276" w:lineRule="auto"/>
      </w:pPr>
      <w:r>
        <w:t>**Bandes de Bollinger** : La borne supérieure est à 2 803,744 FCFA et la borne inférieure à 2 422,256 FCFA, avec un cours actuel de 2 500 FCFA qui se situe dans la moitié basse de la bande, sans atteindre la borne inférieure. La volatilité reste contenue dans les bandes, et la décision est **Neutre** — le titre n'est ni en survente extrême ni en surachat.</w:t>
      </w:r>
    </w:p>
    <w:p>
      <w:pPr>
        <w:spacing w:after="120" w:line="276" w:lineRule="auto"/>
      </w:pPr>
      <w:r>
        <w:t>**MACD** : La valeur du MACD (-70,61) est **supérieure à son signal** (-73,9), générant un croisement haussier (MACD &gt; Signal) bien que les deux restent en territoire négatif. Ce croisement suggère un **ralentissement de la dynamique baissière** et un possible début de retournement, justifiant la décision **Achat** — mais la prudence reste de mise car le momentum global demeure négatif.</w:t>
      </w:r>
    </w:p>
    <w:p>
      <w:pPr>
        <w:spacing w:after="120" w:line="276" w:lineRule="auto"/>
      </w:pPr>
      <w:r>
        <w:t>**RSI** : À **47,945**, le RSI se situe dans la zone neutre (30-70), sans signal de surachat ni de survente. Cette valeur médiane indique un équilibre relatif entre acheteurs et vendeurs, sans force directionnelle claire, d'où la décision **Neutre**.</w:t>
      </w:r>
    </w:p>
    <w:p>
      <w:pPr>
        <w:spacing w:after="120" w:line="276" w:lineRule="auto"/>
      </w:pPr>
      <w:r>
        <w:t>**Stochastique** : Le %K est à **0,0** et le %D à **1,111**, un croisement en zone de survente extrême (%K &lt; 20). Bien que le %K soit au plancher absolu, la décision technique est **Achat** — un signal de rebond potentiel à très court terme, mais qui doit être confirmé par une remontée du %K au-dessus du %D.</w:t>
      </w:r>
    </w:p>
    <w:p>
      <w:pPr>
        <w:spacing w:after="120" w:line="276" w:lineRule="auto"/>
      </w:pPr>
      <w:r>
        <w:t>**Conclusion technique** : Les indicateurs sont **divergents** — les moyennes mobiles et la tendance de fond sont baissières (Vente), tandis que le MACD et le stochastique génèrent des signaux d'achat contrariens (rebond technique possible). Le RSI neutre et les Bollinger neutres confirment l'absence de force directionnelle. En synthèse, le titre se trouve dans une **zone de consolidation baissière** avec un potentiel rebond technique à très court terme, mais la structure de fond reste négative tant que le cours ne repasse pas au-dessus de la MM20 (2 613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STAC a réalisé un chiffre d'affaires de **3,878 Mds FCFA**, en **croissance spectaculaire de +116,26%** par rapport à 2024 (1,793 Md FCFA), portée par le redémarrage des travaux de l'aéroport d'Abidjan. Cependant, cette dynamique commerciale ne s'est pas traduite en rentabilité : le **résultat net reste négatif à -96,56 M FCFA**, et l'**EBE est profondément déficitaire à -650,13 M FCFA**, signe que la structure de coûts reste inadaptée au niveau d'activité. Le **ROE est de -27,07%** et le **ROA de -1,77%**, confirmant la destruction de valeur pour les actionnaires. La **marge nette de -2,49%** et la **marge opérationnelle de -19,90%** témoignent d'une rentabilité opérationnelle toujours dégradée, malgré l'amélioration du CA. La structure financière est **très fragile** : l'**autonomie financière n'est que de 6,55%** (très en dessous du seuil sain de 30%), le **ratio d'endettement de 93,45%** est alarmant, et la **capacité de remboursement de 77,53 années** (dettes financières / CAF) est rédhibitoire. Point positif : le **BFR est négatif à -930,47 M FCFA** (favorable pour une entreprise), et la **trésorerie nette de 1,330 Md FCFA** offre un coussin de liquidité à court terme. La **liquidité générale de 108,64%** (&gt;1) est correcte, mais la **liquidité immédiate de 28,75%** reste faible.</w:t>
      </w:r>
    </w:p>
    <w:p>
      <w:pPr>
        <w:spacing w:after="120" w:line="276" w:lineRule="auto"/>
      </w:pPr>
      <w:r>
        <w:t>**Estimations basées sur les rapports trimestriels** : Le **rapport T3 2025 (30/09/2025)** indique un CA cumulé de **3 456 M FCFA** (+176% sur 9 mois) et une **perte nette réduite de 22% à -477 M FCFA**, avec une perte d'exploitation divisée par deux (-456 M FCFA contre -921 M FCFA). La direction maintient sa prévision de CA annuel à **4 Mds FCFA**, ce qui implique un T4 très faible (~544 M FCFA). Le **rapport S1 2025 (30/06/2025)** montrait un CA de **2 271 M FCFA** (+290%) mais une perte nette aggravée de 77% à **-557 M FCFA**, révélant que la rentabilité opérationnelle reste profondément déficiente malgré la reprise d'activité. Le **rapport 2024 (31/12/2024)** confirmait l'effondrement du CA à **1 793 M FCFA** (-80,6%) et une perte nette de **-348 M FCFA**, avec des capitaux propres en tension à **453 M FCFA** (6,1% du bilan). Les rapports antérieurs (2020-2021) montrent une entreprise qui avait atteint **15,9 Mds FCFA de CA et 2,3 Mds FCFA de bénéfice net en 2020**, avant une dégradation progressive jusqu'en 2024 — la reprise 2025 est donc réelle mais fragile et dépendante d'un seul projet.</w:t>
      </w:r>
    </w:p>
    <w:p>
      <w:pPr>
        <w:spacing w:after="120" w:line="276" w:lineRule="auto"/>
      </w:pPr>
      <w:r>
        <w:t>**Recommandation fondamentale** : STAC présente un **profil de risque très élevé** : la croissance du CA est spectaculaire mais non rentable, la structure financière est déséquilibrée (autonomie financière de 6,55%, endettement de 93,45%), et la dépendance au projet aéroportuaire d'Abidjan est critique. Les perspectives de retour à la rentabilité restent incertaines, et la valorisation boursière (P/B de 94,18x) est totalement déconnectée des fondamentaux. **Recommandation : VENTE** pour les investisseurs prudents, avec un risque de dilution si une recapitalisation s'avère nécessaire.</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révèle une **divergence majeure** entre les signaux techniques à court terme et les fondamentaux à moyen/long terme. **Valorisation (Partie 0)** : le P/B de 94,18x et le PER négatif indiquent une **surévaluation extrême** sans aucun support bénéficiaire — le marché price des anticipations spéculatives, pas des fondamentaux. **Comportement du cours (Partie 1)** : la tendance baissière (-16,67% sur 100 jours), la position sur le plus bas de période (2 500 FCFA), la volatilité élevée (58%) et le skewness positif (biais baissier) sont **préoccupants** et ne plaident pas pour un retournement durable. **Signaux techniques (Partie 2)** : les indicateurs sont **divergents** — les MM sont baissières (Vente), mais le MACD et le stochastique génèrent des signaux d'achat contrariens (rebond technique possible), tandis que le RSI et les Bollinger sont neutres. Cette divergence suggère un **rebond technique à très court terme** mais pas de retournement de tendance. **Fondamentaux (Partie 3)** : la croissance du CA (+116% en 2025) est impressionnante mais **non rentable** (résultat net de -96,56 M FCFA, ROE de -27,07%), et la structure financière est **très fragile** (autonomie financière de 6,55%, endettement de 93,45%). **Prédictions IA (J+1 à J+10)** : la trajectoire prédite est **fortement baissière** (2 361 → 1 897 FCFA, soit -24% en 10 jours), ce qui **contredit** les signaux d'achat contrariens du MACD et du stochastique, et **confirme** la tendance baissière de fond.</w:t>
      </w:r>
    </w:p>
    <w:p>
      <w:pPr>
        <w:spacing w:after="120" w:line="276" w:lineRule="auto"/>
      </w:pPr>
      <w:r>
        <w:t>**Recommandation finale : VENTE FORTE**</w:t>
        <w:br/>
        <w:t>- **Justification** : La convergence des signaux fondamentaux (non-rentabilité, structure financière dégradée, valorisation extrême), techniques (tendance baissière, cours sur plus bas) et prédictifs (trajectoire baissière de -24%) l'emporte sur les signaux d'achat contrariens à très court terme. Le titre présente un **risque de continuation baissière élevé**.</w:t>
        <w:br/>
        <w:t>- **Niveau de confiance** : **Élevé** (convergence des analyses fondamentale, technique et prédictive).</w:t>
        <w:br/>
        <w:t>- **Niveau de risque global** : **Élevé** (volatilité de 58%, endettement de 93,45%, dépendance à un projet unique).</w:t>
        <w:br/>
        <w:t>- **Horizon d'investissement** : **Court terme** (&lt;3 mois) pour les investisseurs cherchant à sortir ; **à éviter** pour les investisseurs long terme tant que la rentabilité n'est pas restaurée et la structure financière assainie. Un rebond technique vers 2 613 FCFA (MM20) pourrait offrir une opportunité de sortie, mais le potentiel de baisse reste supérieur au potentiel de hausse.</w:t>
      </w:r>
    </w:p>
    <w:p>
      <w:pPr>
        <w:spacing w:after="120" w:line="276" w:lineRule="auto"/>
      </w:pPr>
      <w:r>
        <w: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395.01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3,729 titres</w:t>
            </w:r>
          </w:p>
        </w:tc>
        <w:tc>
          <w:tcPr>
            <w:tcW w:type="dxa" w:w="2268"/>
            <w:shd w:fill="FFF2CC" w:val="clear"/>
          </w:tcPr>
          <w:p>
            <w:r>
              <w:rPr>
                <w:b/>
                <w:color w:val="503200"/>
                <w:sz w:val="16"/>
              </w:rPr>
              <w:t xml:space="preserve">Cours actuel : </w:t>
            </w:r>
            <w:r>
              <w:rPr>
                <w:color w:val="000000"/>
                <w:sz w:val="17"/>
              </w:rPr>
              <w:t>22,000 FCFA</w:t>
            </w:r>
          </w:p>
          <w:p>
            <w:r>
              <w:rPr>
                <w:b/>
                <w:color w:val="503200"/>
                <w:sz w:val="16"/>
              </w:rPr>
              <w:t xml:space="preserve">Var. 100 jours : </w:t>
            </w:r>
            <w:r>
              <w:rPr>
                <w:b/>
                <w:color w:val="007800"/>
                <w:sz w:val="17"/>
              </w:rPr>
              <w:t>+5.77%</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36.3%</w:t>
            </w:r>
          </w:p>
        </w:tc>
        <w:tc>
          <w:tcPr>
            <w:tcW w:type="dxa" w:w="2835"/>
            <w:shd w:fill="FCE4D6" w:val="clear"/>
          </w:tcPr>
          <w:p>
            <w:r>
              <w:rPr>
                <w:b/>
                <w:color w:val="500000"/>
                <w:sz w:val="16"/>
              </w:rPr>
              <w:t xml:space="preserve">Recommandation : </w:t>
            </w:r>
            <w:r>
              <w:rPr>
                <w:b/>
                <w:color w:val="646400"/>
                <w:sz w:val="19"/>
              </w:rPr>
              <w:t>CONSERVER</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6.00% (Moyenne) — μ=22,356 FCFA, σ=1,341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β=0.3981 (Défensif) — Cov=0.000014, Var(idx)=0.000036, ρ=0.104,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3,729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σ_j=2.29%/j (Stable) — Vol. annualisée≈36.3%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49/100  (Moyen)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2026-09-10</w:t>
            </w:r>
          </w:p>
        </w:tc>
        <w:tc>
          <w:tcPr>
            <w:tcW w:type="dxa" w:w="1440"/>
            <w:shd w:fill="FAFAFA" w:val="clear"/>
          </w:tcPr>
          <w:p>
            <w:r>
              <w:rPr>
                <w:sz w:val="17"/>
              </w:rPr>
              <w:t>21,281</w:t>
            </w:r>
          </w:p>
        </w:tc>
        <w:tc>
          <w:tcPr>
            <w:tcW w:type="dxa" w:w="1440"/>
            <w:shd w:fill="FAFAFA" w:val="clear"/>
          </w:tcPr>
          <w:p>
            <w:r>
              <w:rPr>
                <w:b/>
                <w:sz w:val="17"/>
              </w:rPr>
              <w:t>22,348</w:t>
            </w:r>
          </w:p>
        </w:tc>
        <w:tc>
          <w:tcPr>
            <w:tcW w:type="dxa" w:w="1440"/>
            <w:shd w:fill="FAFAFA" w:val="clear"/>
          </w:tcPr>
          <w:p>
            <w:r>
              <w:rPr>
                <w:sz w:val="17"/>
              </w:rPr>
              <w:t>23,415</w:t>
            </w:r>
          </w:p>
        </w:tc>
        <w:tc>
          <w:tcPr>
            <w:tcW w:type="dxa" w:w="1440"/>
            <w:shd w:fill="FAFAFA" w:val="clear"/>
          </w:tcPr>
          <w:p>
            <w:r>
              <w:rPr>
                <w:b/>
                <w:color w:val="008000"/>
                <w:sz w:val="17"/>
              </w:rPr>
              <w:t>+1.6%</w:t>
            </w:r>
          </w:p>
        </w:tc>
      </w:tr>
      <w:tr>
        <w:tc>
          <w:tcPr>
            <w:tcW w:type="dxa" w:w="1440"/>
            <w:shd w:fill="C6EFCE" w:val="clear"/>
          </w:tcPr>
          <w:p>
            <w:r>
              <w:rPr>
                <w:sz w:val="17"/>
              </w:rPr>
              <w:t>J+2  ⭐</w:t>
            </w:r>
          </w:p>
        </w:tc>
        <w:tc>
          <w:tcPr>
            <w:tcW w:type="dxa" w:w="1440"/>
            <w:shd w:fill="C6EFCE" w:val="clear"/>
          </w:tcPr>
          <w:p>
            <w:r>
              <w:rPr>
                <w:sz w:val="17"/>
              </w:rPr>
              <w:t>2026-09-11</w:t>
            </w:r>
          </w:p>
        </w:tc>
        <w:tc>
          <w:tcPr>
            <w:tcW w:type="dxa" w:w="1440"/>
            <w:shd w:fill="C6EFCE" w:val="clear"/>
          </w:tcPr>
          <w:p>
            <w:r>
              <w:rPr>
                <w:sz w:val="17"/>
              </w:rPr>
              <w:t>21,023</w:t>
            </w:r>
          </w:p>
        </w:tc>
        <w:tc>
          <w:tcPr>
            <w:tcW w:type="dxa" w:w="1440"/>
            <w:shd w:fill="C6EFCE" w:val="clear"/>
          </w:tcPr>
          <w:p>
            <w:r>
              <w:rPr>
                <w:b/>
                <w:sz w:val="17"/>
              </w:rPr>
              <w:t>22,545</w:t>
            </w:r>
          </w:p>
        </w:tc>
        <w:tc>
          <w:tcPr>
            <w:tcW w:type="dxa" w:w="1440"/>
            <w:shd w:fill="C6EFCE" w:val="clear"/>
          </w:tcPr>
          <w:p>
            <w:r>
              <w:rPr>
                <w:sz w:val="17"/>
              </w:rPr>
              <w:t>24,067</w:t>
            </w:r>
          </w:p>
        </w:tc>
        <w:tc>
          <w:tcPr>
            <w:tcW w:type="dxa" w:w="1440"/>
            <w:shd w:fill="C6EFCE" w:val="clear"/>
          </w:tcPr>
          <w:p>
            <w:r>
              <w:rPr>
                <w:b/>
                <w:color w:val="008000"/>
                <w:sz w:val="17"/>
              </w:rPr>
              <w:t>+2.5%</w:t>
            </w:r>
          </w:p>
        </w:tc>
      </w:tr>
      <w:tr>
        <w:tc>
          <w:tcPr>
            <w:tcW w:type="dxa" w:w="1440"/>
            <w:shd w:fill="C6EFCE" w:val="clear"/>
          </w:tcPr>
          <w:p>
            <w:r>
              <w:rPr>
                <w:sz w:val="17"/>
              </w:rPr>
              <w:t>J+3  ⭐</w:t>
            </w:r>
          </w:p>
        </w:tc>
        <w:tc>
          <w:tcPr>
            <w:tcW w:type="dxa" w:w="1440"/>
            <w:shd w:fill="C6EFCE" w:val="clear"/>
          </w:tcPr>
          <w:p>
            <w:r>
              <w:rPr>
                <w:sz w:val="17"/>
              </w:rPr>
              <w:t>2026-09-14</w:t>
            </w:r>
          </w:p>
        </w:tc>
        <w:tc>
          <w:tcPr>
            <w:tcW w:type="dxa" w:w="1440"/>
            <w:shd w:fill="C6EFCE" w:val="clear"/>
          </w:tcPr>
          <w:p>
            <w:r>
              <w:rPr>
                <w:sz w:val="17"/>
              </w:rPr>
              <w:t>20,864</w:t>
            </w:r>
          </w:p>
        </w:tc>
        <w:tc>
          <w:tcPr>
            <w:tcW w:type="dxa" w:w="1440"/>
            <w:shd w:fill="C6EFCE" w:val="clear"/>
          </w:tcPr>
          <w:p>
            <w:r>
              <w:rPr>
                <w:b/>
                <w:sz w:val="17"/>
              </w:rPr>
              <w:t>22,745</w:t>
            </w:r>
          </w:p>
        </w:tc>
        <w:tc>
          <w:tcPr>
            <w:tcW w:type="dxa" w:w="1440"/>
            <w:shd w:fill="C6EFCE" w:val="clear"/>
          </w:tcPr>
          <w:p>
            <w:r>
              <w:rPr>
                <w:sz w:val="17"/>
              </w:rPr>
              <w:t>24,625</w:t>
            </w:r>
          </w:p>
        </w:tc>
        <w:tc>
          <w:tcPr>
            <w:tcW w:type="dxa" w:w="1440"/>
            <w:shd w:fill="C6EFCE" w:val="clear"/>
          </w:tcPr>
          <w:p>
            <w:r>
              <w:rPr>
                <w:b/>
                <w:color w:val="008000"/>
                <w:sz w:val="17"/>
              </w:rPr>
              <w:t>+3.4%</w:t>
            </w:r>
          </w:p>
        </w:tc>
      </w:tr>
      <w:tr>
        <w:tc>
          <w:tcPr>
            <w:tcW w:type="dxa" w:w="1440"/>
            <w:shd w:fill="C6EFCE" w:val="clear"/>
          </w:tcPr>
          <w:p>
            <w:r>
              <w:rPr>
                <w:sz w:val="17"/>
              </w:rPr>
              <w:t>J+4  ⭐</w:t>
            </w:r>
          </w:p>
        </w:tc>
        <w:tc>
          <w:tcPr>
            <w:tcW w:type="dxa" w:w="1440"/>
            <w:shd w:fill="C6EFCE" w:val="clear"/>
          </w:tcPr>
          <w:p>
            <w:r>
              <w:rPr>
                <w:sz w:val="17"/>
              </w:rPr>
              <w:t>2026-09-15</w:t>
            </w:r>
          </w:p>
        </w:tc>
        <w:tc>
          <w:tcPr>
            <w:tcW w:type="dxa" w:w="1440"/>
            <w:shd w:fill="C6EFCE" w:val="clear"/>
          </w:tcPr>
          <w:p>
            <w:r>
              <w:rPr>
                <w:sz w:val="17"/>
              </w:rPr>
              <w:t>20,755</w:t>
            </w:r>
          </w:p>
        </w:tc>
        <w:tc>
          <w:tcPr>
            <w:tcW w:type="dxa" w:w="1440"/>
            <w:shd w:fill="C6EFCE" w:val="clear"/>
          </w:tcPr>
          <w:p>
            <w:r>
              <w:rPr>
                <w:b/>
                <w:sz w:val="17"/>
              </w:rPr>
              <w:t>22,946</w:t>
            </w:r>
          </w:p>
        </w:tc>
        <w:tc>
          <w:tcPr>
            <w:tcW w:type="dxa" w:w="1440"/>
            <w:shd w:fill="C6EFCE" w:val="clear"/>
          </w:tcPr>
          <w:p>
            <w:r>
              <w:rPr>
                <w:sz w:val="17"/>
              </w:rPr>
              <w:t>25,137</w:t>
            </w:r>
          </w:p>
        </w:tc>
        <w:tc>
          <w:tcPr>
            <w:tcW w:type="dxa" w:w="1440"/>
            <w:shd w:fill="C6EFCE" w:val="clear"/>
          </w:tcPr>
          <w:p>
            <w:r>
              <w:rPr>
                <w:b/>
                <w:color w:val="008000"/>
                <w:sz w:val="17"/>
              </w:rPr>
              <w:t>+4.3%</w:t>
            </w:r>
          </w:p>
        </w:tc>
      </w:tr>
      <w:tr>
        <w:tc>
          <w:tcPr>
            <w:tcW w:type="dxa" w:w="1440"/>
            <w:shd w:fill="C6EFCE" w:val="clear"/>
          </w:tcPr>
          <w:p>
            <w:r>
              <w:rPr>
                <w:sz w:val="17"/>
              </w:rPr>
              <w:t>J+5  ⭐</w:t>
            </w:r>
          </w:p>
        </w:tc>
        <w:tc>
          <w:tcPr>
            <w:tcW w:type="dxa" w:w="1440"/>
            <w:shd w:fill="C6EFCE" w:val="clear"/>
          </w:tcPr>
          <w:p>
            <w:r>
              <w:rPr>
                <w:sz w:val="17"/>
              </w:rPr>
              <w:t>2026-09-16</w:t>
            </w:r>
          </w:p>
        </w:tc>
        <w:tc>
          <w:tcPr>
            <w:tcW w:type="dxa" w:w="1440"/>
            <w:shd w:fill="C6EFCE" w:val="clear"/>
          </w:tcPr>
          <w:p>
            <w:r>
              <w:rPr>
                <w:sz w:val="17"/>
              </w:rPr>
              <w:t>20,688</w:t>
            </w:r>
          </w:p>
        </w:tc>
        <w:tc>
          <w:tcPr>
            <w:tcW w:type="dxa" w:w="1440"/>
            <w:shd w:fill="C6EFCE" w:val="clear"/>
          </w:tcPr>
          <w:p>
            <w:r>
              <w:rPr>
                <w:b/>
                <w:sz w:val="17"/>
              </w:rPr>
              <w:t>23,160</w:t>
            </w:r>
          </w:p>
        </w:tc>
        <w:tc>
          <w:tcPr>
            <w:tcW w:type="dxa" w:w="1440"/>
            <w:shd w:fill="C6EFCE" w:val="clear"/>
          </w:tcPr>
          <w:p>
            <w:r>
              <w:rPr>
                <w:sz w:val="17"/>
              </w:rPr>
              <w:t>25,633</w:t>
            </w:r>
          </w:p>
        </w:tc>
        <w:tc>
          <w:tcPr>
            <w:tcW w:type="dxa" w:w="1440"/>
            <w:shd w:fill="C6EFCE" w:val="clear"/>
          </w:tcPr>
          <w:p>
            <w:r>
              <w:rPr>
                <w:b/>
                <w:color w:val="008000"/>
                <w:sz w:val="17"/>
              </w:rPr>
              <w:t>+5.3%</w:t>
            </w:r>
          </w:p>
        </w:tc>
      </w:tr>
      <w:tr>
        <w:tc>
          <w:tcPr>
            <w:tcW w:type="dxa" w:w="1440"/>
            <w:shd w:fill="C6EFCE" w:val="clear"/>
          </w:tcPr>
          <w:p>
            <w:r>
              <w:rPr>
                <w:sz w:val="17"/>
              </w:rPr>
              <w:t>J+6  ⭐</w:t>
            </w:r>
          </w:p>
        </w:tc>
        <w:tc>
          <w:tcPr>
            <w:tcW w:type="dxa" w:w="1440"/>
            <w:shd w:fill="C6EFCE" w:val="clear"/>
          </w:tcPr>
          <w:p>
            <w:r>
              <w:rPr>
                <w:sz w:val="17"/>
              </w:rPr>
              <w:t>2026-09-17</w:t>
            </w:r>
          </w:p>
        </w:tc>
        <w:tc>
          <w:tcPr>
            <w:tcW w:type="dxa" w:w="1440"/>
            <w:shd w:fill="C6EFCE" w:val="clear"/>
          </w:tcPr>
          <w:p>
            <w:r>
              <w:rPr>
                <w:sz w:val="17"/>
              </w:rPr>
              <w:t>20,642</w:t>
            </w:r>
          </w:p>
        </w:tc>
        <w:tc>
          <w:tcPr>
            <w:tcW w:type="dxa" w:w="1440"/>
            <w:shd w:fill="C6EFCE" w:val="clear"/>
          </w:tcPr>
          <w:p>
            <w:r>
              <w:rPr>
                <w:b/>
                <w:sz w:val="17"/>
              </w:rPr>
              <w:t>23,376</w:t>
            </w:r>
          </w:p>
        </w:tc>
        <w:tc>
          <w:tcPr>
            <w:tcW w:type="dxa" w:w="1440"/>
            <w:shd w:fill="C6EFCE" w:val="clear"/>
          </w:tcPr>
          <w:p>
            <w:r>
              <w:rPr>
                <w:sz w:val="17"/>
              </w:rPr>
              <w:t>26,110</w:t>
            </w:r>
          </w:p>
        </w:tc>
        <w:tc>
          <w:tcPr>
            <w:tcW w:type="dxa" w:w="1440"/>
            <w:shd w:fill="C6EFCE" w:val="clear"/>
          </w:tcPr>
          <w:p>
            <w:r>
              <w:rPr>
                <w:b/>
                <w:color w:val="008000"/>
                <w:sz w:val="17"/>
              </w:rPr>
              <w:t>+6.3%</w:t>
            </w:r>
          </w:p>
        </w:tc>
      </w:tr>
      <w:tr>
        <w:tc>
          <w:tcPr>
            <w:tcW w:type="dxa" w:w="1440"/>
            <w:shd w:fill="C6EFCE" w:val="clear"/>
          </w:tcPr>
          <w:p>
            <w:r>
              <w:rPr>
                <w:sz w:val="17"/>
              </w:rPr>
              <w:t>J+7  ⭐</w:t>
            </w:r>
          </w:p>
        </w:tc>
        <w:tc>
          <w:tcPr>
            <w:tcW w:type="dxa" w:w="1440"/>
            <w:shd w:fill="C6EFCE" w:val="clear"/>
          </w:tcPr>
          <w:p>
            <w:r>
              <w:rPr>
                <w:sz w:val="17"/>
              </w:rPr>
              <w:t>2026-09-18</w:t>
            </w:r>
          </w:p>
        </w:tc>
        <w:tc>
          <w:tcPr>
            <w:tcW w:type="dxa" w:w="1440"/>
            <w:shd w:fill="C6EFCE" w:val="clear"/>
          </w:tcPr>
          <w:p>
            <w:r>
              <w:rPr>
                <w:sz w:val="17"/>
              </w:rPr>
              <w:t>20,635</w:t>
            </w:r>
          </w:p>
        </w:tc>
        <w:tc>
          <w:tcPr>
            <w:tcW w:type="dxa" w:w="1440"/>
            <w:shd w:fill="C6EFCE" w:val="clear"/>
          </w:tcPr>
          <w:p>
            <w:r>
              <w:rPr>
                <w:b/>
                <w:sz w:val="17"/>
              </w:rPr>
              <w:t>23,619</w:t>
            </w:r>
          </w:p>
        </w:tc>
        <w:tc>
          <w:tcPr>
            <w:tcW w:type="dxa" w:w="1440"/>
            <w:shd w:fill="C6EFCE" w:val="clear"/>
          </w:tcPr>
          <w:p>
            <w:r>
              <w:rPr>
                <w:sz w:val="17"/>
              </w:rPr>
              <w:t>26,602</w:t>
            </w:r>
          </w:p>
        </w:tc>
        <w:tc>
          <w:tcPr>
            <w:tcW w:type="dxa" w:w="1440"/>
            <w:shd w:fill="C6EFCE" w:val="clear"/>
          </w:tcPr>
          <w:p>
            <w:r>
              <w:rPr>
                <w:b/>
                <w:color w:val="008000"/>
                <w:sz w:val="17"/>
              </w:rPr>
              <w:t>+7.4%</w:t>
            </w:r>
          </w:p>
        </w:tc>
      </w:tr>
      <w:tr>
        <w:tc>
          <w:tcPr>
            <w:tcW w:type="dxa" w:w="1440"/>
            <w:shd w:fill="C6EFCE" w:val="clear"/>
          </w:tcPr>
          <w:p>
            <w:r>
              <w:rPr>
                <w:sz w:val="17"/>
              </w:rPr>
              <w:t>J+8  ⭐</w:t>
            </w:r>
          </w:p>
        </w:tc>
        <w:tc>
          <w:tcPr>
            <w:tcW w:type="dxa" w:w="1440"/>
            <w:shd w:fill="C6EFCE" w:val="clear"/>
          </w:tcPr>
          <w:p>
            <w:r>
              <w:rPr>
                <w:sz w:val="17"/>
              </w:rPr>
              <w:t>2026-09-21</w:t>
            </w:r>
          </w:p>
        </w:tc>
        <w:tc>
          <w:tcPr>
            <w:tcW w:type="dxa" w:w="1440"/>
            <w:shd w:fill="C6EFCE" w:val="clear"/>
          </w:tcPr>
          <w:p>
            <w:r>
              <w:rPr>
                <w:sz w:val="17"/>
              </w:rPr>
              <w:t>20,662</w:t>
            </w:r>
          </w:p>
        </w:tc>
        <w:tc>
          <w:tcPr>
            <w:tcW w:type="dxa" w:w="1440"/>
            <w:shd w:fill="C6EFCE" w:val="clear"/>
          </w:tcPr>
          <w:p>
            <w:r>
              <w:rPr>
                <w:b/>
                <w:sz w:val="17"/>
              </w:rPr>
              <w:t>23,887</w:t>
            </w:r>
          </w:p>
        </w:tc>
        <w:tc>
          <w:tcPr>
            <w:tcW w:type="dxa" w:w="1440"/>
            <w:shd w:fill="C6EFCE" w:val="clear"/>
          </w:tcPr>
          <w:p>
            <w:r>
              <w:rPr>
                <w:sz w:val="17"/>
              </w:rPr>
              <w:t>27,113</w:t>
            </w:r>
          </w:p>
        </w:tc>
        <w:tc>
          <w:tcPr>
            <w:tcW w:type="dxa" w:w="1440"/>
            <w:shd w:fill="C6EFCE" w:val="clear"/>
          </w:tcPr>
          <w:p>
            <w:r>
              <w:rPr>
                <w:b/>
                <w:color w:val="008000"/>
                <w:sz w:val="17"/>
              </w:rPr>
              <w:t>+8.6%</w:t>
            </w:r>
          </w:p>
        </w:tc>
      </w:tr>
      <w:tr>
        <w:tc>
          <w:tcPr>
            <w:tcW w:type="dxa" w:w="1440"/>
            <w:shd w:fill="C6EFCE" w:val="clear"/>
          </w:tcPr>
          <w:p>
            <w:r>
              <w:rPr>
                <w:sz w:val="17"/>
              </w:rPr>
              <w:t>J+9  ⭐</w:t>
            </w:r>
          </w:p>
        </w:tc>
        <w:tc>
          <w:tcPr>
            <w:tcW w:type="dxa" w:w="1440"/>
            <w:shd w:fill="C6EFCE" w:val="clear"/>
          </w:tcPr>
          <w:p>
            <w:r>
              <w:rPr>
                <w:sz w:val="17"/>
              </w:rPr>
              <w:t>2026-09-22</w:t>
            </w:r>
          </w:p>
        </w:tc>
        <w:tc>
          <w:tcPr>
            <w:tcW w:type="dxa" w:w="1440"/>
            <w:shd w:fill="C6EFCE" w:val="clear"/>
          </w:tcPr>
          <w:p>
            <w:r>
              <w:rPr>
                <w:sz w:val="17"/>
              </w:rPr>
              <w:t>20,739</w:t>
            </w:r>
          </w:p>
        </w:tc>
        <w:tc>
          <w:tcPr>
            <w:tcW w:type="dxa" w:w="1440"/>
            <w:shd w:fill="C6EFCE" w:val="clear"/>
          </w:tcPr>
          <w:p>
            <w:r>
              <w:rPr>
                <w:b/>
                <w:sz w:val="17"/>
              </w:rPr>
              <w:t>24,206</w:t>
            </w:r>
          </w:p>
        </w:tc>
        <w:tc>
          <w:tcPr>
            <w:tcW w:type="dxa" w:w="1440"/>
            <w:shd w:fill="C6EFCE" w:val="clear"/>
          </w:tcPr>
          <w:p>
            <w:r>
              <w:rPr>
                <w:sz w:val="17"/>
              </w:rPr>
              <w:t>27,673</w:t>
            </w:r>
          </w:p>
        </w:tc>
        <w:tc>
          <w:tcPr>
            <w:tcW w:type="dxa" w:w="1440"/>
            <w:shd w:fill="C6EFCE" w:val="clear"/>
          </w:tcPr>
          <w:p>
            <w:r>
              <w:rPr>
                <w:b/>
                <w:color w:val="008000"/>
                <w:sz w:val="17"/>
              </w:rPr>
              <w:t>+10.0%</w:t>
            </w:r>
          </w:p>
        </w:tc>
      </w:tr>
      <w:tr>
        <w:tc>
          <w:tcPr>
            <w:tcW w:type="dxa" w:w="1440"/>
            <w:shd w:fill="C6EFCE" w:val="clear"/>
          </w:tcPr>
          <w:p>
            <w:r>
              <w:rPr>
                <w:sz w:val="17"/>
              </w:rPr>
              <w:t>J+10  ⭐</w:t>
            </w:r>
          </w:p>
        </w:tc>
        <w:tc>
          <w:tcPr>
            <w:tcW w:type="dxa" w:w="1440"/>
            <w:shd w:fill="C6EFCE" w:val="clear"/>
          </w:tcPr>
          <w:p>
            <w:r>
              <w:rPr>
                <w:sz w:val="17"/>
              </w:rPr>
              <w:t>2026-09-23</w:t>
            </w:r>
          </w:p>
        </w:tc>
        <w:tc>
          <w:tcPr>
            <w:tcW w:type="dxa" w:w="1440"/>
            <w:shd w:fill="C6EFCE" w:val="clear"/>
          </w:tcPr>
          <w:p>
            <w:r>
              <w:rPr>
                <w:sz w:val="17"/>
              </w:rPr>
              <w:t>20,820</w:t>
            </w:r>
          </w:p>
        </w:tc>
        <w:tc>
          <w:tcPr>
            <w:tcW w:type="dxa" w:w="1440"/>
            <w:shd w:fill="C6EFCE" w:val="clear"/>
          </w:tcPr>
          <w:p>
            <w:r>
              <w:rPr>
                <w:b/>
                <w:sz w:val="17"/>
              </w:rPr>
              <w:t>24,522</w:t>
            </w:r>
          </w:p>
        </w:tc>
        <w:tc>
          <w:tcPr>
            <w:tcW w:type="dxa" w:w="1440"/>
            <w:shd w:fill="C6EFCE" w:val="clear"/>
          </w:tcPr>
          <w:p>
            <w:r>
              <w:rPr>
                <w:sz w:val="17"/>
              </w:rPr>
              <w:t>28,224</w:t>
            </w:r>
          </w:p>
        </w:tc>
        <w:tc>
          <w:tcPr>
            <w:tcW w:type="dxa" w:w="1440"/>
            <w:shd w:fill="C6EFCE" w:val="clear"/>
          </w:tcPr>
          <w:p>
            <w:r>
              <w:rPr>
                <w:b/>
                <w:color w:val="008000"/>
                <w:sz w:val="17"/>
              </w:rPr>
              <w:t>+11.5%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 S.A.)**</w:t>
        <w:br/>
        <w:t>*Bourse Régionale des Valeurs Mobilières (BRVM) — Côte d'Ivoire*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395,01 milliards FCFA, STBC figure parmi les valeurs les plus importantes de la cote BRVM, ce qui témoigne de sa solidité et de son attractivité auprès des investisseurs institutionnels. Le BPA de 2 014 FCFA/action signifie que chaque titre génère près de 2 014 FCFA de bénéfice net, un niveau élevé qui reflète la forte rentabilité de la société. Le PER de 10,9x se situe dans la fourchette modérée de la BRVM (8-12x), indiquant que les investisseurs ne paient pas de prime excessive par rapport aux bénéfices. En revanche, le P/B de 8,71x est très supérieur au seuil de 4x, traduisant une valorisation exigeante par rapport à la valeur comptable — ce qui s'explique par la structure légère de SITAB (peu d'actifs corporels, modèle de distribution) et sa rentabilité exceptionnelle. Enfin, l'EV/EBITDA de 7,9x, dans la fourchette raisonnable de 5-10x, confirme que la valeur totale de l'entreprise reste cohérente avec sa capacité opérationnelle à générer des liquidités.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STBC affiche une variation totale de +5,77%, avec une dernière séance en hausse de +0,43%, portant le cours actuel à 22 000 FCFA. Le titre a évolué dans un range de trading de 5 295 FCFA, entre un plus bas de 19 705 FCFA et un plus haut de 25 000 FCFA, ce qui traduit une tendance générale haussière mais avec une correction récente depuis les sommets. Les statistiques descriptives révèlent une moyenne de 22 356 FCFA légèrement supérieure à la médiane de 22 168 FCFA, suggérant une distribution quasi-symétrique avec une très légère asymétrie positive (skewness de 0,191, distribution symétrique). L'écart-type de 1 347 FCFA et le coefficient de variation de 6,0% indiquent une dispersion modérée du cours autour de sa moyenne, ce qui est rassurant pour un titre de cette capitalisation. Le kurtosis (excès) de -0,869, qualifié de mésokurtique (proche d'une distribution normale), suggère une absence de pics extrêmes — le risque de mouvements brusques et violents est donc limité. La volatilité annualisée de 36,3% positionne STBC dans la catégorie des titres à volatilité élevée (&gt;30%), ce qui implique un risque de fluctuation important à court terme, mais cohérent avec les valeurs de rendement de la BRVM.</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22 521,25 FCFA et la MM50 à 23 330,5 FCFA, toutes deux supérieures au cours actuel de 22 000 FCFA. Cette configuration baissière (cours sous les deux moyennes) indique une pression vendeuse persistante et justifie la décision technique de **Vente**. Le croisement potentiel de la MM20 sous la MM50 confirmerait une tendance baissière de moyen terme.</w:t>
      </w:r>
    </w:p>
    <w:p>
      <w:pPr>
        <w:spacing w:after="120" w:line="276" w:lineRule="auto"/>
      </w:pPr>
      <w:r>
        <w:t>**Bandes de Bollinger** : La borne supérieure est à 23 707,247 FCFA et la borne inférieure à 21 335,253 FCFA, avec un cours actuel de 22 000 FCFA positionné dans la moitié inférieure de la bande. Cette position neutre, ni surachetée ni survendue, justifie la décision **Neutre**. L'écart entre les bornes (2 372 FCFA) reflète une volatilité modérée sur la période récente.</w:t>
      </w:r>
    </w:p>
    <w:p>
      <w:pPr>
        <w:spacing w:after="120" w:line="276" w:lineRule="auto"/>
      </w:pPr>
      <w:r>
        <w:t>**MACD** : La valeur du MACD est de -379,816, inférieure à son signal de -331,179, confirmant un momentum baissier. La divergence négative entre le MACD et son signal justifie la décision de **Vente**, bien que l'écart reste modéré, suggérant une possible stabilisation prochaine.</w:t>
      </w:r>
    </w:p>
    <w:p>
      <w:pPr>
        <w:spacing w:after="120" w:line="276" w:lineRule="auto"/>
      </w:pPr>
      <w:r>
        <w:t>**RSI** : À 38,445, le RSI se situe dans la zone neutre basse (30-70), sans atteindre la zone de survente (&lt;30). Cette position justifie la décision **Neutre** — le titre n'est ni suracheté ni survendu, mais la tendance récente est légèrement baissière.</w:t>
      </w:r>
    </w:p>
    <w:p>
      <w:pPr>
        <w:spacing w:after="120" w:line="276" w:lineRule="auto"/>
      </w:pPr>
      <w:r>
        <w:t>**Stochastique** : Le %K (44,29) est légèrement supérieur au %D (41,061), sans croisement significatif. Cette configuration neutre, avec les deux lignes proches de la zone médiane, justifie la décision **Neutre** et suggère une absence de signal directionnel fort à court terme.</w:t>
      </w:r>
    </w:p>
    <w:p>
      <w:pPr>
        <w:spacing w:after="120" w:line="276" w:lineRule="auto"/>
      </w:pPr>
      <w:r>
        <w:t>**Conclusion technique** : Les indicateurs techniques sont majoritairement baissiers (MM et MACD en Vente) mais tempérés par des signaux neutres (Bollinger, RSI, Stochastique). Le titre se trouve dans une phase de consolidation baissière modérée, avec un potentiel de rebond technique si le RSI se rapproche de la zone de survente. La convergence des signaux neutres suggère une absence de tendance claire à court terme, mais la pression des moyennes mobiles reste un frein à une reprise durable.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SITAB a réalisé un chiffre d'affaires de 268,537 milliards FCFA, en croissance de +25,3% par rapport à 2024 (213,794 milliards FCFA), portée par une progression des volumes de +5,6% et un effet prix favorable. Le résultat net s'établit à 36,158 milliards FCFA, en baisse de -17,5% par rapport à 2024 (44,174 milliards FCFA), sous l'effet de la hausse des droits d'accises (de 49% à 70%) et d'un contrôle fiscal. La marge nette se dégrade à 13,46% (contre 20,7% en 2024), tandis que la marge opérationnelle recule à 17,12%. Les ratios de rentabilité restent exceptionnels : ROE de 79,75% (&gt;15% = excellent) et ROA de 48,09%, témoignant d'une efficacité remarquable dans l'utilisation des capitaux propres et des actifs. La structure financière est très saine : autonomie financière de 60,3%, dépendance financière quasi nulle (0,0031%), et trésorerie nette de 30,763 milliards FCFA. Le BFR est négatif (5,639 milliards FCFA), ce qui est favorable pour une entreprise commerciale, et le délai client de 42,57 jours reste maîtrisé. Sur la base des rapports trimestriels 2026, le T1 2026 (rapport du 31/03/2026) affiche un CA de 68,8 milliards FCFA (+12%) et un résultat net de 9,3 milliards FCFA (-1%), tandis que le T2 2026 (rapport du 30/06/2026) montre un CA de 70,05 milliards FCFA (+1%) et un résultat net de 8,64 milliards FCFA (-0,2%). On estime donc que l'exercice 2026 devrait se situer dans la continuité de 2025, avec une stabilisation de la rentabilité autour de 12-13% de marge nette, mais sans retour aux niveaux exceptionnels de 2024. La politique de dividende reste généreuse (1 940 FCFA/action proposé pour 2025, soit un rendement de ~8,8% au cours actuel), mais le taux de distribution de 105% du bénéfice net est non soutenable à long terme. La recommandation fondamentale est **CONSERVER** : la solidité financière et le rendement attractif justifient le maintien en portefeuille, mais la dégradation des marges et les risques réglementaires incitent à la prudence avant tout renforcement.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STBC présente un profil contrasté : le PER de 10,9x et l'EV/EBITDA de 7,9x indiquent une valorisation raisonnable, mais le P/B de 8,71x traduit une prime exigeante qui n'est justifiée que par la rentabilité exceptionnelle de la société. Le comportement du cours sur 100 jours (+5,77%) est positif mais masque une correction depuis le plus haut de 25 000 FCFA, avec une volatilité élevée (36,3%) et une distribution quasi-normale (kurtosis -0,869, skewness 0,191) qui limite le risque de mouvements extrêmes. Les signaux techniques sont majoritairement baissiers (MM20 et MM50 au-dessus du cours, MACD en divergence négative) mais tempérés par des indicateurs neutres (RSI à 38,4, Stochastique sans croisement), suggérant une phase de consolidation plutôt qu'une tendance baissière affirmée. Les fondamentaux restent solides : croissance du CA de +25,3% en 2025, ROE de 79,75%, trésorerie nette de 30,8 milliards FCFA et absence de dette financière, mais la dégradation des marges (marge nette de 13,46% contre 20,7% en 2024) et la politique de dividende non soutenable (taux de distribution de 105%) constituent des signaux d'alerte. Les prédictions IA pour les 10 prochains jours (22 348 FCFA à 23 160 FCFA) anticipent une légère reprise de +5,3% depuis le cours actuel, ce qui contredit partiellement les signaux techniques baissiers et suggère un possible rebond à court terme. Sur la base de cette synthèse, la recommandation finale est **CONSERVER**, avec un niveau de confiance **Moyen** et un risque global **Moyen**. L'horizon d'investissement optimal est le **moyen terme (3-12 mois)**, en attendant les résultats du second semestre 2026 pour vérifier si la maîtrise des coûts s'améliore et si la politique de dividende devient plus soutenable. Un renforcement de la position ne serait justifié qu'en cas de stabilisation des marges et de clarification des perspectives réglementaires.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207.46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6,941 titres</w:t>
            </w:r>
          </w:p>
        </w:tc>
        <w:tc>
          <w:tcPr>
            <w:tcW w:type="dxa" w:w="2268"/>
            <w:shd w:fill="FFF2CC" w:val="clear"/>
          </w:tcPr>
          <w:p>
            <w:r>
              <w:rPr>
                <w:b/>
                <w:color w:val="503200"/>
                <w:sz w:val="16"/>
              </w:rPr>
              <w:t xml:space="preserve">Cours actuel : </w:t>
            </w:r>
            <w:r>
              <w:rPr>
                <w:color w:val="000000"/>
                <w:sz w:val="17"/>
              </w:rPr>
              <w:t>3,295 FCFA</w:t>
            </w:r>
          </w:p>
          <w:p>
            <w:r>
              <w:rPr>
                <w:b/>
                <w:color w:val="503200"/>
                <w:sz w:val="16"/>
              </w:rPr>
              <w:t xml:space="preserve">Var. 100 jours : </w:t>
            </w:r>
            <w:r>
              <w:rPr>
                <w:b/>
                <w:color w:val="007800"/>
                <w:sz w:val="17"/>
              </w:rPr>
              <w:t>+17.89%</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6.85% (Moyenne) — μ=2,951 FCFA, σ=202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β=-0.3558 (Contre-cyclique) — Cov=-0.000013, Var(idx)=0.000036, ρ=-0.083,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6,941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σ_j=2.57%/j (Stable) — Vol. annualisée≈40.8%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2026-09-10</w:t>
            </w:r>
          </w:p>
        </w:tc>
        <w:tc>
          <w:tcPr>
            <w:tcW w:type="dxa" w:w="1440"/>
            <w:shd w:fill="FAFAFA" w:val="clear"/>
          </w:tcPr>
          <w:p>
            <w:r>
              <w:rPr>
                <w:sz w:val="17"/>
              </w:rPr>
              <w:t>3,102</w:t>
            </w:r>
          </w:p>
        </w:tc>
        <w:tc>
          <w:tcPr>
            <w:tcW w:type="dxa" w:w="1440"/>
            <w:shd w:fill="FAFAFA" w:val="clear"/>
          </w:tcPr>
          <w:p>
            <w:r>
              <w:rPr>
                <w:b/>
                <w:sz w:val="17"/>
              </w:rPr>
              <w:t>3,287</w:t>
            </w:r>
          </w:p>
        </w:tc>
        <w:tc>
          <w:tcPr>
            <w:tcW w:type="dxa" w:w="1440"/>
            <w:shd w:fill="FAFAFA" w:val="clear"/>
          </w:tcPr>
          <w:p>
            <w:r>
              <w:rPr>
                <w:sz w:val="17"/>
              </w:rPr>
              <w:t>3,472</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2026-09-11</w:t>
            </w:r>
          </w:p>
        </w:tc>
        <w:tc>
          <w:tcPr>
            <w:tcW w:type="dxa" w:w="1440"/>
            <w:shd w:fill="FAFAFA" w:val="clear"/>
          </w:tcPr>
          <w:p>
            <w:r>
              <w:rPr>
                <w:sz w:val="17"/>
              </w:rPr>
              <w:t>3,017</w:t>
            </w:r>
          </w:p>
        </w:tc>
        <w:tc>
          <w:tcPr>
            <w:tcW w:type="dxa" w:w="1440"/>
            <w:shd w:fill="FAFAFA" w:val="clear"/>
          </w:tcPr>
          <w:p>
            <w:r>
              <w:rPr>
                <w:b/>
                <w:sz w:val="17"/>
              </w:rPr>
              <w:t>3,278</w:t>
            </w:r>
          </w:p>
        </w:tc>
        <w:tc>
          <w:tcPr>
            <w:tcW w:type="dxa" w:w="1440"/>
            <w:shd w:fill="FAFAFA" w:val="clear"/>
          </w:tcPr>
          <w:p>
            <w:r>
              <w:rPr>
                <w:sz w:val="17"/>
              </w:rPr>
              <w:t>3,540</w:t>
            </w:r>
          </w:p>
        </w:tc>
        <w:tc>
          <w:tcPr>
            <w:tcW w:type="dxa" w:w="1440"/>
            <w:shd w:fill="FAFAFA" w:val="clear"/>
          </w:tcPr>
          <w:p>
            <w:r>
              <w:rPr>
                <w:b/>
                <w:color w:val="C00000"/>
                <w:sz w:val="17"/>
              </w:rPr>
              <w:t>-0.5%</w:t>
            </w:r>
          </w:p>
        </w:tc>
      </w:tr>
      <w:tr>
        <w:tc>
          <w:tcPr>
            <w:tcW w:type="dxa" w:w="1440"/>
            <w:shd w:fill="FAFAFA" w:val="clear"/>
          </w:tcPr>
          <w:p>
            <w:r>
              <w:rPr>
                <w:sz w:val="17"/>
              </w:rPr>
              <w:t>J+3  ⭐</w:t>
            </w:r>
          </w:p>
        </w:tc>
        <w:tc>
          <w:tcPr>
            <w:tcW w:type="dxa" w:w="1440"/>
            <w:shd w:fill="FAFAFA" w:val="clear"/>
          </w:tcPr>
          <w:p>
            <w:r>
              <w:rPr>
                <w:sz w:val="17"/>
              </w:rPr>
              <w:t>2026-09-14</w:t>
            </w:r>
          </w:p>
        </w:tc>
        <w:tc>
          <w:tcPr>
            <w:tcW w:type="dxa" w:w="1440"/>
            <w:shd w:fill="FAFAFA" w:val="clear"/>
          </w:tcPr>
          <w:p>
            <w:r>
              <w:rPr>
                <w:sz w:val="17"/>
              </w:rPr>
              <w:t>2,945</w:t>
            </w:r>
          </w:p>
        </w:tc>
        <w:tc>
          <w:tcPr>
            <w:tcW w:type="dxa" w:w="1440"/>
            <w:shd w:fill="FAFAFA" w:val="clear"/>
          </w:tcPr>
          <w:p>
            <w:r>
              <w:rPr>
                <w:b/>
                <w:sz w:val="17"/>
              </w:rPr>
              <w:t>3,264</w:t>
            </w:r>
          </w:p>
        </w:tc>
        <w:tc>
          <w:tcPr>
            <w:tcW w:type="dxa" w:w="1440"/>
            <w:shd w:fill="FAFAFA" w:val="clear"/>
          </w:tcPr>
          <w:p>
            <w:r>
              <w:rPr>
                <w:sz w:val="17"/>
              </w:rPr>
              <w:t>3,583</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2026-09-15</w:t>
            </w:r>
          </w:p>
        </w:tc>
        <w:tc>
          <w:tcPr>
            <w:tcW w:type="dxa" w:w="1440"/>
            <w:shd w:fill="FAFAFA" w:val="clear"/>
          </w:tcPr>
          <w:p>
            <w:r>
              <w:rPr>
                <w:sz w:val="17"/>
              </w:rPr>
              <w:t>2,884</w:t>
            </w:r>
          </w:p>
        </w:tc>
        <w:tc>
          <w:tcPr>
            <w:tcW w:type="dxa" w:w="1440"/>
            <w:shd w:fill="FAFAFA" w:val="clear"/>
          </w:tcPr>
          <w:p>
            <w:r>
              <w:rPr>
                <w:b/>
                <w:sz w:val="17"/>
              </w:rPr>
              <w:t>3,251</w:t>
            </w:r>
          </w:p>
        </w:tc>
        <w:tc>
          <w:tcPr>
            <w:tcW w:type="dxa" w:w="1440"/>
            <w:shd w:fill="FAFAFA" w:val="clear"/>
          </w:tcPr>
          <w:p>
            <w:r>
              <w:rPr>
                <w:sz w:val="17"/>
              </w:rPr>
              <w:t>3,618</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2026-09-16</w:t>
            </w:r>
          </w:p>
        </w:tc>
        <w:tc>
          <w:tcPr>
            <w:tcW w:type="dxa" w:w="1440"/>
            <w:shd w:fill="FAFAFA" w:val="clear"/>
          </w:tcPr>
          <w:p>
            <w:r>
              <w:rPr>
                <w:sz w:val="17"/>
              </w:rPr>
              <w:t>2,830</w:t>
            </w:r>
          </w:p>
        </w:tc>
        <w:tc>
          <w:tcPr>
            <w:tcW w:type="dxa" w:w="1440"/>
            <w:shd w:fill="FAFAFA" w:val="clear"/>
          </w:tcPr>
          <w:p>
            <w:r>
              <w:rPr>
                <w:b/>
                <w:sz w:val="17"/>
              </w:rPr>
              <w:t>3,239</w:t>
            </w:r>
          </w:p>
        </w:tc>
        <w:tc>
          <w:tcPr>
            <w:tcW w:type="dxa" w:w="1440"/>
            <w:shd w:fill="FAFAFA" w:val="clear"/>
          </w:tcPr>
          <w:p>
            <w:r>
              <w:rPr>
                <w:sz w:val="17"/>
              </w:rPr>
              <w:t>3,648</w:t>
            </w:r>
          </w:p>
        </w:tc>
        <w:tc>
          <w:tcPr>
            <w:tcW w:type="dxa" w:w="1440"/>
            <w:shd w:fill="FAFAFA" w:val="clear"/>
          </w:tcPr>
          <w:p>
            <w:r>
              <w:rPr>
                <w:b/>
                <w:color w:val="C00000"/>
                <w:sz w:val="17"/>
              </w:rPr>
              <w:t>-1.7%</w:t>
            </w:r>
          </w:p>
        </w:tc>
      </w:tr>
      <w:tr>
        <w:tc>
          <w:tcPr>
            <w:tcW w:type="dxa" w:w="1440"/>
            <w:shd w:fill="FFDCE0" w:val="clear"/>
          </w:tcPr>
          <w:p>
            <w:r>
              <w:rPr>
                <w:sz w:val="17"/>
              </w:rPr>
              <w:t>J+6  ⭐</w:t>
            </w:r>
          </w:p>
        </w:tc>
        <w:tc>
          <w:tcPr>
            <w:tcW w:type="dxa" w:w="1440"/>
            <w:shd w:fill="FFDCE0" w:val="clear"/>
          </w:tcPr>
          <w:p>
            <w:r>
              <w:rPr>
                <w:sz w:val="17"/>
              </w:rPr>
              <w:t>2026-09-17</w:t>
            </w:r>
          </w:p>
        </w:tc>
        <w:tc>
          <w:tcPr>
            <w:tcW w:type="dxa" w:w="1440"/>
            <w:shd w:fill="FFDCE0" w:val="clear"/>
          </w:tcPr>
          <w:p>
            <w:r>
              <w:rPr>
                <w:sz w:val="17"/>
              </w:rPr>
              <w:t>2,782</w:t>
            </w:r>
          </w:p>
        </w:tc>
        <w:tc>
          <w:tcPr>
            <w:tcW w:type="dxa" w:w="1440"/>
            <w:shd w:fill="FFDCE0" w:val="clear"/>
          </w:tcPr>
          <w:p>
            <w:r>
              <w:rPr>
                <w:b/>
                <w:sz w:val="17"/>
              </w:rPr>
              <w:t>3,228</w:t>
            </w:r>
          </w:p>
        </w:tc>
        <w:tc>
          <w:tcPr>
            <w:tcW w:type="dxa" w:w="1440"/>
            <w:shd w:fill="FFDCE0" w:val="clear"/>
          </w:tcPr>
          <w:p>
            <w:r>
              <w:rPr>
                <w:sz w:val="17"/>
              </w:rPr>
              <w:t>3,674</w:t>
            </w:r>
          </w:p>
        </w:tc>
        <w:tc>
          <w:tcPr>
            <w:tcW w:type="dxa" w:w="1440"/>
            <w:shd w:fill="FFDCE0" w:val="clear"/>
          </w:tcPr>
          <w:p>
            <w:r>
              <w:rPr>
                <w:b/>
                <w:color w:val="C00000"/>
                <w:sz w:val="17"/>
              </w:rPr>
              <w:t>-2.0%</w:t>
            </w:r>
          </w:p>
        </w:tc>
      </w:tr>
      <w:tr>
        <w:tc>
          <w:tcPr>
            <w:tcW w:type="dxa" w:w="1440"/>
            <w:shd w:fill="FFDCE0" w:val="clear"/>
          </w:tcPr>
          <w:p>
            <w:r>
              <w:rPr>
                <w:sz w:val="17"/>
              </w:rPr>
              <w:t>J+7  ⭐</w:t>
            </w:r>
          </w:p>
        </w:tc>
        <w:tc>
          <w:tcPr>
            <w:tcW w:type="dxa" w:w="1440"/>
            <w:shd w:fill="FFDCE0" w:val="clear"/>
          </w:tcPr>
          <w:p>
            <w:r>
              <w:rPr>
                <w:sz w:val="17"/>
              </w:rPr>
              <w:t>2026-09-18</w:t>
            </w:r>
          </w:p>
        </w:tc>
        <w:tc>
          <w:tcPr>
            <w:tcW w:type="dxa" w:w="1440"/>
            <w:shd w:fill="FFDCE0" w:val="clear"/>
          </w:tcPr>
          <w:p>
            <w:r>
              <w:rPr>
                <w:sz w:val="17"/>
              </w:rPr>
              <w:t>2,737</w:t>
            </w:r>
          </w:p>
        </w:tc>
        <w:tc>
          <w:tcPr>
            <w:tcW w:type="dxa" w:w="1440"/>
            <w:shd w:fill="FFDCE0" w:val="clear"/>
          </w:tcPr>
          <w:p>
            <w:r>
              <w:rPr>
                <w:b/>
                <w:sz w:val="17"/>
              </w:rPr>
              <w:t>3,217</w:t>
            </w:r>
          </w:p>
        </w:tc>
        <w:tc>
          <w:tcPr>
            <w:tcW w:type="dxa" w:w="1440"/>
            <w:shd w:fill="FFDCE0" w:val="clear"/>
          </w:tcPr>
          <w:p>
            <w:r>
              <w:rPr>
                <w:sz w:val="17"/>
              </w:rPr>
              <w:t>3,697</w:t>
            </w:r>
          </w:p>
        </w:tc>
        <w:tc>
          <w:tcPr>
            <w:tcW w:type="dxa" w:w="1440"/>
            <w:shd w:fill="FFDCE0" w:val="clear"/>
          </w:tcPr>
          <w:p>
            <w:r>
              <w:rPr>
                <w:b/>
                <w:color w:val="C00000"/>
                <w:sz w:val="17"/>
              </w:rPr>
              <w:t>-2.4%</w:t>
            </w:r>
          </w:p>
        </w:tc>
      </w:tr>
      <w:tr>
        <w:tc>
          <w:tcPr>
            <w:tcW w:type="dxa" w:w="1440"/>
            <w:shd w:fill="FFDCE0" w:val="clear"/>
          </w:tcPr>
          <w:p>
            <w:r>
              <w:rPr>
                <w:sz w:val="17"/>
              </w:rPr>
              <w:t>J+8  ⭐</w:t>
            </w:r>
          </w:p>
        </w:tc>
        <w:tc>
          <w:tcPr>
            <w:tcW w:type="dxa" w:w="1440"/>
            <w:shd w:fill="FFDCE0" w:val="clear"/>
          </w:tcPr>
          <w:p>
            <w:r>
              <w:rPr>
                <w:sz w:val="17"/>
              </w:rPr>
              <w:t>2026-09-21</w:t>
            </w:r>
          </w:p>
        </w:tc>
        <w:tc>
          <w:tcPr>
            <w:tcW w:type="dxa" w:w="1440"/>
            <w:shd w:fill="FFDCE0" w:val="clear"/>
          </w:tcPr>
          <w:p>
            <w:r>
              <w:rPr>
                <w:sz w:val="17"/>
              </w:rPr>
              <w:t>2,694</w:t>
            </w:r>
          </w:p>
        </w:tc>
        <w:tc>
          <w:tcPr>
            <w:tcW w:type="dxa" w:w="1440"/>
            <w:shd w:fill="FFDCE0" w:val="clear"/>
          </w:tcPr>
          <w:p>
            <w:r>
              <w:rPr>
                <w:b/>
                <w:sz w:val="17"/>
              </w:rPr>
              <w:t>3,206</w:t>
            </w:r>
          </w:p>
        </w:tc>
        <w:tc>
          <w:tcPr>
            <w:tcW w:type="dxa" w:w="1440"/>
            <w:shd w:fill="FFDCE0" w:val="clear"/>
          </w:tcPr>
          <w:p>
            <w:r>
              <w:rPr>
                <w:sz w:val="17"/>
              </w:rPr>
              <w:t>3,717</w:t>
            </w:r>
          </w:p>
        </w:tc>
        <w:tc>
          <w:tcPr>
            <w:tcW w:type="dxa" w:w="1440"/>
            <w:shd w:fill="FFDCE0" w:val="clear"/>
          </w:tcPr>
          <w:p>
            <w:r>
              <w:rPr>
                <w:b/>
                <w:color w:val="C00000"/>
                <w:sz w:val="17"/>
              </w:rPr>
              <w:t>-2.7%</w:t>
            </w:r>
          </w:p>
        </w:tc>
      </w:tr>
      <w:tr>
        <w:tc>
          <w:tcPr>
            <w:tcW w:type="dxa" w:w="1440"/>
            <w:shd w:fill="FFDCE0" w:val="clear"/>
          </w:tcPr>
          <w:p>
            <w:r>
              <w:rPr>
                <w:sz w:val="17"/>
              </w:rPr>
              <w:t>J+9  ⭐</w:t>
            </w:r>
          </w:p>
        </w:tc>
        <w:tc>
          <w:tcPr>
            <w:tcW w:type="dxa" w:w="1440"/>
            <w:shd w:fill="FFDCE0" w:val="clear"/>
          </w:tcPr>
          <w:p>
            <w:r>
              <w:rPr>
                <w:sz w:val="17"/>
              </w:rPr>
              <w:t>2026-09-22</w:t>
            </w:r>
          </w:p>
        </w:tc>
        <w:tc>
          <w:tcPr>
            <w:tcW w:type="dxa" w:w="1440"/>
            <w:shd w:fill="FFDCE0" w:val="clear"/>
          </w:tcPr>
          <w:p>
            <w:r>
              <w:rPr>
                <w:sz w:val="17"/>
              </w:rPr>
              <w:t>2,655</w:t>
            </w:r>
          </w:p>
        </w:tc>
        <w:tc>
          <w:tcPr>
            <w:tcW w:type="dxa" w:w="1440"/>
            <w:shd w:fill="FFDCE0" w:val="clear"/>
          </w:tcPr>
          <w:p>
            <w:r>
              <w:rPr>
                <w:b/>
                <w:sz w:val="17"/>
              </w:rPr>
              <w:t>3,196</w:t>
            </w:r>
          </w:p>
        </w:tc>
        <w:tc>
          <w:tcPr>
            <w:tcW w:type="dxa" w:w="1440"/>
            <w:shd w:fill="FFDCE0" w:val="clear"/>
          </w:tcPr>
          <w:p>
            <w:r>
              <w:rPr>
                <w:sz w:val="17"/>
              </w:rPr>
              <w:t>3,736</w:t>
            </w:r>
          </w:p>
        </w:tc>
        <w:tc>
          <w:tcPr>
            <w:tcW w:type="dxa" w:w="1440"/>
            <w:shd w:fill="FFDCE0" w:val="clear"/>
          </w:tcPr>
          <w:p>
            <w:r>
              <w:rPr>
                <w:b/>
                <w:color w:val="C00000"/>
                <w:sz w:val="17"/>
              </w:rPr>
              <w:t>-3.0%</w:t>
            </w:r>
          </w:p>
        </w:tc>
      </w:tr>
      <w:tr>
        <w:tc>
          <w:tcPr>
            <w:tcW w:type="dxa" w:w="1440"/>
            <w:shd w:fill="FFDCE0" w:val="clear"/>
          </w:tcPr>
          <w:p>
            <w:r>
              <w:rPr>
                <w:sz w:val="17"/>
              </w:rPr>
              <w:t>J+10  ⭐</w:t>
            </w:r>
          </w:p>
        </w:tc>
        <w:tc>
          <w:tcPr>
            <w:tcW w:type="dxa" w:w="1440"/>
            <w:shd w:fill="FFDCE0" w:val="clear"/>
          </w:tcPr>
          <w:p>
            <w:r>
              <w:rPr>
                <w:sz w:val="17"/>
              </w:rPr>
              <w:t>2026-09-23</w:t>
            </w:r>
          </w:p>
        </w:tc>
        <w:tc>
          <w:tcPr>
            <w:tcW w:type="dxa" w:w="1440"/>
            <w:shd w:fill="FFDCE0" w:val="clear"/>
          </w:tcPr>
          <w:p>
            <w:r>
              <w:rPr>
                <w:sz w:val="17"/>
              </w:rPr>
              <w:t>2,617</w:t>
            </w:r>
          </w:p>
        </w:tc>
        <w:tc>
          <w:tcPr>
            <w:tcW w:type="dxa" w:w="1440"/>
            <w:shd w:fill="FFDCE0" w:val="clear"/>
          </w:tcPr>
          <w:p>
            <w:r>
              <w:rPr>
                <w:b/>
                <w:sz w:val="17"/>
              </w:rPr>
              <w:t>3,185</w:t>
            </w:r>
          </w:p>
        </w:tc>
        <w:tc>
          <w:tcPr>
            <w:tcW w:type="dxa" w:w="1440"/>
            <w:shd w:fill="FFDCE0" w:val="clear"/>
          </w:tcPr>
          <w:p>
            <w:r>
              <w:rPr>
                <w:sz w:val="17"/>
              </w:rPr>
              <w:t>3,754</w:t>
            </w:r>
          </w:p>
        </w:tc>
        <w:tc>
          <w:tcPr>
            <w:tcW w:type="dxa" w:w="1440"/>
            <w:shd w:fill="FFDCE0" w:val="clear"/>
          </w:tcPr>
          <w:p>
            <w:r>
              <w:rPr>
                <w:b/>
                <w:color w:val="C00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*Bourse Régionale des Valeurs Mobilières (BRVM) — Secteur : Distribution pétrolière*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207,46 milliards FCFA, TTLC figure parmi les valeurs les plus capitalisées de la BRVM, ce qui en fait un pilier de l'indice BRVM Composite et un titre de référence pour les investisseurs institutionnels régionaux. Le BPA de 144 FCFA/action signifie que chaque titre génère 144 FCFA de bénéfice net, mais le PER de 22,8x indique que les investisseurs paient près de 23 fois les bénéfices, soit un niveau très supérieur à la moyenne BRVM (~8-12x), traduisant soit une anticipation de croissance soutenue, soit une surévaluation manifeste. Le P/B de 5,73x confirme cette prime exigeante : le marché valorise l'entreprise à près de 6 fois sa valeur comptable, ce qui est élevé pour un distributeur à faibles marges. Enfin, l'EV/EBITDA de 11,7x, dans la fourchette haute (10-15x), suggère que la valeur totale de l'entreprise (dette incluse) est chèrement payée au regard de sa capacité opérationnelle, ce qui appelle à la prudence sur le potentiel de revalorisation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TTLC affiche une performance remarquable de +17,89%, avec une dernière séance en hausse de +1,70%, portant le cours à 3 295 FCFA. Le titre a évolué dans un range de 945 FCFA, entre un plus bas de 2 650 FCFA et un plus haut de 3 595 FCFA, ce qui témoigne d'une tendance haussière soutenue mais avec des phases de correction. La moyenne (2 951 FCFA) est supérieure à la médiane et au mode (2 900 FCFA), confirmant une asymétrie positive : les cours ont passé plus de temps sous la moyenne, mais les pics haussiers tirent la moyenne vers le haut. L'écart-type de 203 FCFA avec un coefficient de variation de 6,9% indique une dispersion modérée autour de la moyenne, tandis que le kurtosis de 0,727 (mésokurtique) suggère une distribution proche de la normale, sans risque excessif de pics extrêmes. Le skewness de 1,208 (asymétrie positive) signale que les journées de baisse sont plus fréquentes que les journées de hausse, mais que les hausses sont plus amples — un profil favorable aux investisseurs patients. Avec une volatilité annualisée de 40,8%, le titre se situe dans la catégorie des valeurs à volatilité élevée (&gt;30%), ce qui implique un risque de marché significatif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(3 300,25 FCFA) est légèrement supérieure au cours actuel (3 295 FCFA), tandis que la MM50 (3 074,7 FCFA) reste bien en dessous, confirmant une configuration haussière de fond. Le croisement MM20 &gt; MM50 et la position du cours au-dessus de la MM50 justifient la décision d'**Achat**, bien que la proximité du cours à la MM20 suggère une possible consolidation à court terme.</w:t>
      </w:r>
    </w:p>
    <w:p>
      <w:pPr>
        <w:spacing w:after="120" w:line="276" w:lineRule="auto"/>
      </w:pPr>
      <w:r>
        <w:t>**Bandes de Bollinger** : Le cours (3 295 FCFA) évolue dans la partie médiane de la bande, entre la borne inférieure (3 012,77 FCFA) et la borne supérieure (3 587,73 FCFA), sans franchissement des extrêmes. Cette position centrale, couplée à une volatilité modérée, justifie la décision **Neutre** : ni signal de surachat, ni opportunité de survente.</w:t>
      </w:r>
    </w:p>
    <w:p>
      <w:pPr>
        <w:spacing w:after="120" w:line="276" w:lineRule="auto"/>
      </w:pPr>
      <w:r>
        <w:t>**MACD** : La valeur du MACD (71,691) est inférieure à son signal (97,791), générant un croisement baissier et un momentum négatif. Cette divergence indique un essoufflement de la dynamique haussière récente, justifiant la décision de **Vente** à court terme, bien que le MACD reste en territoire positif.</w:t>
      </w:r>
    </w:p>
    <w:p>
      <w:pPr>
        <w:spacing w:after="120" w:line="276" w:lineRule="auto"/>
      </w:pPr>
      <w:r>
        <w:t>**RSI** : À 53,476, le RSI se situe dans la zone neutre (30-70), sans pression de surachat ni de survente. Cette configuration équilibrée justifie la décision **Neutre** et suggère que le titre dispose d'une marge de manœuvre dans les deux directions.</w:t>
      </w:r>
    </w:p>
    <w:p>
      <w:pPr>
        <w:spacing w:after="120" w:line="276" w:lineRule="auto"/>
      </w:pPr>
      <w:r>
        <w:t>**Stochastique** : Le %K (24,051) est supérieur au %D (11,392), avec les deux indicateurs en zone de survente (&lt;20). Ce croisement haussier potentiel en zone basse pourrait annoncer un rebond à court terme, mais la décision reste **Neutre** en l'absence de confirmation par les volumes.</w:t>
      </w:r>
    </w:p>
    <w:p>
      <w:pPr>
        <w:spacing w:after="120" w:line="276" w:lineRule="auto"/>
      </w:pPr>
      <w:r>
        <w:t>**Conclusion technique** : Les indicateurs sont globalement mitigés, avec une tendance de fond haussière (MM) mais des signaux de court terme contradictoires (MACD baissier, Stochastique en survente). Le titre semble entrer dans une phase de consolidation après sa forte progression, et la prudence est de mise avant tout nouvel engagement.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TotalEnergies Marketing Côte d'Ivoire a réalisé un chiffre d'affaires de 588,709 milliards FCFA, en repli de 5,2% par rapport à 2024 (621,042 milliards FCFA), reflétant un ralentissement des volumes et un effet de base défavorable. Le résultat net s'établit à 9,087 milliards FCFA (contre 9,374 milliards en 2024, soit -3%), avec une marge nette de 1,54% — typique d'un distributeur en volume. La rentabilité des fonds propres (ROE) reste excellente à 25,10%, bien supérieure au seuil de 15%, tandis que le ROA de 4,82% traduit une rotation d'actifs élevée (312,36%). La structure financière présente des signaux contrastés : l'autonomie financière est faible (19,21% contre un seuil sain de 30%), le ratio d'endettement atteint 90,23%, et la trésorerie nette est négative à -21,926 milliards FCFA, creusée par des flux d'investissement (-10,124 milliards) et de financement (-13,793 milliards) supérieurs aux flux opérationnels (10,196 milliards). Le BFR est négatif (-9,662 milliards FCFA), ce qui est favorable pour un distributeur, et les délais fournisseurs (49,72 jours) offrent une certaine flexibilité de trésorerie. Sur la base du rapport T1 2026 (publié en 2026), le chiffre d'affaires progresse de 4,3% à 154,392 milliards FCFA et le résultat net de 5,5% à 2,329 milliards FCFA, ce qui laisse présager une reprise modérée pour l'exercice 2026. Le rapport annuel 2025 (publié en 2026) confirme un EBE en hausse de 12% (22,347 milliards FCFA) et un résultat d'exploitation en progression de 18% (12,329 milliards FCFA), signe d'une meilleure maîtrise des marges malgré la baisse du CA. La politique de dividende, avec un payout supérieur à 100% (10 milliards FCFA distribués pour 9,087 milliards de bénéfice net), est généreuse mais potentiellement risquée pour la soutenabilité financière. En synthèse, TTLC affiche une solidité opérationnelle et une rentabilité élevée, mais sa structure financière déséquilibrée et sa trésorerie négative constituent des points de vigilance majeurs.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TTLC apparaît exigeante : le PER de 22,8x et le P/B de 5,73x intègrent déjà une prime de croissance significative, et l'EV/EBITDA de 11,7x ne laisse que peu de marge d'erreur. Le comportement du cours sur 100 jours est haussier (+17,89%), avec une volatilité élevée (40,8%) et une asymétrie positive (skewness 1,208) qui suggère des opportunités de hausse amples mais des corrections fréquentes. Les signaux techniques sont mitigés : la tendance de fond reste haussière (MM20 &gt; MM50), mais le MACD baissier et le Stochastique en survente indiquent une consolidation imminente, ce qui plaide pour une attente avant tout renforcement. Les fondamentaux sont solides (ROE 25,10%, EBE +12% en 2025) mais fragilisés par une trésorerie nette négative (-21,926 milliards FCFA) et un payout supérieur à 100%, tandis que le T1 2026 (+4,3% de CA, +5,5% de résultat net) confirme une reprise modérée. Les prédictions IA (J+1 à J+10) anticipent une légère baisse vers 3 239 FCFA d'ici le 16 septembre 2026, ce qui contredit la tendance haussière récente et confirme la phase de consolidation attendue. Sur la base de cette synthèse, la recommandation est **CONSERVER** : le titre offre une rentabilité et une position de leader attractives, mais sa valorisation tendue, sa trésorerie négative et les signaux techniques baissiers à court terme justifient une certaine prudence. Le niveau de confiance est **Moyen**, le risque global est **Élevé** (volatilité 40,8%, endettement 90,23%), et l'horizon optimal est **moyen terme (3-12 mois)** , en attendant une confirmation de la reprise opérationnelle et une amélioration de la structure financière.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125.10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2,658 titres</w:t>
            </w:r>
          </w:p>
        </w:tc>
        <w:tc>
          <w:tcPr>
            <w:tcW w:type="dxa" w:w="2268"/>
            <w:shd w:fill="FFF2CC" w:val="clear"/>
          </w:tcPr>
          <w:p>
            <w:r>
              <w:rPr>
                <w:b/>
                <w:color w:val="503200"/>
                <w:sz w:val="16"/>
              </w:rPr>
              <w:t xml:space="preserve">Cours actuel : </w:t>
            </w:r>
            <w:r>
              <w:rPr>
                <w:color w:val="000000"/>
                <w:sz w:val="17"/>
              </w:rPr>
              <w:t>3,840 FCFA</w:t>
            </w:r>
          </w:p>
          <w:p>
            <w:r>
              <w:rPr>
                <w:b/>
                <w:color w:val="503200"/>
                <w:sz w:val="16"/>
              </w:rPr>
              <w:t xml:space="preserve">Var. 100 jours : </w:t>
            </w:r>
            <w:r>
              <w:rPr>
                <w:b/>
                <w:color w:val="007800"/>
                <w:sz w:val="17"/>
              </w:rPr>
              <w:t>+19.44%</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45.3%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10.28% (Moyenne) — μ=3,556 FCFA, σ=366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β=0.5834 (Défensif) — Cov=0.000021, Var(idx)=0.000036, ρ=0.122,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2,658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σ_j=2.86%/j (Stable) — Vol. annualisée≈45.3%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2026-09-10</w:t>
            </w:r>
          </w:p>
        </w:tc>
        <w:tc>
          <w:tcPr>
            <w:tcW w:type="dxa" w:w="1440"/>
            <w:shd w:fill="FFDCE0" w:val="clear"/>
          </w:tcPr>
          <w:p>
            <w:r>
              <w:rPr>
                <w:sz w:val="17"/>
              </w:rPr>
              <w:t>3,538</w:t>
            </w:r>
          </w:p>
        </w:tc>
        <w:tc>
          <w:tcPr>
            <w:tcW w:type="dxa" w:w="1440"/>
            <w:shd w:fill="FFDCE0" w:val="clear"/>
          </w:tcPr>
          <w:p>
            <w:r>
              <w:rPr>
                <w:b/>
                <w:sz w:val="17"/>
              </w:rPr>
              <w:t>3,679</w:t>
            </w:r>
          </w:p>
        </w:tc>
        <w:tc>
          <w:tcPr>
            <w:tcW w:type="dxa" w:w="1440"/>
            <w:shd w:fill="FFDCE0" w:val="clear"/>
          </w:tcPr>
          <w:p>
            <w:r>
              <w:rPr>
                <w:sz w:val="17"/>
              </w:rPr>
              <w:t>3,819</w:t>
            </w:r>
          </w:p>
        </w:tc>
        <w:tc>
          <w:tcPr>
            <w:tcW w:type="dxa" w:w="1440"/>
            <w:shd w:fill="FFDCE0" w:val="clear"/>
          </w:tcPr>
          <w:p>
            <w:r>
              <w:rPr>
                <w:b/>
                <w:color w:val="C00000"/>
                <w:sz w:val="17"/>
              </w:rPr>
              <w:t>-4.2%</w:t>
            </w:r>
          </w:p>
        </w:tc>
      </w:tr>
      <w:tr>
        <w:tc>
          <w:tcPr>
            <w:tcW w:type="dxa" w:w="1440"/>
            <w:shd w:fill="FFDCE0" w:val="clear"/>
          </w:tcPr>
          <w:p>
            <w:r>
              <w:rPr>
                <w:sz w:val="17"/>
              </w:rPr>
              <w:t>J+2  ⭐</w:t>
            </w:r>
          </w:p>
        </w:tc>
        <w:tc>
          <w:tcPr>
            <w:tcW w:type="dxa" w:w="1440"/>
            <w:shd w:fill="FFDCE0" w:val="clear"/>
          </w:tcPr>
          <w:p>
            <w:r>
              <w:rPr>
                <w:sz w:val="17"/>
              </w:rPr>
              <w:t>2026-09-11</w:t>
            </w:r>
          </w:p>
        </w:tc>
        <w:tc>
          <w:tcPr>
            <w:tcW w:type="dxa" w:w="1440"/>
            <w:shd w:fill="FFDCE0" w:val="clear"/>
          </w:tcPr>
          <w:p>
            <w:r>
              <w:rPr>
                <w:sz w:val="17"/>
              </w:rPr>
              <w:t>3,417</w:t>
            </w:r>
          </w:p>
        </w:tc>
        <w:tc>
          <w:tcPr>
            <w:tcW w:type="dxa" w:w="1440"/>
            <w:shd w:fill="FFDCE0" w:val="clear"/>
          </w:tcPr>
          <w:p>
            <w:r>
              <w:rPr>
                <w:b/>
                <w:sz w:val="17"/>
              </w:rPr>
              <w:t>3,611</w:t>
            </w:r>
          </w:p>
        </w:tc>
        <w:tc>
          <w:tcPr>
            <w:tcW w:type="dxa" w:w="1440"/>
            <w:shd w:fill="FFDCE0" w:val="clear"/>
          </w:tcPr>
          <w:p>
            <w:r>
              <w:rPr>
                <w:sz w:val="17"/>
              </w:rPr>
              <w:t>3,806</w:t>
            </w:r>
          </w:p>
        </w:tc>
        <w:tc>
          <w:tcPr>
            <w:tcW w:type="dxa" w:w="1440"/>
            <w:shd w:fill="FFDCE0" w:val="clear"/>
          </w:tcPr>
          <w:p>
            <w:r>
              <w:rPr>
                <w:b/>
                <w:color w:val="C00000"/>
                <w:sz w:val="17"/>
              </w:rPr>
              <w:t>-6.0%</w:t>
            </w:r>
          </w:p>
        </w:tc>
      </w:tr>
      <w:tr>
        <w:tc>
          <w:tcPr>
            <w:tcW w:type="dxa" w:w="1440"/>
            <w:shd w:fill="FFDCE0" w:val="clear"/>
          </w:tcPr>
          <w:p>
            <w:r>
              <w:rPr>
                <w:sz w:val="17"/>
              </w:rPr>
              <w:t>J+3  ⭐</w:t>
            </w:r>
          </w:p>
        </w:tc>
        <w:tc>
          <w:tcPr>
            <w:tcW w:type="dxa" w:w="1440"/>
            <w:shd w:fill="FFDCE0" w:val="clear"/>
          </w:tcPr>
          <w:p>
            <w:r>
              <w:rPr>
                <w:sz w:val="17"/>
              </w:rPr>
              <w:t>2026-09-14</w:t>
            </w:r>
          </w:p>
        </w:tc>
        <w:tc>
          <w:tcPr>
            <w:tcW w:type="dxa" w:w="1440"/>
            <w:shd w:fill="FFDCE0" w:val="clear"/>
          </w:tcPr>
          <w:p>
            <w:r>
              <w:rPr>
                <w:sz w:val="17"/>
              </w:rPr>
              <w:t>3,318</w:t>
            </w:r>
          </w:p>
        </w:tc>
        <w:tc>
          <w:tcPr>
            <w:tcW w:type="dxa" w:w="1440"/>
            <w:shd w:fill="FFDCE0" w:val="clear"/>
          </w:tcPr>
          <w:p>
            <w:r>
              <w:rPr>
                <w:b/>
                <w:sz w:val="17"/>
              </w:rPr>
              <w:t>3,553</w:t>
            </w:r>
          </w:p>
        </w:tc>
        <w:tc>
          <w:tcPr>
            <w:tcW w:type="dxa" w:w="1440"/>
            <w:shd w:fill="FFDCE0" w:val="clear"/>
          </w:tcPr>
          <w:p>
            <w:r>
              <w:rPr>
                <w:sz w:val="17"/>
              </w:rPr>
              <w:t>3,788</w:t>
            </w:r>
          </w:p>
        </w:tc>
        <w:tc>
          <w:tcPr>
            <w:tcW w:type="dxa" w:w="1440"/>
            <w:shd w:fill="FFDCE0" w:val="clear"/>
          </w:tcPr>
          <w:p>
            <w:r>
              <w:rPr>
                <w:b/>
                <w:color w:val="C00000"/>
                <w:sz w:val="17"/>
              </w:rPr>
              <w:t>-7.5%</w:t>
            </w:r>
          </w:p>
        </w:tc>
      </w:tr>
      <w:tr>
        <w:tc>
          <w:tcPr>
            <w:tcW w:type="dxa" w:w="1440"/>
            <w:shd w:fill="FFDCE0" w:val="clear"/>
          </w:tcPr>
          <w:p>
            <w:r>
              <w:rPr>
                <w:sz w:val="17"/>
              </w:rPr>
              <w:t>J+4  ⭐</w:t>
            </w:r>
          </w:p>
        </w:tc>
        <w:tc>
          <w:tcPr>
            <w:tcW w:type="dxa" w:w="1440"/>
            <w:shd w:fill="FFDCE0" w:val="clear"/>
          </w:tcPr>
          <w:p>
            <w:r>
              <w:rPr>
                <w:sz w:val="17"/>
              </w:rPr>
              <w:t>2026-09-15</w:t>
            </w:r>
          </w:p>
        </w:tc>
        <w:tc>
          <w:tcPr>
            <w:tcW w:type="dxa" w:w="1440"/>
            <w:shd w:fill="FFDCE0" w:val="clear"/>
          </w:tcPr>
          <w:p>
            <w:r>
              <w:rPr>
                <w:sz w:val="17"/>
              </w:rPr>
              <w:t>3,236</w:t>
            </w:r>
          </w:p>
        </w:tc>
        <w:tc>
          <w:tcPr>
            <w:tcW w:type="dxa" w:w="1440"/>
            <w:shd w:fill="FFDCE0" w:val="clear"/>
          </w:tcPr>
          <w:p>
            <w:r>
              <w:rPr>
                <w:b/>
                <w:sz w:val="17"/>
              </w:rPr>
              <w:t>3,503</w:t>
            </w:r>
          </w:p>
        </w:tc>
        <w:tc>
          <w:tcPr>
            <w:tcW w:type="dxa" w:w="1440"/>
            <w:shd w:fill="FFDCE0" w:val="clear"/>
          </w:tcPr>
          <w:p>
            <w:r>
              <w:rPr>
                <w:sz w:val="17"/>
              </w:rPr>
              <w:t>3,770</w:t>
            </w:r>
          </w:p>
        </w:tc>
        <w:tc>
          <w:tcPr>
            <w:tcW w:type="dxa" w:w="1440"/>
            <w:shd w:fill="FFDCE0" w:val="clear"/>
          </w:tcPr>
          <w:p>
            <w:r>
              <w:rPr>
                <w:b/>
                <w:color w:val="C00000"/>
                <w:sz w:val="17"/>
              </w:rPr>
              <w:t>-8.8%</w:t>
            </w:r>
          </w:p>
        </w:tc>
      </w:tr>
      <w:tr>
        <w:tc>
          <w:tcPr>
            <w:tcW w:type="dxa" w:w="1440"/>
            <w:shd w:fill="FFDCE0" w:val="clear"/>
          </w:tcPr>
          <w:p>
            <w:r>
              <w:rPr>
                <w:sz w:val="17"/>
              </w:rPr>
              <w:t>J+5  ⭐</w:t>
            </w:r>
          </w:p>
        </w:tc>
        <w:tc>
          <w:tcPr>
            <w:tcW w:type="dxa" w:w="1440"/>
            <w:shd w:fill="FFDCE0" w:val="clear"/>
          </w:tcPr>
          <w:p>
            <w:r>
              <w:rPr>
                <w:sz w:val="17"/>
              </w:rPr>
              <w:t>2026-09-16</w:t>
            </w:r>
          </w:p>
        </w:tc>
        <w:tc>
          <w:tcPr>
            <w:tcW w:type="dxa" w:w="1440"/>
            <w:shd w:fill="FFDCE0" w:val="clear"/>
          </w:tcPr>
          <w:p>
            <w:r>
              <w:rPr>
                <w:sz w:val="17"/>
              </w:rPr>
              <w:t>3,164</w:t>
            </w:r>
          </w:p>
        </w:tc>
        <w:tc>
          <w:tcPr>
            <w:tcW w:type="dxa" w:w="1440"/>
            <w:shd w:fill="FFDCE0" w:val="clear"/>
          </w:tcPr>
          <w:p>
            <w:r>
              <w:rPr>
                <w:b/>
                <w:sz w:val="17"/>
              </w:rPr>
              <w:t>3,459</w:t>
            </w:r>
          </w:p>
        </w:tc>
        <w:tc>
          <w:tcPr>
            <w:tcW w:type="dxa" w:w="1440"/>
            <w:shd w:fill="FFDCE0" w:val="clear"/>
          </w:tcPr>
          <w:p>
            <w:r>
              <w:rPr>
                <w:sz w:val="17"/>
              </w:rPr>
              <w:t>3,754</w:t>
            </w:r>
          </w:p>
        </w:tc>
        <w:tc>
          <w:tcPr>
            <w:tcW w:type="dxa" w:w="1440"/>
            <w:shd w:fill="FFDCE0" w:val="clear"/>
          </w:tcPr>
          <w:p>
            <w:r>
              <w:rPr>
                <w:b/>
                <w:color w:val="C00000"/>
                <w:sz w:val="17"/>
              </w:rPr>
              <w:t>-9.9%</w:t>
            </w:r>
          </w:p>
        </w:tc>
      </w:tr>
      <w:tr>
        <w:tc>
          <w:tcPr>
            <w:tcW w:type="dxa" w:w="1440"/>
            <w:shd w:fill="FFDCE0" w:val="clear"/>
          </w:tcPr>
          <w:p>
            <w:r>
              <w:rPr>
                <w:sz w:val="17"/>
              </w:rPr>
              <w:t>J+6  ⭐</w:t>
            </w:r>
          </w:p>
        </w:tc>
        <w:tc>
          <w:tcPr>
            <w:tcW w:type="dxa" w:w="1440"/>
            <w:shd w:fill="FFDCE0" w:val="clear"/>
          </w:tcPr>
          <w:p>
            <w:r>
              <w:rPr>
                <w:sz w:val="17"/>
              </w:rPr>
              <w:t>2026-09-17</w:t>
            </w:r>
          </w:p>
        </w:tc>
        <w:tc>
          <w:tcPr>
            <w:tcW w:type="dxa" w:w="1440"/>
            <w:shd w:fill="FFDCE0" w:val="clear"/>
          </w:tcPr>
          <w:p>
            <w:r>
              <w:rPr>
                <w:sz w:val="17"/>
              </w:rPr>
              <w:t>3,099</w:t>
            </w:r>
          </w:p>
        </w:tc>
        <w:tc>
          <w:tcPr>
            <w:tcW w:type="dxa" w:w="1440"/>
            <w:shd w:fill="FFDCE0" w:val="clear"/>
          </w:tcPr>
          <w:p>
            <w:r>
              <w:rPr>
                <w:b/>
                <w:sz w:val="17"/>
              </w:rPr>
              <w:t>3,418</w:t>
            </w:r>
          </w:p>
        </w:tc>
        <w:tc>
          <w:tcPr>
            <w:tcW w:type="dxa" w:w="1440"/>
            <w:shd w:fill="FFDCE0" w:val="clear"/>
          </w:tcPr>
          <w:p>
            <w:r>
              <w:rPr>
                <w:sz w:val="17"/>
              </w:rPr>
              <w:t>3,737</w:t>
            </w:r>
          </w:p>
        </w:tc>
        <w:tc>
          <w:tcPr>
            <w:tcW w:type="dxa" w:w="1440"/>
            <w:shd w:fill="FFDCE0" w:val="clear"/>
          </w:tcPr>
          <w:p>
            <w:r>
              <w:rPr>
                <w:b/>
                <w:color w:val="C00000"/>
                <w:sz w:val="17"/>
              </w:rPr>
              <w:t>-11.0%</w:t>
            </w:r>
          </w:p>
        </w:tc>
      </w:tr>
      <w:tr>
        <w:tc>
          <w:tcPr>
            <w:tcW w:type="dxa" w:w="1440"/>
            <w:shd w:fill="FFDCE0" w:val="clear"/>
          </w:tcPr>
          <w:p>
            <w:r>
              <w:rPr>
                <w:sz w:val="17"/>
              </w:rPr>
              <w:t>J+7  ⭐</w:t>
            </w:r>
          </w:p>
        </w:tc>
        <w:tc>
          <w:tcPr>
            <w:tcW w:type="dxa" w:w="1440"/>
            <w:shd w:fill="FFDCE0" w:val="clear"/>
          </w:tcPr>
          <w:p>
            <w:r>
              <w:rPr>
                <w:sz w:val="17"/>
              </w:rPr>
              <w:t>2026-09-18</w:t>
            </w:r>
          </w:p>
        </w:tc>
        <w:tc>
          <w:tcPr>
            <w:tcW w:type="dxa" w:w="1440"/>
            <w:shd w:fill="FFDCE0" w:val="clear"/>
          </w:tcPr>
          <w:p>
            <w:r>
              <w:rPr>
                <w:sz w:val="17"/>
              </w:rPr>
              <w:t>3,039</w:t>
            </w:r>
          </w:p>
        </w:tc>
        <w:tc>
          <w:tcPr>
            <w:tcW w:type="dxa" w:w="1440"/>
            <w:shd w:fill="FFDCE0" w:val="clear"/>
          </w:tcPr>
          <w:p>
            <w:r>
              <w:rPr>
                <w:b/>
                <w:sz w:val="17"/>
              </w:rPr>
              <w:t>3,380</w:t>
            </w:r>
          </w:p>
        </w:tc>
        <w:tc>
          <w:tcPr>
            <w:tcW w:type="dxa" w:w="1440"/>
            <w:shd w:fill="FFDCE0" w:val="clear"/>
          </w:tcPr>
          <w:p>
            <w:r>
              <w:rPr>
                <w:sz w:val="17"/>
              </w:rPr>
              <w:t>3,720</w:t>
            </w:r>
          </w:p>
        </w:tc>
        <w:tc>
          <w:tcPr>
            <w:tcW w:type="dxa" w:w="1440"/>
            <w:shd w:fill="FFDCE0" w:val="clear"/>
          </w:tcPr>
          <w:p>
            <w:r>
              <w:rPr>
                <w:b/>
                <w:color w:val="C00000"/>
                <w:sz w:val="17"/>
              </w:rPr>
              <w:t>-12.0%</w:t>
            </w:r>
          </w:p>
        </w:tc>
      </w:tr>
      <w:tr>
        <w:tc>
          <w:tcPr>
            <w:tcW w:type="dxa" w:w="1440"/>
            <w:shd w:fill="FFDCE0" w:val="clear"/>
          </w:tcPr>
          <w:p>
            <w:r>
              <w:rPr>
                <w:sz w:val="17"/>
              </w:rPr>
              <w:t>J+8  ⭐</w:t>
            </w:r>
          </w:p>
        </w:tc>
        <w:tc>
          <w:tcPr>
            <w:tcW w:type="dxa" w:w="1440"/>
            <w:shd w:fill="FFDCE0" w:val="clear"/>
          </w:tcPr>
          <w:p>
            <w:r>
              <w:rPr>
                <w:sz w:val="17"/>
              </w:rPr>
              <w:t>2026-09-21</w:t>
            </w:r>
          </w:p>
        </w:tc>
        <w:tc>
          <w:tcPr>
            <w:tcW w:type="dxa" w:w="1440"/>
            <w:shd w:fill="FFDCE0" w:val="clear"/>
          </w:tcPr>
          <w:p>
            <w:r>
              <w:rPr>
                <w:sz w:val="17"/>
              </w:rPr>
              <w:t>2,983</w:t>
            </w:r>
          </w:p>
        </w:tc>
        <w:tc>
          <w:tcPr>
            <w:tcW w:type="dxa" w:w="1440"/>
            <w:shd w:fill="FFDCE0" w:val="clear"/>
          </w:tcPr>
          <w:p>
            <w:r>
              <w:rPr>
                <w:b/>
                <w:sz w:val="17"/>
              </w:rPr>
              <w:t>3,344</w:t>
            </w:r>
          </w:p>
        </w:tc>
        <w:tc>
          <w:tcPr>
            <w:tcW w:type="dxa" w:w="1440"/>
            <w:shd w:fill="FFDCE0" w:val="clear"/>
          </w:tcPr>
          <w:p>
            <w:r>
              <w:rPr>
                <w:sz w:val="17"/>
              </w:rPr>
              <w:t>3,704</w:t>
            </w:r>
          </w:p>
        </w:tc>
        <w:tc>
          <w:tcPr>
            <w:tcW w:type="dxa" w:w="1440"/>
            <w:shd w:fill="FFDCE0" w:val="clear"/>
          </w:tcPr>
          <w:p>
            <w:r>
              <w:rPr>
                <w:b/>
                <w:color w:val="C00000"/>
                <w:sz w:val="17"/>
              </w:rPr>
              <w:t>-12.9%</w:t>
            </w:r>
          </w:p>
        </w:tc>
      </w:tr>
      <w:tr>
        <w:tc>
          <w:tcPr>
            <w:tcW w:type="dxa" w:w="1440"/>
            <w:shd w:fill="FFDCE0" w:val="clear"/>
          </w:tcPr>
          <w:p>
            <w:r>
              <w:rPr>
                <w:sz w:val="17"/>
              </w:rPr>
              <w:t>J+9  ⭐</w:t>
            </w:r>
          </w:p>
        </w:tc>
        <w:tc>
          <w:tcPr>
            <w:tcW w:type="dxa" w:w="1440"/>
            <w:shd w:fill="FFDCE0" w:val="clear"/>
          </w:tcPr>
          <w:p>
            <w:r>
              <w:rPr>
                <w:sz w:val="17"/>
              </w:rPr>
              <w:t>2026-09-22</w:t>
            </w:r>
          </w:p>
        </w:tc>
        <w:tc>
          <w:tcPr>
            <w:tcW w:type="dxa" w:w="1440"/>
            <w:shd w:fill="FFDCE0" w:val="clear"/>
          </w:tcPr>
          <w:p>
            <w:r>
              <w:rPr>
                <w:sz w:val="17"/>
              </w:rPr>
              <w:t>2,931</w:t>
            </w:r>
          </w:p>
        </w:tc>
        <w:tc>
          <w:tcPr>
            <w:tcW w:type="dxa" w:w="1440"/>
            <w:shd w:fill="FFDCE0" w:val="clear"/>
          </w:tcPr>
          <w:p>
            <w:r>
              <w:rPr>
                <w:b/>
                <w:sz w:val="17"/>
              </w:rPr>
              <w:t>3,310</w:t>
            </w:r>
          </w:p>
        </w:tc>
        <w:tc>
          <w:tcPr>
            <w:tcW w:type="dxa" w:w="1440"/>
            <w:shd w:fill="FFDCE0" w:val="clear"/>
          </w:tcPr>
          <w:p>
            <w:r>
              <w:rPr>
                <w:sz w:val="17"/>
              </w:rPr>
              <w:t>3,688</w:t>
            </w:r>
          </w:p>
        </w:tc>
        <w:tc>
          <w:tcPr>
            <w:tcW w:type="dxa" w:w="1440"/>
            <w:shd w:fill="FFDCE0" w:val="clear"/>
          </w:tcPr>
          <w:p>
            <w:r>
              <w:rPr>
                <w:b/>
                <w:color w:val="C00000"/>
                <w:sz w:val="17"/>
              </w:rPr>
              <w:t>-13.8%</w:t>
            </w:r>
          </w:p>
        </w:tc>
      </w:tr>
      <w:tr>
        <w:tc>
          <w:tcPr>
            <w:tcW w:type="dxa" w:w="1440"/>
            <w:shd w:fill="FFDCE0" w:val="clear"/>
          </w:tcPr>
          <w:p>
            <w:r>
              <w:rPr>
                <w:sz w:val="17"/>
              </w:rPr>
              <w:t>J+10  ⭐</w:t>
            </w:r>
          </w:p>
        </w:tc>
        <w:tc>
          <w:tcPr>
            <w:tcW w:type="dxa" w:w="1440"/>
            <w:shd w:fill="FFDCE0" w:val="clear"/>
          </w:tcPr>
          <w:p>
            <w:r>
              <w:rPr>
                <w:sz w:val="17"/>
              </w:rPr>
              <w:t>2026-09-23</w:t>
            </w:r>
          </w:p>
        </w:tc>
        <w:tc>
          <w:tcPr>
            <w:tcW w:type="dxa" w:w="1440"/>
            <w:shd w:fill="FFDCE0" w:val="clear"/>
          </w:tcPr>
          <w:p>
            <w:r>
              <w:rPr>
                <w:sz w:val="17"/>
              </w:rPr>
              <w:t>2,883</w:t>
            </w:r>
          </w:p>
        </w:tc>
        <w:tc>
          <w:tcPr>
            <w:tcW w:type="dxa" w:w="1440"/>
            <w:shd w:fill="FFDCE0" w:val="clear"/>
          </w:tcPr>
          <w:p>
            <w:r>
              <w:rPr>
                <w:b/>
                <w:sz w:val="17"/>
              </w:rPr>
              <w:t>3,278</w:t>
            </w:r>
          </w:p>
        </w:tc>
        <w:tc>
          <w:tcPr>
            <w:tcW w:type="dxa" w:w="1440"/>
            <w:shd w:fill="FFDCE0" w:val="clear"/>
          </w:tcPr>
          <w:p>
            <w:r>
              <w:rPr>
                <w:sz w:val="17"/>
              </w:rPr>
              <w:t>3,673</w:t>
            </w:r>
          </w:p>
        </w:tc>
        <w:tc>
          <w:tcPr>
            <w:tcW w:type="dxa" w:w="1440"/>
            <w:shd w:fill="FFDCE0" w:val="clear"/>
          </w:tcPr>
          <w:p>
            <w:r>
              <w:rPr>
                <w:b/>
                <w:color w:val="C00000"/>
                <w:sz w:val="17"/>
              </w:rPr>
              <w:t>-14.6%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**RAPPORT D'ANALYSE FINANCIÈRE — TOTALENERGIES MARKETING SÉNÉGAL (TTLS)**</w:t>
        <w:br/>
        <w:t>*Bourse Régionale des Valeurs Mobilières (BRVM) — Secteur : Distribution pétrolière*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125,10 milliards FCFA, TTLS figure parmi les valeurs de taille intermédiaire de la cote BRVM, ce qui lui confère une certaine liquidité mais la place loin des poids lourds bancaires et télécoms. Le BPA de 208 FCFA/action signifie que chaque titre génère un bénéfice net de 208 FCFA, et le PER de 18,5x indique que les investisseurs paient environ 18,5 fois les bénéfices — soit une prime notable par rapport au PER moyen de la BRVM (8-12x), ce qui traduit une anticipation de croissance ou une préférence pour la qualité défensive du titre. Le P/B de 4,43x montre que le marché valorise la société à plus de quatre fois sa valeur comptable, une prime exigeante qui suppose une forte confiance dans la capacité bénéficiaire future. Enfin, l'EV/EBITDA de 7,8x, situé dans la fourchette raisonnable de 5-10x, suggère que la valeur totale de l'entreprise (dette incluse) reste cohérente avec sa capacité opérationnelle, offrant un contrepoids modérateur aux deux premiers ratios.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TTLS affiche une progression totale de +19,44%, avec une dernière séance en hausse de +1,32%, confirmant un momentum haussier de court terme. Le cours actuel de 3 840 FCFA se situe dans la partie haute du range de trading établi entre 2 845 FCFA (plus bas) et 4 500 FCFA (plus haut), soit une amplitude de 58% qui témoigne d'une réelle volatilité. La tendance générale est donc haussière, portée par la résilience opérationnelle de la société malgré la baisse du chiffre d'affaires. Les statistiques descriptives révèlent une moyenne de 3 556 FCFA légèrement supérieure à la médiane de 3 500 FCFA, signe d'une distribution faiblement asymétrique à droite, tandis que le mode à 3 800 FCFA indique que ce niveau de prix a été le plus fréquemment traité. L'écart-type de 367 FCFA (CV=10,3%) traduit une dispersion modérée du cours autour de sa moyenne, et le kurtosis de -0,348 (mésokurtique) suggère une distribution proche de la normale, sans risque excessif de pics extrêmes. Le skewness de 0,262 confirme cette symétrie légèrement positive, et la volatilité annualisée de 45,3% classe le titre dans la catégorie des valeurs à volatilité élevée (&gt;30%), ce qui implique un risque de fluctuation important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(3 780,5 FCFA) est inférieure à la MM50 (3 848,4 FCFA), et le cours actuel (3 840 FCFA) se situe entre les deux, légèrement sous la MM50. Cette configuration de croisement baissier (MM20 &lt; MM50) justifie la décision de vente, car elle indique que la dynamique de court terme s'affaiblit par rapport à la tendance de moyen terme, malgré la hausse récente.</w:t>
      </w:r>
    </w:p>
    <w:p>
      <w:pPr>
        <w:spacing w:after="120" w:line="276" w:lineRule="auto"/>
      </w:pPr>
      <w:r>
        <w:t>**Bandes de Bollinger** : Le cours (3 840 FCFA) évolue à l'intérieur des bandes, entre la borne inférieure (3 573,5 FCFA) et la borne supérieure (3 987,5 FCFA), sans les toucher. Cette position centrale, couplée à une largeur de bande significative, traduit une volatilité normale sans signal de surachat ou de survente, d'où la décision neutre.</w:t>
      </w:r>
    </w:p>
    <w:p>
      <w:pPr>
        <w:spacing w:after="120" w:line="276" w:lineRule="auto"/>
      </w:pPr>
      <w:r>
        <w:t>**MACD** : La valeur du MACD (24,734) est supérieure à son signal (20,065), avec un histogramme positif. Cette configuration indique un momentum haussier en cours, bien que l'écart reste modéré, justifiant la décision d'achat technique à court terme.</w:t>
      </w:r>
    </w:p>
    <w:p>
      <w:pPr>
        <w:spacing w:after="120" w:line="276" w:lineRule="auto"/>
      </w:pPr>
      <w:r>
        <w:t>**RSI** : À 58,434, le RSI se situe dans la zone neutre (30-70), sans atteindre la zone de surachat (&gt;70). Cela signifie que le titre dispose encore d'un potentiel de hausse sans être techniquement surévalué, mais l'absence de signal fort justifie la décision neutre.</w:t>
      </w:r>
    </w:p>
    <w:p>
      <w:pPr>
        <w:spacing w:after="120" w:line="276" w:lineRule="auto"/>
      </w:pPr>
      <w:r>
        <w:t>**Stochastique** : Le %K (55,357) est supérieur au %D (44,643), avec un croisement récent à la hausse. Ce signal haussier naissant, bien que non confirmé par une remontée franche au-dessus de 50, reste fragile et justifie une décision neutre en attendant confirmation.</w:t>
      </w:r>
    </w:p>
    <w:p>
      <w:pPr>
        <w:spacing w:after="120" w:line="276" w:lineRule="auto"/>
      </w:pPr>
      <w:r>
        <w:t>**Conclusion technique** : Les indicateurs sont mitigés, avec un MACD haussier et un Stochastique en croisement positif, mais des moyennes mobiles en configuration baissière et un RSI neutre. Le titre évolue dans une zone de consolidation sans direction claire, ce qui suggère une prudence à court terme malgré le léger avantage aux acheteurs.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 chiffre d'affaires de 455,209 milliards FCFA, en baisse de 6,13% par rapport à 2024, et un résultat net de 6,779 milliards FCFA, en repli de 5,1% (contre 7,140 milliards en 2024). Le ROE s'établit à 24,01%, un niveau excellent qui témoigne d'une forte rentabilité des fonds propres malgré la faiblesse de la marge nette (1,49%), et le ROA de 3,95% reflète la rotation élevée des actifs (265%). En tant qu'entreprise de distribution pétrolière, TTLS affiche un BFR négatif de -36,899 milliards FCFA (favorable), un délai clients de 47,43 jours (risque de trésorerie modéré) et un délai fournisseurs de 97,76 jours (avantage de trésorerie), tandis que la trésorerie nette positive de 13,941 milliards FCFA et la couverture des intérêts de 486% confirment une structure financière saine. Le rapport du T1 2026 (publié le 04/05/2026) indique un chiffre d'affaires de 99,9 milliards FCFA (-10% sur un an) mais un résultat d'exploitation en hausse de 28% à 2,623 milliards FCFA et un résultat net de 1,585 milliard FCFA (+5%), grâce à l'amélioration des marges sur les lubrifiants. Sur cette base, on peut estimer que l'exercice 2026 devrait bénéficier d'une poursuite de l'amélioration de la rentabilité opérationnelle, compensant partiellement la pression sur les volumes et les prix régulés. Le rapport annuel 2025 (publié le 01/05/2026) confirme la stratégie de recentrage sur les segments à forte valeur ajoutée (GPL, lubrifiants, export) après l'arrêt du fuel lourd, et le maintien d'une politique de dividende généreuse (7,691 milliards FCFA versés en 2025, soit un rendement estimé à ~6% sur la base du cours actuel). La recommandation fondamentale est donc de **conserver** le titre, en soulignant la solidité du bilan, la résilience opérationnelle et les perspectives de croissance liées aux projets pétroliers et gaziers du Sénégal (Sangomar, GTA), tout en surveillant les risques réglementaires et la volatilité des prix.</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TTLS présente un profil contrasté : si le PER de 18,5x et le P/B de 4,43x indiquent une surévaluation relative par rapport aux moyennes de la BRVM, l'EV/EBITDA de 7,8x reste raisonnable et tempère ce constat. Le comportement du cours sur 100 jours est haussier (+19,44%) avec une volatilité élevée (45,3%) et une distribution proche de la normale (kurtosis -0,348, skewness 0,262), ce qui suggère une tendance positive mais sans excès spéculatif. Les signaux techniques sont mitigés : le MACD et le Stochastique sont haussiers, mais les moyennes mobiles en croisement baissier et le RSI neutre plaident pour une consolidation, ce qui justifie une décision technique de vente à court terme. Les fondamentaux demeurent solides : ROE de 24%, trésorerie nette positive, BFR négatif, et une amélioration de la rentabilité opérationnelle au T1 2026 (+28% de résultat d'exploitation) qui compense la baisse du chiffre d'affaires. Les prédictions IA pour les 10 prochains jours (3 679 → 3 459 FCFA) anticipent une correction baissière d'environ 10%, ce qui contredit le momentum haussier récent mais s'aligne sur la décision technique de vente. Sur la base de cette synthèse, la recommandation finale est **CONSERVER**, avec un niveau de confiance **Moyen** et un risque global **Moyen**. En effet, la convergence entre la surévaluation relative (PER/P/B), la correction attendue par l'IA et les signaux techniques baissiers à court terme incite à la prudence, mais la solidité fondamentale, la politique de dividende attractive et les perspectives de croissance à long terme justifient de ne pas vendre. L'horizon d'investissement optimal est le **moyen terme (3-12 mois)**, en attendant la confirmation des résultats semestriels 2026 et une clarification sur l'évolution des prix régulés et des volumes.</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486.72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20 titres</w:t>
            </w:r>
          </w:p>
        </w:tc>
        <w:tc>
          <w:tcPr>
            <w:tcW w:type="dxa" w:w="2268"/>
            <w:shd w:fill="FFF2CC" w:val="clear"/>
          </w:tcPr>
          <w:p>
            <w:r>
              <w:rPr>
                <w:b/>
                <w:color w:val="503200"/>
                <w:sz w:val="16"/>
              </w:rPr>
              <w:t xml:space="preserve">Cours actuel : </w:t>
            </w:r>
            <w:r>
              <w:rPr>
                <w:color w:val="000000"/>
                <w:sz w:val="17"/>
              </w:rPr>
              <w:t>53,000 FCFA</w:t>
            </w:r>
          </w:p>
          <w:p>
            <w:r>
              <w:rPr>
                <w:b/>
                <w:color w:val="503200"/>
                <w:sz w:val="16"/>
              </w:rPr>
              <w:t xml:space="preserve">Var. 100 jours : </w:t>
            </w:r>
            <w:r>
              <w:rPr>
                <w:b/>
                <w:color w:val="B40000"/>
                <w:sz w:val="17"/>
              </w:rPr>
              <w:t>-8.62%</w:t>
            </w:r>
          </w:p>
          <w:p>
            <w:r>
              <w:rPr>
                <w:b/>
                <w:color w:val="503200"/>
                <w:sz w:val="16"/>
              </w:rPr>
              <w:t xml:space="preserve">Plus haut 100j : </w:t>
            </w:r>
            <w:r>
              <w:rPr>
                <w:color w:val="000000"/>
                <w:sz w:val="17"/>
              </w:rPr>
              <w:t>63,345 FCFA</w:t>
            </w:r>
          </w:p>
          <w:p>
            <w:r>
              <w:rPr>
                <w:b/>
                <w:color w:val="503200"/>
                <w:sz w:val="16"/>
              </w:rPr>
              <w:t xml:space="preserve">Plus bas 100j : </w:t>
            </w:r>
            <w:r>
              <w:rPr>
                <w:color w:val="000000"/>
                <w:sz w:val="17"/>
              </w:rPr>
              <w:t>50,000 FCFA</w:t>
            </w:r>
          </w:p>
          <w:p>
            <w:r>
              <w:rPr>
                <w:b/>
                <w:color w:val="503200"/>
                <w:sz w:val="16"/>
              </w:rPr>
              <w:t xml:space="preserve">Volatilité ann. : </w:t>
            </w:r>
            <w:r>
              <w:rPr>
                <w:color w:val="000000"/>
                <w:sz w:val="17"/>
              </w:rPr>
              <w:t>59.8%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24.8/100 → Moyen</w:t>
      </w:r>
    </w:p>
    <w:p>
      <w:pPr>
        <w:spacing w:before="40" w:after="80"/>
      </w:pPr>
      <w:r>
        <w:rPr>
          <w:rFonts w:ascii="Courier New" w:hAnsi="Courier New"/>
          <w:color w:val="825A00"/>
          <w:sz w:val="18"/>
        </w:rPr>
        <w:t>████░░░░░░░░░░░░░░░░  24.8/100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5.47% (Moyenne) — μ=55,966 FCFA, σ=3,063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β=0.1547 (Défensif) — Cov=0.000006, Var(idx)=0.000037, ρ=0.025,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20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σ_j=3.77%/j (Modérée) — Vol. annualisée≈59.8%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2026-09-10</w:t>
            </w:r>
          </w:p>
        </w:tc>
        <w:tc>
          <w:tcPr>
            <w:tcW w:type="dxa" w:w="1440"/>
            <w:shd w:fill="FAFAFA" w:val="clear"/>
          </w:tcPr>
          <w:p>
            <w:r>
              <w:rPr>
                <w:sz w:val="17"/>
              </w:rPr>
              <w:t>50,054</w:t>
            </w:r>
          </w:p>
        </w:tc>
        <w:tc>
          <w:tcPr>
            <w:tcW w:type="dxa" w:w="1440"/>
            <w:shd w:fill="FAFAFA" w:val="clear"/>
          </w:tcPr>
          <w:p>
            <w:r>
              <w:rPr>
                <w:b/>
                <w:sz w:val="17"/>
              </w:rPr>
              <w:t>53,350</w:t>
            </w:r>
          </w:p>
        </w:tc>
        <w:tc>
          <w:tcPr>
            <w:tcW w:type="dxa" w:w="1440"/>
            <w:shd w:fill="FAFAFA" w:val="clear"/>
          </w:tcPr>
          <w:p>
            <w:r>
              <w:rPr>
                <w:sz w:val="17"/>
              </w:rPr>
              <w:t>56,646</w:t>
            </w:r>
          </w:p>
        </w:tc>
        <w:tc>
          <w:tcPr>
            <w:tcW w:type="dxa" w:w="1440"/>
            <w:shd w:fill="FAFAFA" w:val="clear"/>
          </w:tcPr>
          <w:p>
            <w:r>
              <w:rPr>
                <w:b/>
                <w:color w:val="008000"/>
                <w:sz w:val="17"/>
              </w:rPr>
              <w:t>+0.7%</w:t>
            </w:r>
          </w:p>
        </w:tc>
      </w:tr>
      <w:tr>
        <w:tc>
          <w:tcPr>
            <w:tcW w:type="dxa" w:w="1440"/>
            <w:shd w:fill="FAFAFA" w:val="clear"/>
          </w:tcPr>
          <w:p>
            <w:r>
              <w:rPr>
                <w:sz w:val="17"/>
              </w:rPr>
              <w:t>J+2  ⭐</w:t>
            </w:r>
          </w:p>
        </w:tc>
        <w:tc>
          <w:tcPr>
            <w:tcW w:type="dxa" w:w="1440"/>
            <w:shd w:fill="FAFAFA" w:val="clear"/>
          </w:tcPr>
          <w:p>
            <w:r>
              <w:rPr>
                <w:sz w:val="17"/>
              </w:rPr>
              <w:t>2026-09-11</w:t>
            </w:r>
          </w:p>
        </w:tc>
        <w:tc>
          <w:tcPr>
            <w:tcW w:type="dxa" w:w="1440"/>
            <w:shd w:fill="FAFAFA" w:val="clear"/>
          </w:tcPr>
          <w:p>
            <w:r>
              <w:rPr>
                <w:sz w:val="17"/>
              </w:rPr>
              <w:t>49,115</w:t>
            </w:r>
          </w:p>
        </w:tc>
        <w:tc>
          <w:tcPr>
            <w:tcW w:type="dxa" w:w="1440"/>
            <w:shd w:fill="FAFAFA" w:val="clear"/>
          </w:tcPr>
          <w:p>
            <w:r>
              <w:rPr>
                <w:b/>
                <w:sz w:val="17"/>
              </w:rPr>
              <w:t>53,818</w:t>
            </w:r>
          </w:p>
        </w:tc>
        <w:tc>
          <w:tcPr>
            <w:tcW w:type="dxa" w:w="1440"/>
            <w:shd w:fill="FAFAFA" w:val="clear"/>
          </w:tcPr>
          <w:p>
            <w:r>
              <w:rPr>
                <w:sz w:val="17"/>
              </w:rPr>
              <w:t>58,520</w:t>
            </w:r>
          </w:p>
        </w:tc>
        <w:tc>
          <w:tcPr>
            <w:tcW w:type="dxa" w:w="1440"/>
            <w:shd w:fill="FAFAFA" w:val="clear"/>
          </w:tcPr>
          <w:p>
            <w:r>
              <w:rPr>
                <w:b/>
                <w:color w:val="008000"/>
                <w:sz w:val="17"/>
              </w:rPr>
              <w:t>+1.5%</w:t>
            </w:r>
          </w:p>
        </w:tc>
      </w:tr>
      <w:tr>
        <w:tc>
          <w:tcPr>
            <w:tcW w:type="dxa" w:w="1440"/>
            <w:shd w:fill="C6EFCE" w:val="clear"/>
          </w:tcPr>
          <w:p>
            <w:r>
              <w:rPr>
                <w:sz w:val="17"/>
              </w:rPr>
              <w:t>J+3  ⭐</w:t>
            </w:r>
          </w:p>
        </w:tc>
        <w:tc>
          <w:tcPr>
            <w:tcW w:type="dxa" w:w="1440"/>
            <w:shd w:fill="C6EFCE" w:val="clear"/>
          </w:tcPr>
          <w:p>
            <w:r>
              <w:rPr>
                <w:sz w:val="17"/>
              </w:rPr>
              <w:t>2026-09-14</w:t>
            </w:r>
          </w:p>
        </w:tc>
        <w:tc>
          <w:tcPr>
            <w:tcW w:type="dxa" w:w="1440"/>
            <w:shd w:fill="C6EFCE" w:val="clear"/>
          </w:tcPr>
          <w:p>
            <w:r>
              <w:rPr>
                <w:sz w:val="17"/>
              </w:rPr>
              <w:t>48,560</w:t>
            </w:r>
          </w:p>
        </w:tc>
        <w:tc>
          <w:tcPr>
            <w:tcW w:type="dxa" w:w="1440"/>
            <w:shd w:fill="C6EFCE" w:val="clear"/>
          </w:tcPr>
          <w:p>
            <w:r>
              <w:rPr>
                <w:b/>
                <w:sz w:val="17"/>
              </w:rPr>
              <w:t>54,379</w:t>
            </w:r>
          </w:p>
        </w:tc>
        <w:tc>
          <w:tcPr>
            <w:tcW w:type="dxa" w:w="1440"/>
            <w:shd w:fill="C6EFCE" w:val="clear"/>
          </w:tcPr>
          <w:p>
            <w:r>
              <w:rPr>
                <w:sz w:val="17"/>
              </w:rPr>
              <w:t>60,198</w:t>
            </w:r>
          </w:p>
        </w:tc>
        <w:tc>
          <w:tcPr>
            <w:tcW w:type="dxa" w:w="1440"/>
            <w:shd w:fill="C6EFCE" w:val="clear"/>
          </w:tcPr>
          <w:p>
            <w:r>
              <w:rPr>
                <w:b/>
                <w:color w:val="008000"/>
                <w:sz w:val="17"/>
              </w:rPr>
              <w:t>+2.6%</w:t>
            </w:r>
          </w:p>
        </w:tc>
      </w:tr>
      <w:tr>
        <w:tc>
          <w:tcPr>
            <w:tcW w:type="dxa" w:w="1440"/>
            <w:shd w:fill="C6EFCE" w:val="clear"/>
          </w:tcPr>
          <w:p>
            <w:r>
              <w:rPr>
                <w:sz w:val="17"/>
              </w:rPr>
              <w:t>J+4  ⭐</w:t>
            </w:r>
          </w:p>
        </w:tc>
        <w:tc>
          <w:tcPr>
            <w:tcW w:type="dxa" w:w="1440"/>
            <w:shd w:fill="C6EFCE" w:val="clear"/>
          </w:tcPr>
          <w:p>
            <w:r>
              <w:rPr>
                <w:sz w:val="17"/>
              </w:rPr>
              <w:t>2026-09-15</w:t>
            </w:r>
          </w:p>
        </w:tc>
        <w:tc>
          <w:tcPr>
            <w:tcW w:type="dxa" w:w="1440"/>
            <w:shd w:fill="C6EFCE" w:val="clear"/>
          </w:tcPr>
          <w:p>
            <w:r>
              <w:rPr>
                <w:sz w:val="17"/>
              </w:rPr>
              <w:t>48,182</w:t>
            </w:r>
          </w:p>
        </w:tc>
        <w:tc>
          <w:tcPr>
            <w:tcW w:type="dxa" w:w="1440"/>
            <w:shd w:fill="C6EFCE" w:val="clear"/>
          </w:tcPr>
          <w:p>
            <w:r>
              <w:rPr>
                <w:b/>
                <w:sz w:val="17"/>
              </w:rPr>
              <w:t>54,976</w:t>
            </w:r>
          </w:p>
        </w:tc>
        <w:tc>
          <w:tcPr>
            <w:tcW w:type="dxa" w:w="1440"/>
            <w:shd w:fill="C6EFCE" w:val="clear"/>
          </w:tcPr>
          <w:p>
            <w:r>
              <w:rPr>
                <w:sz w:val="17"/>
              </w:rPr>
              <w:t>61,769</w:t>
            </w:r>
          </w:p>
        </w:tc>
        <w:tc>
          <w:tcPr>
            <w:tcW w:type="dxa" w:w="1440"/>
            <w:shd w:fill="C6EFCE" w:val="clear"/>
          </w:tcPr>
          <w:p>
            <w:r>
              <w:rPr>
                <w:b/>
                <w:color w:val="008000"/>
                <w:sz w:val="17"/>
              </w:rPr>
              <w:t>+3.7%</w:t>
            </w:r>
          </w:p>
        </w:tc>
      </w:tr>
      <w:tr>
        <w:tc>
          <w:tcPr>
            <w:tcW w:type="dxa" w:w="1440"/>
            <w:shd w:fill="C6EFCE" w:val="clear"/>
          </w:tcPr>
          <w:p>
            <w:r>
              <w:rPr>
                <w:sz w:val="17"/>
              </w:rPr>
              <w:t>J+5  ⭐</w:t>
            </w:r>
          </w:p>
        </w:tc>
        <w:tc>
          <w:tcPr>
            <w:tcW w:type="dxa" w:w="1440"/>
            <w:shd w:fill="C6EFCE" w:val="clear"/>
          </w:tcPr>
          <w:p>
            <w:r>
              <w:rPr>
                <w:sz w:val="17"/>
              </w:rPr>
              <w:t>2026-09-16</w:t>
            </w:r>
          </w:p>
        </w:tc>
        <w:tc>
          <w:tcPr>
            <w:tcW w:type="dxa" w:w="1440"/>
            <w:shd w:fill="C6EFCE" w:val="clear"/>
          </w:tcPr>
          <w:p>
            <w:r>
              <w:rPr>
                <w:sz w:val="17"/>
              </w:rPr>
              <w:t>47,911</w:t>
            </w:r>
          </w:p>
        </w:tc>
        <w:tc>
          <w:tcPr>
            <w:tcW w:type="dxa" w:w="1440"/>
            <w:shd w:fill="C6EFCE" w:val="clear"/>
          </w:tcPr>
          <w:p>
            <w:r>
              <w:rPr>
                <w:b/>
                <w:sz w:val="17"/>
              </w:rPr>
              <w:t>55,591</w:t>
            </w:r>
          </w:p>
        </w:tc>
        <w:tc>
          <w:tcPr>
            <w:tcW w:type="dxa" w:w="1440"/>
            <w:shd w:fill="C6EFCE" w:val="clear"/>
          </w:tcPr>
          <w:p>
            <w:r>
              <w:rPr>
                <w:sz w:val="17"/>
              </w:rPr>
              <w:t>63,271</w:t>
            </w:r>
          </w:p>
        </w:tc>
        <w:tc>
          <w:tcPr>
            <w:tcW w:type="dxa" w:w="1440"/>
            <w:shd w:fill="C6EFCE" w:val="clear"/>
          </w:tcPr>
          <w:p>
            <w:r>
              <w:rPr>
                <w:b/>
                <w:color w:val="008000"/>
                <w:sz w:val="17"/>
              </w:rPr>
              <w:t>+4.9%</w:t>
            </w:r>
          </w:p>
        </w:tc>
      </w:tr>
      <w:tr>
        <w:tc>
          <w:tcPr>
            <w:tcW w:type="dxa" w:w="1440"/>
            <w:shd w:fill="C6EFCE" w:val="clear"/>
          </w:tcPr>
          <w:p>
            <w:r>
              <w:rPr>
                <w:sz w:val="17"/>
              </w:rPr>
              <w:t>J+6  ⭐</w:t>
            </w:r>
          </w:p>
        </w:tc>
        <w:tc>
          <w:tcPr>
            <w:tcW w:type="dxa" w:w="1440"/>
            <w:shd w:fill="C6EFCE" w:val="clear"/>
          </w:tcPr>
          <w:p>
            <w:r>
              <w:rPr>
                <w:sz w:val="17"/>
              </w:rPr>
              <w:t>2026-09-17</w:t>
            </w:r>
          </w:p>
        </w:tc>
        <w:tc>
          <w:tcPr>
            <w:tcW w:type="dxa" w:w="1440"/>
            <w:shd w:fill="C6EFCE" w:val="clear"/>
          </w:tcPr>
          <w:p>
            <w:r>
              <w:rPr>
                <w:sz w:val="17"/>
              </w:rPr>
              <w:t>47,710</w:t>
            </w:r>
          </w:p>
        </w:tc>
        <w:tc>
          <w:tcPr>
            <w:tcW w:type="dxa" w:w="1440"/>
            <w:shd w:fill="C6EFCE" w:val="clear"/>
          </w:tcPr>
          <w:p>
            <w:r>
              <w:rPr>
                <w:b/>
                <w:sz w:val="17"/>
              </w:rPr>
              <w:t>56,218</w:t>
            </w:r>
          </w:p>
        </w:tc>
        <w:tc>
          <w:tcPr>
            <w:tcW w:type="dxa" w:w="1440"/>
            <w:shd w:fill="C6EFCE" w:val="clear"/>
          </w:tcPr>
          <w:p>
            <w:r>
              <w:rPr>
                <w:sz w:val="17"/>
              </w:rPr>
              <w:t>64,725</w:t>
            </w:r>
          </w:p>
        </w:tc>
        <w:tc>
          <w:tcPr>
            <w:tcW w:type="dxa" w:w="1440"/>
            <w:shd w:fill="C6EFCE" w:val="clear"/>
          </w:tcPr>
          <w:p>
            <w:r>
              <w:rPr>
                <w:b/>
                <w:color w:val="008000"/>
                <w:sz w:val="17"/>
              </w:rPr>
              <w:t>+6.1%</w:t>
            </w:r>
          </w:p>
        </w:tc>
      </w:tr>
      <w:tr>
        <w:tc>
          <w:tcPr>
            <w:tcW w:type="dxa" w:w="1440"/>
            <w:shd w:fill="C6EFCE" w:val="clear"/>
          </w:tcPr>
          <w:p>
            <w:r>
              <w:rPr>
                <w:sz w:val="17"/>
              </w:rPr>
              <w:t>J+7  ⭐</w:t>
            </w:r>
          </w:p>
        </w:tc>
        <w:tc>
          <w:tcPr>
            <w:tcW w:type="dxa" w:w="1440"/>
            <w:shd w:fill="C6EFCE" w:val="clear"/>
          </w:tcPr>
          <w:p>
            <w:r>
              <w:rPr>
                <w:sz w:val="17"/>
              </w:rPr>
              <w:t>2026-09-18</w:t>
            </w:r>
          </w:p>
        </w:tc>
        <w:tc>
          <w:tcPr>
            <w:tcW w:type="dxa" w:w="1440"/>
            <w:shd w:fill="C6EFCE" w:val="clear"/>
          </w:tcPr>
          <w:p>
            <w:r>
              <w:rPr>
                <w:sz w:val="17"/>
              </w:rPr>
              <w:t>47,559</w:t>
            </w:r>
          </w:p>
        </w:tc>
        <w:tc>
          <w:tcPr>
            <w:tcW w:type="dxa" w:w="1440"/>
            <w:shd w:fill="C6EFCE" w:val="clear"/>
          </w:tcPr>
          <w:p>
            <w:r>
              <w:rPr>
                <w:b/>
                <w:sz w:val="17"/>
              </w:rPr>
              <w:t>56,852</w:t>
            </w:r>
          </w:p>
        </w:tc>
        <w:tc>
          <w:tcPr>
            <w:tcW w:type="dxa" w:w="1440"/>
            <w:shd w:fill="C6EFCE" w:val="clear"/>
          </w:tcPr>
          <w:p>
            <w:r>
              <w:rPr>
                <w:sz w:val="17"/>
              </w:rPr>
              <w:t>66,145</w:t>
            </w:r>
          </w:p>
        </w:tc>
        <w:tc>
          <w:tcPr>
            <w:tcW w:type="dxa" w:w="1440"/>
            <w:shd w:fill="C6EFCE" w:val="clear"/>
          </w:tcPr>
          <w:p>
            <w:r>
              <w:rPr>
                <w:b/>
                <w:color w:val="008000"/>
                <w:sz w:val="17"/>
              </w:rPr>
              <w:t>+7.3%</w:t>
            </w:r>
          </w:p>
        </w:tc>
      </w:tr>
      <w:tr>
        <w:tc>
          <w:tcPr>
            <w:tcW w:type="dxa" w:w="1440"/>
            <w:shd w:fill="C6EFCE" w:val="clear"/>
          </w:tcPr>
          <w:p>
            <w:r>
              <w:rPr>
                <w:sz w:val="17"/>
              </w:rPr>
              <w:t>J+8  ⭐</w:t>
            </w:r>
          </w:p>
        </w:tc>
        <w:tc>
          <w:tcPr>
            <w:tcW w:type="dxa" w:w="1440"/>
            <w:shd w:fill="C6EFCE" w:val="clear"/>
          </w:tcPr>
          <w:p>
            <w:r>
              <w:rPr>
                <w:sz w:val="17"/>
              </w:rPr>
              <w:t>2026-09-21</w:t>
            </w:r>
          </w:p>
        </w:tc>
        <w:tc>
          <w:tcPr>
            <w:tcW w:type="dxa" w:w="1440"/>
            <w:shd w:fill="C6EFCE" w:val="clear"/>
          </w:tcPr>
          <w:p>
            <w:r>
              <w:rPr>
                <w:sz w:val="17"/>
              </w:rPr>
              <w:t>47,446</w:t>
            </w:r>
          </w:p>
        </w:tc>
        <w:tc>
          <w:tcPr>
            <w:tcW w:type="dxa" w:w="1440"/>
            <w:shd w:fill="C6EFCE" w:val="clear"/>
          </w:tcPr>
          <w:p>
            <w:r>
              <w:rPr>
                <w:b/>
                <w:sz w:val="17"/>
              </w:rPr>
              <w:t>57,493</w:t>
            </w:r>
          </w:p>
        </w:tc>
        <w:tc>
          <w:tcPr>
            <w:tcW w:type="dxa" w:w="1440"/>
            <w:shd w:fill="C6EFCE" w:val="clear"/>
          </w:tcPr>
          <w:p>
            <w:r>
              <w:rPr>
                <w:sz w:val="17"/>
              </w:rPr>
              <w:t>67,539</w:t>
            </w:r>
          </w:p>
        </w:tc>
        <w:tc>
          <w:tcPr>
            <w:tcW w:type="dxa" w:w="1440"/>
            <w:shd w:fill="C6EFCE" w:val="clear"/>
          </w:tcPr>
          <w:p>
            <w:r>
              <w:rPr>
                <w:b/>
                <w:color w:val="008000"/>
                <w:sz w:val="17"/>
              </w:rPr>
              <w:t>+8.5%</w:t>
            </w:r>
          </w:p>
        </w:tc>
      </w:tr>
      <w:tr>
        <w:tc>
          <w:tcPr>
            <w:tcW w:type="dxa" w:w="1440"/>
            <w:shd w:fill="C6EFCE" w:val="clear"/>
          </w:tcPr>
          <w:p>
            <w:r>
              <w:rPr>
                <w:sz w:val="17"/>
              </w:rPr>
              <w:t>J+9  ⭐</w:t>
            </w:r>
          </w:p>
        </w:tc>
        <w:tc>
          <w:tcPr>
            <w:tcW w:type="dxa" w:w="1440"/>
            <w:shd w:fill="C6EFCE" w:val="clear"/>
          </w:tcPr>
          <w:p>
            <w:r>
              <w:rPr>
                <w:sz w:val="17"/>
              </w:rPr>
              <w:t>2026-09-22</w:t>
            </w:r>
          </w:p>
        </w:tc>
        <w:tc>
          <w:tcPr>
            <w:tcW w:type="dxa" w:w="1440"/>
            <w:shd w:fill="C6EFCE" w:val="clear"/>
          </w:tcPr>
          <w:p>
            <w:r>
              <w:rPr>
                <w:sz w:val="17"/>
              </w:rPr>
              <w:t>47,362</w:t>
            </w:r>
          </w:p>
        </w:tc>
        <w:tc>
          <w:tcPr>
            <w:tcW w:type="dxa" w:w="1440"/>
            <w:shd w:fill="C6EFCE" w:val="clear"/>
          </w:tcPr>
          <w:p>
            <w:r>
              <w:rPr>
                <w:b/>
                <w:sz w:val="17"/>
              </w:rPr>
              <w:t>58,138</w:t>
            </w:r>
          </w:p>
        </w:tc>
        <w:tc>
          <w:tcPr>
            <w:tcW w:type="dxa" w:w="1440"/>
            <w:shd w:fill="C6EFCE" w:val="clear"/>
          </w:tcPr>
          <w:p>
            <w:r>
              <w:rPr>
                <w:sz w:val="17"/>
              </w:rPr>
              <w:t>68,913</w:t>
            </w:r>
          </w:p>
        </w:tc>
        <w:tc>
          <w:tcPr>
            <w:tcW w:type="dxa" w:w="1440"/>
            <w:shd w:fill="C6EFCE" w:val="clear"/>
          </w:tcPr>
          <w:p>
            <w:r>
              <w:rPr>
                <w:b/>
                <w:color w:val="008000"/>
                <w:sz w:val="17"/>
              </w:rPr>
              <w:t>+9.7%</w:t>
            </w:r>
          </w:p>
        </w:tc>
      </w:tr>
      <w:tr>
        <w:tc>
          <w:tcPr>
            <w:tcW w:type="dxa" w:w="1440"/>
            <w:shd w:fill="C6EFCE" w:val="clear"/>
          </w:tcPr>
          <w:p>
            <w:r>
              <w:rPr>
                <w:sz w:val="17"/>
              </w:rPr>
              <w:t>J+10  ⭐</w:t>
            </w:r>
          </w:p>
        </w:tc>
        <w:tc>
          <w:tcPr>
            <w:tcW w:type="dxa" w:w="1440"/>
            <w:shd w:fill="C6EFCE" w:val="clear"/>
          </w:tcPr>
          <w:p>
            <w:r>
              <w:rPr>
                <w:sz w:val="17"/>
              </w:rPr>
              <w:t>2026-09-23</w:t>
            </w:r>
          </w:p>
        </w:tc>
        <w:tc>
          <w:tcPr>
            <w:tcW w:type="dxa" w:w="1440"/>
            <w:shd w:fill="C6EFCE" w:val="clear"/>
          </w:tcPr>
          <w:p>
            <w:r>
              <w:rPr>
                <w:sz w:val="17"/>
              </w:rPr>
              <w:t>47,301</w:t>
            </w:r>
          </w:p>
        </w:tc>
        <w:tc>
          <w:tcPr>
            <w:tcW w:type="dxa" w:w="1440"/>
            <w:shd w:fill="C6EFCE" w:val="clear"/>
          </w:tcPr>
          <w:p>
            <w:r>
              <w:rPr>
                <w:b/>
                <w:sz w:val="17"/>
              </w:rPr>
              <w:t>58,786</w:t>
            </w:r>
          </w:p>
        </w:tc>
        <w:tc>
          <w:tcPr>
            <w:tcW w:type="dxa" w:w="1440"/>
            <w:shd w:fill="C6EFCE" w:val="clear"/>
          </w:tcPr>
          <w:p>
            <w:r>
              <w:rPr>
                <w:sz w:val="17"/>
              </w:rPr>
              <w:t>70,271</w:t>
            </w:r>
          </w:p>
        </w:tc>
        <w:tc>
          <w:tcPr>
            <w:tcW w:type="dxa" w:w="1440"/>
            <w:shd w:fill="C6EFCE" w:val="clear"/>
          </w:tcPr>
          <w:p>
            <w:r>
              <w:rPr>
                <w:b/>
                <w:color w:val="008000"/>
                <w:sz w:val="17"/>
              </w:rPr>
              <w:t>+10.9%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COTE D'IVOIRE (UNLC)**</w:t>
        <w:br/>
        <w:t>*Bourse Régionale des Valeurs Mobilières (BRVM) — Secteur : Biens de consommation (FMCG)*</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d'UNLC s'élève à 486,72 milliards FCFA, un niveau significatif qui place la société parmi les valeurs les plus capitalisées de la cote BRVM, bien que très en deçà des poids lourds comme SONATEL. Les ratios de valorisation classiques (BPA, PER, P/B, EV/EBITDA) ne sont pas calculables en l'absence de données financières structurées exploitables dans la base, ce qui limite l'appréciation directe du prix payé par les investisseurs par rapport aux bénéfices ou à la valeur comptable. On peut toutefois noter, à titre indicatif, qu'avec un bénéfice net de 640,3 millions FCFA en 2023 (dernier exercice certifié disponible) et une capitalisation de 486,72 milliards FCFA, le PER implicite ressortirait à un niveau extrêmement élevé (supérieur à 700x), signe d'une décorrélation totale entre le prix de marché et la rentabilité actuelle. Cette situation s'explique par la structure financière dégradée de la société (capitaux propres négatifs) et par la valeur de la marque Unilever plus que par les fondamentaux comptables. L'investisseur doit donc considérer que la valorisation boursière d'UNLC repose davantage sur des anticipations de redressement que sur des multiples rationnels.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affiche une variation totale de -8,62%, mais la dernière séance (J-1) enregistre un rebond marqué de +3,72%, portant le cours actuel à 53 000 FCFA. Le range de trading est large, avec un plus haut à 63 345 FCFA et un plus bas à 50 000 FCFA, soit une amplitude de 13 345 FCFA (26,7% du cours bas), ce qui traduit une réelle nervosité du titre. La tendance générale sur la période est donc baissière, mais le rebond récent suggère une tentative de stabilisation au-dessus du seuil psychologique des 50 000 FCFA. Les statistiques descriptives révèlent une moyenne de 55 966 FCFA légèrement supérieure à la médiane de 56 000 FCFA — écart très faible — ce qui indique une distribution quasi symétrique, confirmée par un skewness de 0,144 (distribution symétrique). L'écart-type de 3 078 FCFA et le coefficient de variation de 5,5% témoignent d'une dispersion modérée du cours autour de sa moyenne, tandis que le kurtosis de -0,529 (mésokurtique) suggère une distribution proche de la normale, sans risque excessif de pics extrêmes. La volatilité annualisée de 59,8% classe toutefois le titre dans la catégorie des valeurs à volatilité élevée (&gt;30%), ce qui implique un risque de variation important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54 222,5 FCFA et la MM50 à 53 705,8 FCFA, toutes deux supérieures au cours actuel de 53 000 FCFA, ce qui place le titre sous ses moyennes mobiles de court et moyen terme. La MM20 étant légèrement au-dessus de la MM50, la configuration reste haussière de fond, mais le cours doit reconquérir ces niveaux pour confirmer la décision d'achat affichée.</w:t>
      </w:r>
    </w:p>
    <w:p>
      <w:pPr>
        <w:spacing w:after="120" w:line="276" w:lineRule="auto"/>
      </w:pPr>
      <w:r>
        <w:t>**Bandes de Bollinger** : La borne supérieure est à 58 582,6 FCFA et la borne inférieure à 49 862,4 FCFA, avec un cours actuel de 53 000 FCFA positionné légèrement sous la médiane des bandes. Cette position médiane, sans contact avec les bornes, justifie la décision neutre : ni suracheté, ni survendu, le titre évolue dans une zone d'indécision avec une volatilité contenue.</w:t>
      </w:r>
    </w:p>
    <w:p>
      <w:pPr>
        <w:spacing w:after="120" w:line="276" w:lineRule="auto"/>
      </w:pPr>
      <w:r>
        <w:t>**MACD** : La valeur du MACD est de -436,425 contre un signal à -186,823, soit une divergence négative où le MACD est nettement sous son signal. Ce croisement baissier indique un momentum négatif persistant, justifiant la décision de vente malgré le rebond récent du cours.</w:t>
      </w:r>
    </w:p>
    <w:p>
      <w:pPr>
        <w:spacing w:after="120" w:line="276" w:lineRule="auto"/>
      </w:pPr>
      <w:r>
        <w:t>**RSI** : À 47,386, l'indice de force relative se situe dans la zone neutre (30-70), sans signal de surachat ni de survente. Cette valeur médiane confirme l'absence de pression directionnelle forte et justifie la décision neutre.</w:t>
      </w:r>
    </w:p>
    <w:p>
      <w:pPr>
        <w:spacing w:after="120" w:line="276" w:lineRule="auto"/>
      </w:pPr>
      <w:r>
        <w:t>**Stochastique** : Le %K est à 39,101 et le %D à 13,685, avec un %K nettement supérieur au %D, ce qui constitue un croisement haussier potentiel. Toutefois, les deux lignes restent en zone basse, et la décision affichée est neutre, suggérant que le signal n'est pas encore confirmé.</w:t>
      </w:r>
    </w:p>
    <w:p>
      <w:pPr>
        <w:spacing w:after="120" w:line="276" w:lineRule="auto"/>
      </w:pPr>
      <w:r>
        <w:t>**Conclusion technique** : Les indicateurs sont majoritairement neutres (Bollinger, RSI, Stochastique) avec une composante baissière sur le MACD et une composante haussière sur les moyennes mobiles. Cette divergence reflète un marché indécis, où le rebond de J-1 (+3,72%) n'a pas encore inversé la dynamique de fond. La prudence reste de mise tant que le cours n'aura pas reconquis la MM20 (54 222 FCFA) avec un MACD repassé au-dessus de son signal.</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ne sont pas disponibles dans la base, mais les rapports officiels analysés fournissent des éléments précis. Pour l'exercice clos le 31 décembre 2023 (rapport analysé le 15 mars 2026), UNILEVER Côte d'Ivoire a réalisé un chiffre d'affaires de 24 336 010 000 FCFA, stable par rapport à 2022, et un bénéfice net de 640 334 855 FCFA, en forte amélioration après la perte de 6 908 362 002 FCFA en 2022. La marge nette ressort ainsi à 2,63% en 2023, très en dessous de la moyenne sectorielle des FMCG en Afrique de l'Ouest (5-10%). Le résultat d'exploitation est redevenu positif à +3 340 millions FCFA contre -6 258 millions FCFA en 2022, grâce à la réduction des charges et à la hausse des produits accessoires. Pour l'exercice 2022 (rapport analysé le 15 mars 2026), le CA s'élevait à 36 174,6 millions FCFA (périmètre incluant l'activité Thé cédée), en baisse de 21,5% sur un an, avec une perte nette de 6 382,6 millions FCFA et une marge nette de -17,6%. L'exercice 2021 (rapport analysé le 16 mars 2026) affichait un CA de 24 336 010 000 FCFA et un bénéfice net de 6 090 755 732 FCFA, soit une marge nette de 25,0%, mais ce résultat incluait la plus-value exceptionnelle de cession de la marque Lipton (+16,7 milliards FCFA). La structure financière reste préoccupante : les capitaux propres sont négatifs à -10 658 millions FCFA en 2023, le report à nouveau est négatif à -35 635 millions FCFA, et les dettes financières s'élèvent à 4 379 millions FCFA. Aucun dividende n'a été versé en 2023, 2022 et 2021, la priorité étant donnée à la reconstitution des fonds propres. Sur la base de ces éléments, la recommandation fondamentale est de **conserver avec vigilance** : la marque Unilever et le retour à un bénéfice net en 2023 constituent des points d'appui, mais la faiblesse des marges, l'absence de croissance du CA et les capitaux propres négatifs maintiennent un risque élevé. Une reprise durable des dividendes n'est envisageable qu'à moyen terme, sous réserve d'une amélioration confirmée de la rentabilité.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situation contrastée. La valorisation (Partie 0) est difficile à apprécier faute de ratios calculables, mais le PER implicite très élevé suggère une surévaluation par rapport aux bénéfices actuels, compensée par la valeur de la marque. Le comportement du cours (Partie 1) est baissier sur 100 jours (-8,62%) avec une volatilité élevée (59,8%), mais les statistiques descriptives (skewness symétrique, kurtosis normal) indiquent l'absence de risque extrême et un rebond récent de +3,72% en J-1. Les signaux techniques (Partie 2) sont divergents : le MACD est baissier, les moyennes mobiles sont haussières de fond, et le RSI/Bollinger/Stochastique sont neutres, ce qui plaide pour une attente de confirmation. Les fondamentaux (Partie 3) montrent un retour à la profitabilité en 2023 (bénéfice net de 640 millions FCFA) mais une structure financière fragile (capitaux propres négatifs, absence de dividende). Les prédictions IA (J+1 à J+10) anticipent une trajectoire haussière de 53 350 FCFA à 55 591 FCFA, soit une progression de +4,2% sur 10 jours, ce qui confirme le rebond technique en cours mais contredit le momentum baissier du MACD. Sur la base de cette synthèse, la recommandation finale est **CONSERVER**, avec un niveau de confiance **Moyen** et un risque global **Élevé**. L'horizon d'investissement optimal est le **moyen terme (3-12 mois)**, le temps que la société confirme la durabilité de son redressement et que les indicateurs techniques convergent vers un signal d'achat plus franc. Un investisseur averse au risque privilégiera l'attente d'une reconquête de la MM20 (54 222 FCFA) et d'un MACD repassé au-dessus de son signal avant tout renforcement.</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48.76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13,263 titres</w:t>
            </w:r>
          </w:p>
        </w:tc>
        <w:tc>
          <w:tcPr>
            <w:tcW w:type="dxa" w:w="2268"/>
            <w:shd w:fill="FFF2CC" w:val="clear"/>
          </w:tcPr>
          <w:p>
            <w:r>
              <w:rPr>
                <w:b/>
                <w:color w:val="503200"/>
                <w:sz w:val="16"/>
              </w:rPr>
              <w:t xml:space="preserve">Cours actuel : </w:t>
            </w:r>
            <w:r>
              <w:rPr>
                <w:color w:val="000000"/>
                <w:sz w:val="17"/>
              </w:rPr>
              <w:t>2,350 FCFA</w:t>
            </w:r>
          </w:p>
          <w:p>
            <w:r>
              <w:rPr>
                <w:b/>
                <w:color w:val="503200"/>
                <w:sz w:val="16"/>
              </w:rPr>
              <w:t xml:space="preserve">Var. 100 jours : </w:t>
            </w:r>
            <w:r>
              <w:rPr>
                <w:b/>
                <w:color w:val="007800"/>
                <w:sz w:val="17"/>
              </w:rPr>
              <w:t>+26.68%</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19.8/100 → Faible</w:t>
      </w:r>
    </w:p>
    <w:p>
      <w:pPr>
        <w:spacing w:before="40" w:after="80"/>
      </w:pPr>
      <w:r>
        <w:rPr>
          <w:rFonts w:ascii="Courier New" w:hAnsi="Courier New"/>
          <w:color w:val="006400"/>
          <w:sz w:val="18"/>
        </w:rPr>
        <w:t>███░░░░░░░░░░░░░░░░░  19.8/100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13.53% (Moyenne) — μ=1,931 FCFA, σ=261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β=-0.1575 (Contre-cyclique) — Cov=-0.000006, Var(idx)=0.000036, ρ=-0.030,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13,263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σ_j=3.17%/j (Modérée) — Vol. annualisée≈50.3%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2026-09-10</w:t>
            </w:r>
          </w:p>
        </w:tc>
        <w:tc>
          <w:tcPr>
            <w:tcW w:type="dxa" w:w="1440"/>
            <w:shd w:fill="FAFAFA" w:val="clear"/>
          </w:tcPr>
          <w:p>
            <w:r>
              <w:rPr>
                <w:sz w:val="17"/>
              </w:rPr>
              <w:t>2,227</w:t>
            </w:r>
          </w:p>
        </w:tc>
        <w:tc>
          <w:tcPr>
            <w:tcW w:type="dxa" w:w="1440"/>
            <w:shd w:fill="FAFAFA" w:val="clear"/>
          </w:tcPr>
          <w:p>
            <w:r>
              <w:rPr>
                <w:b/>
                <w:sz w:val="17"/>
              </w:rPr>
              <w:t>2,324</w:t>
            </w:r>
          </w:p>
        </w:tc>
        <w:tc>
          <w:tcPr>
            <w:tcW w:type="dxa" w:w="1440"/>
            <w:shd w:fill="FAFAFA" w:val="clear"/>
          </w:tcPr>
          <w:p>
            <w:r>
              <w:rPr>
                <w:sz w:val="17"/>
              </w:rPr>
              <w:t>2,421</w:t>
            </w:r>
          </w:p>
        </w:tc>
        <w:tc>
          <w:tcPr>
            <w:tcW w:type="dxa" w:w="1440"/>
            <w:shd w:fill="FAFAFA" w:val="clear"/>
          </w:tcPr>
          <w:p>
            <w:r>
              <w:rPr>
                <w:b/>
                <w:color w:val="C00000"/>
                <w:sz w:val="17"/>
              </w:rPr>
              <w:t>-1.1%</w:t>
            </w:r>
          </w:p>
        </w:tc>
      </w:tr>
      <w:tr>
        <w:tc>
          <w:tcPr>
            <w:tcW w:type="dxa" w:w="1440"/>
            <w:shd w:fill="FAFAFA" w:val="clear"/>
          </w:tcPr>
          <w:p>
            <w:r>
              <w:rPr>
                <w:sz w:val="17"/>
              </w:rPr>
              <w:t>J+2  Moyenne</w:t>
            </w:r>
          </w:p>
        </w:tc>
        <w:tc>
          <w:tcPr>
            <w:tcW w:type="dxa" w:w="1440"/>
            <w:shd w:fill="FAFAFA" w:val="clear"/>
          </w:tcPr>
          <w:p>
            <w:r>
              <w:rPr>
                <w:sz w:val="17"/>
              </w:rPr>
              <w:t>2026-09-11</w:t>
            </w:r>
          </w:p>
        </w:tc>
        <w:tc>
          <w:tcPr>
            <w:tcW w:type="dxa" w:w="1440"/>
            <w:shd w:fill="FAFAFA" w:val="clear"/>
          </w:tcPr>
          <w:p>
            <w:r>
              <w:rPr>
                <w:sz w:val="17"/>
              </w:rPr>
              <w:t>2,175</w:t>
            </w:r>
          </w:p>
        </w:tc>
        <w:tc>
          <w:tcPr>
            <w:tcW w:type="dxa" w:w="1440"/>
            <w:shd w:fill="FAFAFA" w:val="clear"/>
          </w:tcPr>
          <w:p>
            <w:r>
              <w:rPr>
                <w:b/>
                <w:sz w:val="17"/>
              </w:rPr>
              <w:t>2,312</w:t>
            </w:r>
          </w:p>
        </w:tc>
        <w:tc>
          <w:tcPr>
            <w:tcW w:type="dxa" w:w="1440"/>
            <w:shd w:fill="FAFAFA" w:val="clear"/>
          </w:tcPr>
          <w:p>
            <w:r>
              <w:rPr>
                <w:sz w:val="17"/>
              </w:rPr>
              <w:t>2,448</w:t>
            </w:r>
          </w:p>
        </w:tc>
        <w:tc>
          <w:tcPr>
            <w:tcW w:type="dxa" w:w="1440"/>
            <w:shd w:fill="FAFAFA" w:val="clear"/>
          </w:tcPr>
          <w:p>
            <w:r>
              <w:rPr>
                <w:b/>
                <w:color w:val="C00000"/>
                <w:sz w:val="17"/>
              </w:rPr>
              <w:t>-1.6%</w:t>
            </w:r>
          </w:p>
        </w:tc>
      </w:tr>
      <w:tr>
        <w:tc>
          <w:tcPr>
            <w:tcW w:type="dxa" w:w="1440"/>
            <w:shd w:fill="FFDCE0" w:val="clear"/>
          </w:tcPr>
          <w:p>
            <w:r>
              <w:rPr>
                <w:sz w:val="17"/>
              </w:rPr>
              <w:t>J+3  Moyenne</w:t>
            </w:r>
          </w:p>
        </w:tc>
        <w:tc>
          <w:tcPr>
            <w:tcW w:type="dxa" w:w="1440"/>
            <w:shd w:fill="FFDCE0" w:val="clear"/>
          </w:tcPr>
          <w:p>
            <w:r>
              <w:rPr>
                <w:sz w:val="17"/>
              </w:rPr>
              <w:t>2026-09-14</w:t>
            </w:r>
          </w:p>
        </w:tc>
        <w:tc>
          <w:tcPr>
            <w:tcW w:type="dxa" w:w="1440"/>
            <w:shd w:fill="FFDCE0" w:val="clear"/>
          </w:tcPr>
          <w:p>
            <w:r>
              <w:rPr>
                <w:sz w:val="17"/>
              </w:rPr>
              <w:t>2,132</w:t>
            </w:r>
          </w:p>
        </w:tc>
        <w:tc>
          <w:tcPr>
            <w:tcW w:type="dxa" w:w="1440"/>
            <w:shd w:fill="FFDCE0" w:val="clear"/>
          </w:tcPr>
          <w:p>
            <w:r>
              <w:rPr>
                <w:b/>
                <w:sz w:val="17"/>
              </w:rPr>
              <w:t>2,298</w:t>
            </w:r>
          </w:p>
        </w:tc>
        <w:tc>
          <w:tcPr>
            <w:tcW w:type="dxa" w:w="1440"/>
            <w:shd w:fill="FFDCE0" w:val="clear"/>
          </w:tcPr>
          <w:p>
            <w:r>
              <w:rPr>
                <w:sz w:val="17"/>
              </w:rPr>
              <w:t>2,465</w:t>
            </w:r>
          </w:p>
        </w:tc>
        <w:tc>
          <w:tcPr>
            <w:tcW w:type="dxa" w:w="1440"/>
            <w:shd w:fill="FFDCE0" w:val="clear"/>
          </w:tcPr>
          <w:p>
            <w:r>
              <w:rPr>
                <w:b/>
                <w:color w:val="C00000"/>
                <w:sz w:val="17"/>
              </w:rPr>
              <w:t>-2.2%</w:t>
            </w:r>
          </w:p>
        </w:tc>
      </w:tr>
      <w:tr>
        <w:tc>
          <w:tcPr>
            <w:tcW w:type="dxa" w:w="1440"/>
            <w:shd w:fill="FFDCE0" w:val="clear"/>
          </w:tcPr>
          <w:p>
            <w:r>
              <w:rPr>
                <w:sz w:val="17"/>
              </w:rPr>
              <w:t>J+4  ⭐</w:t>
            </w:r>
          </w:p>
        </w:tc>
        <w:tc>
          <w:tcPr>
            <w:tcW w:type="dxa" w:w="1440"/>
            <w:shd w:fill="FFDCE0" w:val="clear"/>
          </w:tcPr>
          <w:p>
            <w:r>
              <w:rPr>
                <w:sz w:val="17"/>
              </w:rPr>
              <w:t>2026-09-15</w:t>
            </w:r>
          </w:p>
        </w:tc>
        <w:tc>
          <w:tcPr>
            <w:tcW w:type="dxa" w:w="1440"/>
            <w:shd w:fill="FFDCE0" w:val="clear"/>
          </w:tcPr>
          <w:p>
            <w:r>
              <w:rPr>
                <w:sz w:val="17"/>
              </w:rPr>
              <w:t>2,094</w:t>
            </w:r>
          </w:p>
        </w:tc>
        <w:tc>
          <w:tcPr>
            <w:tcW w:type="dxa" w:w="1440"/>
            <w:shd w:fill="FFDCE0" w:val="clear"/>
          </w:tcPr>
          <w:p>
            <w:r>
              <w:rPr>
                <w:b/>
                <w:sz w:val="17"/>
              </w:rPr>
              <w:t>2,285</w:t>
            </w:r>
          </w:p>
        </w:tc>
        <w:tc>
          <w:tcPr>
            <w:tcW w:type="dxa" w:w="1440"/>
            <w:shd w:fill="FFDCE0" w:val="clear"/>
          </w:tcPr>
          <w:p>
            <w:r>
              <w:rPr>
                <w:sz w:val="17"/>
              </w:rPr>
              <w:t>2,476</w:t>
            </w:r>
          </w:p>
        </w:tc>
        <w:tc>
          <w:tcPr>
            <w:tcW w:type="dxa" w:w="1440"/>
            <w:shd w:fill="FFDCE0" w:val="clear"/>
          </w:tcPr>
          <w:p>
            <w:r>
              <w:rPr>
                <w:b/>
                <w:color w:val="C00000"/>
                <w:sz w:val="17"/>
              </w:rPr>
              <w:t>-2.8%</w:t>
            </w:r>
          </w:p>
        </w:tc>
      </w:tr>
      <w:tr>
        <w:tc>
          <w:tcPr>
            <w:tcW w:type="dxa" w:w="1440"/>
            <w:shd w:fill="FFDCE0" w:val="clear"/>
          </w:tcPr>
          <w:p>
            <w:r>
              <w:rPr>
                <w:sz w:val="17"/>
              </w:rPr>
              <w:t>J+5  ⭐</w:t>
            </w:r>
          </w:p>
        </w:tc>
        <w:tc>
          <w:tcPr>
            <w:tcW w:type="dxa" w:w="1440"/>
            <w:shd w:fill="FFDCE0" w:val="clear"/>
          </w:tcPr>
          <w:p>
            <w:r>
              <w:rPr>
                <w:sz w:val="17"/>
              </w:rPr>
              <w:t>2026-09-16</w:t>
            </w:r>
          </w:p>
        </w:tc>
        <w:tc>
          <w:tcPr>
            <w:tcW w:type="dxa" w:w="1440"/>
            <w:shd w:fill="FFDCE0" w:val="clear"/>
          </w:tcPr>
          <w:p>
            <w:r>
              <w:rPr>
                <w:sz w:val="17"/>
              </w:rPr>
              <w:t>2,059</w:t>
            </w:r>
          </w:p>
        </w:tc>
        <w:tc>
          <w:tcPr>
            <w:tcW w:type="dxa" w:w="1440"/>
            <w:shd w:fill="FFDCE0" w:val="clear"/>
          </w:tcPr>
          <w:p>
            <w:r>
              <w:rPr>
                <w:b/>
                <w:sz w:val="17"/>
              </w:rPr>
              <w:t>2,271</w:t>
            </w:r>
          </w:p>
        </w:tc>
        <w:tc>
          <w:tcPr>
            <w:tcW w:type="dxa" w:w="1440"/>
            <w:shd w:fill="FFDCE0" w:val="clear"/>
          </w:tcPr>
          <w:p>
            <w:r>
              <w:rPr>
                <w:sz w:val="17"/>
              </w:rPr>
              <w:t>2,484</w:t>
            </w:r>
          </w:p>
        </w:tc>
        <w:tc>
          <w:tcPr>
            <w:tcW w:type="dxa" w:w="1440"/>
            <w:shd w:fill="FFDCE0" w:val="clear"/>
          </w:tcPr>
          <w:p>
            <w:r>
              <w:rPr>
                <w:b/>
                <w:color w:val="C00000"/>
                <w:sz w:val="17"/>
              </w:rPr>
              <w:t>-3.3%</w:t>
            </w:r>
          </w:p>
        </w:tc>
      </w:tr>
      <w:tr>
        <w:tc>
          <w:tcPr>
            <w:tcW w:type="dxa" w:w="1440"/>
            <w:shd w:fill="FFDCE0" w:val="clear"/>
          </w:tcPr>
          <w:p>
            <w:r>
              <w:rPr>
                <w:sz w:val="17"/>
              </w:rPr>
              <w:t>J+6  ⭐</w:t>
            </w:r>
          </w:p>
        </w:tc>
        <w:tc>
          <w:tcPr>
            <w:tcW w:type="dxa" w:w="1440"/>
            <w:shd w:fill="FFDCE0" w:val="clear"/>
          </w:tcPr>
          <w:p>
            <w:r>
              <w:rPr>
                <w:sz w:val="17"/>
              </w:rPr>
              <w:t>2026-09-17</w:t>
            </w:r>
          </w:p>
        </w:tc>
        <w:tc>
          <w:tcPr>
            <w:tcW w:type="dxa" w:w="1440"/>
            <w:shd w:fill="FFDCE0" w:val="clear"/>
          </w:tcPr>
          <w:p>
            <w:r>
              <w:rPr>
                <w:sz w:val="17"/>
              </w:rPr>
              <w:t>2,027</w:t>
            </w:r>
          </w:p>
        </w:tc>
        <w:tc>
          <w:tcPr>
            <w:tcW w:type="dxa" w:w="1440"/>
            <w:shd w:fill="FFDCE0" w:val="clear"/>
          </w:tcPr>
          <w:p>
            <w:r>
              <w:rPr>
                <w:b/>
                <w:sz w:val="17"/>
              </w:rPr>
              <w:t>2,258</w:t>
            </w:r>
          </w:p>
        </w:tc>
        <w:tc>
          <w:tcPr>
            <w:tcW w:type="dxa" w:w="1440"/>
            <w:shd w:fill="FFDCE0" w:val="clear"/>
          </w:tcPr>
          <w:p>
            <w:r>
              <w:rPr>
                <w:sz w:val="17"/>
              </w:rPr>
              <w:t>2,489</w:t>
            </w:r>
          </w:p>
        </w:tc>
        <w:tc>
          <w:tcPr>
            <w:tcW w:type="dxa" w:w="1440"/>
            <w:shd w:fill="FFDCE0" w:val="clear"/>
          </w:tcPr>
          <w:p>
            <w:r>
              <w:rPr>
                <w:b/>
                <w:color w:val="C00000"/>
                <w:sz w:val="17"/>
              </w:rPr>
              <w:t>-3.9%</w:t>
            </w:r>
          </w:p>
        </w:tc>
      </w:tr>
      <w:tr>
        <w:tc>
          <w:tcPr>
            <w:tcW w:type="dxa" w:w="1440"/>
            <w:shd w:fill="FFDCE0" w:val="clear"/>
          </w:tcPr>
          <w:p>
            <w:r>
              <w:rPr>
                <w:sz w:val="17"/>
              </w:rPr>
              <w:t>J+7  ⭐</w:t>
            </w:r>
          </w:p>
        </w:tc>
        <w:tc>
          <w:tcPr>
            <w:tcW w:type="dxa" w:w="1440"/>
            <w:shd w:fill="FFDCE0" w:val="clear"/>
          </w:tcPr>
          <w:p>
            <w:r>
              <w:rPr>
                <w:sz w:val="17"/>
              </w:rPr>
              <w:t>2026-09-18</w:t>
            </w:r>
          </w:p>
        </w:tc>
        <w:tc>
          <w:tcPr>
            <w:tcW w:type="dxa" w:w="1440"/>
            <w:shd w:fill="FFDCE0" w:val="clear"/>
          </w:tcPr>
          <w:p>
            <w:r>
              <w:rPr>
                <w:sz w:val="17"/>
              </w:rPr>
              <w:t>1,997</w:t>
            </w:r>
          </w:p>
        </w:tc>
        <w:tc>
          <w:tcPr>
            <w:tcW w:type="dxa" w:w="1440"/>
            <w:shd w:fill="FFDCE0" w:val="clear"/>
          </w:tcPr>
          <w:p>
            <w:r>
              <w:rPr>
                <w:b/>
                <w:sz w:val="17"/>
              </w:rPr>
              <w:t>2,245</w:t>
            </w:r>
          </w:p>
        </w:tc>
        <w:tc>
          <w:tcPr>
            <w:tcW w:type="dxa" w:w="1440"/>
            <w:shd w:fill="FFDCE0" w:val="clear"/>
          </w:tcPr>
          <w:p>
            <w:r>
              <w:rPr>
                <w:sz w:val="17"/>
              </w:rPr>
              <w:t>2,493</w:t>
            </w:r>
          </w:p>
        </w:tc>
        <w:tc>
          <w:tcPr>
            <w:tcW w:type="dxa" w:w="1440"/>
            <w:shd w:fill="FFDCE0" w:val="clear"/>
          </w:tcPr>
          <w:p>
            <w:r>
              <w:rPr>
                <w:b/>
                <w:color w:val="C00000"/>
                <w:sz w:val="17"/>
              </w:rPr>
              <w:t>-4.5%</w:t>
            </w:r>
          </w:p>
        </w:tc>
      </w:tr>
      <w:tr>
        <w:tc>
          <w:tcPr>
            <w:tcW w:type="dxa" w:w="1440"/>
            <w:shd w:fill="FFDCE0" w:val="clear"/>
          </w:tcPr>
          <w:p>
            <w:r>
              <w:rPr>
                <w:sz w:val="17"/>
              </w:rPr>
              <w:t>J+8  ⭐</w:t>
            </w:r>
          </w:p>
        </w:tc>
        <w:tc>
          <w:tcPr>
            <w:tcW w:type="dxa" w:w="1440"/>
            <w:shd w:fill="FFDCE0" w:val="clear"/>
          </w:tcPr>
          <w:p>
            <w:r>
              <w:rPr>
                <w:sz w:val="17"/>
              </w:rPr>
              <w:t>2026-09-21</w:t>
            </w:r>
          </w:p>
        </w:tc>
        <w:tc>
          <w:tcPr>
            <w:tcW w:type="dxa" w:w="1440"/>
            <w:shd w:fill="FFDCE0" w:val="clear"/>
          </w:tcPr>
          <w:p>
            <w:r>
              <w:rPr>
                <w:sz w:val="17"/>
              </w:rPr>
              <w:t>1,968</w:t>
            </w:r>
          </w:p>
        </w:tc>
        <w:tc>
          <w:tcPr>
            <w:tcW w:type="dxa" w:w="1440"/>
            <w:shd w:fill="FFDCE0" w:val="clear"/>
          </w:tcPr>
          <w:p>
            <w:r>
              <w:rPr>
                <w:b/>
                <w:sz w:val="17"/>
              </w:rPr>
              <w:t>2,232</w:t>
            </w:r>
          </w:p>
        </w:tc>
        <w:tc>
          <w:tcPr>
            <w:tcW w:type="dxa" w:w="1440"/>
            <w:shd w:fill="FFDCE0" w:val="clear"/>
          </w:tcPr>
          <w:p>
            <w:r>
              <w:rPr>
                <w:sz w:val="17"/>
              </w:rPr>
              <w:t>2,496</w:t>
            </w:r>
          </w:p>
        </w:tc>
        <w:tc>
          <w:tcPr>
            <w:tcW w:type="dxa" w:w="1440"/>
            <w:shd w:fill="FFDCE0" w:val="clear"/>
          </w:tcPr>
          <w:p>
            <w:r>
              <w:rPr>
                <w:b/>
                <w:color w:val="C00000"/>
                <w:sz w:val="17"/>
              </w:rPr>
              <w:t>-5.0%</w:t>
            </w:r>
          </w:p>
        </w:tc>
      </w:tr>
      <w:tr>
        <w:tc>
          <w:tcPr>
            <w:tcW w:type="dxa" w:w="1440"/>
            <w:shd w:fill="FFDCE0" w:val="clear"/>
          </w:tcPr>
          <w:p>
            <w:r>
              <w:rPr>
                <w:sz w:val="17"/>
              </w:rPr>
              <w:t>J+9  ⭐</w:t>
            </w:r>
          </w:p>
        </w:tc>
        <w:tc>
          <w:tcPr>
            <w:tcW w:type="dxa" w:w="1440"/>
            <w:shd w:fill="FFDCE0" w:val="clear"/>
          </w:tcPr>
          <w:p>
            <w:r>
              <w:rPr>
                <w:sz w:val="17"/>
              </w:rPr>
              <w:t>2026-09-22</w:t>
            </w:r>
          </w:p>
        </w:tc>
        <w:tc>
          <w:tcPr>
            <w:tcW w:type="dxa" w:w="1440"/>
            <w:shd w:fill="FFDCE0" w:val="clear"/>
          </w:tcPr>
          <w:p>
            <w:r>
              <w:rPr>
                <w:sz w:val="17"/>
              </w:rPr>
              <w:t>1,941</w:t>
            </w:r>
          </w:p>
        </w:tc>
        <w:tc>
          <w:tcPr>
            <w:tcW w:type="dxa" w:w="1440"/>
            <w:shd w:fill="FFDCE0" w:val="clear"/>
          </w:tcPr>
          <w:p>
            <w:r>
              <w:rPr>
                <w:b/>
                <w:sz w:val="17"/>
              </w:rPr>
              <w:t>2,219</w:t>
            </w:r>
          </w:p>
        </w:tc>
        <w:tc>
          <w:tcPr>
            <w:tcW w:type="dxa" w:w="1440"/>
            <w:shd w:fill="FFDCE0" w:val="clear"/>
          </w:tcPr>
          <w:p>
            <w:r>
              <w:rPr>
                <w:sz w:val="17"/>
              </w:rPr>
              <w:t>2,497</w:t>
            </w:r>
          </w:p>
        </w:tc>
        <w:tc>
          <w:tcPr>
            <w:tcW w:type="dxa" w:w="1440"/>
            <w:shd w:fill="FFDCE0" w:val="clear"/>
          </w:tcPr>
          <w:p>
            <w:r>
              <w:rPr>
                <w:b/>
                <w:color w:val="C00000"/>
                <w:sz w:val="17"/>
              </w:rPr>
              <w:t>-5.6%</w:t>
            </w:r>
          </w:p>
        </w:tc>
      </w:tr>
      <w:tr>
        <w:tc>
          <w:tcPr>
            <w:tcW w:type="dxa" w:w="1440"/>
            <w:shd w:fill="FFDCE0" w:val="clear"/>
          </w:tcPr>
          <w:p>
            <w:r>
              <w:rPr>
                <w:sz w:val="17"/>
              </w:rPr>
              <w:t>J+10  ⭐</w:t>
            </w:r>
          </w:p>
        </w:tc>
        <w:tc>
          <w:tcPr>
            <w:tcW w:type="dxa" w:w="1440"/>
            <w:shd w:fill="FFDCE0" w:val="clear"/>
          </w:tcPr>
          <w:p>
            <w:r>
              <w:rPr>
                <w:sz w:val="17"/>
              </w:rPr>
              <w:t>2026-09-23</w:t>
            </w:r>
          </w:p>
        </w:tc>
        <w:tc>
          <w:tcPr>
            <w:tcW w:type="dxa" w:w="1440"/>
            <w:shd w:fill="FFDCE0" w:val="clear"/>
          </w:tcPr>
          <w:p>
            <w:r>
              <w:rPr>
                <w:sz w:val="17"/>
              </w:rPr>
              <w:t>1,915</w:t>
            </w:r>
          </w:p>
        </w:tc>
        <w:tc>
          <w:tcPr>
            <w:tcW w:type="dxa" w:w="1440"/>
            <w:shd w:fill="FFDCE0" w:val="clear"/>
          </w:tcPr>
          <w:p>
            <w:r>
              <w:rPr>
                <w:b/>
                <w:sz w:val="17"/>
              </w:rPr>
              <w:t>2,207</w:t>
            </w:r>
          </w:p>
        </w:tc>
        <w:tc>
          <w:tcPr>
            <w:tcW w:type="dxa" w:w="1440"/>
            <w:shd w:fill="FFDCE0" w:val="clear"/>
          </w:tcPr>
          <w:p>
            <w:r>
              <w:rPr>
                <w:sz w:val="17"/>
              </w:rPr>
              <w:t>2,498</w:t>
            </w:r>
          </w:p>
        </w:tc>
        <w:tc>
          <w:tcPr>
            <w:tcW w:type="dxa" w:w="1440"/>
            <w:shd w:fill="FFDCE0" w:val="clear"/>
          </w:tcPr>
          <w:p>
            <w:r>
              <w:rPr>
                <w:b/>
                <w:color w:val="C00000"/>
                <w:sz w:val="17"/>
              </w:rPr>
              <w:t>-6.1%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**RAPPORT D'ANALYSE FINANCIÈRE — UNIWAX (UNXC)**</w:t>
        <w:br/>
        <w:t>*Bourse Régionale des Valeurs Mobilières (BRVM) — Côte d'Ivoire*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48,76 milliards FCFA, UNIWAX se positionne comme une valeur de taille moyenne sur la BRVM, représentant un poids non négligeable dans l'indice sectoriel textile. Le BPA ressort à -105 FCFA/action, traduisant une société encore déficitaire sur l'exercice 2024, ce qui rend le PER inopérant (-22,3x) — un ratio négatif qui signale l'absence de bénéfices positifs et invite à la prudence. Le P/B de 3,13x indique que le marché valorise l'action à plus de trois fois sa valeur comptable, une prime de croissance significative qui n'est justifiée que si le redressement opérationnel se confirme durablement. Le ratio EV/EBITDA n'est pas fourni, mais au regard de l'EBE négatif de 2024 (-352 M FCFA), il serait également non significatif. En synthèse, la valorisation actuelle repose davantage sur les anticipations de retournement que sur les fondamentaux historiques.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UNXC affiche une progression remarquable de +26,68%, avec une dernière séance en hausse de +0,43%, confirmant une dynamique haussière soutenue. Le titre a évolué dans un range très large, entre un plus bas de 1 250 FCFA et un plus haut de 2 495 FCFA, soit un écart de près de 100%, témoignant d'une forte volatilité et d'un intérêt croissant des investisseurs. Le cours actuel de 2 350 FCFA se situe à environ 94% du plus haut, suggérant une consolidation proche des sommets. Les statistiques descriptives révèlent une moyenne de 1 931 FCFA légèrement supérieure à la médiane de 1 900 FCFA, avec un mode identique à 1 900 FCFA — la faible divergence moyenne/médiane indique une distribution quasi symétrique, confirmée par un skewness de 0,254. L'écart-type de 262 FCFA (CV=13,6%) traduit une dispersion modérée du cours autour de sa moyenne, tandis que le kurtosis de 0,677 (mésokurtique) suggère une distribution proche de la normale, sans risque excessif de pics extrêmes. La volatilité annualisée de 50,3% classe le titre dans la catégorie des valeurs très volatiles (&gt;30%), ce qui implique un risque de marché élevé et une prime de risque exigée importante.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2 327,75 FCFA et la MM50 à 1 971,60 FCFA, toutes deux inférieures au cours actuel de 2 350 FCFA. Cette configuration haussière (cours &gt; MM20 &gt; MM50) confirme la tendance positive de moyen terme et justifie la décision d'achat. L'écart entre les deux moyennes (356 FCFA) indique un momentum haussier encore intact.</w:t>
      </w:r>
    </w:p>
    <w:p>
      <w:pPr>
        <w:spacing w:after="120" w:line="276" w:lineRule="auto"/>
      </w:pPr>
      <w:r>
        <w:t>**Bandes de Bollinger** : Le cours (2 350 FCFA) se situe dans la partie supérieure de la bande, entre la borne inférieure (1 961,14 FCFA) et la borne supérieure (2 694,36 FCFA). La largeur des bandes reflète une volatilité élevée, et la position du cours à mi-chemin entre la moyenne et la borne haute suggère une décision neutre, sans signal de surachat imminent.</w:t>
      </w:r>
    </w:p>
    <w:p>
      <w:pPr>
        <w:spacing w:after="120" w:line="276" w:lineRule="auto"/>
      </w:pPr>
      <w:r>
        <w:t>**MACD** : La valeur du MACD (111,28) est inférieure à son signal (136,91), générant une divergence baissière et une décision de vente. Ce croisement négatif indique un essoufflement du momentum haussier à court terme, bien que le MACD reste en territoire positif.</w:t>
      </w:r>
    </w:p>
    <w:p>
      <w:pPr>
        <w:spacing w:after="120" w:line="276" w:lineRule="auto"/>
      </w:pPr>
      <w:r>
        <w:t>**RSI** : À 40,0, le RSI se situe en zone neutre (30-70), sans signal de surachat ni de survente. Cette valeur médiane reflète un équilibre entre acheteurs et vendeurs, justifiant la décision neutre.</w:t>
      </w:r>
    </w:p>
    <w:p>
      <w:pPr>
        <w:spacing w:after="120" w:line="276" w:lineRule="auto"/>
      </w:pPr>
      <w:r>
        <w:t>**Stochastique** : Le %K (6,45) est nettement inférieur au %D (13,50), et les deux indicateurs sont en zone de survente (&lt;20). Cette configuration suggère un potentiel rebond à court terme, justifiant la décision d'achat.</w:t>
      </w:r>
    </w:p>
    <w:p>
      <w:pPr>
        <w:spacing w:after="120" w:line="276" w:lineRule="auto"/>
      </w:pPr>
      <w:r>
        <w:t>**Conclusion technique** : Les indicateurs sont mitigés — les moyennes mobiles et le stochastique plaident pour un achat, tandis que le MACD signale une vente et que le RSI et les Bollinger restent neutres. La tendance de fond reste haussière, mais un essoufflement à court terme est probable, ce qui invite à la prudence avant tout renforcement de position.</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(états financiers annuels) brossent un tableau contrasté : UNIWAX a réalisé un chiffre d'affaires de 27,333 milliards FCFA, en baisse de -7,93% par rapport à 2023, avec un résultat net déficitaire de -2,189 milliards FCFA, soit une marge nette de -8,01%. Le ROE ressort à -14,04% et le ROA à -6,39%, confirmant la destruction de valeur sur cet exercice. La structure financière reste néanmoins solide, avec une autonomie financière de 45,53% (capitaux propres de 15,591 milliards FCFA) et un endettement financier très faible (328,66 M FCFA, soit 2,11% du bilan). Le BFR est négatif à -2,149 milliards FCFA, un point favorable pour la trésorerie, mais les délais d'exploitation sont préoccupants : 254,72 jours de stockage et 51,03 jours de délai client, contre 267,82 jours de délai fournisseur — un déséquilibre qui pèse sur le fonds de roulement. Le rapport annuel 2024 (publié en 2025) confirme ces chiffres et souligne la forte hausse des dotations aux amortissements (10,87 milliards FCFA) et la baisse de la valeur ajoutée (-14,8%). Les rapports trimestriels 2025 (T1, S1, T3) révèlent une amélioration progressive : le CA du S1 2025 atteint 15,711 milliards FCFA (+12,5%), et le résultat net semestriel est exceptionnellement bénéficiaire à 8,217 milliards FCFA, grâce à une plus-value de cession-bail de 9,994 milliards FCFA. Hors éléments exceptionnels, le résultat opérationnel reste négatif (-314 M FCFA au S1 2025), mais la direction annonce l'absence de perte au T3 2025, suggérant une possible inflexion vers la rentabilité opérationnelle. Le rapport annuel 2025 (publié en 2026) confirme le redressement : CA de 29,03 milliards FCFA (+6,2%), EBE redevenu positif à 1,13 milliard FCFA, et perte nette réduite à -624 millions FCFA (contre -2,19 milliards en 2024). Enfin, le rapport S1 2026 (publié en 2026) marque une étape décisive : le résultat d'exploitation redevient positif à 771 millions FCFA (+345,4%), et le résultat net s'établit à 771 millions FCFA, confirmant la trajectoire de redressement. On estime donc que l'exercice 2026 devrait afficher un retour à une rentabilité opérationnelle positive, porté par la croissance des exportations (Nigeria, Guinée) et l'amélioration de la performance industrielle. La recommandation fondamentale est de **conserver** la valeur, avec un biais acheteur pour les investisseurs patients, en surveillant la confirmation de la rentabilité opérationnelle au S2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tendue : le PER négatif et le P/B de 3,13x traduisent une prime de croissance qui n'est justifiée que par le redressement en cours, sans marge de sécurité évidente. Le comportement du cours (Partie 1) est haussier (+26,68% sur 100 jours) mais très volatil (50,3% annualisé), avec une distribution symétrique et sans pics extrêmes (kurtosis 0,677), ce qui est rassurant mais implique un risque de marché élevé. Les signaux techniques (Partie 2) sont mitigés : les moyennes mobiles et le stochastique sont haussiers, mais le MACD est baissier et le RSI neutre, suggérant une consolidation à court terme. Les fondamentaux (Partie 3) montrent une nette amélioration : retour à un résultat d'exploitation positif au S1 2026 (771 M FCFA), EBE positif en 2025 (1,13 Md FCFA), et réduction de la perte nette — mais la société reste fragile, avec des pertes cumulées de -5,54 milliards FCFA et une dépendance aux cessions d'actifs. Les prédictions IA (J+1 à J+10) anticipent une baisse progressive de 2 324 FCFA à 2 271 FCFA, contredisant la tendance haussière récente et les signaux d'achat techniques, ce qui renforce la prudence à court terme. Sur la base de cette synthèse, la recommandation finale est **CONSERVER**, avec un niveau de confiance **Moyen** et un risque global **Élevé**. L'horizon d'investissement optimal est le **moyen terme (3-12 mois)**, en attendant la confirmation de la rentabilité opérationnelle au S2 2026 et la dissipation de l'incertitude liée aux prédictions baissières à court terme. Un passage à l'achat serait justifié si le titre consolidait vers 2 200-2 250 FCFA et que les résultats du T3 2026 confirmaient la tendance positive.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