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06/08/2026 à 06:54</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SNTS  (score 85/100)</w:t>
      </w:r>
    </w:p>
    <w:p>
      <w:pPr>
        <w:spacing w:before="20" w:after="20"/>
        <w:ind w:left="360" w:right="360"/>
        <w:shd w:val="clear" w:color="auto" w:fill="EBF5FB"/>
      </w:pPr>
      <w:r>
        <w:rPr>
          <w:b/>
          <w:sz w:val="19"/>
        </w:rPr>
        <w:t xml:space="preserve">Secteur surperformant :  </w:t>
      </w:r>
      <w:r>
        <w:rPr>
          <w:color w:val="008000"/>
          <w:sz w:val="19"/>
        </w:rPr>
        <w:t>SERVICES PUBLICS  (+48.7%)</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18 sociétés — vérifier avant d'investir</w:t>
      </w:r>
    </w:p>
    <w:p>
      <w:pPr>
        <w:spacing w:before="20" w:after="20"/>
        <w:ind w:left="360" w:right="360"/>
        <w:shd w:val="clear" w:color="auto" w:fill="EBF5FB"/>
      </w:pPr>
      <w:r>
        <w:rPr>
          <w:b/>
          <w:sz w:val="19"/>
        </w:rPr>
        <w:t xml:space="preserve">⚠️ Liquidité réduite :  </w:t>
      </w:r>
      <w:r>
        <w:rPr>
          <w:color w:val="C00000"/>
          <w:sz w:val="19"/>
        </w:rPr>
        <w:t>9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482.28 points </w:t>
      </w:r>
      <w:r>
        <w:rPr>
          <w:color w:val="C00000"/>
        </w:rPr>
        <w:t>(-0.74%)</w:t>
      </w:r>
      <w:r>
        <w:t xml:space="preserve"> sur la séance. </w:t>
      </w:r>
      <w:r>
        <w:t>La capitalisation globale du marché atteint 18 579,038 milliards FCFA.</w:t>
      </w:r>
    </w:p>
    <w:p/>
    <w:p>
      <w:pPr>
        <w:pStyle w:val="Heading3"/>
      </w:pPr>
      <w:r>
        <w:t>📊 Évolution de l'indice BRVM Composite (100 derniers jours)</w:t>
      </w:r>
    </w:p>
    <w:p>
      <w:r>
        <w:rPr>
          <w:b/>
        </w:rPr>
        <w:t xml:space="preserve">BRVM Composite — </w:t>
      </w:r>
      <w:r>
        <w:t xml:space="preserve">Sur les 100 derniers jours de cotation (2026-03-09 au 2026-08-05), l'indice BRVM Composite a évolué de </w:t>
      </w:r>
      <w:r>
        <w:rPr>
          <w:b/>
          <w:color w:val="008000"/>
        </w:rPr>
        <w:t>+16.57%</w:t>
      </w:r>
      <w:r>
        <w:t>, passant de 413.71 pts à 482.28 pts. Le plus haut atteint est 485.89 pts et le plus bas 397.33 pts. Sur l'ensemble de la période, la moyenne de l'indice s'établit à 432.56 pts, la médiane à 422.18 pts et le mode à 403.36 pts</w:t>
      </w:r>
      <w:r>
        <w:t xml:space="preserve"> — l'écart entre moyenne et médiane (10.38 pts) révèle une distribution asymétrique (asymétrie positive — plus de jours sous la moyenne). </w:t>
      </w:r>
      <w:r>
        <w:t xml:space="preserve">L'écart-type de 29.43 pts (CV=6.8%) traduit une faible dispersion des cotations. Le kurtosis de -1.15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+16.48%</w:t>
      </w:r>
      <w:r>
        <w:t xml:space="preserve"> sur la période, passant de 15 950,878 Mds FCFA à 18 579,038 Mds FCFA. Le pic de capitalisation observé est de 18 718,133 Mds FCFA et le plancher de 15 319,235 Mds FCFA. La moyenne de la capitalisation sur la période s'établit à 16 670,856 Mds FCFA, la médiane à 16 274,745 Mds FCFA et le mode à 15 319,235 Mds FCFA</w:t>
      </w:r>
      <w:r>
        <w:t xml:space="preserve"> — l'écart moyenne/médiane (396,111 Mds) signale une distribution asymétrie positive. </w:t>
      </w:r>
      <w:r>
        <w:t>L'écart-type de 1 128,221 Mds FCFA (CV=6.8%) reflète une faible variabilité de la valorisation du marché. Le kurtosis de -1.15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ABJC - ABJC - SERVAIR ABIDJAN CI</w:t>
      </w:r>
      <w:r>
        <w:t xml:space="preserve"> | Prix: 2800 FCFA | </w:t>
      </w:r>
      <w:r>
        <w:rPr>
          <w:b/>
          <w:color w:val="008000"/>
        </w:rPr>
        <w:t>ACHAT FORT</w:t>
      </w:r>
      <w:r>
        <w:t xml:space="preserve"> | Confiance: Élevée | Risque: Moyen</w:t>
      </w:r>
    </w:p>
    <w:p>
      <w:pPr>
        <w:pStyle w:val="ListNumber"/>
      </w:pPr>
      <w:r>
        <w:rPr>
          <w:b/>
        </w:rPr>
        <w:t>ONTBF - ONTBF - ONATEL BURKINA FASO</w:t>
      </w:r>
      <w:r>
        <w:t xml:space="preserve"> | Prix: 2985 FCFA | </w:t>
      </w:r>
      <w:r>
        <w:rPr>
          <w:b/>
          <w:color w:val="008000"/>
        </w:rPr>
        <w:t>ACHAT FORT</w:t>
      </w:r>
      <w:r>
        <w:t xml:space="preserve"> | Confiance: Faible | Risque: Faible</w:t>
      </w:r>
    </w:p>
    <w:p>
      <w:pPr>
        <w:pStyle w:val="ListNumber"/>
      </w:pPr>
      <w:r>
        <w:rPr>
          <w:b/>
        </w:rPr>
        <w:t>BICB - BIIC BN - Banque internationale pour le commerce du benin</w:t>
      </w:r>
      <w:r>
        <w:t xml:space="preserve"> | Prix: 7500 FCFA | </w:t>
      </w:r>
      <w:r>
        <w:rPr>
          <w:b/>
          <w:color w:val="008000"/>
        </w:rPr>
        <w:t>ACHAT</w:t>
      </w:r>
      <w:r>
        <w:t xml:space="preserve"> | Confiance: Élevée | Risque: Faible</w:t>
      </w:r>
    </w:p>
    <w:p>
      <w:pPr>
        <w:pStyle w:val="ListNumber"/>
      </w:pPr>
      <w:r>
        <w:rPr>
          <w:b/>
        </w:rPr>
        <w:t>BICC - BICI CI - Banque internationale pour le commerce et l'industrie de la Côte d'Ivoire</w:t>
      </w:r>
      <w:r>
        <w:t xml:space="preserve"> | Prix: 29000 FCFA | </w:t>
      </w:r>
      <w:r>
        <w:rPr>
          <w:b/>
          <w:color w:val="008000"/>
        </w:rPr>
        <w:t>ACHAT</w:t>
      </w:r>
      <w:r>
        <w:t xml:space="preserve"> | Confiance: Faible | Risque: Moyen</w:t>
      </w:r>
    </w:p>
    <w:p>
      <w:pPr>
        <w:pStyle w:val="ListNumber"/>
      </w:pPr>
      <w:r>
        <w:rPr>
          <w:b/>
        </w:rPr>
        <w:t>BNBC - BNBC - BERNABE CI</w:t>
      </w:r>
      <w:r>
        <w:t xml:space="preserve"> | Prix: 1915 FCFA | </w:t>
      </w:r>
      <w:r>
        <w:rPr>
          <w:b/>
          <w:color w:val="008000"/>
        </w:rPr>
        <w:t>ACHAT</w:t>
      </w:r>
      <w:r>
        <w:t xml:space="preserve"> | Confiance: Moyen | Risque: Moyen</w:t>
      </w:r>
    </w:p>
    <w:p>
      <w:pPr>
        <w:pStyle w:val="ListNumber"/>
      </w:pPr>
      <w:r>
        <w:rPr>
          <w:b/>
        </w:rPr>
        <w:t>BOAB - BANK OF AFRICA BENIN</w:t>
      </w:r>
      <w:r>
        <w:t xml:space="preserve"> | Prix: 8700 FCFA | </w:t>
      </w:r>
      <w:r>
        <w:rPr>
          <w:b/>
          <w:color w:val="008000"/>
        </w:rPr>
        <w:t>ACHAT</w:t>
      </w:r>
      <w:r>
        <w:t xml:space="preserve"> | Confiance: Faible | Risque: Moyen</w:t>
      </w:r>
    </w:p>
    <w:p>
      <w:pPr>
        <w:pStyle w:val="ListNumber"/>
      </w:pPr>
      <w:r>
        <w:rPr>
          <w:b/>
        </w:rPr>
        <w:t>BOABF - BANK OF AFRICA BURKINA FASO</w:t>
      </w:r>
      <w:r>
        <w:t xml:space="preserve"> | Prix: 7200 FCFA | </w:t>
      </w:r>
      <w:r>
        <w:rPr>
          <w:b/>
          <w:color w:val="008000"/>
        </w:rPr>
        <w:t>ACHAT</w:t>
      </w:r>
      <w:r>
        <w:t xml:space="preserve"> | Confiance: Faible | Risque: Faible</w:t>
      </w:r>
    </w:p>
    <w:p>
      <w:pPr>
        <w:pStyle w:val="ListNumber"/>
      </w:pPr>
      <w:r>
        <w:rPr>
          <w:b/>
        </w:rPr>
        <w:t>BOAC - BANK OF AFRICA COTE D'IVOIRE</w:t>
      </w:r>
      <w:r>
        <w:t xml:space="preserve"> | Prix: 11600 FCFA | </w:t>
      </w:r>
      <w:r>
        <w:rPr>
          <w:b/>
          <w:color w:val="008000"/>
        </w:rPr>
        <w:t>ACHAT</w:t>
      </w:r>
      <w:r>
        <w:t xml:space="preserve"> | Confiance: Moyen | Risque: Faible</w:t>
      </w:r>
    </w:p>
    <w:p>
      <w:pPr>
        <w:pStyle w:val="ListNumber"/>
      </w:pPr>
      <w:r>
        <w:rPr>
          <w:b/>
        </w:rPr>
        <w:t>BOAM - BANK OF AFRICA MALI</w:t>
      </w:r>
      <w:r>
        <w:t xml:space="preserve"> | Prix: 5585 FCFA | </w:t>
      </w:r>
      <w:r>
        <w:rPr>
          <w:b/>
          <w:color w:val="008000"/>
        </w:rPr>
        <w:t>ACHAT</w:t>
      </w:r>
      <w:r>
        <w:t xml:space="preserve"> | Confiance: Moyen | Risque: Faible</w:t>
      </w:r>
    </w:p>
    <w:p>
      <w:pPr>
        <w:pStyle w:val="ListNumber"/>
      </w:pPr>
      <w:r>
        <w:rPr>
          <w:b/>
        </w:rPr>
        <w:t>BOAN - BANK OF AFRICA NIGER</w:t>
      </w:r>
      <w:r>
        <w:t xml:space="preserve"> | Prix: 5075 FCFA | </w:t>
      </w:r>
      <w:r>
        <w:rPr>
          <w:b/>
          <w:color w:val="008000"/>
        </w:rPr>
        <w:t>ACHAT</w:t>
      </w:r>
      <w:r>
        <w:t xml:space="preserve"> | Confiance: Élevée | Risque: Moyen</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48.74%</w:t>
      </w:r>
      <w:r>
        <w:t xml:space="preserve">  |  </w:t>
      </w:r>
      <w:r>
        <w:rPr>
          <w:b/>
        </w:rPr>
        <w:t xml:space="preserve">vs BRVM Composite: </w:t>
      </w:r>
      <w:r>
        <w:rPr>
          <w:b/>
          <w:color w:val="008000"/>
        </w:rPr>
        <w:t>+32.16%  🟢 Surperformance</w:t>
      </w:r>
      <w:r>
        <w:br/>
      </w:r>
      <w:r>
        <w:rPr>
          <w:b/>
        </w:rPr>
        <w:t xml:space="preserve">Sentiment général: </w:t>
      </w:r>
      <w:r>
        <w:t xml:space="preserve">ACHAT  |  </w:t>
      </w:r>
      <w:r>
        <w:rPr>
          <w:b/>
        </w:rPr>
        <w:t xml:space="preserve">Risque moyen: </w:t>
      </w:r>
      <w:r>
        <w:t xml:space="preserve">Moyen  |  </w:t>
      </w:r>
      <w:r>
        <w:rPr>
          <w:b/>
        </w:rPr>
        <w:t xml:space="preserve">Prix moyen: </w:t>
      </w:r>
      <w:r>
        <w:t>8200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33.68%</w:t>
      </w:r>
      <w:r>
        <w:t xml:space="preserve">  |  </w:t>
      </w:r>
      <w:r>
        <w:rPr>
          <w:b/>
        </w:rPr>
        <w:t xml:space="preserve">vs BRVM Composite: </w:t>
      </w:r>
      <w:r>
        <w:rPr>
          <w:b/>
          <w:color w:val="008000"/>
        </w:rPr>
        <w:t>+17.11%  🟢 Surperformance</w:t>
      </w:r>
      <w:r>
        <w:br/>
      </w:r>
      <w:r>
        <w:rPr>
          <w:b/>
        </w:rPr>
        <w:t xml:space="preserve">Sentiment général: </w:t>
      </w:r>
      <w:r>
        <w:t xml:space="preserve">ACHAT  |  </w:t>
      </w:r>
      <w:r>
        <w:rPr>
          <w:b/>
        </w:rPr>
        <w:t xml:space="preserve">Risque moyen: </w:t>
      </w:r>
      <w:r>
        <w:t xml:space="preserve">Faible  |  </w:t>
      </w:r>
      <w:r>
        <w:rPr>
          <w:b/>
        </w:rPr>
        <w:t xml:space="preserve">Prix moyen: </w:t>
      </w:r>
      <w:r>
        <w:t>12861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25.78%</w:t>
      </w:r>
      <w:r>
        <w:t xml:space="preserve">  |  </w:t>
      </w:r>
      <w:r>
        <w:rPr>
          <w:b/>
        </w:rPr>
        <w:t xml:space="preserve">vs BRVM Composite: </w:t>
      </w:r>
      <w:r>
        <w:rPr>
          <w:b/>
          <w:color w:val="008000"/>
        </w:rPr>
        <w:t>+9.20%  🟢 Surperformance</w:t>
      </w:r>
      <w:r>
        <w:br/>
      </w:r>
      <w:r>
        <w:rPr>
          <w:b/>
        </w:rPr>
        <w:t xml:space="preserve">Sentiment général: </w:t>
      </w:r>
      <w:r>
        <w:t xml:space="preserve">ACHAT  |  </w:t>
      </w:r>
      <w:r>
        <w:rPr>
          <w:b/>
        </w:rPr>
        <w:t xml:space="preserve">Risque moyen: </w:t>
      </w:r>
      <w:r>
        <w:t xml:space="preserve">Moyen  |  </w:t>
      </w:r>
      <w:r>
        <w:rPr>
          <w:b/>
        </w:rPr>
        <w:t xml:space="preserve">Prix moyen: </w:t>
      </w:r>
      <w:r>
        <w:t>18732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10.68%</w:t>
      </w:r>
      <w:r>
        <w:t xml:space="preserve">  |  </w:t>
      </w:r>
      <w:r>
        <w:rPr>
          <w:b/>
        </w:rPr>
        <w:t xml:space="preserve">vs BRVM Composite: </w:t>
      </w:r>
      <w:r>
        <w:rPr>
          <w:b/>
          <w:color w:val="C00000"/>
        </w:rPr>
        <w:t>-5.89%  🔴 Sous-performance</w:t>
      </w:r>
      <w:r>
        <w:br/>
      </w:r>
      <w:r>
        <w:rPr>
          <w:b/>
        </w:rPr>
        <w:t xml:space="preserve">Sentiment général: </w:t>
      </w:r>
      <w:r>
        <w:t xml:space="preserve">ACHAT  |  </w:t>
      </w:r>
      <w:r>
        <w:rPr>
          <w:b/>
        </w:rPr>
        <w:t xml:space="preserve">Risque moyen: </w:t>
      </w:r>
      <w:r>
        <w:t xml:space="preserve">Moyen  |  </w:t>
      </w:r>
      <w:r>
        <w:rPr>
          <w:b/>
        </w:rPr>
        <w:t xml:space="preserve">Prix moyen: </w:t>
      </w:r>
      <w:r>
        <w:t>6352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6.47%</w:t>
      </w:r>
      <w:r>
        <w:t xml:space="preserve">  |  </w:t>
      </w:r>
      <w:r>
        <w:rPr>
          <w:b/>
        </w:rPr>
        <w:t xml:space="preserve">vs BRVM Composite: </w:t>
      </w:r>
      <w:r>
        <w:rPr>
          <w:b/>
          <w:color w:val="C00000"/>
        </w:rPr>
        <w:t>-10.11%  🔴 Sous-performance</w:t>
      </w:r>
      <w:r>
        <w:br/>
      </w:r>
      <w:r>
        <w:rPr>
          <w:b/>
        </w:rPr>
        <w:t xml:space="preserve">Sentiment général: </w:t>
      </w:r>
      <w:r>
        <w:t xml:space="preserve">ACHAT  |  </w:t>
      </w:r>
      <w:r>
        <w:rPr>
          <w:b/>
        </w:rPr>
        <w:t xml:space="preserve">Risque moyen: </w:t>
      </w:r>
      <w:r>
        <w:t xml:space="preserve">Moyen  |  </w:t>
      </w:r>
      <w:r>
        <w:rPr>
          <w:b/>
        </w:rPr>
        <w:t xml:space="preserve">Prix moyen: </w:t>
      </w:r>
      <w:r>
        <w:t>2764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5.77%</w:t>
      </w:r>
      <w:r>
        <w:t xml:space="preserve">  |  </w:t>
      </w:r>
      <w:r>
        <w:rPr>
          <w:b/>
        </w:rPr>
        <w:t xml:space="preserve">vs BRVM Composite: </w:t>
      </w:r>
      <w:r>
        <w:rPr>
          <w:b/>
          <w:color w:val="C00000"/>
        </w:rPr>
        <w:t>-10.81%  🔴 Sous-performance</w:t>
      </w:r>
      <w:r>
        <w:br/>
      </w:r>
      <w:r>
        <w:rPr>
          <w:b/>
        </w:rPr>
        <w:t xml:space="preserve">Sentiment général: </w:t>
      </w:r>
      <w:r>
        <w:t xml:space="preserve">ACHAT  |  </w:t>
      </w:r>
      <w:r>
        <w:rPr>
          <w:b/>
        </w:rPr>
        <w:t xml:space="preserve">Risque moyen: </w:t>
      </w:r>
      <w:r>
        <w:t xml:space="preserve">Faible  |  </w:t>
      </w:r>
      <w:r>
        <w:rPr>
          <w:b/>
        </w:rPr>
        <w:t xml:space="preserve">Prix moyen: </w:t>
      </w:r>
      <w:r>
        <w:t>16787 FCFA</w:t>
        <w:br/>
      </w:r>
      <w:r>
        <w:rPr>
          <w:b/>
        </w:rPr>
        <w:br/>
        <w:t xml:space="preserve">Sociétés: </w:t>
      </w:r>
      <w:r>
        <w:t>ONTBF (ONTBF - ONATEL BURKINA FASO), ORAC (ORAC - ORANGE COTE D'IVOIRE), SNTS (SNTS - SONATEL SN)</w:t>
      </w:r>
    </w:p>
    <w:p/>
    <w:p>
      <w:pPr>
        <w:pStyle w:val="Heading3"/>
      </w:pPr>
      <w:r>
        <w:t>Secteur: INDUSTRIELS</w:t>
      </w:r>
    </w:p>
    <w:p>
      <w:r>
        <w:rPr>
          <w:b/>
        </w:rPr>
        <w:t xml:space="preserve">Nombre de sociétés: </w:t>
      </w:r>
      <w:r>
        <w:t xml:space="preserve">6  |  </w:t>
      </w:r>
      <w:r>
        <w:rPr>
          <w:b/>
        </w:rPr>
        <w:t xml:space="preserve">Performance moyenne (100j): </w:t>
      </w:r>
      <w:r>
        <w:rPr>
          <w:color w:val="C00000"/>
        </w:rPr>
        <w:t>-5.97%</w:t>
      </w:r>
      <w:r>
        <w:t xml:space="preserve">  |  </w:t>
      </w:r>
      <w:r>
        <w:rPr>
          <w:b/>
        </w:rPr>
        <w:t xml:space="preserve">vs BRVM Composite: </w:t>
      </w:r>
      <w:r>
        <w:rPr>
          <w:b/>
          <w:color w:val="C00000"/>
        </w:rPr>
        <w:t>-22.54%  🔴 Sous-performance</w:t>
      </w:r>
      <w:r>
        <w:br/>
      </w:r>
      <w:r>
        <w:rPr>
          <w:b/>
        </w:rPr>
        <w:t xml:space="preserve">Sentiment général: </w:t>
      </w:r>
      <w:r>
        <w:t xml:space="preserve">ACHAT  |  </w:t>
      </w:r>
      <w:r>
        <w:rPr>
          <w:b/>
        </w:rPr>
        <w:t xml:space="preserve">Risque moyen: </w:t>
      </w:r>
      <w:r>
        <w:t xml:space="preserve">Faible  |  </w:t>
      </w:r>
      <w:r>
        <w:rPr>
          <w:b/>
        </w:rPr>
        <w:t xml:space="preserve">Prix moyen: </w:t>
      </w:r>
      <w:r>
        <w:t>2343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BICB, BOAN, CIEC, ETIT, LNBB, PALC, SAFC, SDSC, SHEC, SIBC, SIVC, SLBC, SNTS, TTLS</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BNBC, BOAC, BOAM, BOAS, ECOC, NEIC, ORAC, ORGT, PRSC, SCRC, SEMC, STAC, UNLC,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BICC, BOAB, BOABF, CABC, CBIBF, CFAC, FTSC, NSBC, NTLC, ONTBF, SDCC, SGBC, SICC, SMBC, SOGC, SPHC, STBC, TTLC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2676674</w:t>
            </w:r>
          </w:p>
        </w:tc>
        <w:tc>
          <w:tcPr>
            <w:tcW w:type="dxa" w:w="1728"/>
          </w:tcPr>
          <w:p>
            <w:r>
              <w:t>179756178 FCFA</w:t>
            </w:r>
          </w:p>
        </w:tc>
        <w:tc>
          <w:tcPr>
            <w:tcW w:type="dxa" w:w="1728"/>
          </w:tcPr>
          <w:p>
            <w:r>
              <w:t>100.00%</w:t>
            </w:r>
          </w:p>
        </w:tc>
        <w:tc>
          <w:tcPr>
            <w:tcW w:type="dxa" w:w="1728"/>
          </w:tcPr>
          <w:p>
            <w:r>
              <w:t>ACHAT</w:t>
            </w:r>
          </w:p>
        </w:tc>
      </w:tr>
      <w:tr>
        <w:tc>
          <w:tcPr>
            <w:tcW w:type="dxa" w:w="1728"/>
          </w:tcPr>
          <w:p>
            <w:r>
              <w:t>UNXC (UNXC - UNIWAX COTE D'IVOIRE)</w:t>
            </w:r>
          </w:p>
        </w:tc>
        <w:tc>
          <w:tcPr>
            <w:tcW w:type="dxa" w:w="1728"/>
          </w:tcPr>
          <w:p>
            <w:r>
              <w:t>14748</w:t>
            </w:r>
          </w:p>
        </w:tc>
        <w:tc>
          <w:tcPr>
            <w:tcW w:type="dxa" w:w="1728"/>
          </w:tcPr>
          <w:p>
            <w:r>
              <w:t>24224778 FCFA</w:t>
            </w:r>
          </w:p>
        </w:tc>
        <w:tc>
          <w:tcPr>
            <w:tcW w:type="dxa" w:w="1728"/>
          </w:tcPr>
          <w:p>
            <w:r>
              <w:t>-9.76%</w:t>
            </w:r>
          </w:p>
        </w:tc>
        <w:tc>
          <w:tcPr>
            <w:tcW w:type="dxa" w:w="1728"/>
          </w:tcPr>
          <w:p>
            <w:r>
              <w:t>ACHAT</w:t>
            </w:r>
          </w:p>
        </w:tc>
      </w:tr>
      <w:tr>
        <w:tc>
          <w:tcPr>
            <w:tcW w:type="dxa" w:w="1728"/>
          </w:tcPr>
          <w:p>
            <w:r>
              <w:t>SDSC (SDSC - AFRICA GLOBAL LOGISTICS CI)</w:t>
            </w:r>
          </w:p>
        </w:tc>
        <w:tc>
          <w:tcPr>
            <w:tcW w:type="dxa" w:w="1728"/>
          </w:tcPr>
          <w:p>
            <w:r>
              <w:t>14359</w:t>
            </w:r>
          </w:p>
        </w:tc>
        <w:tc>
          <w:tcPr>
            <w:tcW w:type="dxa" w:w="1728"/>
          </w:tcPr>
          <w:p>
            <w:r>
              <w:t>36576445 FCFA</w:t>
            </w:r>
          </w:p>
        </w:tc>
        <w:tc>
          <w:tcPr>
            <w:tcW w:type="dxa" w:w="1728"/>
          </w:tcPr>
          <w:p>
            <w:r>
              <w:t>21.39%</w:t>
            </w:r>
          </w:p>
        </w:tc>
        <w:tc>
          <w:tcPr>
            <w:tcW w:type="dxa" w:w="1728"/>
          </w:tcPr>
          <w:p>
            <w:r>
              <w:t>ACHAT</w:t>
            </w:r>
          </w:p>
        </w:tc>
      </w:tr>
      <w:tr>
        <w:tc>
          <w:tcPr>
            <w:tcW w:type="dxa" w:w="1728"/>
          </w:tcPr>
          <w:p>
            <w:r>
              <w:t>SNTS (SNTS - SONATEL SN)</w:t>
            </w:r>
          </w:p>
        </w:tc>
        <w:tc>
          <w:tcPr>
            <w:tcW w:type="dxa" w:w="1728"/>
          </w:tcPr>
          <w:p>
            <w:r>
              <w:t>12535</w:t>
            </w:r>
          </w:p>
        </w:tc>
        <w:tc>
          <w:tcPr>
            <w:tcW w:type="dxa" w:w="1728"/>
          </w:tcPr>
          <w:p>
            <w:r>
              <w:t>389773714 FCFA</w:t>
            </w:r>
          </w:p>
        </w:tc>
        <w:tc>
          <w:tcPr>
            <w:tcW w:type="dxa" w:w="1728"/>
          </w:tcPr>
          <w:p>
            <w:r>
              <w:t>4.14%</w:t>
            </w:r>
          </w:p>
        </w:tc>
        <w:tc>
          <w:tcPr>
            <w:tcW w:type="dxa" w:w="1728"/>
          </w:tcPr>
          <w:p>
            <w:r>
              <w:t>ACHAT</w:t>
            </w:r>
          </w:p>
        </w:tc>
      </w:tr>
      <w:tr>
        <w:tc>
          <w:tcPr>
            <w:tcW w:type="dxa" w:w="1728"/>
          </w:tcPr>
          <w:p>
            <w:r>
              <w:t>BOAN (BANK OF AFRICA NIGER)</w:t>
            </w:r>
          </w:p>
        </w:tc>
        <w:tc>
          <w:tcPr>
            <w:tcW w:type="dxa" w:w="1728"/>
          </w:tcPr>
          <w:p>
            <w:r>
              <w:t>10050</w:t>
            </w:r>
          </w:p>
        </w:tc>
        <w:tc>
          <w:tcPr>
            <w:tcW w:type="dxa" w:w="1728"/>
          </w:tcPr>
          <w:p>
            <w:r>
              <w:t>47820439 FCFA</w:t>
            </w:r>
          </w:p>
        </w:tc>
        <w:tc>
          <w:tcPr>
            <w:tcW w:type="dxa" w:w="1728"/>
          </w:tcPr>
          <w:p>
            <w:r>
              <w:t>70.59%</w:t>
            </w:r>
          </w:p>
        </w:tc>
        <w:tc>
          <w:tcPr>
            <w:tcW w:type="dxa" w:w="1728"/>
          </w:tcPr>
          <w:p>
            <w:r>
              <w:t>ACHAT</w:t>
            </w:r>
          </w:p>
        </w:tc>
      </w:tr>
      <w:tr>
        <w:tc>
          <w:tcPr>
            <w:tcW w:type="dxa" w:w="1728"/>
          </w:tcPr>
          <w:p>
            <w:r>
              <w:t>BOAS (BANK OF AFRICA SENEGAL)</w:t>
            </w:r>
          </w:p>
        </w:tc>
        <w:tc>
          <w:tcPr>
            <w:tcW w:type="dxa" w:w="1728"/>
          </w:tcPr>
          <w:p>
            <w:r>
              <w:t>9716</w:t>
            </w:r>
          </w:p>
        </w:tc>
        <w:tc>
          <w:tcPr>
            <w:tcW w:type="dxa" w:w="1728"/>
          </w:tcPr>
          <w:p>
            <w:r>
              <w:t>72080552 FCFA</w:t>
            </w:r>
          </w:p>
        </w:tc>
        <w:tc>
          <w:tcPr>
            <w:tcW w:type="dxa" w:w="1728"/>
          </w:tcPr>
          <w:p>
            <w:r>
              <w:t>11.76%</w:t>
            </w:r>
          </w:p>
        </w:tc>
        <w:tc>
          <w:tcPr>
            <w:tcW w:type="dxa" w:w="1728"/>
          </w:tcPr>
          <w:p>
            <w:r>
              <w:t>ACHAT</w:t>
            </w:r>
          </w:p>
        </w:tc>
      </w:tr>
      <w:tr>
        <w:tc>
          <w:tcPr>
            <w:tcW w:type="dxa" w:w="1728"/>
          </w:tcPr>
          <w:p>
            <w:r>
              <w:t>SIBC (SIBC - SOCIETE IVOIRIENNE DE BANQUE)</w:t>
            </w:r>
          </w:p>
        </w:tc>
        <w:tc>
          <w:tcPr>
            <w:tcW w:type="dxa" w:w="1728"/>
          </w:tcPr>
          <w:p>
            <w:r>
              <w:t>9585</w:t>
            </w:r>
          </w:p>
        </w:tc>
        <w:tc>
          <w:tcPr>
            <w:tcW w:type="dxa" w:w="1728"/>
          </w:tcPr>
          <w:p>
            <w:r>
              <w:t>85327535 FCFA</w:t>
            </w:r>
          </w:p>
        </w:tc>
        <w:tc>
          <w:tcPr>
            <w:tcW w:type="dxa" w:w="1728"/>
          </w:tcPr>
          <w:p>
            <w:r>
              <w:t>35.53%</w:t>
            </w:r>
          </w:p>
        </w:tc>
        <w:tc>
          <w:tcPr>
            <w:tcW w:type="dxa" w:w="1728"/>
          </w:tcPr>
          <w:p>
            <w:r>
              <w:t>ACHAT</w:t>
            </w:r>
          </w:p>
        </w:tc>
      </w:tr>
      <w:tr>
        <w:tc>
          <w:tcPr>
            <w:tcW w:type="dxa" w:w="1728"/>
          </w:tcPr>
          <w:p>
            <w:r>
              <w:t>BICB (BIIC BN - Banque internationale pour le commerce du benin)</w:t>
            </w:r>
          </w:p>
        </w:tc>
        <w:tc>
          <w:tcPr>
            <w:tcW w:type="dxa" w:w="1728"/>
          </w:tcPr>
          <w:p>
            <w:r>
              <w:t>8779</w:t>
            </w:r>
          </w:p>
        </w:tc>
        <w:tc>
          <w:tcPr>
            <w:tcW w:type="dxa" w:w="1728"/>
          </w:tcPr>
          <w:p>
            <w:r>
              <w:t>62178527 FCFA</w:t>
            </w:r>
          </w:p>
        </w:tc>
        <w:tc>
          <w:tcPr>
            <w:tcW w:type="dxa" w:w="1728"/>
          </w:tcPr>
          <w:p>
            <w:r>
              <w:t>42.99%</w:t>
            </w:r>
          </w:p>
        </w:tc>
        <w:tc>
          <w:tcPr>
            <w:tcW w:type="dxa" w:w="1728"/>
          </w:tcPr>
          <w:p>
            <w:r>
              <w:t>ACHAT</w:t>
            </w:r>
          </w:p>
        </w:tc>
      </w:tr>
      <w:tr>
        <w:tc>
          <w:tcPr>
            <w:tcW w:type="dxa" w:w="1728"/>
          </w:tcPr>
          <w:p>
            <w:r>
              <w:t>SCRC (SCRC - SUCRIVOIRE)</w:t>
            </w:r>
          </w:p>
        </w:tc>
        <w:tc>
          <w:tcPr>
            <w:tcW w:type="dxa" w:w="1728"/>
          </w:tcPr>
          <w:p>
            <w:r>
              <w:t>8246</w:t>
            </w:r>
          </w:p>
        </w:tc>
        <w:tc>
          <w:tcPr>
            <w:tcW w:type="dxa" w:w="1728"/>
          </w:tcPr>
          <w:p>
            <w:r>
              <w:t>29703477 FCFA</w:t>
            </w:r>
          </w:p>
        </w:tc>
        <w:tc>
          <w:tcPr>
            <w:tcW w:type="dxa" w:w="1728"/>
          </w:tcPr>
          <w:p>
            <w:r>
              <w:t>137.54%</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SGBC (SGBC - SOCIETE GENERALE COTE D'IVOIRE)</w:t>
            </w:r>
          </w:p>
        </w:tc>
        <w:tc>
          <w:tcPr>
            <w:tcW w:type="dxa" w:w="1728"/>
          </w:tcPr>
          <w:p>
            <w:r>
              <w:t>3554</w:t>
            </w:r>
          </w:p>
        </w:tc>
        <w:tc>
          <w:tcPr>
            <w:tcW w:type="dxa" w:w="1728"/>
          </w:tcPr>
          <w:p>
            <w:r>
              <w:t>135701412 FCFA</w:t>
            </w:r>
          </w:p>
        </w:tc>
        <w:tc>
          <w:tcPr>
            <w:tcW w:type="dxa" w:w="1728"/>
          </w:tcPr>
          <w:p>
            <w:r>
              <w:t>8.30%</w:t>
            </w:r>
          </w:p>
        </w:tc>
        <w:tc>
          <w:tcPr>
            <w:tcW w:type="dxa" w:w="1728"/>
          </w:tcPr>
          <w:p>
            <w:r>
              <w:t>ACHAT</w:t>
            </w:r>
          </w:p>
        </w:tc>
      </w:tr>
      <w:tr>
        <w:tc>
          <w:tcPr>
            <w:tcW w:type="dxa" w:w="1728"/>
          </w:tcPr>
          <w:p>
            <w:r>
              <w:t>PALC (PALC - PALM COTE D'IVOIRE)</w:t>
            </w:r>
          </w:p>
        </w:tc>
        <w:tc>
          <w:tcPr>
            <w:tcW w:type="dxa" w:w="1728"/>
          </w:tcPr>
          <w:p>
            <w:r>
              <w:t>3553</w:t>
            </w:r>
          </w:p>
        </w:tc>
        <w:tc>
          <w:tcPr>
            <w:tcW w:type="dxa" w:w="1728"/>
          </w:tcPr>
          <w:p>
            <w:r>
              <w:t>31211607 FCFA</w:t>
            </w:r>
          </w:p>
        </w:tc>
        <w:tc>
          <w:tcPr>
            <w:tcW w:type="dxa" w:w="1728"/>
          </w:tcPr>
          <w:p>
            <w:r>
              <w:t>-3.44%</w:t>
            </w:r>
          </w:p>
        </w:tc>
        <w:tc>
          <w:tcPr>
            <w:tcW w:type="dxa" w:w="1728"/>
          </w:tcPr>
          <w:p>
            <w:r>
              <w:t>ACHAT</w:t>
            </w:r>
          </w:p>
        </w:tc>
      </w:tr>
      <w:tr>
        <w:tc>
          <w:tcPr>
            <w:tcW w:type="dxa" w:w="1728"/>
          </w:tcPr>
          <w:p>
            <w:r>
              <w:t>ABJC (ABJC - SERVAIR ABIDJAN CI)</w:t>
            </w:r>
          </w:p>
        </w:tc>
        <w:tc>
          <w:tcPr>
            <w:tcW w:type="dxa" w:w="1728"/>
          </w:tcPr>
          <w:p>
            <w:r>
              <w:t>3458</w:t>
            </w:r>
          </w:p>
        </w:tc>
        <w:tc>
          <w:tcPr>
            <w:tcW w:type="dxa" w:w="1728"/>
          </w:tcPr>
          <w:p>
            <w:r>
              <w:t>10444272 FCFA</w:t>
            </w:r>
          </w:p>
        </w:tc>
        <w:tc>
          <w:tcPr>
            <w:tcW w:type="dxa" w:w="1728"/>
          </w:tcPr>
          <w:p>
            <w:r>
              <w:t>-18.84%</w:t>
            </w:r>
          </w:p>
        </w:tc>
        <w:tc>
          <w:tcPr>
            <w:tcW w:type="dxa" w:w="1728"/>
          </w:tcPr>
          <w:p>
            <w:r>
              <w:t>ACHAT FORT</w:t>
            </w:r>
          </w:p>
        </w:tc>
      </w:tr>
      <w:tr>
        <w:tc>
          <w:tcPr>
            <w:tcW w:type="dxa" w:w="1728"/>
          </w:tcPr>
          <w:p>
            <w:r>
              <w:t>SOGC (SOGC - Société des caoutchoucs de Grand-Béréby)</w:t>
            </w:r>
          </w:p>
        </w:tc>
        <w:tc>
          <w:tcPr>
            <w:tcW w:type="dxa" w:w="1728"/>
          </w:tcPr>
          <w:p>
            <w:r>
              <w:t>3247</w:t>
            </w:r>
          </w:p>
        </w:tc>
        <w:tc>
          <w:tcPr>
            <w:tcW w:type="dxa" w:w="1728"/>
          </w:tcPr>
          <w:p>
            <w:r>
              <w:t>26626057 FCFA</w:t>
            </w:r>
          </w:p>
        </w:tc>
        <w:tc>
          <w:tcPr>
            <w:tcW w:type="dxa" w:w="1728"/>
          </w:tcPr>
          <w:p>
            <w:r>
              <w:t>-7.32%</w:t>
            </w:r>
          </w:p>
        </w:tc>
        <w:tc>
          <w:tcPr>
            <w:tcW w:type="dxa" w:w="1728"/>
          </w:tcPr>
          <w:p>
            <w:r>
              <w:t>ACHAT</w:t>
            </w:r>
          </w:p>
        </w:tc>
      </w:tr>
      <w:tr>
        <w:tc>
          <w:tcPr>
            <w:tcW w:type="dxa" w:w="1728"/>
          </w:tcPr>
          <w:p>
            <w:r>
              <w:t>CABC (CABC - SICABLE COTE D'IVOIRE)</w:t>
            </w:r>
          </w:p>
        </w:tc>
        <w:tc>
          <w:tcPr>
            <w:tcW w:type="dxa" w:w="1728"/>
          </w:tcPr>
          <w:p>
            <w:r>
              <w:t>3059</w:t>
            </w:r>
          </w:p>
        </w:tc>
        <w:tc>
          <w:tcPr>
            <w:tcW w:type="dxa" w:w="1728"/>
          </w:tcPr>
          <w:p>
            <w:r>
              <w:t>11365948 FCFA</w:t>
            </w:r>
          </w:p>
        </w:tc>
        <w:tc>
          <w:tcPr>
            <w:tcW w:type="dxa" w:w="1728"/>
          </w:tcPr>
          <w:p>
            <w:r>
              <w:t>-10.26%</w:t>
            </w:r>
          </w:p>
        </w:tc>
        <w:tc>
          <w:tcPr>
            <w:tcW w:type="dxa" w:w="1728"/>
          </w:tcPr>
          <w:p>
            <w:r>
              <w:t>ACHAT</w:t>
            </w:r>
          </w:p>
        </w:tc>
      </w:tr>
      <w:tr>
        <w:tc>
          <w:tcPr>
            <w:tcW w:type="dxa" w:w="1728"/>
          </w:tcPr>
          <w:p>
            <w:r>
              <w:t>LNBB (LNBB - LOTERIE NATIONALE DU BENIN)</w:t>
            </w:r>
          </w:p>
        </w:tc>
        <w:tc>
          <w:tcPr>
            <w:tcW w:type="dxa" w:w="1728"/>
          </w:tcPr>
          <w:p>
            <w:r>
              <w:t>2992</w:t>
            </w:r>
          </w:p>
        </w:tc>
        <w:tc>
          <w:tcPr>
            <w:tcW w:type="dxa" w:w="1728"/>
          </w:tcPr>
          <w:p>
            <w:r>
              <w:t>12967131 FCFA</w:t>
            </w:r>
          </w:p>
        </w:tc>
        <w:tc>
          <w:tcPr>
            <w:tcW w:type="dxa" w:w="1728"/>
          </w:tcPr>
          <w:p>
            <w:r>
              <w:t>12.86%</w:t>
            </w:r>
          </w:p>
        </w:tc>
        <w:tc>
          <w:tcPr>
            <w:tcW w:type="dxa" w:w="1728"/>
          </w:tcPr>
          <w:p>
            <w:r>
              <w:t>ACHAT</w:t>
            </w:r>
          </w:p>
        </w:tc>
      </w:tr>
      <w:tr>
        <w:tc>
          <w:tcPr>
            <w:tcW w:type="dxa" w:w="1728"/>
          </w:tcPr>
          <w:p>
            <w:r>
              <w:t>SLBC (SLBC - SOLIBRA COTE D'IVOIRE)</w:t>
            </w:r>
          </w:p>
        </w:tc>
        <w:tc>
          <w:tcPr>
            <w:tcW w:type="dxa" w:w="1728"/>
          </w:tcPr>
          <w:p>
            <w:r>
              <w:t>2656</w:t>
            </w:r>
          </w:p>
        </w:tc>
        <w:tc>
          <w:tcPr>
            <w:tcW w:type="dxa" w:w="1728"/>
          </w:tcPr>
          <w:p>
            <w:r>
              <w:t>104465483 FCFA</w:t>
            </w:r>
          </w:p>
        </w:tc>
        <w:tc>
          <w:tcPr>
            <w:tcW w:type="dxa" w:w="1728"/>
          </w:tcPr>
          <w:p>
            <w:r>
              <w:t>-3.86%</w:t>
            </w:r>
          </w:p>
        </w:tc>
        <w:tc>
          <w:tcPr>
            <w:tcW w:type="dxa" w:w="1728"/>
          </w:tcPr>
          <w:p>
            <w:r>
              <w:t>ACHAT</w:t>
            </w:r>
          </w:p>
        </w:tc>
      </w:tr>
      <w:tr>
        <w:tc>
          <w:tcPr>
            <w:tcW w:type="dxa" w:w="1728"/>
          </w:tcPr>
          <w:p>
            <w:r>
              <w:t>SMBC (SMBC - Société Multinationale de Bitumes COTE D'IVOIRE)</w:t>
            </w:r>
          </w:p>
        </w:tc>
        <w:tc>
          <w:tcPr>
            <w:tcW w:type="dxa" w:w="1728"/>
          </w:tcPr>
          <w:p>
            <w:r>
              <w:t>2375</w:t>
            </w:r>
          </w:p>
        </w:tc>
        <w:tc>
          <w:tcPr>
            <w:tcW w:type="dxa" w:w="1728"/>
          </w:tcPr>
          <w:p>
            <w:r>
              <w:t>38528934 FCFA</w:t>
            </w:r>
          </w:p>
        </w:tc>
        <w:tc>
          <w:tcPr>
            <w:tcW w:type="dxa" w:w="1728"/>
          </w:tcPr>
          <w:p>
            <w:r>
              <w:t>25.00%</w:t>
            </w:r>
          </w:p>
        </w:tc>
        <w:tc>
          <w:tcPr>
            <w:tcW w:type="dxa" w:w="1728"/>
          </w:tcPr>
          <w:p>
            <w:r>
              <w:t>ACHAT</w:t>
            </w:r>
          </w:p>
        </w:tc>
      </w:tr>
      <w:tr>
        <w:tc>
          <w:tcPr>
            <w:tcW w:type="dxa" w:w="1728"/>
          </w:tcPr>
          <w:p>
            <w:r>
              <w:t>NEIC (NEIC - NEI-CEDA CI)</w:t>
            </w:r>
          </w:p>
        </w:tc>
        <w:tc>
          <w:tcPr>
            <w:tcW w:type="dxa" w:w="1728"/>
          </w:tcPr>
          <w:p>
            <w:r>
              <w:t>2047</w:t>
            </w:r>
          </w:p>
        </w:tc>
        <w:tc>
          <w:tcPr>
            <w:tcW w:type="dxa" w:w="1728"/>
          </w:tcPr>
          <w:p>
            <w:r>
              <w:t>4487362 FCFA</w:t>
            </w:r>
          </w:p>
        </w:tc>
        <w:tc>
          <w:tcPr>
            <w:tcW w:type="dxa" w:w="1728"/>
          </w:tcPr>
          <w:p>
            <w:r>
              <w:t>61.43%</w:t>
            </w:r>
          </w:p>
        </w:tc>
        <w:tc>
          <w:tcPr>
            <w:tcW w:type="dxa" w:w="1728"/>
          </w:tcPr>
          <w:p>
            <w:r>
              <w:t>ACHAT</w:t>
            </w:r>
          </w:p>
        </w:tc>
      </w:tr>
      <w:tr>
        <w:tc>
          <w:tcPr>
            <w:tcW w:type="dxa" w:w="1728"/>
          </w:tcPr>
          <w:p>
            <w:r>
              <w:t>BNBC (BNBC - BERNABE CI)</w:t>
            </w:r>
          </w:p>
        </w:tc>
        <w:tc>
          <w:tcPr>
            <w:tcW w:type="dxa" w:w="1728"/>
          </w:tcPr>
          <w:p>
            <w:r>
              <w:t>1883</w:t>
            </w:r>
          </w:p>
        </w:tc>
        <w:tc>
          <w:tcPr>
            <w:tcW w:type="dxa" w:w="1728"/>
          </w:tcPr>
          <w:p>
            <w:r>
              <w:t>3555230 FCFA</w:t>
            </w:r>
          </w:p>
        </w:tc>
        <w:tc>
          <w:tcPr>
            <w:tcW w:type="dxa" w:w="1728"/>
          </w:tcPr>
          <w:p>
            <w:r>
              <w:t>19.69%</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NTLC - NTLC - NESTLE COTE D'IVOIRE</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2. ONTBF - ONTBF - ONATEL BURKINA FASO</w:t>
      </w:r>
    </w:p>
    <w:p>
      <w:r>
        <w:rPr>
          <w:b/>
        </w:rPr>
        <w:t xml:space="preserve">Score de divergence: </w:t>
      </w:r>
      <w:r>
        <w:t>5/8</w:t>
        <w:br/>
      </w:r>
      <w:r>
        <w:rPr>
          <w:b/>
        </w:rPr>
        <w:t xml:space="preserve">Description: </w:t>
      </w:r>
      <w:r>
        <w:t>Signaux d'achat: MACD | Signaux de vente: MM, RSI, Stochastique | Recommandation finale: ACHAT FORT</w:t>
        <w:br/>
      </w:r>
    </w:p>
    <w:p/>
    <w:p>
      <w:pPr>
        <w:pStyle w:val="Heading3"/>
      </w:pPr>
      <w:r>
        <w:t>3. SOGC - SOGC - Société des caoutchoucs de Grand-Béréby</w:t>
      </w:r>
    </w:p>
    <w:p>
      <w:r>
        <w:rPr>
          <w:b/>
        </w:rPr>
        <w:t xml:space="preserve">Score de divergence: </w:t>
      </w:r>
      <w:r>
        <w:t>5/8</w:t>
        <w:br/>
      </w:r>
      <w:r>
        <w:rPr>
          <w:b/>
        </w:rPr>
        <w:t xml:space="preserve">Description: </w:t>
      </w:r>
      <w:r>
        <w:t>Signaux de vente: MM, MACD | Recommandation finale: ACHAT</w:t>
        <w:br/>
      </w:r>
    </w:p>
    <w:p/>
    <w:p>
      <w:pPr>
        <w:pStyle w:val="Heading3"/>
      </w:pPr>
      <w:r>
        <w:t>4. BICC - BICI CI - Banque internationale pour le commerce et l'industrie de la Côte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5. BOAB - BANK OF AFRICA BENIN</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6. BOABF - BANK OF AFRICA BURKINA FASO</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7. CABC - CABC - SICABLE COTE D'IVOIRE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8. CBIBF - CBIBF - CORIS BANK INTERNATIONAL BURKINA FASO</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9. CFAC - CFAC - CFAO MOTORS CI</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10. FTSC - FTSC - FILTISAC COTE D'IVOIRE</w:t>
      </w:r>
    </w:p>
    <w:p>
      <w:r>
        <w:rPr>
          <w:b/>
        </w:rPr>
        <w:t xml:space="preserve">Score de divergence: </w:t>
      </w:r>
      <w:r>
        <w:t>4/8</w:t>
        <w:br/>
      </w:r>
      <w:r>
        <w:rPr>
          <w:b/>
        </w:rPr>
        <w:t xml:space="preserve">Description: </w:t>
      </w:r>
      <w:r>
        <w:t>Signaux d'achat: MACD | Signaux de vente: MM,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24</w:t>
            </w:r>
          </w:p>
        </w:tc>
        <w:tc>
          <w:tcPr>
            <w:tcW w:type="dxa" w:w="2160"/>
          </w:tcPr>
          <w:p>
            <w:r>
              <w:t>0</w:t>
            </w:r>
          </w:p>
        </w:tc>
      </w:tr>
      <w:tr>
        <w:tc>
          <w:tcPr>
            <w:tcW w:type="dxa" w:w="2160"/>
          </w:tcPr>
          <w:p>
            <w:r>
              <w:t>Risque Moyen</w:t>
            </w:r>
          </w:p>
        </w:tc>
        <w:tc>
          <w:tcPr>
            <w:tcW w:type="dxa" w:w="2160"/>
          </w:tcPr>
          <w:p>
            <w:r>
              <w:t>0</w:t>
            </w:r>
          </w:p>
        </w:tc>
        <w:tc>
          <w:tcPr>
            <w:tcW w:type="dxa" w:w="2160"/>
          </w:tcPr>
          <w:p>
            <w:r>
              <w:t>23</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BICB (BIIC BN - Banque internationale pour le commerce du benin)</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ORAC (ORAC - ORANGE COTE D'IVOIRE)</w:t>
      </w:r>
    </w:p>
    <w:p>
      <w:pPr>
        <w:pStyle w:val="ListBullet"/>
      </w:pPr>
      <w:r>
        <w:t>• ORGT (ORGT - ORAGROUP TOGO)</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SNTS (SNTS - SONATEL SN)</w:t>
      </w:r>
    </w:p>
    <w:p>
      <w:pPr>
        <w:pStyle w:val="ListBullet"/>
      </w:pPr>
      <w:r>
        <w:t>• SOGC (SOGC - Société des caoutchoucs de Grand-Béréby)</w:t>
      </w:r>
    </w:p>
    <w:p>
      <w:pPr>
        <w:pStyle w:val="ListBullet"/>
      </w:pPr>
      <w:r>
        <w:t>• STBC (STBC - SITAB COTE D'IVOIRE)</w:t>
      </w:r>
    </w:p>
    <w:p>
      <w:pPr>
        <w:pStyle w:val="ListBullet"/>
      </w:pPr>
      <w:r>
        <w:t>• TTLC (TTLC - TOTAL ENERGIES MARKETING COTE D'IVOIRE)</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BICC (BICI CI - Banque internationale pour le commerce et l'industrie de la Côte d'Ivoire)</w:t>
      </w:r>
    </w:p>
    <w:p>
      <w:pPr>
        <w:pStyle w:val="ListBullet"/>
      </w:pPr>
      <w:r>
        <w:t>• BNBC (BNBC - BERNABE CI)</w:t>
      </w:r>
    </w:p>
    <w:p>
      <w:pPr>
        <w:pStyle w:val="ListBullet"/>
      </w:pPr>
      <w:r>
        <w:t>• BOAB (BANK OF AFRICA BENIN)</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SICC (SICC - SICOR COTE D'IVOIRE)</w:t>
      </w:r>
    </w:p>
    <w:p>
      <w:pPr>
        <w:pStyle w:val="ListBullet"/>
      </w:pPr>
      <w:r>
        <w:t>• SMBC (SMBC - Société Multinationale de Bitumes COTE D'IVOIRE)</w:t>
      </w:r>
    </w:p>
    <w:p>
      <w:pPr>
        <w:pStyle w:val="ListBullet"/>
      </w:pPr>
      <w:r>
        <w:t>• SPHC (SPHC - Société Africaine de Plantation d'Hévéas de Côte d'Ivoire)</w:t>
      </w:r>
    </w:p>
    <w:p>
      <w:pPr>
        <w:pStyle w:val="ListBullet"/>
      </w:pPr>
      <w:r>
        <w:t>• STAC (STAC - SETAO COTE D'IVOIRE)</w:t>
      </w:r>
    </w:p>
    <w:p>
      <w:pPr>
        <w:pStyle w:val="ListBullet"/>
      </w:pPr>
      <w:r>
        <w:t>• TTLS (TTLS - TOTAL ENERGIES MARKETING SENEGAL)</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spacing w:before="20" w:after="40"/>
        <w:ind w:left="0"/>
      </w:pPr>
      <w:r>
        <w:rPr>
          <w:sz w:val="18"/>
        </w:rPr>
        <w:t>**RAPPORT D'ANALYSE FINANCIÈRE — BRVM**</w:t>
      </w:r>
    </w:p>
    <w:p>
      <w:pPr>
        <w:spacing w:before="20" w:after="40"/>
        <w:ind w:left="0"/>
      </w:pPr>
      <w:r>
        <w:rPr>
          <w:sz w:val="18"/>
        </w:rPr>
        <w:t>**Date : 05 Août 2026**</w:t>
      </w:r>
    </w:p>
    <w:p>
      <w:pPr>
        <w:spacing w:before="20" w:after="40"/>
        <w:ind w:left="0"/>
      </w:pPr>
      <w:r>
        <w:rPr>
          <w:sz w:val="18"/>
        </w:rPr>
        <w:t>**Indice de référence : BRVM Composite (482.28 pts)**</w:t>
      </w:r>
    </w:p>
    <w:p>
      <w:pPr>
        <w:spacing w:before="20" w:after="40"/>
        <w:ind w:left="0"/>
      </w:pPr>
      <w:r>
        <w:rPr>
          <w:sz w:val="18"/>
        </w:rPr>
        <w:t>---</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1.  **Chute des prix du pétrole** : L'indice des matières premières (MXV) a baissé pendant trois séances consécutives, entraîné par le recul du brut. Cela réduit les pressions inflationnistes mondiales mais signale une demande globale potentiellement faible.</w:t>
      </w:r>
    </w:p>
    <w:p>
      <w:pPr>
        <w:spacing w:before="20" w:after="40"/>
        <w:ind w:left="0"/>
      </w:pPr>
      <w:r>
        <w:rPr>
          <w:sz w:val="18"/>
        </w:rPr>
        <w:t>2.  **Détente des taux en Europe** : Suite au cessez-le-feu en Iran, les taux d'intérêt européens ont fortement chuté. La BCE pourrait temporiser ses hausses de taux, ce qui allège la pression sur les devises des marchés émergents.</w:t>
      </w:r>
    </w:p>
    <w:p>
      <w:pPr>
        <w:spacing w:before="20" w:after="40"/>
        <w:ind w:left="0"/>
      </w:pPr>
      <w:r>
        <w:rPr>
          <w:sz w:val="18"/>
        </w:rPr>
        <w:t>3.  **Rotation vers les valeurs refuges** : La pression vendeuse sur les matières premières a poussé les capitaux vers les actifs sûrs (or, obligations d'État), indiquant une aversion au risque modérée sur les marchés globaux.</w:t>
      </w:r>
    </w:p>
    <w:p>
      <w:pPr>
        <w:pStyle w:val="Heading3"/>
      </w:pPr>
      <w:r>
        <w:rPr>
          <w:color w:val="500050"/>
        </w:rPr>
        <w:t>⚡ Impact estimé sur la BRVM</w:t>
      </w:r>
    </w:p>
    <w:p>
      <w:pPr>
        <w:spacing w:before="20" w:after="40"/>
        <w:ind w:left="280"/>
      </w:pPr>
      <w:r>
        <w:rPr>
          <w:i/>
          <w:sz w:val="18"/>
        </w:rPr>
        <w:t>La baisse des prix du pétrole est un léger positif pour les économies importatrices de la zone UEMOA, réduisant les coûts énergétiques pour les sociétés comme **SHEC** (énergie) et les industriels (**SIVC**, **SDSC**). La détente des taux européens pourrait stabiliser les flux de capitaux vers la BRVM, mais la prudence globale limite l'appétit pour le risque.</w:t>
      </w:r>
    </w:p>
    <w:p>
      <w:pPr>
        <w:pStyle w:val="Heading2"/>
      </w:pPr>
      <w:r>
        <w:rPr>
          <w:color w:val="006E32"/>
        </w:rPr>
        <w:t>🌍 Plan Africain</w:t>
      </w:r>
    </w:p>
    <w:p>
      <w:pPr>
        <w:spacing w:before="20" w:after="40"/>
        <w:ind w:left="0"/>
      </w:pPr>
      <w:r>
        <w:rPr>
          <w:sz w:val="18"/>
        </w:rPr>
        <w:t>1.  **Investissement dans l'économie des soins** : Un officiel sénégalais souligne que l'investissement dans la santé est un "levier de croissance stratégique" pour la région.</w:t>
      </w:r>
    </w:p>
    <w:p>
      <w:pPr>
        <w:spacing w:before="20" w:after="40"/>
        <w:ind w:left="0"/>
      </w:pPr>
      <w:r>
        <w:rPr>
          <w:sz w:val="18"/>
        </w:rPr>
        <w:t>2.  **Dette verte au Sénégal** : Senelec a émis 108 milliards de FCFA de dette verte à la Bourse de Luxembourg, une opération innovante pour le financement des infrastructures.</w:t>
      </w:r>
    </w:p>
    <w:p>
      <w:pPr>
        <w:spacing w:before="20" w:after="40"/>
        <w:ind w:left="0"/>
      </w:pPr>
      <w:r>
        <w:rPr>
          <w:sz w:val="18"/>
        </w:rPr>
        <w:t>3.  **Recommandation de l'OMS** : En Mauritanie, l'OMS recommande l'investissement privé dans le secteur de la santé comme moteur de croissance.</w:t>
      </w:r>
    </w:p>
    <w:p>
      <w:pPr>
        <w:pStyle w:val="Heading3"/>
      </w:pPr>
      <w:r>
        <w:rPr>
          <w:color w:val="500050"/>
        </w:rPr>
        <w:t>⚡ Impact estimé sur la BRVM</w:t>
      </w:r>
    </w:p>
    <w:p>
      <w:pPr>
        <w:spacing w:before="20" w:after="40"/>
        <w:ind w:left="280"/>
      </w:pPr>
      <w:r>
        <w:rPr>
          <w:i/>
          <w:sz w:val="18"/>
        </w:rPr>
        <w:t>Ces nouvelles confirment une dynamique de financement innovante en Afrique de l'Ouest. L'accent mis sur la santé et les infrastructures pourrait, à terme, profiter aux banques de la place (**BOAC**, **BOAN**, **SIBC**) qui financent ces projets, mais l'impact direct à court terme reste limité.</w:t>
      </w:r>
    </w:p>
    <w:p>
      <w:pPr>
        <w:pStyle w:val="Heading2"/>
      </w:pPr>
      <w:r>
        <w:rPr>
          <w:color w:val="145A28"/>
        </w:rPr>
        <w:t>🌍 Plan Afrique de l'Ouest</w:t>
      </w:r>
    </w:p>
    <w:p>
      <w:pPr>
        <w:spacing w:before="20" w:after="40"/>
        <w:ind w:left="0"/>
      </w:pPr>
      <w:r>
        <w:rPr>
          <w:sz w:val="18"/>
        </w:rPr>
        <w:t>1.  **Calendrier de l'Eco confirmé** : L'entrée en vigueur de la monnaie unique Eco est prévue pour 2027, mais avec une adhésion "à géométrie variable".</w:t>
      </w:r>
    </w:p>
    <w:p>
      <w:pPr>
        <w:spacing w:before="20" w:after="40"/>
        <w:ind w:left="0"/>
      </w:pPr>
      <w:r>
        <w:rPr>
          <w:sz w:val="18"/>
        </w:rPr>
        <w:t>2.  **Coexistence des monnaies** : Un économiste affirme que la coexistence de plusieurs monnaies (Franc CFA, Naira, Cedi, etc.) ne freinera pas le commerce régional au sein de la CEDEAO.</w:t>
      </w:r>
    </w:p>
    <w:p>
      <w:pPr>
        <w:spacing w:before="20" w:after="40"/>
        <w:ind w:left="0"/>
      </w:pPr>
      <w:r>
        <w:rPr>
          <w:sz w:val="18"/>
        </w:rPr>
        <w:t>3.  **Décision de la Guinée** : La Guinée a choisi de privilégier son franc national plutôt que l'Eco, reflétant une prudence face à l'intégration monétaire.</w:t>
      </w:r>
    </w:p>
    <w:p>
      <w:pPr>
        <w:pStyle w:val="Heading3"/>
      </w:pPr>
      <w:r>
        <w:rPr>
          <w:color w:val="500050"/>
        </w:rPr>
        <w:t>⚡ Impact estimé sur la BRVM</w:t>
      </w:r>
    </w:p>
    <w:p>
      <w:pPr>
        <w:spacing w:before="20" w:after="40"/>
        <w:ind w:left="280"/>
      </w:pPr>
      <w:r>
        <w:rPr>
          <w:i/>
          <w:sz w:val="18"/>
        </w:rPr>
        <w:t>L'incertitude autour de l'Eco 2027 et la décision de la Guinée créent un climat d'attentisme. Cependant, la stabilité du Franc CFA (ancré à l'Euro) reste un atout majeur pour la BRVM, rassurant les investisseurs étrangers sur la stabilité monétaire des sociétés cotées.</w:t>
      </w:r>
    </w:p>
    <w:p>
      <w:pPr>
        <w:pStyle w:val="Heading2"/>
      </w:pPr>
      <w:r>
        <w:rPr>
          <w:color w:val="8C4600"/>
        </w:rPr>
        <w:t>🏦 Plan UEMOA / Zone Franc</w:t>
      </w:r>
    </w:p>
    <w:p>
      <w:pPr>
        <w:spacing w:before="20" w:after="40"/>
        <w:ind w:left="0"/>
      </w:pPr>
      <w:r>
        <w:rPr>
          <w:sz w:val="18"/>
        </w:rPr>
        <w:t>1.  **Actualités diverses** : Les informations sur la zone UEMOA sont dominées par des faits divers (condamnation d'un blogueur au Mali, limogeage d'un sélectionneur au Sénégal) sans impact économique direct.</w:t>
      </w:r>
    </w:p>
    <w:p>
      <w:pPr>
        <w:spacing w:before="20" w:after="40"/>
        <w:ind w:left="0"/>
      </w:pPr>
      <w:r>
        <w:rPr>
          <w:sz w:val="18"/>
        </w:rPr>
        <w:t>2.  **Manque de données macro** : Aucune décision majeure de la BCEAO, ni donnée sur l'inflation ou la liquidité bancaire n'a été publiée dans les actualités collectées.</w:t>
      </w:r>
    </w:p>
    <w:p>
      <w:pPr>
        <w:pStyle w:val="Heading3"/>
      </w:pPr>
      <w:r>
        <w:rPr>
          <w:color w:val="500050"/>
        </w:rPr>
        <w:t>⚡ Impact estimé sur la BRVM</w:t>
      </w:r>
    </w:p>
    <w:p>
      <w:pPr>
        <w:spacing w:before="20" w:after="40"/>
        <w:ind w:left="280"/>
      </w:pPr>
      <w:r>
        <w:rPr>
          <w:i/>
          <w:sz w:val="18"/>
        </w:rPr>
        <w:t>Données insuffisantes. L'absence de nouvelles économiques majeures de la BCEAO suggère un statu quo monétaire. Les secteurs de la consommation (**PALC**, **SLBC**) et de la distribution ne sont pas affectés par des chocs réglementaires ou monétaires cette semaine.</w:t>
      </w:r>
    </w:p>
    <w:p>
      <w:pPr>
        <w:pStyle w:val="Heading2"/>
      </w:pPr>
      <w:r>
        <w:rPr>
          <w:color w:val="003366"/>
        </w:rPr>
        <w:t>📈 Plan BRVM</w:t>
      </w:r>
    </w:p>
    <w:p>
      <w:pPr>
        <w:spacing w:before="20" w:after="40"/>
        <w:ind w:left="0"/>
      </w:pPr>
      <w:r>
        <w:rPr>
          <w:sz w:val="18"/>
        </w:rPr>
        <w:t>1.  **Résultats encourageants** : Un article de La Tribune (juin 2026) met en avant les résultats encourageants des sociétés cotées ivoiriennes à la BRVM, soutenant la confiance des investisseurs.</w:t>
      </w:r>
    </w:p>
    <w:p>
      <w:pPr>
        <w:pStyle w:val="Heading3"/>
      </w:pPr>
      <w:r>
        <w:rPr>
          <w:color w:val="500050"/>
        </w:rPr>
        <w:t>⚡ Impact estimé sur la BRVM</w:t>
      </w:r>
    </w:p>
    <w:p>
      <w:pPr>
        <w:spacing w:before="20" w:after="40"/>
        <w:ind w:left="280"/>
      </w:pPr>
      <w:r>
        <w:rPr>
          <w:i/>
          <w:sz w:val="18"/>
        </w:rPr>
        <w:t>La tendance de fond reste positive, portée par les fondamentaux des entreprises. Les secteurs les plus dynamiques restent les **Services Financiers** (banques) et les **Industriels**. Les investisseurs devraient surveiller les publications de résultats pour confirmer cette tendance.</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1.  **Cessez-le-feu en Iran** : L'annonce d'un cessez-le-feu réduit les tensions géopolitiques au Moyen-Orient, entraînant une baisse des prix du pétrole et des taux d'intérêt en Europe.</w:t>
      </w:r>
    </w:p>
    <w:p>
      <w:pPr>
        <w:pStyle w:val="Heading3"/>
      </w:pPr>
      <w:r>
        <w:rPr>
          <w:color w:val="500050"/>
        </w:rPr>
        <w:t>⚡ Impact estimé sur la BRVM</w:t>
      </w:r>
    </w:p>
    <w:p>
      <w:pPr>
        <w:spacing w:before="20" w:after="40"/>
        <w:ind w:left="280"/>
      </w:pPr>
      <w:r>
        <w:rPr>
          <w:i/>
          <w:sz w:val="18"/>
        </w:rPr>
        <w:t>La décrue des tensions géopolitiques mondiales est un facteur positif pour la BRVM. Elle réduit la prime de risque exigée par les investisseurs internationaux sur les actifs émergents et stabilise les coûts d'importation pour les entreprises de la zone.</w:t>
      </w:r>
    </w:p>
    <w:p>
      <w:pPr>
        <w:pStyle w:val="Heading2"/>
      </w:pPr>
      <w:r>
        <w:rPr>
          <w:color w:val="006E32"/>
        </w:rPr>
        <w:t>🌍 Plan Africain</w:t>
      </w:r>
    </w:p>
    <w:p>
      <w:pPr>
        <w:spacing w:before="20" w:after="40"/>
        <w:ind w:left="0"/>
      </w:pPr>
      <w:r>
        <w:rPr>
          <w:sz w:val="18"/>
        </w:rPr>
        <w:t>1.  **Aucune actualité politique majeure** : Les informations collectées ne font état d'aucun événement politique ou sécuritaire majeur à l'échelle du continent africain.</w:t>
      </w:r>
    </w:p>
    <w:p>
      <w:pPr>
        <w:pStyle w:val="Heading3"/>
      </w:pPr>
      <w:r>
        <w:rPr>
          <w:color w:val="500050"/>
        </w:rPr>
        <w:t>⚡ Impact estimé sur la BRVM</w:t>
      </w:r>
    </w:p>
    <w:p>
      <w:pPr>
        <w:spacing w:before="20" w:after="40"/>
        <w:ind w:left="280"/>
      </w:pPr>
      <w:r>
        <w:rPr>
          <w:i/>
          <w:sz w:val="18"/>
        </w:rPr>
        <w:t>Données insuffisantes. L'absence de chocs politiques continentaux permet aux investisseurs de se concentrer sur les fondamentaux économiques, maintenant un flux de capitaux stable vers la région.</w:t>
      </w:r>
    </w:p>
    <w:p>
      <w:pPr>
        <w:pStyle w:val="Heading2"/>
      </w:pPr>
      <w:r>
        <w:rPr>
          <w:color w:val="145A28"/>
        </w:rPr>
        <w:t>🌍 Plan Afrique de l'Ouest</w:t>
      </w:r>
    </w:p>
    <w:p>
      <w:pPr>
        <w:spacing w:before="20" w:after="40"/>
        <w:ind w:left="0"/>
      </w:pPr>
      <w:r>
        <w:rPr>
          <w:sz w:val="18"/>
        </w:rPr>
        <w:t>1.  **Front uni de la CEDEAO face à l'AES** : La CEDEAO a décidé de présenter un front uni face à l'Alliance des États du Sahel (AES) et de bannir toute négociation bilatérale avec les pays membres de l'AES.</w:t>
      </w:r>
    </w:p>
    <w:p>
      <w:pPr>
        <w:pStyle w:val="Heading3"/>
      </w:pPr>
      <w:r>
        <w:rPr>
          <w:color w:val="500050"/>
        </w:rPr>
        <w:t>⚡ Impact estimé sur la BRVM</w:t>
      </w:r>
    </w:p>
    <w:p>
      <w:pPr>
        <w:spacing w:before="20" w:after="40"/>
        <w:ind w:left="280"/>
      </w:pPr>
      <w:r>
        <w:rPr>
          <w:i/>
          <w:sz w:val="18"/>
        </w:rPr>
        <w:t>Cette décision renforce l'incertitude politique dans la sous-région. Les sociétés cotées ayant des activités dans les pays de l'AES (Mali, Burkina Faso, Niger) pourraient être exposées à des risques opérationnels et réglementaires accrus. Les banques panafricaines comme **BOAN** ou **BOAC** doivent surveiller leur exposition à ces marchés.</w:t>
      </w:r>
    </w:p>
    <w:p>
      <w:pPr>
        <w:pStyle w:val="Heading2"/>
      </w:pPr>
      <w:r>
        <w:rPr>
          <w:color w:val="8C4600"/>
        </w:rPr>
        <w:t>🏦 Plan UEMOA / Zone Franc</w:t>
      </w:r>
    </w:p>
    <w:p>
      <w:pPr>
        <w:spacing w:before="20" w:after="40"/>
        <w:ind w:left="0"/>
      </w:pPr>
      <w:r>
        <w:rPr>
          <w:sz w:val="18"/>
        </w:rPr>
        <w:t>1.  **Aucune actualité politique majeure** : Les informations collectées ne font état d'aucun événement politique ou réforme institutionnelle dans les pays membres de l'UEMOA.</w:t>
      </w:r>
    </w:p>
    <w:p>
      <w:pPr>
        <w:pStyle w:val="Heading3"/>
      </w:pPr>
      <w:r>
        <w:rPr>
          <w:color w:val="500050"/>
        </w:rPr>
        <w:t>⚡ Impact estimé sur la BRVM</w:t>
      </w:r>
    </w:p>
    <w:p>
      <w:pPr>
        <w:spacing w:before="20" w:after="40"/>
        <w:ind w:left="280"/>
      </w:pPr>
      <w:r>
        <w:rPr>
          <w:i/>
          <w:sz w:val="18"/>
        </w:rPr>
        <w:t>Données insuffisantes. La stabilité politique relative au sein de l'UEMOA (Côte d'Ivoire, Sénégal, etc.) contraste avec les tensions régionales et constitue un refuge pour les capitaux.</w:t>
      </w:r>
    </w:p>
    <w:p>
      <w:pPr>
        <w:pStyle w:val="Heading2"/>
      </w:pPr>
      <w:r>
        <w:rPr>
          <w:color w:val="003366"/>
        </w:rPr>
        <w:t>📈 Plan BRVM</w:t>
      </w:r>
    </w:p>
    <w:p>
      <w:pPr>
        <w:spacing w:before="20" w:after="40"/>
        <w:ind w:left="0"/>
      </w:pPr>
      <w:r>
        <w:rPr>
          <w:sz w:val="18"/>
        </w:rPr>
        <w:t>1.  **Aucune actualité réglementaire** : Les informations collectées ne mentionnent aucune décision du CREPMF, nouvelle cotation ou changement de gouvernance.</w:t>
      </w:r>
    </w:p>
    <w:p>
      <w:pPr>
        <w:pStyle w:val="Heading3"/>
      </w:pPr>
      <w:r>
        <w:rPr>
          <w:color w:val="500050"/>
        </w:rPr>
        <w:t>⚡ Impact estimé sur la BRVM</w:t>
      </w:r>
    </w:p>
    <w:p>
      <w:pPr>
        <w:spacing w:before="20" w:after="40"/>
        <w:ind w:left="280"/>
      </w:pPr>
      <w:r>
        <w:rPr>
          <w:i/>
          <w:sz w:val="18"/>
        </w:rPr>
        <w:t>Données insuffisantes. L'absence de nouvelles réglementaires signifie que le cadre opérationnel actuel reste inchangé, permettant aux sociétés de se concentrer sur leur activité.</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1.  **Chute des taux en Europe** : La BCE peut temporiser après le cessez-le-feu en Iran, ce qui rend les obligations européennes moins attractives et pousse les investisseurs vers des rendements plus élevés ailleurs.</w:t>
      </w:r>
    </w:p>
    <w:p>
      <w:pPr>
        <w:spacing w:before="20" w:after="40"/>
        <w:ind w:left="0"/>
      </w:pPr>
      <w:r>
        <w:rPr>
          <w:sz w:val="18"/>
        </w:rPr>
        <w:t>2.  **Baisse des matières premières** : La chute des prix du pétrole et le retour de la pression vendeuse sur les matières premières indiquent un ralentissement économique potentiel.</w:t>
      </w:r>
    </w:p>
    <w:p>
      <w:pPr>
        <w:pStyle w:val="Heading3"/>
      </w:pPr>
      <w:r>
        <w:rPr>
          <w:color w:val="500050"/>
        </w:rPr>
        <w:t>⚡ Impact estimé sur la BRVM</w:t>
      </w:r>
    </w:p>
    <w:p>
      <w:pPr>
        <w:spacing w:before="20" w:after="40"/>
        <w:ind w:left="280"/>
      </w:pPr>
      <w:r>
        <w:rPr>
          <w:i/>
          <w:sz w:val="18"/>
        </w:rPr>
        <w:t>La baisse des taux en Europe pourrait rendre les rendements obligataires de la BRVM (titres publics UEMOA) plus attractifs. Cependant, la baisse des matières premières pourrait affecter les cours des sociétés du secteur des ressources, bien que la BRVM soit peu exposée à ce secteur.</w:t>
      </w:r>
    </w:p>
    <w:p>
      <w:pPr>
        <w:pStyle w:val="Heading2"/>
      </w:pPr>
      <w:r>
        <w:rPr>
          <w:color w:val="006E32"/>
        </w:rPr>
        <w:t>🌍 Plan Africain</w:t>
      </w:r>
    </w:p>
    <w:p>
      <w:pPr>
        <w:spacing w:before="20" w:after="40"/>
        <w:ind w:left="0"/>
      </w:pPr>
      <w:r>
        <w:rPr>
          <w:sz w:val="18"/>
        </w:rPr>
        <w:t>1.  **Aucune actualité financière majeure** : Les informations collectées ne font état d'aucune émission d'eurobond, notation souveraine ou mouvement significatif sur les marchés obligataires africains.</w:t>
      </w:r>
    </w:p>
    <w:p>
      <w:pPr>
        <w:pStyle w:val="Heading3"/>
      </w:pPr>
      <w:r>
        <w:rPr>
          <w:color w:val="500050"/>
        </w:rPr>
        <w:t>⚡ Impact estimé sur la BRVM</w:t>
      </w:r>
    </w:p>
    <w:p>
      <w:pPr>
        <w:spacing w:before="20" w:after="40"/>
        <w:ind w:left="280"/>
      </w:pPr>
      <w:r>
        <w:rPr>
          <w:i/>
          <w:sz w:val="18"/>
        </w:rPr>
        <w:t>Données insuffisantes. La BRVM reste une place de choix pour les investisseurs cherchant une exposition au marché africain, mais la concurrence des autres bourses (Lagos, Johannesburg) pour attirer les capitaux reste forte.</w:t>
      </w:r>
    </w:p>
    <w:p>
      <w:pPr>
        <w:pStyle w:val="Heading2"/>
      </w:pPr>
      <w:r>
        <w:rPr>
          <w:color w:val="145A28"/>
        </w:rPr>
        <w:t>🌍 Plan Afrique de l'Ouest</w:t>
      </w:r>
    </w:p>
    <w:p>
      <w:pPr>
        <w:spacing w:before="20" w:after="40"/>
        <w:ind w:left="0"/>
      </w:pPr>
      <w:r>
        <w:rPr>
          <w:sz w:val="18"/>
        </w:rPr>
        <w:t>1.  **Aucune actualité spécifique** : Les informations collectées ne mentionnent pas de mouvements de capitaux ou de performances de bourses concurrentes dans la sous-région.</w:t>
      </w:r>
    </w:p>
    <w:p>
      <w:pPr>
        <w:pStyle w:val="Heading3"/>
      </w:pPr>
      <w:r>
        <w:rPr>
          <w:color w:val="500050"/>
        </w:rPr>
        <w:t>⚡ Impact estimé sur la BRVM</w:t>
      </w:r>
    </w:p>
    <w:p>
      <w:pPr>
        <w:spacing w:before="20" w:after="40"/>
        <w:ind w:left="280"/>
      </w:pPr>
      <w:r>
        <w:rPr>
          <w:i/>
          <w:sz w:val="18"/>
        </w:rPr>
        <w:t>Données insuffisantes. La BRVM conserve son statut de principale bourse de la zone francophone ouest-africaine, bénéficiant de la liquidité et de la diversité de ses cotations.</w:t>
      </w:r>
    </w:p>
    <w:p>
      <w:pPr>
        <w:pStyle w:val="Heading2"/>
      </w:pPr>
      <w:r>
        <w:rPr>
          <w:color w:val="8C4600"/>
        </w:rPr>
        <w:t>🏦 Plan UEMOA / Zone Franc</w:t>
      </w:r>
    </w:p>
    <w:p>
      <w:pPr>
        <w:spacing w:before="20" w:after="40"/>
        <w:ind w:left="0"/>
      </w:pPr>
      <w:r>
        <w:rPr>
          <w:sz w:val="18"/>
        </w:rPr>
        <w:t>1.  **Aucune actualité sur le marché des titres publics** : Les informations collectées ne mentionnent pas d'émissions de titres publics, de taux interbancaires ou de variations de liquidité.</w:t>
      </w:r>
    </w:p>
    <w:p>
      <w:pPr>
        <w:pStyle w:val="Heading3"/>
      </w:pPr>
      <w:r>
        <w:rPr>
          <w:color w:val="500050"/>
        </w:rPr>
        <w:t>⚡ Impact estimé sur la BRVM</w:t>
      </w:r>
    </w:p>
    <w:p>
      <w:pPr>
        <w:spacing w:before="20" w:after="40"/>
        <w:ind w:left="280"/>
      </w:pPr>
      <w:r>
        <w:rPr>
          <w:i/>
          <w:sz w:val="18"/>
        </w:rPr>
        <w:t>Données insuffisantes. L'arbitrage entre les titres publics (considérés comme sûrs) et les actions BRVM (plus risquées) dépendra des prochaines émissions du Trésor et de la politique de la BCEAO.</w:t>
      </w:r>
    </w:p>
    <w:p>
      <w:pPr>
        <w:pStyle w:val="Heading2"/>
      </w:pPr>
      <w:r>
        <w:rPr>
          <w:color w:val="003366"/>
        </w:rPr>
        <w:t>📈 Plan BRVM</w:t>
      </w:r>
    </w:p>
    <w:p>
      <w:pPr>
        <w:spacing w:before="20" w:after="40"/>
        <w:ind w:left="0"/>
      </w:pPr>
      <w:r>
        <w:rPr>
          <w:sz w:val="18"/>
        </w:rPr>
        <w:t>1.  **Indice stable** : Le BRVM Composite est à 482.28 points, sans mouvement majeur signalé dans les actualités.</w:t>
      </w:r>
    </w:p>
    <w:p>
      <w:pPr>
        <w:spacing w:before="20" w:after="40"/>
        <w:ind w:left="0"/>
      </w:pPr>
      <w:r>
        <w:rPr>
          <w:sz w:val="18"/>
        </w:rPr>
        <w:t>2.  **Résultats d'entreprises** : Les résultats encourageants des sociétés ivoiriennes restent le principal moteur du marché.</w:t>
      </w:r>
    </w:p>
    <w:p>
      <w:pPr>
        <w:pStyle w:val="Heading3"/>
      </w:pPr>
      <w:r>
        <w:rPr>
          <w:color w:val="500050"/>
        </w:rPr>
        <w:t>⚡ Impact estimé sur la BRVM</w:t>
      </w:r>
    </w:p>
    <w:p>
      <w:pPr>
        <w:spacing w:before="20" w:after="40"/>
        <w:ind w:left="280"/>
      </w:pPr>
      <w:r>
        <w:rPr>
          <w:i/>
          <w:sz w:val="18"/>
        </w:rPr>
        <w:t>Le marché semble manquer de catalyseurs à court terme. Les investisseurs devraient se concentrer sur les valeurs solides avec de bons fondamentaux. **ETIT** et **SIBC** (Services Financiers) restent des valeurs de premier plan. **PALC** (Consommation de base) offre une certaine défensivité. Les titres comme **SIVC** ou **SDSC** (Industriels) pourraient bénéficier de la baisse des coûts de l'énergie.</w:t>
      </w:r>
    </w:p>
    <w:p>
      <w:pPr>
        <w:spacing w:before="20" w:after="40"/>
        <w:ind w:left="280"/>
      </w:pPr>
      <w:r>
        <w:rPr>
          <w:i/>
          <w:sz w:val="18"/>
        </w:rPr>
        <w:t>---</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L'environnement macro-économique est globalement stable pour la BRVM. La détente des taux en Europe et la baisse des prix du pétrole sont des facteurs de soutien, tandis que les tensions politiques régionales (CEDEAO/AES) sont contenues. L'absence de chocs majeurs et des fondamentaux d'entreprises solides plaident pour une stabilité du marché.</w:t>
      </w:r>
    </w:p>
    <w:p>
      <w:pPr>
        <w:spacing w:before="20" w:after="40"/>
        <w:ind w:left="0"/>
      </w:pPr>
      <w:r>
        <w:rPr>
          <w:sz w:val="18"/>
        </w:rPr>
        <w:t>**Recommandation concrète :** Maintenir une position investie sur les valeurs bancaires solides (**ETIT**, **SIBC**) et les titres défensifs de consommation (**PALC**). Profiter de la faiblesse des prix du pétrole pour renforcer les positions sur les industriels (**SIVC**, **SDSC**) qui voient leurs coûts d'exploitation diminuer. Surveiller l'évolution de la situation politique avec l'AES pour tout risque de contagion.</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La chute des prix du pétrole a entraîné une baisse de l'indice MXV pen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2026-07-31</w:t>
            </w:r>
          </w:p>
        </w:tc>
        <w:tc>
          <w:tcPr>
            <w:tcW w:type="dxa" w:w="1728"/>
          </w:tcPr>
          <w:p>
            <w:r>
              <w:rPr>
                <w:sz w:val="14"/>
              </w:rPr>
              <w:t>La pression à la vente est revenue sur le marché des matières première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2026-07-31</w:t>
            </w:r>
          </w:p>
        </w:tc>
        <w:tc>
          <w:tcPr>
            <w:tcW w:type="dxa" w:w="1728"/>
          </w:tcPr>
          <w:p>
            <w:r>
              <w:rPr>
                <w:sz w:val="14"/>
              </w:rPr>
              <w:t>La semaine à venir à Wall Street-Le marché boursier américain, en plei</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2026-07-29</w:t>
            </w:r>
          </w:p>
        </w:tc>
        <w:tc>
          <w:tcPr>
            <w:tcW w:type="dxa" w:w="1728"/>
          </w:tcPr>
          <w:p>
            <w:r>
              <w:rPr>
                <w:sz w:val="14"/>
              </w:rPr>
              <w:t xml:space="preserve">Les prix du pétrole ont chuté fortement et l'indice MXV a continué de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2026-07-31</w:t>
            </w:r>
          </w:p>
        </w:tc>
        <w:tc>
          <w:tcPr>
            <w:tcW w:type="dxa" w:w="1728"/>
          </w:tcPr>
          <w:p>
            <w:r>
              <w:rPr>
                <w:sz w:val="14"/>
              </w:rPr>
              <w:t>« Si vous attendiez une opportunité particulièrement propice pour inve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2026-07-11</w:t>
            </w:r>
          </w:p>
        </w:tc>
        <w:tc>
          <w:tcPr>
            <w:tcW w:type="dxa" w:w="1728"/>
          </w:tcPr>
          <w:p>
            <w:r>
              <w:rPr>
                <w:sz w:val="14"/>
              </w:rPr>
              <w:t>La RDC lance la Kinshasa Stock Exchange, sa première Bourse - Africtel</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Entrée en vigueur de l'Eco 2027 : Un calendrier confirmé, mais une adh</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CEDEAO : la coexistence de plusieurs monnaies ne freinera pas le comme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Guinée : le franc national préféré à l'éco, future monnaie unique de l</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La CEDEAO impose un front uni face à l’AES et bannit le bilatéral - Af</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Forum de la CEDEAO sur l’eau : Abidjan accueille l’événement en septem</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PDAO 2026 et BIDC - Afriquinfos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 xml:space="preserve">Mali : « Ben le Cerveau » condamné à cinq ans pour menaces et injures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2026-08-04</w:t>
            </w:r>
          </w:p>
        </w:tc>
        <w:tc>
          <w:tcPr>
            <w:tcW w:type="dxa" w:w="1728"/>
          </w:tcPr>
          <w:p>
            <w:r>
              <w:rPr>
                <w:sz w:val="14"/>
              </w:rPr>
              <w:t>Sénégal : qui va payer les indemnités dues à Pape Thiaw, sélectionneur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2026-08-04</w:t>
            </w:r>
          </w:p>
        </w:tc>
        <w:tc>
          <w:tcPr>
            <w:tcW w:type="dxa" w:w="1728"/>
          </w:tcPr>
          <w:p>
            <w:r>
              <w:rPr>
                <w:sz w:val="14"/>
              </w:rPr>
              <w:t>Elections - AIP | Leader de l'information de proximité - Agence Ivoiri</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2026-08-03</w:t>
            </w:r>
          </w:p>
        </w:tc>
        <w:tc>
          <w:tcPr>
            <w:tcW w:type="dxa" w:w="1728"/>
          </w:tcPr>
          <w:p>
            <w:r>
              <w:rPr>
                <w:sz w:val="14"/>
              </w:rPr>
              <w:t>Hausse des prix des carburants : Le Rhdp défend la politique du gouver</w:t>
            </w:r>
          </w:p>
        </w:tc>
        <w:tc>
          <w:tcPr>
            <w:tcW w:type="dxa" w:w="1728"/>
          </w:tcPr>
          <w:p>
            <w:r>
              <w:rPr>
                <w:sz w:val="14"/>
              </w:rPr>
              <w:t>Neutre</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2026-08-04</w:t>
            </w:r>
          </w:p>
        </w:tc>
        <w:tc>
          <w:tcPr>
            <w:tcW w:type="dxa" w:w="1728"/>
          </w:tcPr>
          <w:p>
            <w:r>
              <w:rPr>
                <w:sz w:val="14"/>
              </w:rPr>
              <w:t>Côte d'Ivoire : Indépendance 2026, le Gouvernement offre des vivres et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politique Côte d</w:t>
            </w:r>
          </w:p>
        </w:tc>
      </w:tr>
      <w:tr>
        <w:tc>
          <w:tcPr>
            <w:tcW w:type="dxa" w:w="1728"/>
          </w:tcPr>
          <w:p>
            <w:r>
              <w:rPr>
                <w:sz w:val="14"/>
              </w:rPr>
              <w:t>2026-08-03</w:t>
            </w:r>
          </w:p>
        </w:tc>
        <w:tc>
          <w:tcPr>
            <w:tcW w:type="dxa" w:w="1728"/>
          </w:tcPr>
          <w:p>
            <w:r>
              <w:rPr>
                <w:sz w:val="14"/>
              </w:rPr>
              <w:t>Burkina Faso : le gouvernement salue l'engagement de ses activistes su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La chute des prix du pétrole a entraîné une baisse de l'indice MXV pen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2026-08-04</w:t>
            </w:r>
          </w:p>
        </w:tc>
        <w:tc>
          <w:tcPr>
            <w:tcW w:type="dxa" w:w="1728"/>
          </w:tcPr>
          <w:p>
            <w:r>
              <w:rPr>
                <w:sz w:val="14"/>
              </w:rPr>
              <w:t>Entrée en vigueur de l'Eco 2027 : Un calendrier confirmé, mais une adh</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La CEDEAO impose un front uni face à l’AES et bannit le bilatéral - Af</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Sénégal : qui va payer les indemnités dues à Pape Thiaw, sélectionneur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2026-08-04</w:t>
            </w:r>
          </w:p>
        </w:tc>
        <w:tc>
          <w:tcPr>
            <w:tcW w:type="dxa" w:w="1728"/>
          </w:tcPr>
          <w:p>
            <w:r>
              <w:rPr>
                <w:sz w:val="14"/>
              </w:rPr>
              <w:t>Entrée en vigueur de l'Eco 2027 : Un calendrier confirmé, mais une adh</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CEDEAO : la coexistence de plusieurs monnaies ne freinera pas le comme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Guinée : le franc national préféré à l'éco, future monnaie unique de l</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La CEDEAO impose un front uni face à l’AES et bannit le bilatéral - Af</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2026-08-04</w:t>
            </w:r>
          </w:p>
        </w:tc>
        <w:tc>
          <w:tcPr>
            <w:tcW w:type="dxa" w:w="1728"/>
          </w:tcPr>
          <w:p>
            <w:r>
              <w:rPr>
                <w:sz w:val="14"/>
              </w:rPr>
              <w:t>Entrée en vigueur de l'Eco 2027 : Un calendrier confirmé, mais une adh</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CEDEAO : la coexistence de plusieurs monnaies ne freinera pas le comme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Guinée : le franc national préféré à l'éco, future monnaie unique de l</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La CEDEAO impose un front uni face à l’AES et bannit le bilatéral - Af</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2026-08-04</w:t>
            </w:r>
          </w:p>
        </w:tc>
        <w:tc>
          <w:tcPr>
            <w:tcW w:type="dxa" w:w="1728"/>
          </w:tcPr>
          <w:p>
            <w:r>
              <w:rPr>
                <w:sz w:val="14"/>
              </w:rPr>
              <w:t>Entrée en vigueur de l'Eco 2027 : Un calendrier confirmé, mais une adh</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La CEDEAO impose un front uni face à l’AES et bannit le bilatéral - Af</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 xml:space="preserve">Mali : « Ben le Cerveau » condamné à cinq ans pour menaces et injures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2026-08-04</w:t>
            </w:r>
          </w:p>
        </w:tc>
        <w:tc>
          <w:tcPr>
            <w:tcW w:type="dxa" w:w="1728"/>
          </w:tcPr>
          <w:p>
            <w:r>
              <w:rPr>
                <w:sz w:val="14"/>
              </w:rPr>
              <w:t>Sénégal : qui va payer les indemnités dues à Pape Thiaw, sélectionneur</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La chute des prix du pétrole a entraîné une baisse de l'indice MXV pen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2026-08-04</w:t>
            </w:r>
          </w:p>
        </w:tc>
        <w:tc>
          <w:tcPr>
            <w:tcW w:type="dxa" w:w="1728"/>
          </w:tcPr>
          <w:p>
            <w:r>
              <w:rPr>
                <w:sz w:val="14"/>
              </w:rPr>
              <w:t>Entrée en vigueur de l'Eco 2027 : Un calendrier confirmé, mais une adh</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La CEDEAO impose un front uni face à l’AES et bannit le bilatéral - Af</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 xml:space="preserve">Mali : « Ben le Cerveau » condamné à cinq ans pour menaces et injures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La chute des prix du pétrole a entraîné une baisse de l'indice MXV pen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2026-08-04</w:t>
            </w:r>
          </w:p>
        </w:tc>
        <w:tc>
          <w:tcPr>
            <w:tcW w:type="dxa" w:w="1728"/>
          </w:tcPr>
          <w:p>
            <w:r>
              <w:rPr>
                <w:sz w:val="14"/>
              </w:rPr>
              <w:t>Entrée en vigueur de l'Eco 2027 : Un calendrier confirmé, mais une adh</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CEDEAO : la coexistence de plusieurs monnaies ne freinera pas le comme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 xml:space="preserve">Mali : « Ben le Cerveau » condamné à cinq ans pour menaces et injures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La chute des prix du pétrole a entraîné une baisse de l'indice MXV pen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2026-08-04</w:t>
            </w:r>
          </w:p>
        </w:tc>
        <w:tc>
          <w:tcPr>
            <w:tcW w:type="dxa" w:w="1728"/>
          </w:tcPr>
          <w:p>
            <w:r>
              <w:rPr>
                <w:sz w:val="14"/>
              </w:rPr>
              <w:t>Entrée en vigueur de l'Eco 2027 : Un calendrier confirmé, mais une adh</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CEDEAO : la coexistence de plusieurs monnaies ne freinera pas le comme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Guinée : le franc national préféré à l'éco, future monnaie unique de l</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La chute des prix du pétrole a entraîné une baisse de l'indice MXV pen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2026-08-04</w:t>
            </w:r>
          </w:p>
        </w:tc>
        <w:tc>
          <w:tcPr>
            <w:tcW w:type="dxa" w:w="1728"/>
          </w:tcPr>
          <w:p>
            <w:r>
              <w:rPr>
                <w:sz w:val="14"/>
              </w:rPr>
              <w:t>Entrée en vigueur de l'Eco 2027 : Un calendrier confirmé, mais une adh</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CEDEAO : la coexistence de plusieurs monnaies ne freinera pas le comme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2026-08-03</w:t>
            </w:r>
          </w:p>
        </w:tc>
        <w:tc>
          <w:tcPr>
            <w:tcW w:type="dxa" w:w="1728"/>
          </w:tcPr>
          <w:p>
            <w:r>
              <w:rPr>
                <w:sz w:val="14"/>
              </w:rPr>
              <w:t>Guinée : le franc national préféré à l'éco, future monnaie unique de l</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La chute des prix du pétrole a entraîné une baisse de l'indice MXV pen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2026-08-04</w:t>
            </w:r>
          </w:p>
        </w:tc>
        <w:tc>
          <w:tcPr>
            <w:tcW w:type="dxa" w:w="1728"/>
          </w:tcPr>
          <w:p>
            <w:r>
              <w:rPr>
                <w:sz w:val="14"/>
              </w:rPr>
              <w:t>Entrée en vigueur de l'Eco 2027 : Un calendrier confirmé, mais une adh</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CEDEAO : la coexistence de plusieurs monnaies ne freinera pas le comme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 xml:space="preserve">Mali : « Ben le Cerveau » condamné à cinq ans pour menaces et injures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2026-08-04</w:t>
            </w:r>
          </w:p>
        </w:tc>
        <w:tc>
          <w:tcPr>
            <w:tcW w:type="dxa" w:w="1728"/>
          </w:tcPr>
          <w:p>
            <w:r>
              <w:rPr>
                <w:sz w:val="14"/>
              </w:rPr>
              <w:t>La chute des prix du pétrole a entraîné une baisse de l'indice MXV pen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Les taux chutent en Europe, la BCE peut temporiser après le cessez-le-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BCE taux euro zo</w:t>
            </w:r>
          </w:p>
        </w:tc>
      </w:tr>
      <w:tr>
        <w:tc>
          <w:tcPr>
            <w:tcW w:type="dxa" w:w="1728"/>
          </w:tcPr>
          <w:p>
            <w:r>
              <w:rPr>
                <w:sz w:val="14"/>
              </w:rPr>
              <w:t>2026-08-04</w:t>
            </w:r>
          </w:p>
        </w:tc>
        <w:tc>
          <w:tcPr>
            <w:tcW w:type="dxa" w:w="1728"/>
          </w:tcPr>
          <w:p>
            <w:r>
              <w:rPr>
                <w:sz w:val="14"/>
              </w:rPr>
              <w:t>Entrée en vigueur de l'Eco 2027 : Un calendrier confirmé, mais une adh</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CEDEAO : la coexistence de plusieurs monnaies ne freinera pas le comme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 xml:space="preserve">Mali : « Ben le Cerveau » condamné à cinq ans pour menaces et injures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(8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r>
        <w:tc>
          <w:tcPr>
            <w:tcW w:type="dxa" w:w="1728"/>
          </w:tcPr>
          <w:p>
            <w:r>
              <w:rPr>
                <w:sz w:val="15"/>
              </w:rPr>
              <w:t>25/03/2026</w:t>
            </w:r>
          </w:p>
        </w:tc>
        <w:tc>
          <w:tcPr>
            <w:tcW w:type="dxa" w:w="1728"/>
          </w:tcPr>
          <w:p>
            <w:r>
              <w:rPr>
                <w:sz w:val="15"/>
              </w:rPr>
              <w:t>PALMCI</w:t>
            </w:r>
          </w:p>
        </w:tc>
        <w:tc>
          <w:tcPr>
            <w:tcW w:type="dxa" w:w="1728"/>
          </w:tcPr>
          <w:p>
            <w:r>
              <w:rPr>
                <w:sz w:val="15"/>
              </w:rPr>
              <w:t>20260325   avis de convocation   assemblee general</w:t>
            </w:r>
          </w:p>
        </w:tc>
        <w:tc>
          <w:tcPr>
            <w:tcW w:type="dxa" w:w="1728"/>
          </w:tcPr>
          <w:p>
            <w:r>
              <w:rPr>
                <w:b/>
                <w:color w:val="008000"/>
                <w:sz w:val="15"/>
              </w:rPr>
              <w:t>🟢 +</w:t>
            </w:r>
          </w:p>
        </w:tc>
        <w:tc>
          <w:tcPr>
            <w:tcW w:type="dxa" w:w="1728"/>
          </w:tcPr>
          <w:p>
            <w:r>
              <w:rPr>
                <w:sz w:val="15"/>
              </w:rPr>
              <w:t>PALMCI convoque son Assemblée Générale Ordinaire le 14 avril 2026 à Abidjan pour approuver les comptes 2025. L'entrepris</w:t>
            </w:r>
          </w:p>
        </w:tc>
      </w:tr>
      <w:tr>
        <w:tc>
          <w:tcPr>
            <w:tcW w:type="dxa" w:w="8640"/>
            <w:gridSpan w:val="5"/>
          </w:tcPr>
          <w:p>
            <w:r>
              <w:rPr>
                <w:color w:val="505050"/>
                <w:sz w:val="14"/>
              </w:rPr>
              <w:t xml:space="preserve">  → Assemblée Générale Ordinaire prévue le 14 avril 2026 en présentiel et visioconférence | Résultat net bénéficiaire de 15 508 654 739 FCFA selon SYSCOHADA pour l'exercice 2025 | Proposition de dividendes de 7 754 327 370 FCFA soit 502 FCFA brut par action</w:t>
            </w:r>
          </w:p>
        </w:tc>
      </w:tr>
      <w:tr>
        <w:tc>
          <w:tcPr>
            <w:tcW w:type="dxa" w:w="1728"/>
          </w:tcPr>
          <w:p>
            <w:r>
              <w:rPr>
                <w:sz w:val="15"/>
              </w:rPr>
              <w:t>25/03/2026</w:t>
            </w:r>
          </w:p>
        </w:tc>
        <w:tc>
          <w:tcPr>
            <w:tcW w:type="dxa" w:w="1728"/>
          </w:tcPr>
          <w:p>
            <w:r>
              <w:rPr>
                <w:sz w:val="15"/>
              </w:rPr>
              <w:t>SOCIÉTÉ AFRI</w:t>
            </w:r>
          </w:p>
        </w:tc>
        <w:tc>
          <w:tcPr>
            <w:tcW w:type="dxa" w:w="1728"/>
          </w:tcPr>
          <w:p>
            <w:r>
              <w:rPr>
                <w:sz w:val="15"/>
              </w:rPr>
              <w:t>20260325   avis de convocation   assemblee general</w:t>
            </w:r>
          </w:p>
        </w:tc>
        <w:tc>
          <w:tcPr>
            <w:tcW w:type="dxa" w:w="1728"/>
          </w:tcPr>
          <w:p>
            <w:r>
              <w:rPr>
                <w:b/>
                <w:color w:val="008000"/>
                <w:sz w:val="15"/>
              </w:rPr>
              <w:t>🟢 +</w:t>
            </w:r>
          </w:p>
        </w:tc>
        <w:tc>
          <w:tcPr>
            <w:tcW w:type="dxa" w:w="1728"/>
          </w:tcPr>
          <w:p>
            <w:r>
              <w:rPr>
                <w:sz w:val="15"/>
              </w:rPr>
              <w:t>SAPH convoque ses actionnaires en Assemblée Générale Ordinaire le 09 avril 2026 pour approuver les comptes 2025 et délib</w:t>
            </w:r>
          </w:p>
        </w:tc>
      </w:tr>
      <w:tr>
        <w:tc>
          <w:tcPr>
            <w:tcW w:type="dxa" w:w="8640"/>
            <w:gridSpan w:val="5"/>
          </w:tcPr>
          <w:p>
            <w:r>
              <w:rPr>
                <w:color w:val="505050"/>
                <w:sz w:val="14"/>
              </w:rPr>
              <w:t xml:space="preserve">  → Assemblée Générale Ordinaire convoquée le 09 avril 2026 à 09h00 GMT | Bénéfice net 2025 de 24,97 milliards FCFA selon SYSCOHADA et 27,34 milliards selon IFRS | Distribution de dividende proposée de 489 FCFA brut par action (12,50 milliards FCFA total)</w:t>
            </w:r>
          </w:p>
        </w:tc>
      </w:tr>
      <w:tr>
        <w:tc>
          <w:tcPr>
            <w:tcW w:type="dxa" w:w="1728"/>
          </w:tcPr>
          <w:p>
            <w:r>
              <w:rPr>
                <w:sz w:val="15"/>
              </w:rPr>
              <w:t>24/05/2026</w:t>
            </w:r>
          </w:p>
        </w:tc>
        <w:tc>
          <w:tcPr>
            <w:tcW w:type="dxa" w:w="1728"/>
          </w:tcPr>
          <w:p>
            <w:r>
              <w:rPr>
                <w:sz w:val="15"/>
              </w:rPr>
              <w:t xml:space="preserve">NESTLÉ CÔTE </w:t>
            </w:r>
          </w:p>
        </w:tc>
        <w:tc>
          <w:tcPr>
            <w:tcW w:type="dxa" w:w="1728"/>
          </w:tcPr>
          <w:p>
            <w:r>
              <w:rPr>
                <w:sz w:val="15"/>
              </w:rPr>
              <w:t>20260522   avis de convocation   assemblee general</w:t>
            </w:r>
          </w:p>
        </w:tc>
        <w:tc>
          <w:tcPr>
            <w:tcW w:type="dxa" w:w="1728"/>
          </w:tcPr>
          <w:p>
            <w:r>
              <w:rPr>
                <w:b/>
                <w:sz w:val="15"/>
              </w:rPr>
              <w:t>⚪ =</w:t>
            </w:r>
          </w:p>
        </w:tc>
        <w:tc>
          <w:tcPr>
            <w:tcW w:type="dxa" w:w="1728"/>
          </w:tcPr>
          <w:p>
            <w:r>
              <w:rPr>
                <w:sz w:val="15"/>
              </w:rPr>
              <w:t>Nestlé Côte d'Ivoire convoque ses actionnaires à une Assemblée Générale Ordinaire le 11 juin 2026 à 10h00 à l'Espace Lat</w:t>
            </w:r>
          </w:p>
        </w:tc>
      </w:tr>
      <w:tr>
        <w:tc>
          <w:tcPr>
            <w:tcW w:type="dxa" w:w="8640"/>
            <w:gridSpan w:val="5"/>
          </w:tcPr>
          <w:p>
            <w:r>
              <w:rPr>
                <w:color w:val="505050"/>
                <w:sz w:val="14"/>
              </w:rPr>
              <w:t xml:space="preserve">  → Assemblée Générale Ordinaire programmée le 11 juin 2026 à 10h00 à Abidjan | Examen des états financiers SYSCOHADA et IFRS arrêtés au 31 décembre 2025 | Proposition d'affectation du résultat de l'exercice 2025</w:t>
            </w:r>
          </w:p>
        </w:tc>
      </w:tr>
      <w:tr>
        <w:tc>
          <w:tcPr>
            <w:tcW w:type="dxa" w:w="1728"/>
          </w:tcPr>
          <w:p>
            <w:r>
              <w:rPr>
                <w:sz w:val="15"/>
              </w:rPr>
              <w:t>24/04/2026</w:t>
            </w:r>
          </w:p>
        </w:tc>
        <w:tc>
          <w:tcPr>
            <w:tcW w:type="dxa" w:w="1728"/>
          </w:tcPr>
          <w:p>
            <w:r>
              <w:rPr>
                <w:sz w:val="15"/>
              </w:rPr>
              <w:t>Société Ivoi</w:t>
            </w:r>
          </w:p>
        </w:tc>
        <w:tc>
          <w:tcPr>
            <w:tcW w:type="dxa" w:w="1728"/>
          </w:tcPr>
          <w:p>
            <w:r>
              <w:rPr>
                <w:sz w:val="15"/>
              </w:rPr>
              <w:t>20260423   avis de convocation   assemblee general</w:t>
            </w:r>
          </w:p>
        </w:tc>
        <w:tc>
          <w:tcPr>
            <w:tcW w:type="dxa" w:w="1728"/>
          </w:tcPr>
          <w:p>
            <w:r>
              <w:rPr>
                <w:b/>
                <w:sz w:val="15"/>
              </w:rPr>
              <w:t>⚪ =</w:t>
            </w:r>
          </w:p>
        </w:tc>
        <w:tc>
          <w:tcPr>
            <w:tcW w:type="dxa" w:w="1728"/>
          </w:tcPr>
          <w:p>
            <w:r>
              <w:rPr>
                <w:sz w:val="15"/>
              </w:rPr>
              <w:t xml:space="preserve">La Société Ivoirienne de Banque convoque ses actionnaires en Assemblée Générale Ordinaire Annuelle le mardi 12 mai 2026 </w:t>
            </w:r>
          </w:p>
        </w:tc>
      </w:tr>
      <w:tr>
        <w:tc>
          <w:tcPr>
            <w:tcW w:type="dxa" w:w="8640"/>
            <w:gridSpan w:val="5"/>
          </w:tcPr>
          <w:p>
            <w:r>
              <w:rPr>
                <w:color w:val="505050"/>
                <w:sz w:val="14"/>
              </w:rPr>
              <w:t xml:space="preserve">  → Assemblée Générale Ordinaire Annuelle prévue le mardi 12 mai 2026 à 10 heures | Présentation et approbation des rapports de gestion et des comptes de l'exercice social clos au 31 décembre 2025 | Évaluation du Conseil d'Administration, des Comités Spécialisés et des Administrateurs</w:t>
            </w:r>
          </w:p>
        </w:tc>
      </w:tr>
    </w:tbl>
    <w:p/>
    <w:p>
      <w:pPr>
        <w:pStyle w:val="Heading3"/>
      </w:pPr>
      <w:r>
        <w:t>📌 Autre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r>
        <w:tc>
          <w:tcPr>
            <w:tcW w:type="dxa" w:w="1728"/>
          </w:tcPr>
          <w:p>
            <w:r>
              <w:rPr>
                <w:sz w:val="15"/>
              </w:rPr>
              <w:t>24/04/2026</w:t>
            </w:r>
          </w:p>
        </w:tc>
        <w:tc>
          <w:tcPr>
            <w:tcW w:type="dxa" w:w="1728"/>
          </w:tcPr>
          <w:p>
            <w:r>
              <w:rPr>
                <w:sz w:val="15"/>
              </w:rPr>
              <w:t>SENELEC</w:t>
            </w:r>
          </w:p>
        </w:tc>
        <w:tc>
          <w:tcPr>
            <w:tcW w:type="dxa" w:w="1728"/>
          </w:tcPr>
          <w:p>
            <w:r>
              <w:rPr>
                <w:sz w:val="15"/>
              </w:rPr>
              <w:t>20260423   avis ndeg106 brvmdg   premiere cotation</w:t>
            </w:r>
          </w:p>
        </w:tc>
        <w:tc>
          <w:tcPr>
            <w:tcW w:type="dxa" w:w="1728"/>
          </w:tcPr>
          <w:p>
            <w:r>
              <w:rPr>
                <w:b/>
                <w:color w:val="008000"/>
                <w:sz w:val="15"/>
              </w:rPr>
              <w:t>🟢 +</w:t>
            </w:r>
          </w:p>
        </w:tc>
        <w:tc>
          <w:tcPr>
            <w:tcW w:type="dxa" w:w="1728"/>
          </w:tcPr>
          <w:p>
            <w:r>
              <w:rPr>
                <w:sz w:val="15"/>
              </w:rPr>
              <w:t>La BRVM annonce la première cotation des obligations SENELEC (FCTC SENELEC SENIOR 8,15% 2025-2030 et FCTC SENELEC MEZZAN</w:t>
            </w:r>
          </w:p>
        </w:tc>
      </w:tr>
      <w:tr>
        <w:tc>
          <w:tcPr>
            <w:tcW w:type="dxa" w:w="8640"/>
            <w:gridSpan w:val="5"/>
          </w:tcPr>
          <w:p>
            <w:r>
              <w:rPr>
                <w:color w:val="505050"/>
                <w:sz w:val="14"/>
              </w:rPr>
              <w:t xml:space="preserve">  → Première cotation des obligations SENELEC prévue le 06 mai 2026 | Deux tranches : SENIOR 8,15% et MEZZANINE 10,00% échéance 2025-2030 | Montant total de l'émission : 108 milliards FCFA</w:t>
            </w:r>
          </w:p>
        </w:tc>
      </w:tr>
      <w:tr>
        <w:tc>
          <w:tcPr>
            <w:tcW w:type="dxa" w:w="1728"/>
          </w:tcPr>
          <w:p>
            <w:r>
              <w:rPr>
                <w:sz w:val="15"/>
              </w:rPr>
              <w:t>23/04/2026</w:t>
            </w:r>
          </w:p>
        </w:tc>
        <w:tc>
          <w:tcPr>
            <w:tcW w:type="dxa" w:w="1728"/>
          </w:tcPr>
          <w:p>
            <w:r>
              <w:rPr>
                <w:sz w:val="15"/>
              </w:rPr>
              <w:t>SENELEC</w:t>
            </w:r>
          </w:p>
        </w:tc>
        <w:tc>
          <w:tcPr>
            <w:tcW w:type="dxa" w:w="1728"/>
          </w:tcPr>
          <w:p>
            <w:r>
              <w:rPr>
                <w:sz w:val="15"/>
              </w:rPr>
              <w:t>20260422   avis ndeg105 brvmdg   premiere cotation</w:t>
            </w:r>
          </w:p>
        </w:tc>
        <w:tc>
          <w:tcPr>
            <w:tcW w:type="dxa" w:w="1728"/>
          </w:tcPr>
          <w:p>
            <w:r>
              <w:rPr>
                <w:b/>
                <w:color w:val="008000"/>
                <w:sz w:val="15"/>
              </w:rPr>
              <w:t>🟢 +</w:t>
            </w:r>
          </w:p>
        </w:tc>
        <w:tc>
          <w:tcPr>
            <w:tcW w:type="dxa" w:w="1728"/>
          </w:tcPr>
          <w:p>
            <w:r>
              <w:rPr>
                <w:sz w:val="15"/>
              </w:rPr>
              <w:t>La BRVM annonce la première cotation des obligations FCTC SENELEC SENIOR 8,15% 2025-2030 et FCTC SENELEC MEZZANINE 10,00</w:t>
            </w:r>
          </w:p>
        </w:tc>
      </w:tr>
      <w:tr>
        <w:tc>
          <w:tcPr>
            <w:tcW w:type="dxa" w:w="8640"/>
            <w:gridSpan w:val="5"/>
          </w:tcPr>
          <w:p>
            <w:r>
              <w:rPr>
                <w:color w:val="505050"/>
                <w:sz w:val="14"/>
              </w:rPr>
              <w:t xml:space="preserve">  → Première cotation de deux emprunts obligataires FCTC SENELEC prévue le 06 mai 2026 | Émission de 8,3 millions d'obligations senior à 8,15% et 2,5 millions d'obligations mezzanine à 10% | Montant total de l'opération : 108 milliards FCFA sur le Marché Financier Régional de l'UEMOA</w:t>
            </w:r>
          </w:p>
        </w:tc>
      </w:tr>
    </w:tbl>
    <w:p/>
    <w:p>
      <w:pPr>
        <w:pStyle w:val="Heading3"/>
      </w:pPr>
      <w:r>
        <w:t>ℹ️ Avis &amp; informations (10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EPT</w:t>
            </w:r>
          </w:p>
        </w:tc>
        <w:tc>
          <w:tcPr>
            <w:tcW w:type="dxa" w:w="1728"/>
          </w:tcPr>
          <w:p>
            <w:r>
              <w:rPr>
                <w:sz w:val="15"/>
              </w:rPr>
              <w:t>20260423   avis ndeg109 brvmdg   resultats de prem</w:t>
            </w:r>
          </w:p>
        </w:tc>
        <w:tc>
          <w:tcPr>
            <w:tcW w:type="dxa" w:w="1728"/>
          </w:tcPr>
          <w:p>
            <w:r>
              <w:rPr>
                <w:b/>
                <w:color w:val="008000"/>
                <w:sz w:val="15"/>
              </w:rPr>
              <w:t>🟢 +</w:t>
            </w:r>
          </w:p>
        </w:tc>
        <w:tc>
          <w:tcPr>
            <w:tcW w:type="dxa" w:w="1728"/>
          </w:tcPr>
          <w:p>
            <w:r>
              <w:rPr>
                <w:sz w:val="15"/>
              </w:rPr>
              <w:t>La BRVM annonce les résultats de première cotation de trois emprunts obligataires FCTC EPT avec des taux de 7,50%, 8,00%</w:t>
            </w:r>
          </w:p>
        </w:tc>
      </w:tr>
      <w:tr>
        <w:tc>
          <w:tcPr>
            <w:tcW w:type="dxa" w:w="8640"/>
            <w:gridSpan w:val="5"/>
          </w:tcPr>
          <w:p>
            <w:r>
              <w:rPr>
                <w:color w:val="505050"/>
                <w:sz w:val="14"/>
              </w:rPr>
              <w:t xml:space="preserve">  → Première cotation de trois emprunts obligataires FCTC EPT avec des taux de 7,50%, 8,00% et 8,50% | Prix de cotation fixé à 10 000 FCFA par obligation avec 500 titres échangés | Capitalisation boursière totale de 60 milliards de FCFA pour les trois émissions</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r>
        <w:tc>
          <w:tcPr>
            <w:tcW w:type="dxa" w:w="1728"/>
          </w:tcPr>
          <w:p>
            <w:r>
              <w:rPr>
                <w:sz w:val="15"/>
              </w:rPr>
              <w:t>23/04/2026</w:t>
            </w:r>
          </w:p>
        </w:tc>
        <w:tc>
          <w:tcPr>
            <w:tcW w:type="dxa" w:w="1728"/>
          </w:tcPr>
          <w:p>
            <w:r>
              <w:rPr>
                <w:sz w:val="15"/>
              </w:rPr>
              <w:t>ETAT DU MALI</w:t>
            </w:r>
          </w:p>
        </w:tc>
        <w:tc>
          <w:tcPr>
            <w:tcW w:type="dxa" w:w="1728"/>
          </w:tcPr>
          <w:p>
            <w:r>
              <w:rPr>
                <w:sz w:val="15"/>
              </w:rPr>
              <w:t>20260422   avis ndeg104 brvmdg   premiere cotation</w:t>
            </w:r>
          </w:p>
        </w:tc>
        <w:tc>
          <w:tcPr>
            <w:tcW w:type="dxa" w:w="1728"/>
          </w:tcPr>
          <w:p>
            <w:r>
              <w:rPr>
                <w:b/>
                <w:color w:val="008000"/>
                <w:sz w:val="15"/>
              </w:rPr>
              <w:t>🟢 +</w:t>
            </w:r>
          </w:p>
        </w:tc>
        <w:tc>
          <w:tcPr>
            <w:tcW w:type="dxa" w:w="1728"/>
          </w:tcPr>
          <w:p>
            <w:r>
              <w:rPr>
                <w:sz w:val="15"/>
              </w:rPr>
              <w:t>La BRVM annonce la première cotation de deux emprunts obligataires de l'État du Mali : 6,55% 2026-2036 et 6,35% 2026-203</w:t>
            </w:r>
          </w:p>
        </w:tc>
      </w:tr>
      <w:tr>
        <w:tc>
          <w:tcPr>
            <w:tcW w:type="dxa" w:w="8640"/>
            <w:gridSpan w:val="5"/>
          </w:tcPr>
          <w:p>
            <w:r>
              <w:rPr>
                <w:color w:val="505050"/>
                <w:sz w:val="14"/>
              </w:rPr>
              <w:t xml:space="preserve">  → Émission de deux emprunts obligataires : État du Mali 6,55% 2026-2036 et État du Mali 6,35% 2026-2033 | Montant total de l'opération : 107,7 milliards FCFA | Date de jouissance des obligations : 6 mars 2026</w:t>
            </w:r>
          </w:p>
        </w:tc>
      </w:tr>
      <w:tr>
        <w:tc>
          <w:tcPr>
            <w:tcW w:type="dxa" w:w="1728"/>
          </w:tcPr>
          <w:p>
            <w:r>
              <w:rPr>
                <w:sz w:val="15"/>
              </w:rPr>
              <w:t>22/11/2025</w:t>
            </w:r>
          </w:p>
        </w:tc>
        <w:tc>
          <w:tcPr>
            <w:tcW w:type="dxa" w:w="1728"/>
          </w:tcPr>
          <w:p>
            <w:r>
              <w:rPr>
                <w:sz w:val="15"/>
              </w:rPr>
              <w:t xml:space="preserve">AIR LIQUIDE </w:t>
            </w:r>
          </w:p>
        </w:tc>
        <w:tc>
          <w:tcPr>
            <w:tcW w:type="dxa" w:w="1728"/>
          </w:tcPr>
          <w:p>
            <w:r>
              <w:rPr>
                <w:sz w:val="15"/>
              </w:rPr>
              <w:t>20251121   communique   franchissement de seuil pa</w:t>
            </w:r>
          </w:p>
        </w:tc>
        <w:tc>
          <w:tcPr>
            <w:tcW w:type="dxa" w:w="1728"/>
          </w:tcPr>
          <w:p>
            <w:r>
              <w:rPr>
                <w:b/>
                <w:sz w:val="15"/>
              </w:rPr>
              <w:t>⚪ =</w:t>
            </w:r>
          </w:p>
        </w:tc>
        <w:tc>
          <w:tcPr>
            <w:tcW w:type="dxa" w:w="1728"/>
          </w:tcPr>
          <w:p>
            <w:r>
              <w:rPr>
                <w:sz w:val="15"/>
              </w:rPr>
              <w:t>Air Liquide International déclare un franchissement de seuil à la baisse dans le capital d'Air Liquide Côte d'Ivoire, pa</w:t>
            </w:r>
          </w:p>
        </w:tc>
      </w:tr>
      <w:tr>
        <w:tc>
          <w:tcPr>
            <w:tcW w:type="dxa" w:w="8640"/>
            <w:gridSpan w:val="5"/>
          </w:tcPr>
          <w:p>
            <w:r>
              <w:rPr>
                <w:color w:val="505050"/>
                <w:sz w:val="14"/>
              </w:rPr>
              <w:t xml:space="preserve">  → Franchissement de seuil à la baisse de 66,66% par Air Liquide International | Cession complète de la participation : de 72,08% (6 295 350 actions) à 0% | Acheteur identifié : ERIUM LTD au cours de 230 FCFA par action</w:t>
            </w:r>
          </w:p>
        </w:tc>
      </w:tr>
      <w:tr>
        <w:tc>
          <w:tcPr>
            <w:tcW w:type="dxa" w:w="1728"/>
          </w:tcPr>
          <w:p>
            <w:r>
              <w:rPr>
                <w:sz w:val="15"/>
              </w:rPr>
              <w:t>21/05/2026</w:t>
            </w:r>
          </w:p>
        </w:tc>
        <w:tc>
          <w:tcPr>
            <w:tcW w:type="dxa" w:w="1728"/>
          </w:tcPr>
          <w:p>
            <w:r>
              <w:rPr>
                <w:sz w:val="15"/>
              </w:rPr>
              <w:t>BRVM</w:t>
            </w:r>
          </w:p>
        </w:tc>
        <w:tc>
          <w:tcPr>
            <w:tcW w:type="dxa" w:w="1728"/>
          </w:tcPr>
          <w:p>
            <w:r>
              <w:rPr>
                <w:sz w:val="15"/>
              </w:rPr>
              <w:t>20260520   avis ndeg140 brvmdg   horaires de cotat</w:t>
            </w:r>
          </w:p>
        </w:tc>
        <w:tc>
          <w:tcPr>
            <w:tcW w:type="dxa" w:w="1728"/>
          </w:tcPr>
          <w:p>
            <w:r>
              <w:rPr>
                <w:b/>
                <w:sz w:val="15"/>
              </w:rPr>
              <w:t>⚪ =</w:t>
            </w:r>
          </w:p>
        </w:tc>
        <w:tc>
          <w:tcPr>
            <w:tcW w:type="dxa" w:w="1728"/>
          </w:tcPr>
          <w:p>
            <w:r>
              <w:rPr>
                <w:sz w:val="15"/>
              </w:rPr>
              <w:t>La BRVM informe du changement des horaires de cotation du mardi 26 mai 2026 en raison de l'Aïd-el-Kébir. Les horaires so</w:t>
            </w:r>
          </w:p>
        </w:tc>
      </w:tr>
      <w:tr>
        <w:tc>
          <w:tcPr>
            <w:tcW w:type="dxa" w:w="8640"/>
            <w:gridSpan w:val="5"/>
          </w:tcPr>
          <w:p>
            <w:r>
              <w:rPr>
                <w:color w:val="505050"/>
                <w:sz w:val="14"/>
              </w:rPr>
              <w:t xml:space="preserve">  → Modification des horaires de cotation du 26 mai 2026 | Raison : célébration de l'Aïd-el-Kébir (Tabaski) | Pré-ouverture de 9h00 à 9h30 (UTC)</w:t>
            </w:r>
          </w:p>
        </w:tc>
      </w:tr>
    </w:tbl>
    <w:p/>
    <w:p>
      <w:pPr>
        <w:pStyle w:val="Heading3"/>
      </w:pPr>
      <w:r>
        <w:t>📢 Communiqués de presse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r>
        <w:tc>
          <w:tcPr>
            <w:tcW w:type="dxa" w:w="1728"/>
          </w:tcPr>
          <w:p>
            <w:r>
              <w:rPr>
                <w:sz w:val="15"/>
              </w:rPr>
              <w:t>22/02/2026</w:t>
            </w:r>
          </w:p>
        </w:tc>
        <w:tc>
          <w:tcPr>
            <w:tcW w:type="dxa" w:w="1728"/>
          </w:tcPr>
          <w:p>
            <w:r>
              <w:rPr>
                <w:sz w:val="15"/>
              </w:rPr>
              <w:t>Fidelis Fina</w:t>
            </w:r>
          </w:p>
        </w:tc>
        <w:tc>
          <w:tcPr>
            <w:tcW w:type="dxa" w:w="1728"/>
          </w:tcPr>
          <w:p>
            <w:r>
              <w:rPr>
                <w:sz w:val="15"/>
              </w:rPr>
              <w:t>20260220   communique   fidelis finance</w:t>
            </w:r>
          </w:p>
        </w:tc>
        <w:tc>
          <w:tcPr>
            <w:tcW w:type="dxa" w:w="1728"/>
          </w:tcPr>
          <w:p>
            <w:r>
              <w:rPr>
                <w:b/>
                <w:sz w:val="15"/>
              </w:rPr>
              <w:t>⚪ =</w:t>
            </w:r>
          </w:p>
        </w:tc>
        <w:tc>
          <w:tcPr>
            <w:tcW w:type="dxa" w:w="1728"/>
          </w:tcPr>
          <w:p>
            <w:r>
              <w:rPr>
                <w:sz w:val="15"/>
              </w:rPr>
              <w:t>Fidelis Finance informe le marché qu'une procédure judiciaire est en cours devant les juridictions ivoiriennes suite à u</w:t>
            </w:r>
          </w:p>
        </w:tc>
      </w:tr>
      <w:tr>
        <w:tc>
          <w:tcPr>
            <w:tcW w:type="dxa" w:w="8640"/>
            <w:gridSpan w:val="5"/>
          </w:tcPr>
          <w:p>
            <w:r>
              <w:rPr>
                <w:color w:val="505050"/>
                <w:sz w:val="14"/>
              </w:rPr>
              <w:t xml:space="preserve">  → Procédure judiciaire en cours devant les juridictions ivoiriennes suite à un différend commercial | Ordonnance de renvoi partiel rendue le 15 janvier 2026 par le Tribunal correctionnel d'Abidjan | Aucune condamnation, sanction financière ou mesure conservatoire prononcée à ce stade</w:t>
            </w:r>
          </w:p>
        </w:tc>
      </w:tr>
    </w:tbl>
    <w:p/>
    <w:p>
      <w:pPr>
        <w:pStyle w:val="Heading3"/>
      </w:pPr>
      <w:r>
        <w:t>💰 Dividendes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23/12/2025</w:t>
            </w:r>
          </w:p>
        </w:tc>
        <w:tc>
          <w:tcPr>
            <w:tcW w:type="dxa" w:w="1728"/>
          </w:tcPr>
          <w:p>
            <w:r>
              <w:rPr>
                <w:sz w:val="15"/>
              </w:rPr>
              <w:t>BANK OF AFRI</w:t>
            </w:r>
          </w:p>
        </w:tc>
        <w:tc>
          <w:tcPr>
            <w:tcW w:type="dxa" w:w="1728"/>
          </w:tcPr>
          <w:p>
            <w:r>
              <w:rPr>
                <w:sz w:val="15"/>
              </w:rPr>
              <w:t>20251223   communique   alerte sur resultats   boa</w:t>
            </w:r>
          </w:p>
        </w:tc>
        <w:tc>
          <w:tcPr>
            <w:tcW w:type="dxa" w:w="1728"/>
          </w:tcPr>
          <w:p>
            <w:r>
              <w:rPr>
                <w:b/>
                <w:sz w:val="15"/>
              </w:rPr>
              <w:t>⚪ =</w:t>
            </w:r>
          </w:p>
        </w:tc>
        <w:tc>
          <w:tcPr>
            <w:tcW w:type="dxa" w:w="1728"/>
          </w:tcPr>
          <w:p>
            <w:r>
              <w:rPr>
                <w:sz w:val="15"/>
              </w:rPr>
              <w:t>Bank of Africa-Niger annonce une baisse significative de plus de 50% de son résultat net pour l'exercice 2025. Cette chu</w:t>
            </w:r>
          </w:p>
        </w:tc>
      </w:tr>
      <w:tr>
        <w:tc>
          <w:tcPr>
            <w:tcW w:type="dxa" w:w="8640"/>
            <w:gridSpan w:val="5"/>
          </w:tcPr>
          <w:p>
            <w:r>
              <w:rPr>
                <w:color w:val="505050"/>
                <w:sz w:val="14"/>
              </w:rPr>
              <w:t xml:space="preserve">  → Baisse du résultat net supérieure à 50% par rapport à l'exercice précédent | Recul de 20% des encours de crédits dû à la conjoncture économique difficile | Important effort de provisionnement impactant la capacité bénéficiaire</w:t>
            </w:r>
          </w:p>
        </w:tc>
      </w:tr>
    </w:tbl>
    <w:p/>
    <w:p/>
    <w:p>
      <w:pPr>
        <w:pStyle w:val="Heading2"/>
      </w:pPr>
      <w:r>
        <w:t>🔔 B — Alertes Google &amp; actualités financières</w:t>
      </w:r>
    </w:p>
    <w:p>
      <w:pPr>
        <w:spacing w:before="120" w:after="40"/>
      </w:pPr>
      <w:r>
        <w:rPr>
          <w:b/>
          <w:color w:val="00467F"/>
          <w:sz w:val="20"/>
        </w:rPr>
        <w:t>🔑 économique  (6 alerte(s))</w:t>
      </w:r>
    </w:p>
    <w:p>
      <w:pPr>
        <w:spacing w:before="40" w:after="40"/>
        <w:ind w:left="360"/>
      </w:pPr>
      <w:r>
        <w:rPr>
          <w:color w:val="646464"/>
          <w:sz w:val="17"/>
        </w:rPr>
        <w:t xml:space="preserve">[05/08/2026] ⚪  </w:t>
      </w:r>
      <w:r>
        <w:rPr>
          <w:b/>
          <w:color w:val="505050"/>
          <w:sz w:val="18"/>
        </w:rPr>
        <w:t>La CEDEAO impose un front uni face à l’AES et bannit le bilatéral - Africtelegraph</w:t>
      </w:r>
      <w:r>
        <w:rPr>
          <w:color w:val="787878"/>
          <w:sz w:val="15"/>
        </w:rPr>
        <w:t xml:space="preserve">  [économique]</w:t>
      </w:r>
      <w:r>
        <w:rPr>
          <w:color w:val="B47800"/>
          <w:sz w:val="16"/>
        </w:rPr>
        <w:t xml:space="preserve">  ★ 50/10</w:t>
      </w:r>
    </w:p>
    <w:p>
      <w:pPr>
        <w:spacing w:before="0" w:after="20"/>
        <w:ind w:left="600"/>
      </w:pPr>
      <w:r>
        <w:rPr>
          <w:color w:val="323232"/>
          <w:sz w:val="17"/>
        </w:rPr>
        <w:t>La CEDEAO a décidé de présenter un front uni face à l'Alliance des États du Sahel (AES), en interdisant toute négociation bilatérale avec les pays membres de cette alliance. Cette décision vise à renforcer la cohésion régionale et à éviter que des accords individuels ne fragilisent la position de l'organisation. Elle marque une étape importante dan</w:t>
      </w:r>
    </w:p>
    <w:p>
      <w:pPr>
        <w:spacing w:before="0" w:after="40"/>
        <w:ind w:left="600"/>
      </w:pPr>
      <w:r>
        <w:rPr>
          <w:color w:val="00643C"/>
          <w:sz w:val="16"/>
        </w:rPr>
        <w:t>Points clés : La CEDEAO impose une position commune et interdit les négociations bilatérales avec l'AES.  •  Cette décision vise à renforcer l'unité régionale face à la défection de certains pays membres.</w:t>
      </w:r>
    </w:p>
    <w:p>
      <w:pPr>
        <w:spacing w:before="0" w:after="60"/>
        <w:ind w:left="600"/>
      </w:pPr>
      <w:r>
        <w:rPr>
          <w:color w:val="0064B4"/>
          <w:sz w:val="15"/>
        </w:rPr>
        <w:t>Source : https://news.google.com/rss/articles/CBMingFBVV95cUxQeFJIN21IVUFuU25XcHcyVXF2T2x</w:t>
      </w:r>
    </w:p>
    <w:p>
      <w:pPr>
        <w:spacing w:before="40" w:after="40"/>
        <w:ind w:left="360"/>
      </w:pPr>
      <w:r>
        <w:rPr>
          <w:color w:val="646464"/>
          <w:sz w:val="17"/>
        </w:rPr>
        <w:t xml:space="preserve">[04/08/2026] ⚪  </w:t>
      </w:r>
      <w:r>
        <w:rPr>
          <w:b/>
          <w:color w:val="505050"/>
          <w:sz w:val="18"/>
        </w:rPr>
        <w:t>CEDEAO : la coexistence de plusieurs monnaies ne freinera pas le commerce régional, selon l'économiste Serigne Momar Sec</w:t>
      </w:r>
      <w:r>
        <w:rPr>
          <w:color w:val="787878"/>
          <w:sz w:val="15"/>
        </w:rPr>
        <w:t xml:space="preserve">  [économique]</w:t>
      </w:r>
      <w:r>
        <w:rPr>
          <w:color w:val="B47800"/>
          <w:sz w:val="16"/>
        </w:rPr>
        <w:t xml:space="preserve">  ★ 50/10</w:t>
      </w:r>
    </w:p>
    <w:p>
      <w:pPr>
        <w:spacing w:before="0" w:after="20"/>
        <w:ind w:left="600"/>
      </w:pPr>
      <w:r>
        <w:rPr>
          <w:color w:val="323232"/>
          <w:sz w:val="17"/>
        </w:rPr>
        <w:t>L'économiste Serigne Momar Seck affirme que la coexistence de plusieurs monnaies au sein de la CEDEAO ne constituera pas un frein au commerce régional. Il estime que les échanges peuvent se poursuivre malgré la diversité monétaire, en s'appuyant sur des mécanismes de compensation et de convertibilité. Cette position contraste avec les craintes d'un</w:t>
      </w:r>
    </w:p>
    <w:p>
      <w:pPr>
        <w:spacing w:before="0" w:after="40"/>
        <w:ind w:left="600"/>
      </w:pPr>
      <w:r>
        <w:rPr>
          <w:color w:val="00643C"/>
          <w:sz w:val="16"/>
        </w:rPr>
        <w:t>Points clés : La coexistence de plusieurs monnaies n'empêchera pas le commerce régional selon l'économiste.  •  Des mécanismes de compensation et de convertibilité peuvent faciliter les échanges.  •  L'article relativise les risques de fragmentation économique dans la CEDEAO.</w:t>
      </w:r>
    </w:p>
    <w:p>
      <w:pPr>
        <w:spacing w:before="0" w:after="60"/>
        <w:ind w:left="600"/>
      </w:pPr>
      <w:r>
        <w:rPr>
          <w:color w:val="0064B4"/>
          <w:sz w:val="15"/>
        </w:rPr>
        <w:t>Source : https://news.google.com/rss/articles/CBMihAJBVV95cUxPSjctV3NyaWx3M2FFdldETFdXYXB</w:t>
      </w:r>
    </w:p>
    <w:p>
      <w:pPr>
        <w:spacing w:before="40" w:after="40"/>
        <w:ind w:left="360"/>
      </w:pPr>
      <w:r>
        <w:rPr>
          <w:color w:val="646464"/>
          <w:sz w:val="17"/>
        </w:rPr>
        <w:t xml:space="preserve">[04/08/2026] ⚪  </w:t>
      </w:r>
      <w:r>
        <w:rPr>
          <w:b/>
          <w:color w:val="505050"/>
          <w:sz w:val="18"/>
        </w:rPr>
        <w:t>Entrée en vigueur de l'Eco 2027 : Un calendrier confirmé, mais une adhésion à géométrie variable - FratMat</w:t>
      </w:r>
      <w:r>
        <w:rPr>
          <w:color w:val="787878"/>
          <w:sz w:val="15"/>
        </w:rPr>
        <w:t xml:space="preserve">  [économique]</w:t>
      </w:r>
      <w:r>
        <w:rPr>
          <w:color w:val="B47800"/>
          <w:sz w:val="16"/>
        </w:rPr>
        <w:t xml:space="preserve">  ★ 50/10</w:t>
      </w:r>
    </w:p>
    <w:p>
      <w:pPr>
        <w:spacing w:before="0" w:after="20"/>
        <w:ind w:left="600"/>
      </w:pPr>
      <w:r>
        <w:rPr>
          <w:color w:val="323232"/>
          <w:sz w:val="17"/>
        </w:rPr>
        <w:t xml:space="preserve">L'article confirme le calendrier de l'entrée en vigueur de la monnaie unique Eco prévue pour 2027, mais souligne une adhésion inégale des pays membres de la CEDEAO. Cette situation crée une incertitude sur la mise en œuvre effective du projet, avec des implications potentielles pour les économies de la région, notamment celles de l'UEMOA. La BRVM, </w:t>
      </w:r>
    </w:p>
    <w:p>
      <w:pPr>
        <w:spacing w:before="0" w:after="40"/>
        <w:ind w:left="600"/>
      </w:pPr>
      <w:r>
        <w:rPr>
          <w:color w:val="00643C"/>
          <w:sz w:val="16"/>
        </w:rPr>
        <w:t>Points clés : Confirmation du calendrier de l'Eco pour 2027.  •  Adhésion variable des pays de la CEDEAO au projet.  •  Incertitudes sur les critères de convergence économique.  •  Impact potentiel sur les économies de l'UEMOA et la BRVM.</w:t>
      </w:r>
    </w:p>
    <w:p>
      <w:pPr>
        <w:spacing w:before="0" w:after="60"/>
        <w:ind w:left="600"/>
      </w:pPr>
      <w:r>
        <w:rPr>
          <w:color w:val="0064B4"/>
          <w:sz w:val="15"/>
        </w:rPr>
        <w:t>Source : https://news.google.com/rss/articles/CBMi7AFBVV95cUxOR2xqLW15RDNYXzlUbjY2cnVLdkp</w:t>
      </w:r>
    </w:p>
    <w:p>
      <w:pPr>
        <w:spacing w:before="40" w:after="40"/>
        <w:ind w:left="360"/>
      </w:pPr>
      <w:r>
        <w:rPr>
          <w:color w:val="646464"/>
          <w:sz w:val="17"/>
        </w:rPr>
        <w:t xml:space="preserve">[03/08/2026] ⚪  </w:t>
      </w:r>
      <w:r>
        <w:rPr>
          <w:b/>
          <w:color w:val="505050"/>
          <w:sz w:val="18"/>
        </w:rPr>
        <w:t>PDAO 2026 et BIDC - Afriquinfos</w:t>
      </w:r>
      <w:r>
        <w:rPr>
          <w:color w:val="787878"/>
          <w:sz w:val="15"/>
        </w:rPr>
        <w:t xml:space="preserve">  [économique]</w:t>
      </w:r>
      <w:r>
        <w:rPr>
          <w:color w:val="B47800"/>
          <w:sz w:val="16"/>
        </w:rPr>
        <w:t xml:space="preserve">  ★ 50/10</w:t>
      </w:r>
    </w:p>
    <w:p>
      <w:pPr>
        <w:spacing w:before="0" w:after="20"/>
        <w:ind w:left="600"/>
      </w:pPr>
      <w:r>
        <w:rPr>
          <w:color w:val="323232"/>
          <w:sz w:val="17"/>
        </w:rPr>
        <w:t>L'article évoque le Programme d'Appui au Développement de l'Afrique de l'Ouest (PDAO) pour 2026 et son lien avec la Banque d'Investissement et de Développement de la CEDEAO (BIDC). Il s'agit d'une information économique régionale, sans détails spécifiques sur les marchés financiers. Le contenu est très limité, ne fournissant que le titre et la caté</w:t>
      </w:r>
    </w:p>
    <w:p>
      <w:pPr>
        <w:spacing w:before="0" w:after="40"/>
        <w:ind w:left="600"/>
      </w:pPr>
      <w:r>
        <w:rPr>
          <w:color w:val="00643C"/>
          <w:sz w:val="16"/>
        </w:rPr>
        <w:t>Points clés : Le PDAO 2026 est mentionné comme un programme de développement régional.  •  La BIDC est associée à ce programme, suggérant un rôle de financement ou de mise en œuvre.</w:t>
      </w:r>
    </w:p>
    <w:p>
      <w:pPr>
        <w:spacing w:before="0" w:after="60"/>
        <w:ind w:left="600"/>
      </w:pPr>
      <w:r>
        <w:rPr>
          <w:color w:val="0064B4"/>
          <w:sz w:val="15"/>
        </w:rPr>
        <w:t>Source : https://news.google.com/rss/articles/CBMirAJBVV95cUxNYW1mQlFvcDQwTUc1dnM3X1lOOE5</w:t>
      </w:r>
    </w:p>
    <w:p>
      <w:pPr>
        <w:spacing w:before="40" w:after="40"/>
        <w:ind w:left="360"/>
      </w:pPr>
      <w:r>
        <w:rPr>
          <w:color w:val="646464"/>
          <w:sz w:val="17"/>
        </w:rPr>
        <w:t xml:space="preserve">[03/08/2026] 🟢  </w:t>
      </w:r>
      <w:r>
        <w:rPr>
          <w:b/>
          <w:color w:val="008000"/>
          <w:sz w:val="18"/>
        </w:rPr>
        <w:t>Forum de la CEDEAO sur l’eau : Abidjan accueille l’événement en septembre prochain - lopinion.ma</w:t>
      </w:r>
      <w:r>
        <w:rPr>
          <w:color w:val="787878"/>
          <w:sz w:val="15"/>
        </w:rPr>
        <w:t xml:space="preserve">  [économique]</w:t>
      </w:r>
      <w:r>
        <w:rPr>
          <w:color w:val="B47800"/>
          <w:sz w:val="16"/>
        </w:rPr>
        <w:t xml:space="preserve">  ★ 50/10</w:t>
      </w:r>
    </w:p>
    <w:p>
      <w:pPr>
        <w:spacing w:before="0" w:after="20"/>
        <w:ind w:left="600"/>
      </w:pPr>
      <w:r>
        <w:rPr>
          <w:color w:val="323232"/>
          <w:sz w:val="17"/>
        </w:rPr>
        <w:t>Le Forum de la CEDEAO sur l'eau se tiendra à Abidjan en septembre prochain, un événement économique majeur pour la région ouest-africaine. Cette rencontre vise à discuter des enjeux liés à la gestion de l'eau et à promouvoir la coopération régionale. La tenue de ce forum en Côte d'Ivoire renforce la position d'Abidjan comme hub économique et diplom</w:t>
      </w:r>
    </w:p>
    <w:p>
      <w:pPr>
        <w:spacing w:before="0" w:after="40"/>
        <w:ind w:left="600"/>
      </w:pPr>
      <w:r>
        <w:rPr>
          <w:color w:val="00643C"/>
          <w:sz w:val="16"/>
        </w:rPr>
        <w:t>Points clés : Organisation du Forum de la CEDEAO sur l'eau à Abidjan en septembre.  •  Renforcement de la coopération régionale sur les questions hydriques.  •  Mise en avant de la Côte d'Ivoire comme pôle d'attraction pour les événements internationaux.</w:t>
      </w:r>
    </w:p>
    <w:p>
      <w:pPr>
        <w:spacing w:before="0" w:after="60"/>
        <w:ind w:left="600"/>
      </w:pPr>
      <w:r>
        <w:rPr>
          <w:color w:val="0064B4"/>
          <w:sz w:val="15"/>
        </w:rPr>
        <w:t>Source : https://news.google.com/rss/articles/CBMi_AFBVV95cUxQYk9MM25paHRTOThYQXNrdkdaUTE</w:t>
      </w:r>
    </w:p>
    <w:p>
      <w:pPr>
        <w:spacing w:before="120" w:after="40"/>
      </w:pPr>
      <w:r>
        <w:rPr>
          <w:b/>
          <w:color w:val="00467F"/>
          <w:sz w:val="20"/>
        </w:rPr>
        <w:t>🔑 politique  (12 alerte(s))</w:t>
      </w:r>
    </w:p>
    <w:p>
      <w:pPr>
        <w:spacing w:before="40" w:after="40"/>
        <w:ind w:left="360"/>
      </w:pPr>
      <w:r>
        <w:rPr>
          <w:color w:val="646464"/>
          <w:sz w:val="17"/>
        </w:rPr>
        <w:t xml:space="preserve">[04/08/2026] 🟢  </w:t>
      </w:r>
      <w:r>
        <w:rPr>
          <w:b/>
          <w:color w:val="008000"/>
          <w:sz w:val="18"/>
        </w:rPr>
        <w:t xml:space="preserve">Côte d'Ivoire : Indépendance 2026, le Gouvernement offre des vivres et une aide financière à 1 000 familles vulnérables </w:t>
      </w:r>
      <w:r>
        <w:rPr>
          <w:color w:val="787878"/>
          <w:sz w:val="15"/>
        </w:rPr>
        <w:t xml:space="preserve">  [politique]</w:t>
      </w:r>
      <w:r>
        <w:rPr>
          <w:color w:val="B47800"/>
          <w:sz w:val="16"/>
        </w:rPr>
        <w:t xml:space="preserve">  ★ 50/10</w:t>
      </w:r>
    </w:p>
    <w:p>
      <w:pPr>
        <w:spacing w:before="0" w:after="20"/>
        <w:ind w:left="600"/>
      </w:pPr>
      <w:r>
        <w:rPr>
          <w:color w:val="323232"/>
          <w:sz w:val="17"/>
        </w:rPr>
        <w:t>Le gouvernement ivoirien a annoncé, à l'occasion de la célébration de l'indépendance 2026, une distribution de vivres et une aide financière à 1 000 familles vulnérables de la commune de Yopougon. Cette initiative s'inscrit dans le cadre des actions sociales visant à soutenir les populations défavorisées. Elle reflète une politique de redistributio</w:t>
      </w:r>
    </w:p>
    <w:p>
      <w:pPr>
        <w:spacing w:before="0" w:after="40"/>
        <w:ind w:left="600"/>
      </w:pPr>
      <w:r>
        <w:rPr>
          <w:color w:val="00643C"/>
          <w:sz w:val="16"/>
        </w:rPr>
        <w:t>Points clés : Distribution de vivres et aide financière à 1 000 familles vulnérables à Yopougon.  •  Action gouvernementale dans le cadre des célébrations de l'indépendance 2026.</w:t>
      </w:r>
    </w:p>
    <w:p>
      <w:pPr>
        <w:spacing w:before="0" w:after="60"/>
        <w:ind w:left="600"/>
      </w:pPr>
      <w:r>
        <w:rPr>
          <w:color w:val="0064B4"/>
          <w:sz w:val="15"/>
        </w:rPr>
        <w:t>Source : https://news.google.com/rss/articles/CBMiuAJBVV95cUxQblp0TjRlTndObXQ5b21yWV9PY2N</w:t>
      </w:r>
    </w:p>
    <w:p>
      <w:pPr>
        <w:spacing w:before="40" w:after="40"/>
        <w:ind w:left="360"/>
      </w:pPr>
      <w:r>
        <w:rPr>
          <w:color w:val="646464"/>
          <w:sz w:val="17"/>
        </w:rPr>
        <w:t xml:space="preserve">[04/08/2026] ⚪  </w:t>
      </w:r>
      <w:r>
        <w:rPr>
          <w:b/>
          <w:color w:val="505050"/>
          <w:sz w:val="18"/>
        </w:rPr>
        <w:t>Sénégal : qui va payer les indemnités dues à Pape Thiaw, sélectionneur limogé ? - Jeune Afrique</w:t>
      </w:r>
      <w:r>
        <w:rPr>
          <w:color w:val="787878"/>
          <w:sz w:val="15"/>
        </w:rPr>
        <w:t xml:space="preserve">  [politique]</w:t>
      </w:r>
      <w:r>
        <w:rPr>
          <w:color w:val="B47800"/>
          <w:sz w:val="16"/>
        </w:rPr>
        <w:t xml:space="preserve">  ★ 50/10</w:t>
      </w:r>
    </w:p>
    <w:p>
      <w:pPr>
        <w:spacing w:before="0" w:after="20"/>
        <w:ind w:left="600"/>
      </w:pPr>
      <w:r>
        <w:rPr>
          <w:color w:val="323232"/>
          <w:sz w:val="17"/>
        </w:rPr>
        <w:t xml:space="preserve">L'article de Jeune Afrique aborde le limogeage de Pape Thiaw, sélectionneur de l'équipe nationale de football du Sénégal, et la question de qui prendra en charge ses indemnités de départ. Cette situation soulève des interrogations sur la gestion financière et les responsabilités contractuelles au sein de la fédération sénégalaise de football. Bien </w:t>
      </w:r>
    </w:p>
    <w:p>
      <w:pPr>
        <w:spacing w:before="0" w:after="40"/>
        <w:ind w:left="600"/>
      </w:pPr>
      <w:r>
        <w:rPr>
          <w:color w:val="00643C"/>
          <w:sz w:val="16"/>
        </w:rPr>
        <w:t>Points clés : Limogeage de Pape Thiaw, sélectionneur du Sénégal, et question des indemnités à verser.  •  Incertitude sur la source de financement de ces indemnités (fédération, État, sponsors).  •  Sujet principalement sportif, avec des implications financières limitées pour la zone UEMOA.</w:t>
      </w:r>
    </w:p>
    <w:p>
      <w:pPr>
        <w:spacing w:before="0" w:after="60"/>
        <w:ind w:left="600"/>
      </w:pPr>
      <w:r>
        <w:rPr>
          <w:color w:val="0064B4"/>
          <w:sz w:val="15"/>
        </w:rPr>
        <w:t>Source : https://news.google.com/rss/articles/CBMivwFBVV95cUxNeGtSWE1ZQUJ5SHBneEdTWHRsLUF</w:t>
      </w:r>
    </w:p>
    <w:p>
      <w:pPr>
        <w:spacing w:before="40" w:after="40"/>
        <w:ind w:left="360"/>
      </w:pPr>
      <w:r>
        <w:rPr>
          <w:color w:val="646464"/>
          <w:sz w:val="17"/>
        </w:rPr>
        <w:t xml:space="preserve">[04/08/2026] ⚪  </w:t>
      </w:r>
      <w:r>
        <w:rPr>
          <w:b/>
          <w:color w:val="505050"/>
          <w:sz w:val="18"/>
        </w:rPr>
        <w:t>Elections - AIP | Leader de l'information de proximité - Agence Ivoirienne de Presse (AIP)</w:t>
      </w:r>
      <w:r>
        <w:rPr>
          <w:color w:val="787878"/>
          <w:sz w:val="15"/>
        </w:rPr>
        <w:t xml:space="preserve">  [politique]</w:t>
      </w:r>
      <w:r>
        <w:rPr>
          <w:color w:val="B47800"/>
          <w:sz w:val="16"/>
        </w:rPr>
        <w:t xml:space="preserve">  ★ 50/10</w:t>
      </w:r>
    </w:p>
    <w:p>
      <w:pPr>
        <w:spacing w:before="0" w:after="20"/>
        <w:ind w:left="600"/>
      </w:pPr>
      <w:r>
        <w:rPr>
          <w:color w:val="323232"/>
          <w:sz w:val="17"/>
        </w:rPr>
        <w:t>L'article de l'Agence Ivoirienne de Presse (AIP) traite des élections dans la zone UEMOA, sans fournir de détails spécifiques sur les événements ou les résultats. Il s'agit d'un titre générique et d'un contenu minimal, indiquant probablement une couverture électorale en cours ou à venir. L'information est de nature politique et ne contient pas d'él</w:t>
      </w:r>
    </w:p>
    <w:p>
      <w:pPr>
        <w:spacing w:before="0" w:after="40"/>
        <w:ind w:left="600"/>
      </w:pPr>
      <w:r>
        <w:rPr>
          <w:color w:val="00643C"/>
          <w:sz w:val="16"/>
        </w:rPr>
        <w:t>Points clés : Couverture électorale par l'AIP dans la zone UEMOA  •  Information de proximité sur les élections</w:t>
      </w:r>
    </w:p>
    <w:p>
      <w:pPr>
        <w:spacing w:before="0" w:after="60"/>
        <w:ind w:left="600"/>
      </w:pPr>
      <w:r>
        <w:rPr>
          <w:color w:val="0064B4"/>
          <w:sz w:val="15"/>
        </w:rPr>
        <w:t>Source : https://news.google.com/rss/articles/CBMidkFVX3lxTFBtRW9fOEI5cW9nOHkwa01XM05NYzl</w:t>
      </w:r>
    </w:p>
    <w:p>
      <w:pPr>
        <w:spacing w:before="40" w:after="40"/>
        <w:ind w:left="360"/>
      </w:pPr>
      <w:r>
        <w:rPr>
          <w:color w:val="646464"/>
          <w:sz w:val="17"/>
        </w:rPr>
        <w:t xml:space="preserve">[04/08/2026] ⚪  </w:t>
      </w:r>
      <w:r>
        <w:rPr>
          <w:b/>
          <w:color w:val="505050"/>
          <w:sz w:val="18"/>
        </w:rPr>
        <w:t>Mali : « Ben le Cerveau » condamné à cinq ans pour menaces et injures en ligne - koaci.com</w:t>
      </w:r>
      <w:r>
        <w:rPr>
          <w:color w:val="787878"/>
          <w:sz w:val="15"/>
        </w:rPr>
        <w:t xml:space="preserve">  [politique]</w:t>
      </w:r>
      <w:r>
        <w:rPr>
          <w:color w:val="B47800"/>
          <w:sz w:val="16"/>
        </w:rPr>
        <w:t xml:space="preserve">  ★ 50/10</w:t>
      </w:r>
    </w:p>
    <w:p>
      <w:pPr>
        <w:spacing w:before="0" w:after="20"/>
        <w:ind w:left="600"/>
      </w:pPr>
      <w:r>
        <w:rPr>
          <w:color w:val="323232"/>
          <w:sz w:val="17"/>
        </w:rPr>
        <w:t>Un blogueur malien connu sous le pseudonyme de « Ben le Cerveau » a été condamné à cinq ans de prison pour menaces et injures en ligne. Cette décision judiciaire s'inscrit dans un contexte de répression des discours haineux et des cyberdélits dans la zone UEMOA. L'affaire reflète une tendance régionale à renforcer la législation sur les contenus nu</w:t>
      </w:r>
    </w:p>
    <w:p>
      <w:pPr>
        <w:spacing w:before="0" w:after="40"/>
        <w:ind w:left="600"/>
      </w:pPr>
      <w:r>
        <w:rPr>
          <w:color w:val="00643C"/>
          <w:sz w:val="16"/>
        </w:rPr>
        <w:t>Points clés : Condamnation à 5 ans de prison pour menaces et injures en ligne  •  Contexte de durcissement de la régulation numérique en UEMOA  •  Aucun impact direct sur les entreprises cotées à la BRVM</w:t>
      </w:r>
    </w:p>
    <w:p>
      <w:pPr>
        <w:spacing w:before="0" w:after="60"/>
        <w:ind w:left="600"/>
      </w:pPr>
      <w:r>
        <w:rPr>
          <w:color w:val="0064B4"/>
          <w:sz w:val="15"/>
        </w:rPr>
        <w:t>Source : https://news.google.com/rss/articles/CBMi1wFBVV95cUxQSjhtNFdaMUtuVmstVExob1AycTd</w:t>
      </w:r>
    </w:p>
    <w:p>
      <w:pPr>
        <w:spacing w:before="40" w:after="40"/>
        <w:ind w:left="360"/>
      </w:pPr>
      <w:r>
        <w:rPr>
          <w:color w:val="646464"/>
          <w:sz w:val="17"/>
        </w:rPr>
        <w:t xml:space="preserve">[03/08/2026] ⚪  </w:t>
      </w:r>
      <w:r>
        <w:rPr>
          <w:b/>
          <w:color w:val="505050"/>
          <w:sz w:val="18"/>
        </w:rPr>
        <w:t>Hausse des prix des carburants : Le Rhdp défend la politique du gouvernement et dénonce la « désinformation - FratMat</w:t>
      </w:r>
      <w:r>
        <w:rPr>
          <w:color w:val="787878"/>
          <w:sz w:val="15"/>
        </w:rPr>
        <w:t xml:space="preserve">  [politique]</w:t>
      </w:r>
      <w:r>
        <w:rPr>
          <w:color w:val="B47800"/>
          <w:sz w:val="16"/>
        </w:rPr>
        <w:t xml:space="preserve">  ★ 50/10</w:t>
      </w:r>
    </w:p>
    <w:p>
      <w:pPr>
        <w:spacing w:before="0" w:after="20"/>
        <w:ind w:left="600"/>
      </w:pPr>
      <w:r>
        <w:rPr>
          <w:color w:val="323232"/>
          <w:sz w:val="17"/>
        </w:rPr>
        <w:t>Le parti au pouvoir en Côte d'Ivoire, le RHDP, a réagi à la hausse des prix des carburants en défendant la politique gouvernementale et en dénonçant ce qu'il qualifie de désinformation. Cette prise de position vise à justifier les mesures prises par l'État face aux tensions économiques. Le parti appelle à la confiance dans la gestion gouvernemental</w:t>
      </w:r>
    </w:p>
    <w:p>
      <w:pPr>
        <w:spacing w:before="0" w:after="40"/>
        <w:ind w:left="600"/>
      </w:pPr>
      <w:r>
        <w:rPr>
          <w:color w:val="00643C"/>
          <w:sz w:val="16"/>
        </w:rPr>
        <w:t>Points clés : Le RHDP soutient la hausse des prix des carburants comme une mesure nécessaire.  •  Le parti dénonce la désinformation et appelle à la confiance dans le gouvernement.</w:t>
      </w:r>
    </w:p>
    <w:p>
      <w:pPr>
        <w:spacing w:before="0" w:after="60"/>
        <w:ind w:left="600"/>
      </w:pPr>
      <w:r>
        <w:rPr>
          <w:color w:val="0064B4"/>
          <w:sz w:val="15"/>
        </w:rPr>
        <w:t>Source : https://news.google.com/rss/articles/CBMi6wFBVV95cUxPU0tYY3JmUUhjdFFwVFJhMEd4VXU</w:t>
      </w:r>
    </w:p>
    <w:p>
      <w:pPr>
        <w:spacing w:before="120" w:after="40"/>
      </w:pPr>
      <w:r>
        <w:rPr>
          <w:b/>
          <w:color w:val="00467F"/>
          <w:sz w:val="20"/>
        </w:rPr>
        <w:t>🔑 matieres_premieres  (1 alerte(s))</w:t>
      </w:r>
    </w:p>
    <w:p>
      <w:pPr>
        <w:spacing w:before="40" w:after="40"/>
        <w:ind w:left="360"/>
      </w:pPr>
      <w:r>
        <w:rPr>
          <w:color w:val="646464"/>
          <w:sz w:val="17"/>
        </w:rPr>
        <w:t xml:space="preserve">[04/08/2026] 🔴  </w:t>
      </w:r>
      <w:r>
        <w:rPr>
          <w:b/>
          <w:color w:val="C00000"/>
          <w:sz w:val="18"/>
        </w:rPr>
        <w:t>La chute des prix du pétrole a entraîné une baisse de l'indice MXV pendant trois séances consécutives. - Vietnam.vn</w:t>
      </w:r>
      <w:r>
        <w:rPr>
          <w:color w:val="787878"/>
          <w:sz w:val="15"/>
        </w:rPr>
        <w:t xml:space="preserve">  [matieres_premieres]</w:t>
      </w:r>
      <w:r>
        <w:rPr>
          <w:color w:val="B47800"/>
          <w:sz w:val="16"/>
        </w:rPr>
        <w:t xml:space="preserve">  ★ 50/10</w:t>
      </w:r>
    </w:p>
    <w:p>
      <w:pPr>
        <w:spacing w:before="0" w:after="20"/>
        <w:ind w:left="600"/>
      </w:pPr>
      <w:r>
        <w:rPr>
          <w:color w:val="323232"/>
          <w:sz w:val="17"/>
        </w:rPr>
        <w:t xml:space="preserve">La chute des prix du pétrole a entraîné une baisse de l'indice MXV (indice des matières premières au Vietnam) pendant trois séances consécutives. Cette tendance reflète une pression baissière sur les matières premières, notamment l'énergie. L'article, bien que court, souligne l'impact direct des fluctuations pétrolières sur les indices de matières </w:t>
      </w:r>
    </w:p>
    <w:p>
      <w:pPr>
        <w:spacing w:before="0" w:after="40"/>
        <w:ind w:left="600"/>
      </w:pPr>
      <w:r>
        <w:rPr>
          <w:color w:val="00643C"/>
          <w:sz w:val="16"/>
        </w:rPr>
        <w:t>Points clés : Chute des prix du pétrole  •  Baisse de l'indice MXV pendant trois séances consécutives</w:t>
      </w:r>
    </w:p>
    <w:p>
      <w:pPr>
        <w:spacing w:before="0" w:after="60"/>
        <w:ind w:left="600"/>
      </w:pPr>
      <w:r>
        <w:rPr>
          <w:color w:val="0064B4"/>
          <w:sz w:val="15"/>
        </w:rPr>
        <w:t>Source : https://news.google.com/rss/articles/CBMigwFBVV95cUxQclRsU3VZOFpHX3BRaW1WcjJOQVB</w:t>
      </w:r>
    </w:p>
    <w:p>
      <w:pPr>
        <w:spacing w:before="120" w:after="40"/>
      </w:pPr>
      <w:r>
        <w:rPr>
          <w:b/>
          <w:color w:val="00467F"/>
          <w:sz w:val="20"/>
        </w:rPr>
        <w:t>🔑 politique_monetaire  (1 alerte(s))</w:t>
      </w:r>
    </w:p>
    <w:p>
      <w:pPr>
        <w:spacing w:before="40" w:after="40"/>
        <w:ind w:left="360"/>
      </w:pPr>
      <w:r>
        <w:rPr>
          <w:color w:val="646464"/>
          <w:sz w:val="17"/>
        </w:rPr>
        <w:t xml:space="preserve">[04/08/2026] 🟢  </w:t>
      </w:r>
      <w:r>
        <w:rPr>
          <w:b/>
          <w:color w:val="008000"/>
          <w:sz w:val="18"/>
        </w:rPr>
        <w:t>Les taux chutent en Europe, la BCE peut temporiser après le cessez-le-feu en Iran - ABC Bourse</w:t>
      </w:r>
      <w:r>
        <w:rPr>
          <w:color w:val="787878"/>
          <w:sz w:val="15"/>
        </w:rPr>
        <w:t xml:space="preserve">  [politique_monetaire]</w:t>
      </w:r>
      <w:r>
        <w:rPr>
          <w:color w:val="B47800"/>
          <w:sz w:val="16"/>
        </w:rPr>
        <w:t xml:space="preserve">  ★ 50/10</w:t>
      </w:r>
    </w:p>
    <w:p>
      <w:pPr>
        <w:spacing w:before="0" w:after="20"/>
        <w:ind w:left="600"/>
      </w:pPr>
      <w:r>
        <w:rPr>
          <w:color w:val="323232"/>
          <w:sz w:val="17"/>
        </w:rPr>
        <w:t>Les taux d'intérêt en Europe ont fortement chuté suite à l'annonce d'un cessez-le-feu en Iran, ce qui réduit les tensions géopolitiques et les pressions inflationnistes. Cette détente permet à la Banque centrale européenne (BCE) de temporiser dans sa politique monétaire, en évitant de nouvelles hausses de taux. Les marchés obligataires européens ré</w:t>
      </w:r>
    </w:p>
    <w:p>
      <w:pPr>
        <w:spacing w:before="0" w:after="40"/>
        <w:ind w:left="600"/>
      </w:pPr>
      <w:r>
        <w:rPr>
          <w:color w:val="00643C"/>
          <w:sz w:val="16"/>
        </w:rPr>
        <w:t>Points clés : Chute des taux d'intérêt en Europe après le cessez-le-feu en Iran.  •  La BCE peut temporiser sa politique monétaire, réduisant les risques de resserrement.  •  Baisse des rendements obligataires européens, signe d'apaisement des tensions.  •  Impact potentiel sur les flux de capitaux vers les marchés émergents.</w:t>
      </w:r>
    </w:p>
    <w:p>
      <w:pPr>
        <w:spacing w:before="0" w:after="60"/>
        <w:ind w:left="600"/>
      </w:pPr>
      <w:r>
        <w:rPr>
          <w:color w:val="0064B4"/>
          <w:sz w:val="15"/>
        </w:rPr>
        <w:t>Source : https://news.google.com/rss/articles/CBMivAFBVV95cUxPX0RvYnhEWlFKWTNxeFhmVzE3c2Y</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30,200</w:t>
            </w:r>
          </w:p>
        </w:tc>
        <w:tc>
          <w:tcPr>
            <w:tcW w:type="dxa" w:w="1080"/>
            <w:shd w:fill="C6EFCE" w:val="clear"/>
          </w:tcPr>
          <w:p>
            <w:r>
              <w:rPr>
                <w:b/>
                <w:sz w:val="16"/>
              </w:rPr>
              <w:t>85/100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2,355</w:t>
            </w:r>
          </w:p>
        </w:tc>
        <w:tc>
          <w:tcPr>
            <w:tcW w:type="dxa" w:w="1080"/>
            <w:shd w:fill="C6EFCE" w:val="clear"/>
          </w:tcPr>
          <w:p>
            <w:r>
              <w:rPr>
                <w:b/>
                <w:sz w:val="16"/>
              </w:rPr>
              <w:t>80/100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2,075</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11,600</w:t>
            </w:r>
          </w:p>
        </w:tc>
        <w:tc>
          <w:tcPr>
            <w:tcW w:type="dxa" w:w="1080"/>
            <w:shd w:fill="C6EFCE" w:val="clear"/>
          </w:tcPr>
          <w:p>
            <w:r>
              <w:rPr>
                <w:b/>
                <w:sz w:val="16"/>
              </w:rPr>
              <w:t>76/100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2,800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6</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5,075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36,900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7,500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LNBB</w:t>
            </w:r>
          </w:p>
        </w:tc>
        <w:tc>
          <w:tcPr>
            <w:tcW w:type="dxa" w:w="1080"/>
            <w:shd w:fill="C6EFCE" w:val="clear"/>
          </w:tcPr>
          <w:p>
            <w:r>
              <w:rPr>
                <w:sz w:val="16"/>
              </w:rPr>
              <w:t>CONSOMMATION DISCR</w:t>
            </w:r>
          </w:p>
        </w:tc>
        <w:tc>
          <w:tcPr>
            <w:tcW w:type="dxa" w:w="1080"/>
            <w:shd w:fill="C6EFCE" w:val="clear"/>
          </w:tcPr>
          <w:p>
            <w:r>
              <w:rPr>
                <w:sz w:val="16"/>
              </w:rPr>
              <w:t>4,300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9,250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ETIT</w:t>
            </w:r>
          </w:p>
        </w:tc>
        <w:tc>
          <w:tcPr>
            <w:tcW w:type="dxa" w:w="1080"/>
            <w:shd w:fill="C6EFCE" w:val="clear"/>
          </w:tcPr>
          <w:p>
            <w:r>
              <w:rPr>
                <w:sz w:val="16"/>
              </w:rPr>
              <w:t>SERVICES FINANCIER</w:t>
            </w:r>
          </w:p>
        </w:tc>
        <w:tc>
          <w:tcPr>
            <w:tcW w:type="dxa" w:w="1080"/>
            <w:shd w:fill="C6EFCE" w:val="clear"/>
          </w:tcPr>
          <w:p>
            <w:r>
              <w:rPr>
                <w:sz w:val="16"/>
              </w:rPr>
              <w:t>64</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17,175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3,140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8,980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2,300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STBC</w:t>
            </w:r>
          </w:p>
        </w:tc>
        <w:tc>
          <w:tcPr>
            <w:tcW w:type="dxa" w:w="1080"/>
            <w:shd w:fill="C6EFCE" w:val="clear"/>
          </w:tcPr>
          <w:p>
            <w:r>
              <w:rPr>
                <w:sz w:val="16"/>
              </w:rPr>
              <w:t>CONSOMMATION DE BA</w:t>
            </w:r>
          </w:p>
        </w:tc>
        <w:tc>
          <w:tcPr>
            <w:tcW w:type="dxa" w:w="1080"/>
            <w:shd w:fill="C6EFCE" w:val="clear"/>
          </w:tcPr>
          <w:p>
            <w:r>
              <w:rPr>
                <w:sz w:val="16"/>
              </w:rPr>
              <w:t>25,000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5,000</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2,985</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19</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2,690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3,630</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5,000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1,895</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16,000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3,575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7,200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5,585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BOAS</w:t>
            </w:r>
          </w:p>
        </w:tc>
        <w:tc>
          <w:tcPr>
            <w:tcW w:type="dxa" w:w="1080"/>
            <w:shd w:fill="EBF5FB" w:val="clear"/>
          </w:tcPr>
          <w:p>
            <w:r>
              <w:rPr>
                <w:sz w:val="16"/>
              </w:rPr>
              <w:t>SERVICES FINANCIER</w:t>
            </w:r>
          </w:p>
        </w:tc>
        <w:tc>
          <w:tcPr>
            <w:tcW w:type="dxa" w:w="1080"/>
            <w:shd w:fill="EBF5FB" w:val="clear"/>
          </w:tcPr>
          <w:p>
            <w:r>
              <w:rPr>
                <w:sz w:val="16"/>
              </w:rPr>
              <w:t>7,600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1,990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16,750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2,980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1,915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8,700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3,500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1,690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4,485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16,500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7,600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28,300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11,400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2,260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23,850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37,905</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29,000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1,450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7,085</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8,100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54,595</w:t>
            </w:r>
          </w:p>
        </w:tc>
        <w:tc>
          <w:tcPr>
            <w:tcW w:type="dxa" w:w="1080"/>
            <w:shd w:fill="FEFEFE" w:val="clear"/>
          </w:tcPr>
          <w:p>
            <w:r>
              <w:rPr>
                <w:b/>
                <w:sz w:val="16"/>
              </w:rPr>
              <w:t>53/100  (Moyen)</w:t>
            </w:r>
          </w:p>
        </w:tc>
        <w:tc>
          <w:tcPr>
            <w:tcW w:type="dxa" w:w="1080"/>
            <w:shd w:fill="FEFEFE" w:val="clear"/>
          </w:tcPr>
          <w:p>
            <w:r>
              <w:rPr>
                <w:sz w:val="16"/>
              </w:rPr>
              <w:t>NEUTRE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SNTS</w:t>
            </w:r>
          </w:p>
        </w:tc>
        <w:tc>
          <w:tcPr>
            <w:tcW w:type="dxa" w:w="1728"/>
            <w:shd w:fill="DEEAF1" w:val="clear"/>
          </w:tcPr>
          <w:p>
            <w:r>
              <w:rPr>
                <w:sz w:val="17"/>
              </w:rPr>
              <w:t>SNTS - SONATEL SN</w:t>
            </w:r>
          </w:p>
        </w:tc>
        <w:tc>
          <w:tcPr>
            <w:tcW w:type="dxa" w:w="1728"/>
            <w:shd w:fill="DEEAF1" w:val="clear"/>
          </w:tcPr>
          <w:p>
            <w:r>
              <w:rPr>
                <w:sz w:val="17"/>
              </w:rPr>
              <w:t>30,200</w:t>
            </w:r>
          </w:p>
        </w:tc>
        <w:tc>
          <w:tcPr>
            <w:tcW w:type="dxa" w:w="1728"/>
            <w:shd w:fill="DEEAF1" w:val="clear"/>
          </w:tcPr>
          <w:p>
            <w:r>
              <w:rPr>
                <w:sz w:val="17"/>
              </w:rPr>
              <w:t>85/100</w:t>
            </w:r>
          </w:p>
        </w:tc>
        <w:tc>
          <w:tcPr>
            <w:tcW w:type="dxa" w:w="1728"/>
            <w:shd w:fill="DEEAF1" w:val="clear"/>
          </w:tcPr>
          <w:p>
            <w:r>
              <w:rPr>
                <w:sz w:val="17"/>
              </w:rPr>
              <w:t>10.6%</w:t>
            </w:r>
          </w:p>
        </w:tc>
      </w:tr>
      <w:tr>
        <w:tc>
          <w:tcPr>
            <w:tcW w:type="dxa" w:w="1728"/>
            <w:shd w:fill="DEEAF1" w:val="clear"/>
          </w:tcPr>
          <w:p>
            <w:r>
              <w:rPr>
                <w:sz w:val="17"/>
              </w:rPr>
              <w:t>SIVC</w:t>
            </w:r>
          </w:p>
        </w:tc>
        <w:tc>
          <w:tcPr>
            <w:tcW w:type="dxa" w:w="1728"/>
            <w:shd w:fill="DEEAF1" w:val="clear"/>
          </w:tcPr>
          <w:p>
            <w:r>
              <w:rPr>
                <w:sz w:val="17"/>
              </w:rPr>
              <w:t>SIVC - ERIUM CI (Ex AIR LIQU</w:t>
            </w:r>
          </w:p>
        </w:tc>
        <w:tc>
          <w:tcPr>
            <w:tcW w:type="dxa" w:w="1728"/>
            <w:shd w:fill="DEEAF1" w:val="clear"/>
          </w:tcPr>
          <w:p>
            <w:r>
              <w:rPr>
                <w:sz w:val="17"/>
              </w:rPr>
              <w:t>2,075</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11,600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BICB</w:t>
            </w:r>
          </w:p>
        </w:tc>
        <w:tc>
          <w:tcPr>
            <w:tcW w:type="dxa" w:w="1728"/>
            <w:shd w:fill="DEEAF1" w:val="clear"/>
          </w:tcPr>
          <w:p>
            <w:r>
              <w:rPr>
                <w:sz w:val="17"/>
              </w:rPr>
              <w:t>BIIC BN - Banque internation</w:t>
            </w:r>
          </w:p>
        </w:tc>
        <w:tc>
          <w:tcPr>
            <w:tcW w:type="dxa" w:w="1728"/>
            <w:shd w:fill="DEEAF1" w:val="clear"/>
          </w:tcPr>
          <w:p>
            <w:r>
              <w:rPr>
                <w:sz w:val="17"/>
              </w:rPr>
              <w:t>7,500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LNBB</w:t>
            </w:r>
          </w:p>
        </w:tc>
        <w:tc>
          <w:tcPr>
            <w:tcW w:type="dxa" w:w="1728"/>
            <w:shd w:fill="DEEAF1" w:val="clear"/>
          </w:tcPr>
          <w:p>
            <w:r>
              <w:rPr>
                <w:sz w:val="17"/>
              </w:rPr>
              <w:t xml:space="preserve">LNBB - LOTERIE NATIONALE DU </w:t>
            </w:r>
          </w:p>
        </w:tc>
        <w:tc>
          <w:tcPr>
            <w:tcW w:type="dxa" w:w="1728"/>
            <w:shd w:fill="DEEAF1" w:val="clear"/>
          </w:tcPr>
          <w:p>
            <w:r>
              <w:rPr>
                <w:sz w:val="17"/>
              </w:rPr>
              <w:t>4,300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9,250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ORAC</w:t>
            </w:r>
          </w:p>
        </w:tc>
        <w:tc>
          <w:tcPr>
            <w:tcW w:type="dxa" w:w="1728"/>
            <w:shd w:fill="DEEAF1" w:val="clear"/>
          </w:tcPr>
          <w:p>
            <w:r>
              <w:rPr>
                <w:sz w:val="17"/>
              </w:rPr>
              <w:t>ORAC - ORANGE COTE D'IVOIRE</w:t>
            </w:r>
          </w:p>
        </w:tc>
        <w:tc>
          <w:tcPr>
            <w:tcW w:type="dxa" w:w="1728"/>
            <w:shd w:fill="DEEAF1" w:val="clear"/>
          </w:tcPr>
          <w:p>
            <w:r>
              <w:rPr>
                <w:sz w:val="17"/>
              </w:rPr>
              <w:t>17,175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ORGT</w:t>
            </w:r>
          </w:p>
        </w:tc>
        <w:tc>
          <w:tcPr>
            <w:tcW w:type="dxa" w:w="1728"/>
            <w:shd w:fill="DEEAF1" w:val="clear"/>
          </w:tcPr>
          <w:p>
            <w:r>
              <w:rPr>
                <w:sz w:val="17"/>
              </w:rPr>
              <w:t>ORGT - ORAGROUP TOGO</w:t>
            </w:r>
          </w:p>
        </w:tc>
        <w:tc>
          <w:tcPr>
            <w:tcW w:type="dxa" w:w="1728"/>
            <w:shd w:fill="DEEAF1" w:val="clear"/>
          </w:tcPr>
          <w:p>
            <w:r>
              <w:rPr>
                <w:sz w:val="17"/>
              </w:rPr>
              <w:t>3,140</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SNTS</w:t>
            </w:r>
          </w:p>
        </w:tc>
        <w:tc>
          <w:tcPr>
            <w:tcW w:type="dxa" w:w="1728"/>
            <w:shd w:fill="E2EFDA" w:val="clear"/>
          </w:tcPr>
          <w:p>
            <w:r>
              <w:rPr>
                <w:sz w:val="17"/>
              </w:rPr>
              <w:t>SNTS - SONATEL SN</w:t>
            </w:r>
          </w:p>
        </w:tc>
        <w:tc>
          <w:tcPr>
            <w:tcW w:type="dxa" w:w="1728"/>
            <w:shd w:fill="E2EFDA" w:val="clear"/>
          </w:tcPr>
          <w:p>
            <w:r>
              <w:rPr>
                <w:sz w:val="17"/>
              </w:rPr>
              <w:t>30,200</w:t>
            </w:r>
          </w:p>
        </w:tc>
        <w:tc>
          <w:tcPr>
            <w:tcW w:type="dxa" w:w="1728"/>
            <w:shd w:fill="E2EFDA" w:val="clear"/>
          </w:tcPr>
          <w:p>
            <w:r>
              <w:rPr>
                <w:sz w:val="17"/>
              </w:rPr>
              <w:t>85/100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2,355</w:t>
            </w:r>
          </w:p>
        </w:tc>
        <w:tc>
          <w:tcPr>
            <w:tcW w:type="dxa" w:w="1728"/>
            <w:shd w:fill="E2EFDA" w:val="clear"/>
          </w:tcPr>
          <w:p>
            <w:r>
              <w:rPr>
                <w:sz w:val="17"/>
              </w:rPr>
              <w:t>80/100</w:t>
            </w:r>
          </w:p>
        </w:tc>
        <w:tc>
          <w:tcPr>
            <w:tcW w:type="dxa" w:w="1728"/>
            <w:shd w:fill="E2EFDA" w:val="clear"/>
          </w:tcPr>
          <w:p>
            <w:r>
              <w:rPr>
                <w:sz w:val="17"/>
              </w:rPr>
              <w:t>11.2%</w:t>
            </w:r>
          </w:p>
        </w:tc>
      </w:tr>
      <w:tr>
        <w:tc>
          <w:tcPr>
            <w:tcW w:type="dxa" w:w="1728"/>
            <w:shd w:fill="E2EFDA" w:val="clear"/>
          </w:tcPr>
          <w:p>
            <w:r>
              <w:rPr>
                <w:sz w:val="17"/>
              </w:rPr>
              <w:t>SIVC</w:t>
            </w:r>
          </w:p>
        </w:tc>
        <w:tc>
          <w:tcPr>
            <w:tcW w:type="dxa" w:w="1728"/>
            <w:shd w:fill="E2EFDA" w:val="clear"/>
          </w:tcPr>
          <w:p>
            <w:r>
              <w:rPr>
                <w:sz w:val="17"/>
              </w:rPr>
              <w:t>SIVC - ERIUM CI (Ex AIR LIQU</w:t>
            </w:r>
          </w:p>
        </w:tc>
        <w:tc>
          <w:tcPr>
            <w:tcW w:type="dxa" w:w="1728"/>
            <w:shd w:fill="E2EFDA" w:val="clear"/>
          </w:tcPr>
          <w:p>
            <w:r>
              <w:rPr>
                <w:sz w:val="17"/>
              </w:rPr>
              <w:t>2,075</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11,600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ABJC</w:t>
            </w:r>
          </w:p>
        </w:tc>
        <w:tc>
          <w:tcPr>
            <w:tcW w:type="dxa" w:w="1728"/>
            <w:shd w:fill="E2EFDA" w:val="clear"/>
          </w:tcPr>
          <w:p>
            <w:r>
              <w:rPr>
                <w:sz w:val="17"/>
              </w:rPr>
              <w:t>ABJC - SERVAIR ABIDJAN CI</w:t>
            </w:r>
          </w:p>
        </w:tc>
        <w:tc>
          <w:tcPr>
            <w:tcW w:type="dxa" w:w="1728"/>
            <w:shd w:fill="E2EFDA" w:val="clear"/>
          </w:tcPr>
          <w:p>
            <w:r>
              <w:rPr>
                <w:sz w:val="17"/>
              </w:rPr>
              <w:t>2,800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BOAN</w:t>
            </w:r>
          </w:p>
        </w:tc>
        <w:tc>
          <w:tcPr>
            <w:tcW w:type="dxa" w:w="1728"/>
            <w:shd w:fill="E2EFDA" w:val="clear"/>
          </w:tcPr>
          <w:p>
            <w:r>
              <w:rPr>
                <w:sz w:val="17"/>
              </w:rPr>
              <w:t>BANK OF AFRICA NIGER</w:t>
            </w:r>
          </w:p>
        </w:tc>
        <w:tc>
          <w:tcPr>
            <w:tcW w:type="dxa" w:w="1728"/>
            <w:shd w:fill="E2EFDA" w:val="clear"/>
          </w:tcPr>
          <w:p>
            <w:r>
              <w:rPr>
                <w:sz w:val="17"/>
              </w:rPr>
              <w:t>5,075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SLBC</w:t>
            </w:r>
          </w:p>
        </w:tc>
        <w:tc>
          <w:tcPr>
            <w:tcW w:type="dxa" w:w="1728"/>
            <w:shd w:fill="E2EFDA" w:val="clear"/>
          </w:tcPr>
          <w:p>
            <w:r>
              <w:rPr>
                <w:sz w:val="17"/>
              </w:rPr>
              <w:t>SLBC - SOLIBRA COTE D'IVOIRE</w:t>
            </w:r>
          </w:p>
        </w:tc>
        <w:tc>
          <w:tcPr>
            <w:tcW w:type="dxa" w:w="1728"/>
            <w:shd w:fill="E2EFDA" w:val="clear"/>
          </w:tcPr>
          <w:p>
            <w:r>
              <w:rPr>
                <w:sz w:val="17"/>
              </w:rPr>
              <w:t>36,900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7,500</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SNTS</w:t>
            </w:r>
          </w:p>
        </w:tc>
        <w:tc>
          <w:tcPr>
            <w:tcW w:type="dxa" w:w="1728"/>
            <w:shd w:fill="FCE4D6" w:val="clear"/>
          </w:tcPr>
          <w:p>
            <w:r>
              <w:rPr>
                <w:sz w:val="17"/>
              </w:rPr>
              <w:t>SNTS - SONATEL SN</w:t>
            </w:r>
          </w:p>
        </w:tc>
        <w:tc>
          <w:tcPr>
            <w:tcW w:type="dxa" w:w="1728"/>
            <w:shd w:fill="FCE4D6" w:val="clear"/>
          </w:tcPr>
          <w:p>
            <w:r>
              <w:rPr>
                <w:sz w:val="17"/>
              </w:rPr>
              <w:t>30,200</w:t>
            </w:r>
          </w:p>
        </w:tc>
        <w:tc>
          <w:tcPr>
            <w:tcW w:type="dxa" w:w="1728"/>
            <w:shd w:fill="FCE4D6" w:val="clear"/>
          </w:tcPr>
          <w:p>
            <w:r>
              <w:rPr>
                <w:sz w:val="17"/>
              </w:rPr>
              <w:t>85/100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2,355</w:t>
            </w:r>
          </w:p>
        </w:tc>
        <w:tc>
          <w:tcPr>
            <w:tcW w:type="dxa" w:w="1728"/>
            <w:shd w:fill="FCE4D6" w:val="clear"/>
          </w:tcPr>
          <w:p>
            <w:r>
              <w:rPr>
                <w:sz w:val="17"/>
              </w:rPr>
              <w:t>80/100</w:t>
            </w:r>
          </w:p>
        </w:tc>
        <w:tc>
          <w:tcPr>
            <w:tcW w:type="dxa" w:w="1728"/>
            <w:shd w:fill="FCE4D6" w:val="clear"/>
          </w:tcPr>
          <w:p>
            <w:r>
              <w:rPr>
                <w:sz w:val="17"/>
              </w:rPr>
              <w:t>11.9%</w:t>
            </w:r>
          </w:p>
        </w:tc>
      </w:tr>
      <w:tr>
        <w:tc>
          <w:tcPr>
            <w:tcW w:type="dxa" w:w="1728"/>
            <w:shd w:fill="FCE4D6" w:val="clear"/>
          </w:tcPr>
          <w:p>
            <w:r>
              <w:rPr>
                <w:sz w:val="17"/>
              </w:rPr>
              <w:t>SIVC</w:t>
            </w:r>
          </w:p>
        </w:tc>
        <w:tc>
          <w:tcPr>
            <w:tcW w:type="dxa" w:w="1728"/>
            <w:shd w:fill="FCE4D6" w:val="clear"/>
          </w:tcPr>
          <w:p>
            <w:r>
              <w:rPr>
                <w:sz w:val="17"/>
              </w:rPr>
              <w:t>SIVC - ERIUM CI (Ex AIR LIQU</w:t>
            </w:r>
          </w:p>
        </w:tc>
        <w:tc>
          <w:tcPr>
            <w:tcW w:type="dxa" w:w="1728"/>
            <w:shd w:fill="FCE4D6" w:val="clear"/>
          </w:tcPr>
          <w:p>
            <w:r>
              <w:rPr>
                <w:sz w:val="17"/>
              </w:rPr>
              <w:t>2,075</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11,600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ABJC</w:t>
            </w:r>
          </w:p>
        </w:tc>
        <w:tc>
          <w:tcPr>
            <w:tcW w:type="dxa" w:w="1728"/>
            <w:shd w:fill="FCE4D6" w:val="clear"/>
          </w:tcPr>
          <w:p>
            <w:r>
              <w:rPr>
                <w:sz w:val="17"/>
              </w:rPr>
              <w:t>ABJC - SERVAIR ABIDJAN CI</w:t>
            </w:r>
          </w:p>
        </w:tc>
        <w:tc>
          <w:tcPr>
            <w:tcW w:type="dxa" w:w="1728"/>
            <w:shd w:fill="FCE4D6" w:val="clear"/>
          </w:tcPr>
          <w:p>
            <w:r>
              <w:rPr>
                <w:sz w:val="17"/>
              </w:rPr>
              <w:t>2,800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BOAN</w:t>
            </w:r>
          </w:p>
        </w:tc>
        <w:tc>
          <w:tcPr>
            <w:tcW w:type="dxa" w:w="1728"/>
            <w:shd w:fill="FCE4D6" w:val="clear"/>
          </w:tcPr>
          <w:p>
            <w:r>
              <w:rPr>
                <w:sz w:val="17"/>
              </w:rPr>
              <w:t>BANK OF AFRICA NIGER</w:t>
            </w:r>
          </w:p>
        </w:tc>
        <w:tc>
          <w:tcPr>
            <w:tcW w:type="dxa" w:w="1728"/>
            <w:shd w:fill="FCE4D6" w:val="clear"/>
          </w:tcPr>
          <w:p>
            <w:r>
              <w:rPr>
                <w:sz w:val="17"/>
              </w:rPr>
              <w:t>5,075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SLBC</w:t>
            </w:r>
          </w:p>
        </w:tc>
        <w:tc>
          <w:tcPr>
            <w:tcW w:type="dxa" w:w="1728"/>
            <w:shd w:fill="FCE4D6" w:val="clear"/>
          </w:tcPr>
          <w:p>
            <w:r>
              <w:rPr>
                <w:sz w:val="17"/>
              </w:rPr>
              <w:t>SLBC - SOLIBRA COTE D'IVOIRE</w:t>
            </w:r>
          </w:p>
        </w:tc>
        <w:tc>
          <w:tcPr>
            <w:tcW w:type="dxa" w:w="1728"/>
            <w:shd w:fill="FCE4D6" w:val="clear"/>
          </w:tcPr>
          <w:p>
            <w:r>
              <w:rPr>
                <w:sz w:val="17"/>
              </w:rPr>
              <w:t>36,900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7,500</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NTLC — NTLC - NESTLE COTE D'IVOIRE</w:t>
      </w:r>
    </w:p>
    <w:p>
      <w:pPr>
        <w:pStyle w:val="ListBullet"/>
        <w:spacing w:before="20"/>
        <w:ind w:left="400"/>
      </w:pPr>
      <w:r>
        <w:rPr>
          <w:sz w:val="18"/>
        </w:rPr>
        <w:t>🔴 RSI surachat (79.8 &gt; 70) — risque de correction</w:t>
      </w:r>
    </w:p>
    <w:p>
      <w:pPr>
        <w:pStyle w:val="ListBullet"/>
        <w:spacing w:before="20"/>
        <w:ind w:left="400"/>
      </w:pPr>
      <w:r>
        <w:rPr>
          <w:sz w:val="18"/>
        </w:rPr>
        <w:t>⚠️ Cours à 0.0% du plus haut 100j (16,750 FCFA)</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RSI surachat (80.4 &gt; 70) — risque de correction</w:t>
      </w:r>
    </w:p>
    <w:p>
      <w:pPr>
        <w:pStyle w:val="ListBullet"/>
        <w:spacing w:before="20"/>
        <w:ind w:left="400"/>
      </w:pPr>
      <w:r>
        <w:rPr>
          <w:sz w:val="18"/>
        </w:rPr>
        <w:t>⚠️ Cours à 0.1% du plus haut 100j (7,095 FCFA)</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RSI surachat (80.0 &gt; 70) — risque de correction</w:t>
      </w:r>
    </w:p>
    <w:p>
      <w:pPr>
        <w:pStyle w:val="ListBullet"/>
        <w:spacing w:before="20"/>
        <w:ind w:left="400"/>
      </w:pPr>
      <w:r>
        <w:rPr>
          <w:sz w:val="18"/>
        </w:rPr>
        <w:t>⚠️ Cours à 0.0% du plus haut 100j (25,000 FCFA)</w:t>
      </w:r>
    </w:p>
    <w:p>
      <w:pPr>
        <w:pStyle w:val="ListBullet"/>
        <w:spacing w:before="20"/>
        <w:ind w:left="400"/>
      </w:pPr>
      <w:r>
        <w:rPr>
          <w:sz w:val="18"/>
        </w:rPr>
        <w:t>🟠 Divergence tech(VENTE) / fond(ACHAT) — recommandation ajustée à ACHAT</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1.7% du plus haut 100j (29,490 FCFA)</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Cours à 0.8% du plus haut 100j (7,255 FCFA)</w:t>
      </w:r>
    </w:p>
    <w:p>
      <w:pPr>
        <w:pStyle w:val="ListBullet"/>
        <w:spacing w:before="20"/>
        <w:ind w:left="400"/>
      </w:pPr>
      <w:r>
        <w:rPr>
          <w:sz w:val="18"/>
        </w:rPr>
        <w:t>🟠 Divergence tech(VENTE) / fond(ACHAT) — recommandation ajustée à ACHAT</w:t>
      </w:r>
    </w:p>
    <w:p>
      <w:pPr>
        <w:spacing w:before="120"/>
      </w:pPr>
      <w:r>
        <w:rPr>
          <w:b/>
          <w:color w:val="0050A0"/>
          <w:sz w:val="20"/>
        </w:rPr>
        <w:t>BOAC — BANK OF AFRICA COTE D'IVOIRE</w:t>
      </w:r>
    </w:p>
    <w:p>
      <w:pPr>
        <w:pStyle w:val="ListBullet"/>
        <w:spacing w:before="20"/>
        <w:ind w:left="400"/>
      </w:pPr>
      <w:r>
        <w:rPr>
          <w:sz w:val="18"/>
        </w:rPr>
        <w:t>🔴 RSI surachat (84.9 &gt; 70) — risque de correction</w:t>
      </w:r>
    </w:p>
    <w:p>
      <w:pPr>
        <w:pStyle w:val="ListBullet"/>
        <w:spacing w:before="20"/>
        <w:ind w:left="400"/>
      </w:pPr>
      <w:r>
        <w:rPr>
          <w:sz w:val="18"/>
        </w:rPr>
        <w:t>⚠️ Cours à 0.0% du plus haut 100j (11,600 FCFA)</w:t>
      </w:r>
    </w:p>
    <w:p>
      <w:pPr>
        <w:spacing w:before="120"/>
      </w:pPr>
      <w:r>
        <w:rPr>
          <w:b/>
          <w:color w:val="0050A0"/>
          <w:sz w:val="20"/>
        </w:rPr>
        <w:t>NSBC — NSBC - NSIA BANQUE COTE D'IVOIRE</w:t>
      </w:r>
    </w:p>
    <w:p>
      <w:pPr>
        <w:pStyle w:val="ListBullet"/>
        <w:spacing w:before="20"/>
        <w:ind w:left="400"/>
      </w:pPr>
      <w:r>
        <w:rPr>
          <w:sz w:val="18"/>
        </w:rPr>
        <w:t>⚠️ Cours à 0.7% du plus haut 100j (24,020 FCFA)</w:t>
      </w:r>
    </w:p>
    <w:p>
      <w:pPr>
        <w:pStyle w:val="ListBullet"/>
        <w:spacing w:before="20"/>
        <w:ind w:left="400"/>
      </w:pPr>
      <w:r>
        <w:rPr>
          <w:sz w:val="18"/>
        </w:rPr>
        <w:t>🟠 Divergence tech(VENTE) / fond(ACHAT) — recommandation ajustée à ACHAT</w:t>
      </w:r>
    </w:p>
    <w:p>
      <w:pPr>
        <w:spacing w:before="120"/>
      </w:pPr>
      <w:r>
        <w:rPr>
          <w:b/>
          <w:color w:val="0050A0"/>
          <w:sz w:val="20"/>
        </w:rPr>
        <w:t>ONTBF — ONTBF - ONATEL BURKINA FASO</w:t>
      </w:r>
    </w:p>
    <w:p>
      <w:pPr>
        <w:pStyle w:val="ListBullet"/>
        <w:spacing w:before="20"/>
        <w:ind w:left="400"/>
      </w:pPr>
      <w:r>
        <w:rPr>
          <w:sz w:val="18"/>
        </w:rPr>
        <w:t>🔴 RSI surachat (76.4 &gt; 70) — risque de correction</w:t>
      </w:r>
    </w:p>
    <w:p>
      <w:pPr>
        <w:pStyle w:val="ListBullet"/>
        <w:spacing w:before="20"/>
        <w:ind w:left="400"/>
      </w:pPr>
      <w:r>
        <w:rPr>
          <w:sz w:val="18"/>
        </w:rPr>
        <w:t>🟠 Divergence tech(VENTE) / fond(ACHAT) — recommandation ajustée à ACHAT FORT</w:t>
      </w:r>
    </w:p>
    <w:p>
      <w:pPr>
        <w:spacing w:before="120"/>
      </w:pPr>
      <w:r>
        <w:rPr>
          <w:b/>
          <w:color w:val="0050A0"/>
          <w:sz w:val="20"/>
        </w:rPr>
        <w:t>ORAC — ORAC - ORANGE COTE D'IVOIRE</w:t>
      </w:r>
    </w:p>
    <w:p>
      <w:pPr>
        <w:pStyle w:val="ListBullet"/>
        <w:spacing w:before="20"/>
        <w:ind w:left="400"/>
      </w:pPr>
      <w:r>
        <w:rPr>
          <w:sz w:val="18"/>
        </w:rPr>
        <w:t>🔴 RSI surachat (87.7 &gt; 70) — risque de correction</w:t>
      </w:r>
    </w:p>
    <w:p>
      <w:pPr>
        <w:pStyle w:val="ListBullet"/>
        <w:spacing w:before="20"/>
        <w:ind w:left="400"/>
      </w:pPr>
      <w:r>
        <w:rPr>
          <w:sz w:val="18"/>
        </w:rPr>
        <w:t>⚠️ Cours à 0.0% du plus haut 100j (17,175 FCFA)</w:t>
      </w:r>
    </w:p>
    <w:p>
      <w:pPr>
        <w:spacing w:before="120"/>
      </w:pPr>
      <w:r>
        <w:rPr>
          <w:b/>
          <w:color w:val="0050A0"/>
          <w:sz w:val="20"/>
        </w:rPr>
        <w:t>TTLC — TTLC - TOTAL ENERGIES MARKETING COTE D'IVOIRE</w:t>
      </w:r>
    </w:p>
    <w:p>
      <w:pPr>
        <w:pStyle w:val="ListBullet"/>
        <w:spacing w:before="20"/>
        <w:ind w:left="400"/>
      </w:pPr>
      <w:r>
        <w:rPr>
          <w:sz w:val="18"/>
        </w:rPr>
        <w:t>⚠️ Cours à 2.6% du plus haut 100j (3,060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Cours à 0.0% du plus bas 100j (2,800 FCFA)</w:t>
      </w:r>
    </w:p>
    <w:p>
      <w:pPr>
        <w:spacing w:before="120"/>
      </w:pPr>
      <w:r>
        <w:rPr>
          <w:b/>
          <w:color w:val="0050A0"/>
          <w:sz w:val="20"/>
        </w:rPr>
        <w:t>BICB — BIIC BN - Banque internationale pour le commerce du benin</w:t>
      </w:r>
    </w:p>
    <w:p>
      <w:pPr>
        <w:pStyle w:val="ListBullet"/>
        <w:spacing w:before="20"/>
        <w:ind w:left="400"/>
      </w:pPr>
      <w:r>
        <w:rPr>
          <w:sz w:val="18"/>
        </w:rPr>
        <w:t>🔴 RSI surachat (72.3 &gt; 70) — risque de correction</w:t>
      </w:r>
    </w:p>
    <w:p>
      <w:pPr>
        <w:spacing w:before="120"/>
      </w:pPr>
      <w:r>
        <w:rPr>
          <w:b/>
          <w:color w:val="0050A0"/>
          <w:sz w:val="20"/>
        </w:rPr>
        <w:t>BOAB — BANK OF AFRICA BENIN</w:t>
      </w:r>
    </w:p>
    <w:p>
      <w:pPr>
        <w:pStyle w:val="ListBullet"/>
        <w:spacing w:before="20"/>
        <w:ind w:left="400"/>
      </w:pPr>
      <w:r>
        <w:rPr>
          <w:sz w:val="18"/>
        </w:rPr>
        <w:t>🟠 Divergence tech(VENTE) / fond(ACHAT) — recommandation ajustée à ACHAT</w:t>
      </w:r>
    </w:p>
    <w:p>
      <w:pPr>
        <w:spacing w:before="120"/>
      </w:pPr>
      <w:r>
        <w:rPr>
          <w:b/>
          <w:color w:val="0050A0"/>
          <w:sz w:val="20"/>
        </w:rPr>
        <w:t>CABC — CABC - SICABLE COTE D'IVOIRE</w:t>
      </w:r>
    </w:p>
    <w:p>
      <w:pPr>
        <w:pStyle w:val="ListBullet"/>
        <w:spacing w:before="20"/>
        <w:ind w:left="400"/>
      </w:pPr>
      <w:r>
        <w:rPr>
          <w:sz w:val="18"/>
        </w:rPr>
        <w:t>🟠 Divergence tech(VENTE) / fond(ACHAT) — recommandation ajustée à ACHAT</w:t>
      </w:r>
    </w:p>
    <w:p>
      <w:pPr>
        <w:spacing w:before="120"/>
      </w:pPr>
      <w:r>
        <w:rPr>
          <w:b/>
          <w:color w:val="0050A0"/>
          <w:sz w:val="20"/>
        </w:rPr>
        <w:t>CBIBF — CBIBF - CORIS BANK INTERNATIONAL BURKINA FASO</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Divergence tech(VENTE) / fond(ACHAT) — recommandation ajustée à ACHAT</w:t>
      </w:r>
    </w:p>
    <w:p>
      <w:pPr>
        <w:spacing w:before="120"/>
      </w:pPr>
      <w:r>
        <w:rPr>
          <w:b/>
          <w:color w:val="0050A0"/>
          <w:sz w:val="20"/>
        </w:rPr>
        <w:t>ORGT — ORGT - ORAGROUP TOGO</w:t>
      </w:r>
    </w:p>
    <w:p>
      <w:pPr>
        <w:pStyle w:val="ListBullet"/>
        <w:spacing w:before="20"/>
        <w:ind w:left="400"/>
      </w:pPr>
      <w:r>
        <w:rPr>
          <w:sz w:val="18"/>
        </w:rPr>
        <w:t>🔴 RSI surachat (89.7 &gt; 70) — risque de correction</w:t>
      </w:r>
    </w:p>
    <w:p>
      <w:pPr>
        <w:spacing w:before="120"/>
      </w:pPr>
      <w:r>
        <w:rPr>
          <w:b/>
          <w:color w:val="0050A0"/>
          <w:sz w:val="20"/>
        </w:rPr>
        <w:t>SDCC — SDCC - Société de Distribution d'Eau de Côte d'Ivoire</w:t>
      </w:r>
    </w:p>
    <w:p>
      <w:pPr>
        <w:pStyle w:val="ListBullet"/>
        <w:spacing w:before="20"/>
        <w:ind w:left="400"/>
      </w:pPr>
      <w:r>
        <w:rPr>
          <w:sz w:val="18"/>
        </w:rPr>
        <w:t>🟠 Divergence tech(VENTE) / fond(ACHAT) — recommandation ajustée à ACHAT</w:t>
      </w:r>
    </w:p>
    <w:p>
      <w:pPr>
        <w:spacing w:before="120"/>
      </w:pPr>
      <w:r>
        <w:rPr>
          <w:b/>
          <w:color w:val="0050A0"/>
          <w:sz w:val="20"/>
        </w:rPr>
        <w:t>SDSC — SDSC - AFRICA GLOBAL LOGISTICS CI</w:t>
      </w:r>
    </w:p>
    <w:p>
      <w:pPr>
        <w:pStyle w:val="ListBullet"/>
        <w:spacing w:before="20"/>
        <w:ind w:left="400"/>
      </w:pPr>
      <w:r>
        <w:rPr>
          <w:sz w:val="18"/>
        </w:rPr>
        <w:t>🟢 RSI survente (28.2 &lt; 30) — opportunité potentielle</w:t>
      </w:r>
    </w:p>
    <w:p>
      <w:pPr>
        <w:spacing w:before="120"/>
      </w:pPr>
      <w:r>
        <w:rPr>
          <w:b/>
          <w:color w:val="0050A0"/>
          <w:sz w:val="20"/>
        </w:rPr>
        <w:t>SGBC — SGBC - SOCIETE GENERALE COTE D'IVOIRE</w:t>
      </w:r>
    </w:p>
    <w:p>
      <w:pPr>
        <w:pStyle w:val="ListBullet"/>
        <w:spacing w:before="20"/>
        <w:ind w:left="400"/>
      </w:pPr>
      <w:r>
        <w:rPr>
          <w:sz w:val="18"/>
        </w:rPr>
        <w:t>🟠 Divergence tech(VENTE) / fond(ACHAT) — recommandation ajustée à ACHAT</w:t>
      </w:r>
    </w:p>
    <w:p>
      <w:pPr>
        <w:spacing w:before="120"/>
      </w:pPr>
      <w:r>
        <w:rPr>
          <w:b/>
          <w:color w:val="0050A0"/>
          <w:sz w:val="20"/>
        </w:rPr>
        <w:t>SHEC — SHEC - VIVO ENERGY COTE D'IVOIRE</w:t>
      </w:r>
    </w:p>
    <w:p>
      <w:pPr>
        <w:pStyle w:val="ListBullet"/>
        <w:spacing w:before="20"/>
        <w:ind w:left="400"/>
      </w:pPr>
      <w:r>
        <w:rPr>
          <w:sz w:val="18"/>
        </w:rPr>
        <w:t>⚠️ Cours à 1.1% du plus haut 100j (2,325 FCFA)</w:t>
      </w:r>
    </w:p>
    <w:p>
      <w:pPr>
        <w:spacing w:before="120"/>
      </w:pPr>
      <w:r>
        <w:rPr>
          <w:b/>
          <w:color w:val="0050A0"/>
          <w:sz w:val="20"/>
        </w:rPr>
        <w:t>SIBC — SIBC - SOCIETE IVOIRIENNE DE BANQUE</w:t>
      </w:r>
    </w:p>
    <w:p>
      <w:pPr>
        <w:pStyle w:val="ListBullet"/>
        <w:spacing w:before="20"/>
        <w:ind w:left="400"/>
      </w:pPr>
      <w:r>
        <w:rPr>
          <w:sz w:val="18"/>
        </w:rPr>
        <w:t>⚠️ Cours à 0.5% du plus haut 100j (9,300 FCFA)</w:t>
      </w:r>
    </w:p>
    <w:p>
      <w:pPr>
        <w:spacing w:before="120"/>
      </w:pPr>
      <w:r>
        <w:rPr>
          <w:b/>
          <w:color w:val="0050A0"/>
          <w:sz w:val="20"/>
        </w:rPr>
        <w:t>SIVC — SIVC - ERIUM CI (Ex AIR LIQUIDECI)</w:t>
      </w:r>
    </w:p>
    <w:p>
      <w:pPr>
        <w:pStyle w:val="ListBullet"/>
        <w:spacing w:before="20"/>
        <w:ind w:left="400"/>
      </w:pPr>
      <w:r>
        <w:rPr>
          <w:sz w:val="18"/>
        </w:rPr>
        <w:t>🟢 RSI survente (27.5 &lt; 30) — opportunité potentielle</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survente (21.9 &lt; 30) — opportunité potentielle</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RSI survente (27.9 &lt; 30) — opportunité potentielle</w:t>
      </w:r>
    </w:p>
    <w:p>
      <w:pPr>
        <w:spacing w:before="120"/>
      </w:pPr>
      <w:r>
        <w:rPr>
          <w:b/>
          <w:color w:val="0050A0"/>
          <w:sz w:val="20"/>
        </w:rPr>
        <w:t>TTLS — TTLS - TOTAL ENERGIES MARKETING SENEGAL</w:t>
      </w:r>
    </w:p>
    <w:p>
      <w:pPr>
        <w:pStyle w:val="ListBullet"/>
        <w:spacing w:before="20"/>
        <w:ind w:left="400"/>
      </w:pPr>
      <w:r>
        <w:rPr>
          <w:sz w:val="18"/>
        </w:rPr>
        <w:t>🟢 RSI survente (26.7 &lt; 30) — opportunité potentielle</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24 société(s) (51%)</w:t>
            </w:r>
          </w:p>
        </w:tc>
        <w:tc>
          <w:tcPr>
            <w:tcW w:type="dxa" w:w="1644"/>
            <w:shd w:fill="FFEB9C" w:val="clear"/>
          </w:tcPr>
          <w:p>
            <w:r>
              <w:rPr>
                <w:b/>
                <w:color w:val="825A00"/>
                <w:sz w:val="19"/>
              </w:rPr>
              <w:t>23 société(s) (49%)</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20.9/100</w:t>
            </w:r>
          </w:p>
        </w:tc>
        <w:tc>
          <w:tcPr>
            <w:tcW w:type="dxa" w:w="1644"/>
            <w:shd w:fill="DEEAF1" w:val="clear"/>
          </w:tcPr>
          <w:p>
            <w:r>
              <w:rPr>
                <w:b/>
                <w:color w:val="000000"/>
                <w:sz w:val="19"/>
              </w:rPr>
              <w:t>19.8/100</w:t>
            </w:r>
          </w:p>
        </w:tc>
      </w:tr>
    </w:tbl>
    <w:p/>
    <w:p>
      <w:r>
        <w:rPr>
          <w:i/>
          <w:color w:val="006400"/>
          <w:sz w:val="18"/>
        </w:rPr>
        <w:t>✅ Le marché BRVM présente globalement un profil de risque FAIBLE (score moyen 20.9/100).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UNLC</w:t>
            </w:r>
          </w:p>
        </w:tc>
        <w:tc>
          <w:tcPr>
            <w:tcW w:type="dxa" w:w="2268"/>
            <w:shd w:fill="FFFFFF" w:val="clear"/>
          </w:tcPr>
          <w:p>
            <w:r>
              <w:rPr>
                <w:sz w:val="16"/>
              </w:rPr>
              <w:t>UNLC - UNILEVER COTE D'IVOIR…</w:t>
            </w:r>
          </w:p>
        </w:tc>
        <w:tc>
          <w:tcPr>
            <w:tcW w:type="dxa" w:w="1701"/>
            <w:shd w:fill="FFFFFF" w:val="clear"/>
          </w:tcPr>
          <w:p>
            <w:r>
              <w:rPr>
                <w:sz w:val="16"/>
              </w:rPr>
              <w:t>CONSOMMATION DE BA</w:t>
            </w:r>
          </w:p>
        </w:tc>
        <w:tc>
          <w:tcPr>
            <w:tcW w:type="dxa" w:w="1020"/>
            <w:shd w:fill="FFEB9C" w:val="clear"/>
          </w:tcPr>
          <w:p>
            <w:r>
              <w:rPr>
                <w:b/>
                <w:color w:val="B40000"/>
                <w:sz w:val="16"/>
              </w:rPr>
              <w:t>32.8/100</w:t>
            </w:r>
          </w:p>
        </w:tc>
        <w:tc>
          <w:tcPr>
            <w:tcW w:type="dxa" w:w="1134"/>
            <w:shd w:fill="FFEB9C" w:val="clear"/>
          </w:tcPr>
          <w:p>
            <w:r>
              <w:rPr>
                <w:sz w:val="16"/>
              </w:rPr>
              <w:t>Moyen</w:t>
            </w:r>
          </w:p>
        </w:tc>
        <w:tc>
          <w:tcPr>
            <w:tcW w:type="dxa" w:w="2381"/>
            <w:shd w:fill="FFFFFF" w:val="clear"/>
          </w:tcPr>
          <w:p>
            <w:r>
              <w:rPr>
                <w:sz w:val="16"/>
              </w:rPr>
              <w:t>💧 Liquidité très faible</w:t>
            </w:r>
          </w:p>
        </w:tc>
      </w:tr>
      <w:tr>
        <w:tc>
          <w:tcPr>
            <w:tcW w:type="dxa" w:w="567"/>
            <w:shd w:fill="FFFFFF" w:val="clear"/>
          </w:tcPr>
          <w:p>
            <w:r>
              <w:rPr>
                <w:b/>
                <w:sz w:val="16"/>
              </w:rPr>
              <w:t>#3</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29.6/100</w:t>
            </w:r>
          </w:p>
        </w:tc>
        <w:tc>
          <w:tcPr>
            <w:tcW w:type="dxa" w:w="1134"/>
            <w:shd w:fill="FFEB9C" w:val="clear"/>
          </w:tcPr>
          <w:p>
            <w:r>
              <w:rPr>
                <w:sz w:val="16"/>
              </w:rPr>
              <w:t>Moyen</w:t>
            </w:r>
          </w:p>
        </w:tc>
        <w:tc>
          <w:tcPr>
            <w:tcW w:type="dxa" w:w="2381"/>
            <w:shd w:fill="FFFFFF" w:val="clear"/>
          </w:tcPr>
          <w:p>
            <w:r>
              <w:rPr>
                <w:sz w:val="16"/>
              </w:rPr>
              <w:t>💧 Liquidité très faible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28.2/100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UNLC (32.8/100 — Moyen) : </w:t>
      </w:r>
      <w:r>
        <w:rPr>
          <w:sz w:val="17"/>
        </w:rPr>
        <w:t>Volatilité=Moyenne | Bêta=Très agressif | Liquidité=Très faible | Divergence signaux=taux divergence=20% (Mixte ⚠️) | Stabilité=Modérée</w:t>
      </w:r>
    </w:p>
    <w:p>
      <w:pPr>
        <w:pStyle w:val="ListBullet"/>
      </w:pPr>
      <w:r>
        <w:rPr>
          <w:b/>
          <w:color w:val="B40000"/>
          <w:sz w:val="18"/>
        </w:rPr>
        <w:t xml:space="preserve">#3 NSBC (31.3/100 — Moyen) : </w:t>
      </w:r>
      <w:r>
        <w:rPr>
          <w:sz w:val="17"/>
        </w:rPr>
        <w:t>Volatilité=Élevée | Bêta=Agressif | Liquidité=Bonne | Divergence signaux=taux divergence=20% (Mixte ⚠️) | Stabilité=Stable</w:t>
      </w:r>
    </w:p>
    <w:p>
      <w:pPr>
        <w:pStyle w:val="ListBullet"/>
      </w:pPr>
      <w:r>
        <w:rPr>
          <w:b/>
          <w:color w:val="B40000"/>
          <w:sz w:val="18"/>
        </w:rPr>
        <w:t xml:space="preserve">#4 SICC (29.6/100 — Moyen) : </w:t>
      </w:r>
      <w:r>
        <w:rPr>
          <w:sz w:val="17"/>
        </w:rPr>
        <w:t>Volatilité=Moyenne | Bêta=Contre-cyclique | Liquidité=Très faible | Divergence signaux=taux divergence=40% (Très divergent ❌) | Stabilité=Modérée</w:t>
      </w:r>
    </w:p>
    <w:p>
      <w:pPr>
        <w:pStyle w:val="ListBullet"/>
      </w:pPr>
      <w:r>
        <w:rPr>
          <w:b/>
          <w:color w:val="B40000"/>
          <w:sz w:val="18"/>
        </w:rPr>
        <w:t xml:space="preserve">#5 SAFC (28.2/100 — Moyen) : </w:t>
      </w:r>
      <w:r>
        <w:rPr>
          <w:sz w:val="17"/>
        </w:rPr>
        <w:t>Volatilité=Élevée | Bêta=Défensif | Liquidité=Bonne | Divergence signaux=taux divergence=0% (Convergent ✅) | Stabilité=Instable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SNTS</w:t>
            </w:r>
          </w:p>
        </w:tc>
        <w:tc>
          <w:tcPr>
            <w:tcW w:type="dxa" w:w="2268"/>
            <w:shd w:fill="FFFFFF" w:val="clear"/>
          </w:tcPr>
          <w:p>
            <w:r>
              <w:rPr>
                <w:sz w:val="16"/>
              </w:rPr>
              <w:t>SNTS - SONATEL SN</w:t>
            </w:r>
          </w:p>
        </w:tc>
        <w:tc>
          <w:tcPr>
            <w:tcW w:type="dxa" w:w="1701"/>
            <w:shd w:fill="FFFFFF" w:val="clear"/>
          </w:tcPr>
          <w:p>
            <w:r>
              <w:rPr>
                <w:sz w:val="16"/>
              </w:rPr>
              <w:t>TELECOMMUNICATIONS</w:t>
            </w:r>
          </w:p>
        </w:tc>
        <w:tc>
          <w:tcPr>
            <w:tcW w:type="dxa" w:w="1020"/>
            <w:shd w:fill="C6EFCE" w:val="clear"/>
          </w:tcPr>
          <w:p>
            <w:r>
              <w:rPr>
                <w:b/>
                <w:color w:val="007800"/>
                <w:sz w:val="16"/>
              </w:rPr>
              <w:t>13.3/100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TTLC</w:t>
            </w:r>
          </w:p>
        </w:tc>
        <w:tc>
          <w:tcPr>
            <w:tcW w:type="dxa" w:w="2268"/>
            <w:shd w:fill="FFFFFF" w:val="clear"/>
          </w:tcPr>
          <w:p>
            <w:r>
              <w:rPr>
                <w:sz w:val="16"/>
              </w:rPr>
              <w:t>TTLC - TOTAL ENERGIES MARKET…</w:t>
            </w:r>
          </w:p>
        </w:tc>
        <w:tc>
          <w:tcPr>
            <w:tcW w:type="dxa" w:w="1701"/>
            <w:shd w:fill="FFFFFF" w:val="clear"/>
          </w:tcPr>
          <w:p>
            <w:r>
              <w:rPr>
                <w:sz w:val="16"/>
              </w:rPr>
              <w:t>ENERGIE</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32.8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29.6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Très faible</w:t>
            </w:r>
          </w:p>
        </w:tc>
        <w:tc>
          <w:tcPr>
            <w:tcW w:type="dxa" w:w="1757"/>
            <w:shd w:fill="FFFFFF" w:val="clear"/>
          </w:tcPr>
          <w:p>
            <w:r>
              <w:rPr>
                <w:sz w:val="15"/>
              </w:rPr>
              <w:t>Très divergent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28.2</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Instable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19.8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C6EFCE" w:val="clear"/>
          </w:tcPr>
          <w:p>
            <w:r>
              <w:rPr>
                <w:b/>
                <w:color w:val="006400"/>
                <w:sz w:val="15"/>
              </w:rPr>
              <w:t>18.1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17.5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17.1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-10.14%  |  Médiane : -6.41%</w:t>
            </w:r>
          </w:p>
        </w:tc>
      </w:tr>
      <w:tr>
        <w:tc>
          <w:tcPr>
            <w:tcW w:type="dxa" w:w="2835"/>
            <w:shd w:fill="DEEAF1" w:val="clear"/>
          </w:tcPr>
          <w:p>
            <w:r>
              <w:rPr>
                <w:b/>
                <w:sz w:val="18"/>
              </w:rPr>
              <w:t>Répartition</w:t>
            </w:r>
          </w:p>
        </w:tc>
        <w:tc>
          <w:tcPr>
            <w:tcW w:type="dxa" w:w="7370"/>
          </w:tcPr>
          <w:p>
            <w:r>
              <w:rPr>
                <w:b/>
                <w:sz w:val="18"/>
              </w:rPr>
              <w:t>📈 7 sociétés en hausse (&gt;+1%)   📉 36 en baisse (&lt;-1%)   ➡️ 4 neutres</w:t>
            </w:r>
          </w:p>
        </w:tc>
      </w:tr>
      <w:tr>
        <w:tc>
          <w:tcPr>
            <w:tcW w:type="dxa" w:w="2835"/>
            <w:shd w:fill="DEEAF1" w:val="clear"/>
          </w:tcPr>
          <w:p>
            <w:r>
              <w:rPr>
                <w:b/>
                <w:sz w:val="18"/>
              </w:rPr>
              <w:t>Confiance globale</w:t>
            </w:r>
          </w:p>
        </w:tc>
        <w:tc>
          <w:tcPr>
            <w:tcW w:type="dxa" w:w="7370"/>
          </w:tcPr>
          <w:p>
            <w:r>
              <w:rPr>
                <w:b/>
                <w:sz w:val="18"/>
              </w:rPr>
              <w:t>Élevée : 0 sociétés (0%)   Moyenne : 12   Faible : 35 (74%)   → Confiance dominante : Faible</w:t>
            </w:r>
          </w:p>
        </w:tc>
      </w:tr>
    </w:tbl>
    <w:p/>
    <w:p>
      <w:r>
        <w:rPr>
          <w:i/>
          <w:color w:val="282828"/>
          <w:sz w:val="18"/>
        </w:rPr>
        <w:t>📝 Analyse : Les modèles anticipent une correction généralisée. 36 sociétés sur 47 sont orientées à la baisse avec une variation moyenne de -10.14%.</w:t>
      </w:r>
    </w:p>
    <w:p>
      <w:r>
        <w:rPr>
          <w:i/>
          <w:color w:val="282828"/>
          <w:sz w:val="18"/>
        </w:rPr>
        <w:t>🎯 Fiabilité : ⚠️ La confiance est globalement FAIBLE (74%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3,500 FCFA</w:t>
            </w:r>
          </w:p>
        </w:tc>
        <w:tc>
          <w:tcPr>
            <w:tcW w:type="dxa" w:w="1417"/>
            <w:shd w:fill="FFFFFF" w:val="clear"/>
          </w:tcPr>
          <w:p>
            <w:r>
              <w:rPr>
                <w:sz w:val="16"/>
              </w:rPr>
              <w:t>6,225 FCFA</w:t>
            </w:r>
          </w:p>
        </w:tc>
        <w:tc>
          <w:tcPr>
            <w:tcW w:type="dxa" w:w="1134"/>
            <w:shd w:fill="C6EFCE" w:val="clear"/>
          </w:tcPr>
          <w:p>
            <w:r>
              <w:rPr>
                <w:b/>
                <w:color w:val="007800"/>
                <w:sz w:val="16"/>
              </w:rPr>
              <w:t>+77.87%</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23,850 FCFA</w:t>
            </w:r>
          </w:p>
        </w:tc>
        <w:tc>
          <w:tcPr>
            <w:tcW w:type="dxa" w:w="1417"/>
            <w:shd w:fill="FFFFFF" w:val="clear"/>
          </w:tcPr>
          <w:p>
            <w:r>
              <w:rPr>
                <w:sz w:val="16"/>
              </w:rPr>
              <w:t>27,925 FCFA</w:t>
            </w:r>
          </w:p>
        </w:tc>
        <w:tc>
          <w:tcPr>
            <w:tcW w:type="dxa" w:w="1134"/>
            <w:shd w:fill="C6EFCE" w:val="clear"/>
          </w:tcPr>
          <w:p>
            <w:r>
              <w:rPr>
                <w:b/>
                <w:color w:val="007800"/>
                <w:sz w:val="16"/>
              </w:rPr>
              <w:t>+17.08%</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54,595 FCFA</w:t>
            </w:r>
          </w:p>
        </w:tc>
        <w:tc>
          <w:tcPr>
            <w:tcW w:type="dxa" w:w="1417"/>
            <w:shd w:fill="FFFFFF" w:val="clear"/>
          </w:tcPr>
          <w:p>
            <w:r>
              <w:rPr>
                <w:sz w:val="16"/>
              </w:rPr>
              <w:t>60,738 FCFA</w:t>
            </w:r>
          </w:p>
        </w:tc>
        <w:tc>
          <w:tcPr>
            <w:tcW w:type="dxa" w:w="1134"/>
            <w:shd w:fill="C6EFCE" w:val="clear"/>
          </w:tcPr>
          <w:p>
            <w:r>
              <w:rPr>
                <w:b/>
                <w:color w:val="007800"/>
                <w:sz w:val="16"/>
              </w:rPr>
              <w:t>+11.25%</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25,000 FCFA</w:t>
            </w:r>
          </w:p>
        </w:tc>
        <w:tc>
          <w:tcPr>
            <w:tcW w:type="dxa" w:w="1417"/>
            <w:shd w:fill="FFFFFF" w:val="clear"/>
          </w:tcPr>
          <w:p>
            <w:r>
              <w:rPr>
                <w:sz w:val="16"/>
              </w:rPr>
              <w:t>26,996 FCFA</w:t>
            </w:r>
          </w:p>
        </w:tc>
        <w:tc>
          <w:tcPr>
            <w:tcW w:type="dxa" w:w="1134"/>
            <w:shd w:fill="C6EFCE" w:val="clear"/>
          </w:tcPr>
          <w:p>
            <w:r>
              <w:rPr>
                <w:b/>
                <w:color w:val="007800"/>
                <w:sz w:val="16"/>
              </w:rPr>
              <w:t>+7.98%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1,990 FCFA</w:t>
            </w:r>
          </w:p>
        </w:tc>
        <w:tc>
          <w:tcPr>
            <w:tcW w:type="dxa" w:w="1417"/>
            <w:shd w:fill="FFFFFF" w:val="clear"/>
          </w:tcPr>
          <w:p>
            <w:r>
              <w:rPr>
                <w:sz w:val="16"/>
              </w:rPr>
              <w:t>2,075 FCFA</w:t>
            </w:r>
          </w:p>
        </w:tc>
        <w:tc>
          <w:tcPr>
            <w:tcW w:type="dxa" w:w="1134"/>
            <w:shd w:fill="C6EFCE" w:val="clear"/>
          </w:tcPr>
          <w:p>
            <w:r>
              <w:rPr>
                <w:b/>
                <w:color w:val="007800"/>
                <w:sz w:val="16"/>
              </w:rPr>
              <w:t>+4.26%</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(+77.9%) — signal potentiellement excessif, à croiser avec l'analyse technique. Trajectoire : 📈 Hausse continue. Cours actuel : 3,500 FCFA → prédit J+10 : 6,225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(+17.1%) — potentiel de revalorisation notable. Trajectoire : 📈 Hausse continue. Cours actuel : 23,850 FCFA → prédit J+10 : 27,925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significative (+11.3%) — potentiel de revalorisation notable. Trajectoire : 📈 Hausse continue. Cours actuel : 54,595 FCFA → prédit J+10 : 60,738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modérée (+8.0%) — signal raisonnable et crédible. Trajectoire : 📈 Hausse continue. Cours actuel : 25,000 FCFA → prédit J+10 : 26,996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(+4.3%) — progression graduelle attendue. Trajectoire : 📈 Hausse continue. Cours actuel : 1,990 FCFA → prédit J+10 : 2,075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3,575 FCFA</w:t>
            </w:r>
          </w:p>
        </w:tc>
        <w:tc>
          <w:tcPr>
            <w:tcW w:type="dxa" w:w="1417"/>
            <w:shd w:fill="FFFFFF" w:val="clear"/>
          </w:tcPr>
          <w:p>
            <w:r>
              <w:rPr>
                <w:sz w:val="16"/>
              </w:rPr>
              <w:t>1,639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5,000 FCFA</w:t>
            </w:r>
          </w:p>
        </w:tc>
        <w:tc>
          <w:tcPr>
            <w:tcW w:type="dxa" w:w="1417"/>
            <w:shd w:fill="FFFFFF" w:val="clear"/>
          </w:tcPr>
          <w:p>
            <w:r>
              <w:rPr>
                <w:sz w:val="16"/>
              </w:rPr>
              <w:t>2,293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64 FCFA</w:t>
            </w:r>
          </w:p>
        </w:tc>
        <w:tc>
          <w:tcPr>
            <w:tcW w:type="dxa" w:w="1417"/>
            <w:shd w:fill="FFFFFF" w:val="clear"/>
          </w:tcPr>
          <w:p>
            <w:r>
              <w:rPr>
                <w:sz w:val="16"/>
              </w:rPr>
              <w:t>30 FCFA</w:t>
            </w:r>
          </w:p>
        </w:tc>
        <w:tc>
          <w:tcPr>
            <w:tcW w:type="dxa" w:w="1134"/>
            <w:shd w:fill="FFC7CE" w:val="clear"/>
          </w:tcPr>
          <w:p>
            <w:r>
              <w:rPr>
                <w:b/>
                <w:color w:val="B40000"/>
                <w:sz w:val="16"/>
              </w:rPr>
              <w:t>-53.45%</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STAC — STAC - SETAO COTE D'IVOIRE</w:t>
            </w:r>
          </w:p>
        </w:tc>
        <w:tc>
          <w:tcPr>
            <w:tcW w:type="dxa" w:w="1701"/>
            <w:shd w:fill="FFFFFF" w:val="clear"/>
          </w:tcPr>
          <w:p>
            <w:r>
              <w:rPr>
                <w:sz w:val="16"/>
              </w:rPr>
              <w:t>INDUSTRIELS</w:t>
            </w:r>
          </w:p>
        </w:tc>
        <w:tc>
          <w:tcPr>
            <w:tcW w:type="dxa" w:w="1417"/>
            <w:shd w:fill="FFFFFF" w:val="clear"/>
          </w:tcPr>
          <w:p>
            <w:r>
              <w:rPr>
                <w:sz w:val="16"/>
              </w:rPr>
              <w:t>2,690 FCFA</w:t>
            </w:r>
          </w:p>
        </w:tc>
        <w:tc>
          <w:tcPr>
            <w:tcW w:type="dxa" w:w="1417"/>
            <w:shd w:fill="FFFFFF" w:val="clear"/>
          </w:tcPr>
          <w:p>
            <w:r>
              <w:rPr>
                <w:sz w:val="16"/>
              </w:rPr>
              <w:t>1,595 FCFA</w:t>
            </w:r>
          </w:p>
        </w:tc>
        <w:tc>
          <w:tcPr>
            <w:tcW w:type="dxa" w:w="1134"/>
            <w:shd w:fill="FFC7CE" w:val="clear"/>
          </w:tcPr>
          <w:p>
            <w:r>
              <w:rPr>
                <w:b/>
                <w:color w:val="B40000"/>
                <w:sz w:val="16"/>
              </w:rPr>
              <w:t>-40.69%</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NEIC — NEIC - NEI-CEDA CI</w:t>
            </w:r>
          </w:p>
        </w:tc>
        <w:tc>
          <w:tcPr>
            <w:tcW w:type="dxa" w:w="1701"/>
            <w:shd w:fill="FFFFFF" w:val="clear"/>
          </w:tcPr>
          <w:p>
            <w:r>
              <w:rPr>
                <w:sz w:val="16"/>
              </w:rPr>
              <w:t>CONSOMMATION DISCRET</w:t>
            </w:r>
          </w:p>
        </w:tc>
        <w:tc>
          <w:tcPr>
            <w:tcW w:type="dxa" w:w="1417"/>
            <w:shd w:fill="FFFFFF" w:val="clear"/>
          </w:tcPr>
          <w:p>
            <w:r>
              <w:rPr>
                <w:sz w:val="16"/>
              </w:rPr>
              <w:t>2,260 FCFA</w:t>
            </w:r>
          </w:p>
        </w:tc>
        <w:tc>
          <w:tcPr>
            <w:tcW w:type="dxa" w:w="1417"/>
            <w:shd w:fill="FFFFFF" w:val="clear"/>
          </w:tcPr>
          <w:p>
            <w:r>
              <w:rPr>
                <w:sz w:val="16"/>
              </w:rPr>
              <w:t>1,379 FCFA</w:t>
            </w:r>
          </w:p>
        </w:tc>
        <w:tc>
          <w:tcPr>
            <w:tcW w:type="dxa" w:w="1134"/>
            <w:shd w:fill="FFC7CE" w:val="clear"/>
          </w:tcPr>
          <w:p>
            <w:r>
              <w:rPr>
                <w:b/>
                <w:color w:val="B40000"/>
                <w:sz w:val="16"/>
              </w:rPr>
              <w:t>-39.00%</w:t>
            </w:r>
          </w:p>
        </w:tc>
        <w:tc>
          <w:tcPr>
            <w:tcW w:type="dxa" w:w="1020"/>
            <w:shd w:fill="FFC7CE" w:val="clear"/>
          </w:tcPr>
          <w:p>
            <w:r>
              <w:rPr>
                <w:sz w:val="16"/>
              </w:rPr>
              <w:t>Faible</w:t>
            </w:r>
          </w:p>
        </w:tc>
      </w:tr>
    </w:tbl>
    <w:p/>
    <w:p>
      <w:pPr>
        <w:pStyle w:val="ListBullet"/>
      </w:pPr>
      <w:r>
        <w:rPr>
          <w:b/>
          <w:color w:val="B40000"/>
          <w:sz w:val="18"/>
        </w:rPr>
        <w:t xml:space="preserve">#1 SCRC </w:t>
      </w:r>
      <w:r>
        <w:rPr>
          <w:sz w:val="17"/>
        </w:rPr>
        <w:t>(SCRC - SUCRIVOIRE) — baisse très forte (-54.1%) — amplitude potentiellement surestimée par le modèle. Trajectoire : 📉 Baisse continue. Cours actuel : 3,575 FCFA → prédit J+10 : 1,639 FCFA. ⚠️ Confiance limitée — volatilité élevée. Ne pas agir sur ce seul signal.</w:t>
      </w:r>
    </w:p>
    <w:p>
      <w:pPr>
        <w:pStyle w:val="ListBullet"/>
      </w:pPr>
      <w:r>
        <w:rPr>
          <w:b/>
          <w:color w:val="B40000"/>
          <w:sz w:val="18"/>
        </w:rPr>
        <w:t xml:space="preserve">#2 SAFC </w:t>
      </w:r>
      <w:r>
        <w:rPr>
          <w:sz w:val="17"/>
        </w:rPr>
        <w:t>(SAFCA CI) — baisse très forte (-54.1%) — amplitude potentiellement surestimée par le modèle. Trajectoire : 📉 Baisse continue. Cours actuel : 5,000 FCFA → prédit J+10 : 2,293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(-53.5%) — amplitude potentiellement surestimée par le modèle. Trajectoire : 📉 Baisse continue. Cours actuel : 64 FCFA → prédit J+10 : 30 FCFA. ⚠️ Confiance limitée — volatilité élevée. Ne pas agir sur ce seul signal.</w:t>
      </w:r>
    </w:p>
    <w:p>
      <w:pPr>
        <w:pStyle w:val="ListBullet"/>
      </w:pPr>
      <w:r>
        <w:rPr>
          <w:b/>
          <w:color w:val="B40000"/>
          <w:sz w:val="18"/>
        </w:rPr>
        <w:t xml:space="preserve">#4 STAC </w:t>
      </w:r>
      <w:r>
        <w:rPr>
          <w:sz w:val="17"/>
        </w:rPr>
        <w:t>(STAC - SETAO COTE D'IVOIRE) — baisse très forte (-40.7%) — amplitude potentiellement surestimée par le modèle. Trajectoire : 📉 Baisse continue. Cours actuel : 2,690 FCFA → prédit J+10 : 1,595 FCFA. ⚠️ Confiance limitée — volatilité élevée. Ne pas agir sur ce seul signal.</w:t>
      </w:r>
    </w:p>
    <w:p>
      <w:pPr>
        <w:pStyle w:val="ListBullet"/>
      </w:pPr>
      <w:r>
        <w:rPr>
          <w:b/>
          <w:color w:val="B40000"/>
          <w:sz w:val="18"/>
        </w:rPr>
        <w:t xml:space="preserve">#5 NEIC </w:t>
      </w:r>
      <w:r>
        <w:rPr>
          <w:sz w:val="17"/>
        </w:rPr>
        <w:t>(NEIC - NEI-CEDA CI) — baisse très forte (-39.0%) — amplitude potentiellement surestimée par le modèle. Trajectoire : 📉 Baisse continue. Cours actuel : 2,260 FCFA → prédit J+10 : 1,379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3,500</w:t>
            </w:r>
          </w:p>
        </w:tc>
        <w:tc>
          <w:tcPr>
            <w:tcW w:type="dxa" w:w="1417"/>
            <w:shd w:fill="FFFFFF" w:val="clear"/>
          </w:tcPr>
          <w:p>
            <w:r>
              <w:rPr>
                <w:sz w:val="16"/>
              </w:rPr>
              <w:t>6,225</w:t>
            </w:r>
          </w:p>
        </w:tc>
        <w:tc>
          <w:tcPr>
            <w:tcW w:type="dxa" w:w="1134"/>
            <w:shd w:fill="C6EFCE" w:val="clear"/>
          </w:tcPr>
          <w:p>
            <w:r>
              <w:rPr>
                <w:b/>
                <w:color w:val="007800"/>
                <w:sz w:val="16"/>
              </w:rPr>
              <w:t>+77.87%</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23,850</w:t>
            </w:r>
          </w:p>
        </w:tc>
        <w:tc>
          <w:tcPr>
            <w:tcW w:type="dxa" w:w="1417"/>
            <w:shd w:fill="FFFFFF" w:val="clear"/>
          </w:tcPr>
          <w:p>
            <w:r>
              <w:rPr>
                <w:sz w:val="16"/>
              </w:rPr>
              <w:t>27,925</w:t>
            </w:r>
          </w:p>
        </w:tc>
        <w:tc>
          <w:tcPr>
            <w:tcW w:type="dxa" w:w="1134"/>
            <w:shd w:fill="C6EFCE" w:val="clear"/>
          </w:tcPr>
          <w:p>
            <w:r>
              <w:rPr>
                <w:b/>
                <w:color w:val="007800"/>
                <w:sz w:val="16"/>
              </w:rPr>
              <w:t>+17.08%</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54,595</w:t>
            </w:r>
          </w:p>
        </w:tc>
        <w:tc>
          <w:tcPr>
            <w:tcW w:type="dxa" w:w="1417"/>
            <w:shd w:fill="FFFFFF" w:val="clear"/>
          </w:tcPr>
          <w:p>
            <w:r>
              <w:rPr>
                <w:sz w:val="16"/>
              </w:rPr>
              <w:t>60,738</w:t>
            </w:r>
          </w:p>
        </w:tc>
        <w:tc>
          <w:tcPr>
            <w:tcW w:type="dxa" w:w="1134"/>
            <w:shd w:fill="C6EFCE" w:val="clear"/>
          </w:tcPr>
          <w:p>
            <w:r>
              <w:rPr>
                <w:b/>
                <w:color w:val="007800"/>
                <w:sz w:val="16"/>
              </w:rPr>
              <w:t>+11.25%</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25,000</w:t>
            </w:r>
          </w:p>
        </w:tc>
        <w:tc>
          <w:tcPr>
            <w:tcW w:type="dxa" w:w="1417"/>
            <w:shd w:fill="FFFFFF" w:val="clear"/>
          </w:tcPr>
          <w:p>
            <w:r>
              <w:rPr>
                <w:sz w:val="16"/>
              </w:rPr>
              <w:t>26,996</w:t>
            </w:r>
          </w:p>
        </w:tc>
        <w:tc>
          <w:tcPr>
            <w:tcW w:type="dxa" w:w="1134"/>
            <w:shd w:fill="C6EFCE" w:val="clear"/>
          </w:tcPr>
          <w:p>
            <w:r>
              <w:rPr>
                <w:b/>
                <w:color w:val="007800"/>
                <w:sz w:val="16"/>
              </w:rPr>
              <w:t>+7.98%</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1,990</w:t>
            </w:r>
          </w:p>
        </w:tc>
        <w:tc>
          <w:tcPr>
            <w:tcW w:type="dxa" w:w="1417"/>
            <w:shd w:fill="FFFFFF" w:val="clear"/>
          </w:tcPr>
          <w:p>
            <w:r>
              <w:rPr>
                <w:sz w:val="16"/>
              </w:rPr>
              <w:t>2,075</w:t>
            </w:r>
          </w:p>
        </w:tc>
        <w:tc>
          <w:tcPr>
            <w:tcW w:type="dxa" w:w="1134"/>
            <w:shd w:fill="C6EFCE" w:val="clear"/>
          </w:tcPr>
          <w:p>
            <w:r>
              <w:rPr>
                <w:b/>
                <w:color w:val="007800"/>
                <w:sz w:val="16"/>
              </w:rPr>
              <w:t>+4.26%</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8,980</w:t>
            </w:r>
          </w:p>
        </w:tc>
        <w:tc>
          <w:tcPr>
            <w:tcW w:type="dxa" w:w="1417"/>
            <w:shd w:fill="FFFFFF" w:val="clear"/>
          </w:tcPr>
          <w:p>
            <w:r>
              <w:rPr>
                <w:sz w:val="16"/>
              </w:rPr>
              <w:t>9,264</w:t>
            </w:r>
          </w:p>
        </w:tc>
        <w:tc>
          <w:tcPr>
            <w:tcW w:type="dxa" w:w="1134"/>
            <w:shd w:fill="C6EFCE" w:val="clear"/>
          </w:tcPr>
          <w:p>
            <w:r>
              <w:rPr>
                <w:b/>
                <w:color w:val="007800"/>
                <w:sz w:val="16"/>
              </w:rPr>
              <w:t>+3.16%</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8,100</w:t>
            </w:r>
          </w:p>
        </w:tc>
        <w:tc>
          <w:tcPr>
            <w:tcW w:type="dxa" w:w="1417"/>
            <w:shd w:fill="FFFFFF" w:val="clear"/>
          </w:tcPr>
          <w:p>
            <w:r>
              <w:rPr>
                <w:sz w:val="16"/>
              </w:rPr>
              <w:t>8,222</w:t>
            </w:r>
          </w:p>
        </w:tc>
        <w:tc>
          <w:tcPr>
            <w:tcW w:type="dxa" w:w="1134"/>
            <w:shd w:fill="C6EFCE" w:val="clear"/>
          </w:tcPr>
          <w:p>
            <w:r>
              <w:rPr>
                <w:b/>
                <w:color w:val="007800"/>
                <w:sz w:val="16"/>
              </w:rPr>
              <w:t>+1.51%</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30,200</w:t>
            </w:r>
          </w:p>
        </w:tc>
        <w:tc>
          <w:tcPr>
            <w:tcW w:type="dxa" w:w="1417"/>
            <w:shd w:fill="FFFFFF" w:val="clear"/>
          </w:tcPr>
          <w:p>
            <w:r>
              <w:rPr>
                <w:sz w:val="16"/>
              </w:rPr>
              <w:t>30,499</w:t>
            </w:r>
          </w:p>
        </w:tc>
        <w:tc>
          <w:tcPr>
            <w:tcW w:type="dxa" w:w="1134"/>
            <w:shd w:fill="FFEB9C" w:val="clear"/>
          </w:tcPr>
          <w:p>
            <w:r>
              <w:rPr>
                <w:b/>
                <w:color w:val="646400"/>
                <w:sz w:val="16"/>
              </w:rPr>
              <w:t>+0.99%</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36,900</w:t>
            </w:r>
          </w:p>
        </w:tc>
        <w:tc>
          <w:tcPr>
            <w:tcW w:type="dxa" w:w="1417"/>
            <w:shd w:fill="FFFFFF" w:val="clear"/>
          </w:tcPr>
          <w:p>
            <w:r>
              <w:rPr>
                <w:sz w:val="16"/>
              </w:rPr>
              <w:t>36,908</w:t>
            </w:r>
          </w:p>
        </w:tc>
        <w:tc>
          <w:tcPr>
            <w:tcW w:type="dxa" w:w="1134"/>
            <w:shd w:fill="FFEB9C" w:val="clear"/>
          </w:tcPr>
          <w:p>
            <w:r>
              <w:rPr>
                <w:b/>
                <w:color w:val="646400"/>
                <w:sz w:val="16"/>
              </w:rPr>
              <w:t>+0.02%</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1,915</w:t>
            </w:r>
          </w:p>
        </w:tc>
        <w:tc>
          <w:tcPr>
            <w:tcW w:type="dxa" w:w="1417"/>
            <w:shd w:fill="FFFFFF" w:val="clear"/>
          </w:tcPr>
          <w:p>
            <w:r>
              <w:rPr>
                <w:sz w:val="16"/>
              </w:rPr>
              <w:t>1,915</w:t>
            </w:r>
          </w:p>
        </w:tc>
        <w:tc>
          <w:tcPr>
            <w:tcW w:type="dxa" w:w="1134"/>
            <w:shd w:fill="FFEB9C" w:val="clear"/>
          </w:tcPr>
          <w:p>
            <w:r>
              <w:rPr>
                <w:b/>
                <w:color w:val="646400"/>
                <w:sz w:val="16"/>
              </w:rPr>
              <w:t>+0.01%</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16,000</w:t>
            </w:r>
          </w:p>
        </w:tc>
        <w:tc>
          <w:tcPr>
            <w:tcW w:type="dxa" w:w="1417"/>
            <w:shd w:fill="FFFFFF" w:val="clear"/>
          </w:tcPr>
          <w:p>
            <w:r>
              <w:rPr>
                <w:sz w:val="16"/>
              </w:rPr>
              <w:t>15,970</w:t>
            </w:r>
          </w:p>
        </w:tc>
        <w:tc>
          <w:tcPr>
            <w:tcW w:type="dxa" w:w="1134"/>
            <w:shd w:fill="FFEB9C" w:val="clear"/>
          </w:tcPr>
          <w:p>
            <w:r>
              <w:rPr>
                <w:b/>
                <w:color w:val="646400"/>
                <w:sz w:val="16"/>
              </w:rPr>
              <w:t>-0.19%</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5,075</w:t>
            </w:r>
          </w:p>
        </w:tc>
        <w:tc>
          <w:tcPr>
            <w:tcW w:type="dxa" w:w="1417"/>
            <w:shd w:fill="FFFFFF" w:val="clear"/>
          </w:tcPr>
          <w:p>
            <w:r>
              <w:rPr>
                <w:sz w:val="16"/>
              </w:rPr>
              <w:t>5,000</w:t>
            </w:r>
          </w:p>
        </w:tc>
        <w:tc>
          <w:tcPr>
            <w:tcW w:type="dxa" w:w="1134"/>
            <w:shd w:fill="FFC7CE" w:val="clear"/>
          </w:tcPr>
          <w:p>
            <w:r>
              <w:rPr>
                <w:b/>
                <w:color w:val="B40000"/>
                <w:sz w:val="16"/>
              </w:rPr>
              <w:t>-1.47%</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2,355</w:t>
            </w:r>
          </w:p>
        </w:tc>
        <w:tc>
          <w:tcPr>
            <w:tcW w:type="dxa" w:w="1417"/>
            <w:shd w:fill="FFFFFF" w:val="clear"/>
          </w:tcPr>
          <w:p>
            <w:r>
              <w:rPr>
                <w:sz w:val="16"/>
              </w:rPr>
              <w:t>2,311</w:t>
            </w:r>
          </w:p>
        </w:tc>
        <w:tc>
          <w:tcPr>
            <w:tcW w:type="dxa" w:w="1134"/>
            <w:shd w:fill="FFC7CE" w:val="clear"/>
          </w:tcPr>
          <w:p>
            <w:r>
              <w:rPr>
                <w:b/>
                <w:color w:val="B40000"/>
                <w:sz w:val="16"/>
              </w:rPr>
              <w:t>-1.87%</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3,140</w:t>
            </w:r>
          </w:p>
        </w:tc>
        <w:tc>
          <w:tcPr>
            <w:tcW w:type="dxa" w:w="1417"/>
            <w:shd w:fill="FFFFFF" w:val="clear"/>
          </w:tcPr>
          <w:p>
            <w:r>
              <w:rPr>
                <w:sz w:val="16"/>
              </w:rPr>
              <w:t>3,074</w:t>
            </w:r>
          </w:p>
        </w:tc>
        <w:tc>
          <w:tcPr>
            <w:tcW w:type="dxa" w:w="1134"/>
            <w:shd w:fill="FFC7CE" w:val="clear"/>
          </w:tcPr>
          <w:p>
            <w:r>
              <w:rPr>
                <w:b/>
                <w:color w:val="B40000"/>
                <w:sz w:val="16"/>
              </w:rPr>
              <w:t>-2.09%</w:t>
            </w:r>
          </w:p>
        </w:tc>
        <w:tc>
          <w:tcPr>
            <w:tcW w:type="dxa" w:w="1134"/>
            <w:shd w:fill="FFEB9C" w:val="clear"/>
          </w:tcPr>
          <w:p>
            <w:r>
              <w:rPr>
                <w:sz w:val="16"/>
              </w:rPr>
              <w:t>Moyenne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37,905</w:t>
            </w:r>
          </w:p>
        </w:tc>
        <w:tc>
          <w:tcPr>
            <w:tcW w:type="dxa" w:w="1417"/>
            <w:shd w:fill="FFFFFF" w:val="clear"/>
          </w:tcPr>
          <w:p>
            <w:r>
              <w:rPr>
                <w:sz w:val="16"/>
              </w:rPr>
              <w:t>37,030</w:t>
            </w:r>
          </w:p>
        </w:tc>
        <w:tc>
          <w:tcPr>
            <w:tcW w:type="dxa" w:w="1134"/>
            <w:shd w:fill="FFC7CE" w:val="clear"/>
          </w:tcPr>
          <w:p>
            <w:r>
              <w:rPr>
                <w:b/>
                <w:color w:val="B40000"/>
                <w:sz w:val="16"/>
              </w:rPr>
              <w:t>-2.31%</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2,980</w:t>
            </w:r>
          </w:p>
        </w:tc>
        <w:tc>
          <w:tcPr>
            <w:tcW w:type="dxa" w:w="1417"/>
            <w:shd w:fill="FFFFFF" w:val="clear"/>
          </w:tcPr>
          <w:p>
            <w:r>
              <w:rPr>
                <w:sz w:val="16"/>
              </w:rPr>
              <w:t>2,911</w:t>
            </w:r>
          </w:p>
        </w:tc>
        <w:tc>
          <w:tcPr>
            <w:tcW w:type="dxa" w:w="1134"/>
            <w:shd w:fill="FFC7CE" w:val="clear"/>
          </w:tcPr>
          <w:p>
            <w:r>
              <w:rPr>
                <w:b/>
                <w:color w:val="B40000"/>
                <w:sz w:val="16"/>
              </w:rPr>
              <w:t>-2.31%</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7,600</w:t>
            </w:r>
          </w:p>
        </w:tc>
        <w:tc>
          <w:tcPr>
            <w:tcW w:type="dxa" w:w="1417"/>
            <w:shd w:fill="FFFFFF" w:val="clear"/>
          </w:tcPr>
          <w:p>
            <w:r>
              <w:rPr>
                <w:sz w:val="16"/>
              </w:rPr>
              <w:t>7,424</w:t>
            </w:r>
          </w:p>
        </w:tc>
        <w:tc>
          <w:tcPr>
            <w:tcW w:type="dxa" w:w="1134"/>
            <w:shd w:fill="FFC7CE" w:val="clear"/>
          </w:tcPr>
          <w:p>
            <w:r>
              <w:rPr>
                <w:b/>
                <w:color w:val="B40000"/>
                <w:sz w:val="16"/>
              </w:rPr>
              <w:t>-2.32%</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2,985</w:t>
            </w:r>
          </w:p>
        </w:tc>
        <w:tc>
          <w:tcPr>
            <w:tcW w:type="dxa" w:w="1417"/>
            <w:shd w:fill="FFFFFF" w:val="clear"/>
          </w:tcPr>
          <w:p>
            <w:r>
              <w:rPr>
                <w:sz w:val="16"/>
              </w:rPr>
              <w:t>2,905</w:t>
            </w:r>
          </w:p>
        </w:tc>
        <w:tc>
          <w:tcPr>
            <w:tcW w:type="dxa" w:w="1134"/>
            <w:shd w:fill="FFC7CE" w:val="clear"/>
          </w:tcPr>
          <w:p>
            <w:r>
              <w:rPr>
                <w:b/>
                <w:color w:val="B40000"/>
                <w:sz w:val="16"/>
              </w:rPr>
              <w:t>-2.68%</w:t>
            </w:r>
          </w:p>
        </w:tc>
        <w:tc>
          <w:tcPr>
            <w:tcW w:type="dxa" w:w="1134"/>
            <w:shd w:fill="FFEB9C" w:val="clear"/>
          </w:tcPr>
          <w:p>
            <w:r>
              <w:rPr>
                <w:sz w:val="16"/>
              </w:rPr>
              <w:t>Moyenne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17,175</w:t>
            </w:r>
          </w:p>
        </w:tc>
        <w:tc>
          <w:tcPr>
            <w:tcW w:type="dxa" w:w="1417"/>
            <w:shd w:fill="FFFFFF" w:val="clear"/>
          </w:tcPr>
          <w:p>
            <w:r>
              <w:rPr>
                <w:sz w:val="16"/>
              </w:rPr>
              <w:t>16,697</w:t>
            </w:r>
          </w:p>
        </w:tc>
        <w:tc>
          <w:tcPr>
            <w:tcW w:type="dxa" w:w="1134"/>
            <w:shd w:fill="FFC7CE" w:val="clear"/>
          </w:tcPr>
          <w:p>
            <w:r>
              <w:rPr>
                <w:b/>
                <w:color w:val="B40000"/>
                <w:sz w:val="16"/>
              </w:rPr>
              <w:t>-2.78%</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16,750</w:t>
            </w:r>
          </w:p>
        </w:tc>
        <w:tc>
          <w:tcPr>
            <w:tcW w:type="dxa" w:w="1417"/>
            <w:shd w:fill="FFFFFF" w:val="clear"/>
          </w:tcPr>
          <w:p>
            <w:r>
              <w:rPr>
                <w:sz w:val="16"/>
              </w:rPr>
              <w:t>16,033</w:t>
            </w:r>
          </w:p>
        </w:tc>
        <w:tc>
          <w:tcPr>
            <w:tcW w:type="dxa" w:w="1134"/>
            <w:shd w:fill="FFC7CE" w:val="clear"/>
          </w:tcPr>
          <w:p>
            <w:r>
              <w:rPr>
                <w:b/>
                <w:color w:val="B40000"/>
                <w:sz w:val="16"/>
              </w:rPr>
              <w:t>-4.28%</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1,895</w:t>
            </w:r>
          </w:p>
        </w:tc>
        <w:tc>
          <w:tcPr>
            <w:tcW w:type="dxa" w:w="1417"/>
            <w:shd w:fill="FFFFFF" w:val="clear"/>
          </w:tcPr>
          <w:p>
            <w:r>
              <w:rPr>
                <w:sz w:val="16"/>
              </w:rPr>
              <w:t>1,797</w:t>
            </w:r>
          </w:p>
        </w:tc>
        <w:tc>
          <w:tcPr>
            <w:tcW w:type="dxa" w:w="1134"/>
            <w:shd w:fill="FFC7CE" w:val="clear"/>
          </w:tcPr>
          <w:p>
            <w:r>
              <w:rPr>
                <w:b/>
                <w:color w:val="B40000"/>
                <w:sz w:val="16"/>
              </w:rPr>
              <w:t>-5.16%</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4,485</w:t>
            </w:r>
          </w:p>
        </w:tc>
        <w:tc>
          <w:tcPr>
            <w:tcW w:type="dxa" w:w="1417"/>
            <w:shd w:fill="FFFFFF" w:val="clear"/>
          </w:tcPr>
          <w:p>
            <w:r>
              <w:rPr>
                <w:sz w:val="16"/>
              </w:rPr>
              <w:t>4,237</w:t>
            </w:r>
          </w:p>
        </w:tc>
        <w:tc>
          <w:tcPr>
            <w:tcW w:type="dxa" w:w="1134"/>
            <w:shd w:fill="FFC7CE" w:val="clear"/>
          </w:tcPr>
          <w:p>
            <w:r>
              <w:rPr>
                <w:b/>
                <w:color w:val="B40000"/>
                <w:sz w:val="16"/>
              </w:rPr>
              <w:t>-5.52%</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16,500</w:t>
            </w:r>
          </w:p>
        </w:tc>
        <w:tc>
          <w:tcPr>
            <w:tcW w:type="dxa" w:w="1417"/>
            <w:shd w:fill="FFFFFF" w:val="clear"/>
          </w:tcPr>
          <w:p>
            <w:r>
              <w:rPr>
                <w:sz w:val="16"/>
              </w:rPr>
              <w:t>15,510</w:t>
            </w:r>
          </w:p>
        </w:tc>
        <w:tc>
          <w:tcPr>
            <w:tcW w:type="dxa" w:w="1134"/>
            <w:shd w:fill="FFC7CE" w:val="clear"/>
          </w:tcPr>
          <w:p>
            <w:r>
              <w:rPr>
                <w:b/>
                <w:color w:val="B40000"/>
                <w:sz w:val="16"/>
              </w:rPr>
              <w:t>-6.00%</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4,300</w:t>
            </w:r>
          </w:p>
        </w:tc>
        <w:tc>
          <w:tcPr>
            <w:tcW w:type="dxa" w:w="1417"/>
            <w:shd w:fill="FFFFFF" w:val="clear"/>
          </w:tcPr>
          <w:p>
            <w:r>
              <w:rPr>
                <w:sz w:val="16"/>
              </w:rPr>
              <w:t>4,024</w:t>
            </w:r>
          </w:p>
        </w:tc>
        <w:tc>
          <w:tcPr>
            <w:tcW w:type="dxa" w:w="1134"/>
            <w:shd w:fill="FFC7CE" w:val="clear"/>
          </w:tcPr>
          <w:p>
            <w:r>
              <w:rPr>
                <w:b/>
                <w:color w:val="B40000"/>
                <w:sz w:val="16"/>
              </w:rPr>
              <w:t>-6.41%</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11,400</w:t>
            </w:r>
          </w:p>
        </w:tc>
        <w:tc>
          <w:tcPr>
            <w:tcW w:type="dxa" w:w="1417"/>
            <w:shd w:fill="FFFFFF" w:val="clear"/>
          </w:tcPr>
          <w:p>
            <w:r>
              <w:rPr>
                <w:sz w:val="16"/>
              </w:rPr>
              <w:t>10,594</w:t>
            </w:r>
          </w:p>
        </w:tc>
        <w:tc>
          <w:tcPr>
            <w:tcW w:type="dxa" w:w="1134"/>
            <w:shd w:fill="FFC7CE" w:val="clear"/>
          </w:tcPr>
          <w:p>
            <w:r>
              <w:rPr>
                <w:b/>
                <w:color w:val="B40000"/>
                <w:sz w:val="16"/>
              </w:rPr>
              <w:t>-7.07%</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2,800</w:t>
            </w:r>
          </w:p>
        </w:tc>
        <w:tc>
          <w:tcPr>
            <w:tcW w:type="dxa" w:w="1417"/>
            <w:shd w:fill="FFFFFF" w:val="clear"/>
          </w:tcPr>
          <w:p>
            <w:r>
              <w:rPr>
                <w:sz w:val="16"/>
              </w:rPr>
              <w:t>2,595</w:t>
            </w:r>
          </w:p>
        </w:tc>
        <w:tc>
          <w:tcPr>
            <w:tcW w:type="dxa" w:w="1134"/>
            <w:shd w:fill="FFC7CE" w:val="clear"/>
          </w:tcPr>
          <w:p>
            <w:r>
              <w:rPr>
                <w:b/>
                <w:color w:val="B40000"/>
                <w:sz w:val="16"/>
              </w:rPr>
              <w:t>-7.32%</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1,450</w:t>
            </w:r>
          </w:p>
        </w:tc>
        <w:tc>
          <w:tcPr>
            <w:tcW w:type="dxa" w:w="1417"/>
            <w:shd w:fill="FFFFFF" w:val="clear"/>
          </w:tcPr>
          <w:p>
            <w:r>
              <w:rPr>
                <w:sz w:val="16"/>
              </w:rPr>
              <w:t>1,318</w:t>
            </w:r>
          </w:p>
        </w:tc>
        <w:tc>
          <w:tcPr>
            <w:tcW w:type="dxa" w:w="1134"/>
            <w:shd w:fill="FFC7CE" w:val="clear"/>
          </w:tcPr>
          <w:p>
            <w:r>
              <w:rPr>
                <w:b/>
                <w:color w:val="B40000"/>
                <w:sz w:val="16"/>
              </w:rPr>
              <w:t>-9.13%</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29,000</w:t>
            </w:r>
          </w:p>
        </w:tc>
        <w:tc>
          <w:tcPr>
            <w:tcW w:type="dxa" w:w="1417"/>
            <w:shd w:fill="FFFFFF" w:val="clear"/>
          </w:tcPr>
          <w:p>
            <w:r>
              <w:rPr>
                <w:sz w:val="16"/>
              </w:rPr>
              <w:t>26,158</w:t>
            </w:r>
          </w:p>
        </w:tc>
        <w:tc>
          <w:tcPr>
            <w:tcW w:type="dxa" w:w="1134"/>
            <w:shd w:fill="FFC7CE" w:val="clear"/>
          </w:tcPr>
          <w:p>
            <w:r>
              <w:rPr>
                <w:b/>
                <w:color w:val="B40000"/>
                <w:sz w:val="16"/>
              </w:rPr>
              <w:t>-9.80%</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7,200</w:t>
            </w:r>
          </w:p>
        </w:tc>
        <w:tc>
          <w:tcPr>
            <w:tcW w:type="dxa" w:w="1417"/>
            <w:shd w:fill="FFFFFF" w:val="clear"/>
          </w:tcPr>
          <w:p>
            <w:r>
              <w:rPr>
                <w:sz w:val="16"/>
              </w:rPr>
              <w:t>6,484</w:t>
            </w:r>
          </w:p>
        </w:tc>
        <w:tc>
          <w:tcPr>
            <w:tcW w:type="dxa" w:w="1134"/>
            <w:shd w:fill="FFC7CE" w:val="clear"/>
          </w:tcPr>
          <w:p>
            <w:r>
              <w:rPr>
                <w:b/>
                <w:color w:val="B40000"/>
                <w:sz w:val="16"/>
              </w:rPr>
              <w:t>-9.94%</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5,585</w:t>
            </w:r>
          </w:p>
        </w:tc>
        <w:tc>
          <w:tcPr>
            <w:tcW w:type="dxa" w:w="1417"/>
            <w:shd w:fill="FFFFFF" w:val="clear"/>
          </w:tcPr>
          <w:p>
            <w:r>
              <w:rPr>
                <w:sz w:val="16"/>
              </w:rPr>
              <w:t>5,011</w:t>
            </w:r>
          </w:p>
        </w:tc>
        <w:tc>
          <w:tcPr>
            <w:tcW w:type="dxa" w:w="1134"/>
            <w:shd w:fill="FFC7CE" w:val="clear"/>
          </w:tcPr>
          <w:p>
            <w:r>
              <w:rPr>
                <w:b/>
                <w:color w:val="B40000"/>
                <w:sz w:val="16"/>
              </w:rPr>
              <w:t>-10.28%</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7,085</w:t>
            </w:r>
          </w:p>
        </w:tc>
        <w:tc>
          <w:tcPr>
            <w:tcW w:type="dxa" w:w="1417"/>
            <w:shd w:fill="FFFFFF" w:val="clear"/>
          </w:tcPr>
          <w:p>
            <w:r>
              <w:rPr>
                <w:sz w:val="16"/>
              </w:rPr>
              <w:t>6,291</w:t>
            </w:r>
          </w:p>
        </w:tc>
        <w:tc>
          <w:tcPr>
            <w:tcW w:type="dxa" w:w="1134"/>
            <w:shd w:fill="FFC7CE" w:val="clear"/>
          </w:tcPr>
          <w:p>
            <w:r>
              <w:rPr>
                <w:b/>
                <w:color w:val="B40000"/>
                <w:sz w:val="16"/>
              </w:rPr>
              <w:t>-11.21%</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8,700</w:t>
            </w:r>
          </w:p>
        </w:tc>
        <w:tc>
          <w:tcPr>
            <w:tcW w:type="dxa" w:w="1417"/>
            <w:shd w:fill="FFFFFF" w:val="clear"/>
          </w:tcPr>
          <w:p>
            <w:r>
              <w:rPr>
                <w:sz w:val="16"/>
              </w:rPr>
              <w:t>7,702</w:t>
            </w:r>
          </w:p>
        </w:tc>
        <w:tc>
          <w:tcPr>
            <w:tcW w:type="dxa" w:w="1134"/>
            <w:shd w:fill="FFC7CE" w:val="clear"/>
          </w:tcPr>
          <w:p>
            <w:r>
              <w:rPr>
                <w:b/>
                <w:color w:val="B40000"/>
                <w:sz w:val="16"/>
              </w:rPr>
              <w:t>-11.47%</w:t>
            </w:r>
          </w:p>
        </w:tc>
        <w:tc>
          <w:tcPr>
            <w:tcW w:type="dxa" w:w="1134"/>
            <w:shd w:fill="FFEB9C" w:val="clear"/>
          </w:tcPr>
          <w:p>
            <w:r>
              <w:rPr>
                <w:sz w:val="16"/>
              </w:rPr>
              <w:t>Moyenne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7,600</w:t>
            </w:r>
          </w:p>
        </w:tc>
        <w:tc>
          <w:tcPr>
            <w:tcW w:type="dxa" w:w="1417"/>
            <w:shd w:fill="FFFFFF" w:val="clear"/>
          </w:tcPr>
          <w:p>
            <w:r>
              <w:rPr>
                <w:sz w:val="16"/>
              </w:rPr>
              <w:t>6,677</w:t>
            </w:r>
          </w:p>
        </w:tc>
        <w:tc>
          <w:tcPr>
            <w:tcW w:type="dxa" w:w="1134"/>
            <w:shd w:fill="FFC7CE" w:val="clear"/>
          </w:tcPr>
          <w:p>
            <w:r>
              <w:rPr>
                <w:b/>
                <w:color w:val="B40000"/>
                <w:sz w:val="16"/>
              </w:rPr>
              <w:t>-12.15%</w:t>
            </w:r>
          </w:p>
        </w:tc>
        <w:tc>
          <w:tcPr>
            <w:tcW w:type="dxa" w:w="1134"/>
            <w:shd w:fill="FFEB9C" w:val="clear"/>
          </w:tcPr>
          <w:p>
            <w:r>
              <w:rPr>
                <w:sz w:val="16"/>
              </w:rPr>
              <w:t>Moyenne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3,630</w:t>
            </w:r>
          </w:p>
        </w:tc>
        <w:tc>
          <w:tcPr>
            <w:tcW w:type="dxa" w:w="1417"/>
            <w:shd w:fill="FFFFFF" w:val="clear"/>
          </w:tcPr>
          <w:p>
            <w:r>
              <w:rPr>
                <w:sz w:val="16"/>
              </w:rPr>
              <w:t>3,181</w:t>
            </w:r>
          </w:p>
        </w:tc>
        <w:tc>
          <w:tcPr>
            <w:tcW w:type="dxa" w:w="1134"/>
            <w:shd w:fill="FFC7CE" w:val="clear"/>
          </w:tcPr>
          <w:p>
            <w:r>
              <w:rPr>
                <w:b/>
                <w:color w:val="B40000"/>
                <w:sz w:val="16"/>
              </w:rPr>
              <w:t>-12.36%</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1,690</w:t>
            </w:r>
          </w:p>
        </w:tc>
        <w:tc>
          <w:tcPr>
            <w:tcW w:type="dxa" w:w="1417"/>
            <w:shd w:fill="FFFFFF" w:val="clear"/>
          </w:tcPr>
          <w:p>
            <w:r>
              <w:rPr>
                <w:sz w:val="16"/>
              </w:rPr>
              <w:t>1,446</w:t>
            </w:r>
          </w:p>
        </w:tc>
        <w:tc>
          <w:tcPr>
            <w:tcW w:type="dxa" w:w="1134"/>
            <w:shd w:fill="FFC7CE" w:val="clear"/>
          </w:tcPr>
          <w:p>
            <w:r>
              <w:rPr>
                <w:b/>
                <w:color w:val="B40000"/>
                <w:sz w:val="16"/>
              </w:rPr>
              <w:t>-14.45%</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2,075</w:t>
            </w:r>
          </w:p>
        </w:tc>
        <w:tc>
          <w:tcPr>
            <w:tcW w:type="dxa" w:w="1417"/>
            <w:shd w:fill="FFFFFF" w:val="clear"/>
          </w:tcPr>
          <w:p>
            <w:r>
              <w:rPr>
                <w:sz w:val="16"/>
              </w:rPr>
              <w:t>1,672</w:t>
            </w:r>
          </w:p>
        </w:tc>
        <w:tc>
          <w:tcPr>
            <w:tcW w:type="dxa" w:w="1134"/>
            <w:shd w:fill="FFC7CE" w:val="clear"/>
          </w:tcPr>
          <w:p>
            <w:r>
              <w:rPr>
                <w:b/>
                <w:color w:val="B40000"/>
                <w:sz w:val="16"/>
              </w:rPr>
              <w:t>-19.43%</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9,250</w:t>
            </w:r>
          </w:p>
        </w:tc>
        <w:tc>
          <w:tcPr>
            <w:tcW w:type="dxa" w:w="1417"/>
            <w:shd w:fill="FFFFFF" w:val="clear"/>
          </w:tcPr>
          <w:p>
            <w:r>
              <w:rPr>
                <w:sz w:val="16"/>
              </w:rPr>
              <w:t>7,215</w:t>
            </w:r>
          </w:p>
        </w:tc>
        <w:tc>
          <w:tcPr>
            <w:tcW w:type="dxa" w:w="1134"/>
            <w:shd w:fill="FFC7CE" w:val="clear"/>
          </w:tcPr>
          <w:p>
            <w:r>
              <w:rPr>
                <w:b/>
                <w:color w:val="B40000"/>
                <w:sz w:val="16"/>
              </w:rPr>
              <w:t>-22.00%</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11,600</w:t>
            </w:r>
          </w:p>
        </w:tc>
        <w:tc>
          <w:tcPr>
            <w:tcW w:type="dxa" w:w="1417"/>
            <w:shd w:fill="FFFFFF" w:val="clear"/>
          </w:tcPr>
          <w:p>
            <w:r>
              <w:rPr>
                <w:sz w:val="16"/>
              </w:rPr>
              <w:t>8,602</w:t>
            </w:r>
          </w:p>
        </w:tc>
        <w:tc>
          <w:tcPr>
            <w:tcW w:type="dxa" w:w="1134"/>
            <w:shd w:fill="FFC7CE" w:val="clear"/>
          </w:tcPr>
          <w:p>
            <w:r>
              <w:rPr>
                <w:b/>
                <w:color w:val="B40000"/>
                <w:sz w:val="16"/>
              </w:rPr>
              <w:t>-25.85%</w:t>
            </w:r>
          </w:p>
        </w:tc>
        <w:tc>
          <w:tcPr>
            <w:tcW w:type="dxa" w:w="1134"/>
            <w:shd w:fill="FFEB9C" w:val="clear"/>
          </w:tcPr>
          <w:p>
            <w:r>
              <w:rPr>
                <w:sz w:val="16"/>
              </w:rPr>
              <w:t>Moyenne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7,500</w:t>
            </w:r>
          </w:p>
        </w:tc>
        <w:tc>
          <w:tcPr>
            <w:tcW w:type="dxa" w:w="1417"/>
            <w:shd w:fill="FFFFFF" w:val="clear"/>
          </w:tcPr>
          <w:p>
            <w:r>
              <w:rPr>
                <w:sz w:val="16"/>
              </w:rPr>
              <w:t>5,410</w:t>
            </w:r>
          </w:p>
        </w:tc>
        <w:tc>
          <w:tcPr>
            <w:tcW w:type="dxa" w:w="1134"/>
            <w:shd w:fill="FFC7CE" w:val="clear"/>
          </w:tcPr>
          <w:p>
            <w:r>
              <w:rPr>
                <w:b/>
                <w:color w:val="B40000"/>
                <w:sz w:val="16"/>
              </w:rPr>
              <w:t>-27.86%</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2,300</w:t>
            </w:r>
          </w:p>
        </w:tc>
        <w:tc>
          <w:tcPr>
            <w:tcW w:type="dxa" w:w="1417"/>
            <w:shd w:fill="FFFFFF" w:val="clear"/>
          </w:tcPr>
          <w:p>
            <w:r>
              <w:rPr>
                <w:sz w:val="16"/>
              </w:rPr>
              <w:t>1,658</w:t>
            </w:r>
          </w:p>
        </w:tc>
        <w:tc>
          <w:tcPr>
            <w:tcW w:type="dxa" w:w="1134"/>
            <w:shd w:fill="FFC7CE" w:val="clear"/>
          </w:tcPr>
          <w:p>
            <w:r>
              <w:rPr>
                <w:b/>
                <w:color w:val="B40000"/>
                <w:sz w:val="16"/>
              </w:rPr>
              <w:t>-27.92%</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5,000</w:t>
            </w:r>
          </w:p>
        </w:tc>
        <w:tc>
          <w:tcPr>
            <w:tcW w:type="dxa" w:w="1417"/>
            <w:shd w:fill="FFFFFF" w:val="clear"/>
          </w:tcPr>
          <w:p>
            <w:r>
              <w:rPr>
                <w:sz w:val="16"/>
              </w:rPr>
              <w:t>3,165</w:t>
            </w:r>
          </w:p>
        </w:tc>
        <w:tc>
          <w:tcPr>
            <w:tcW w:type="dxa" w:w="1134"/>
            <w:shd w:fill="FFC7CE" w:val="clear"/>
          </w:tcPr>
          <w:p>
            <w:r>
              <w:rPr>
                <w:b/>
                <w:color w:val="B40000"/>
                <w:sz w:val="16"/>
              </w:rPr>
              <w:t>-36.70%</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28,300</w:t>
            </w:r>
          </w:p>
        </w:tc>
        <w:tc>
          <w:tcPr>
            <w:tcW w:type="dxa" w:w="1417"/>
            <w:shd w:fill="FFFFFF" w:val="clear"/>
          </w:tcPr>
          <w:p>
            <w:r>
              <w:rPr>
                <w:sz w:val="16"/>
              </w:rPr>
              <w:t>17,328</w:t>
            </w:r>
          </w:p>
        </w:tc>
        <w:tc>
          <w:tcPr>
            <w:tcW w:type="dxa" w:w="1134"/>
            <w:shd w:fill="FFC7CE" w:val="clear"/>
          </w:tcPr>
          <w:p>
            <w:r>
              <w:rPr>
                <w:b/>
                <w:color w:val="B40000"/>
                <w:sz w:val="16"/>
              </w:rPr>
              <w:t>-38.77%</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2,260</w:t>
            </w:r>
          </w:p>
        </w:tc>
        <w:tc>
          <w:tcPr>
            <w:tcW w:type="dxa" w:w="1417"/>
            <w:shd w:fill="FFFFFF" w:val="clear"/>
          </w:tcPr>
          <w:p>
            <w:r>
              <w:rPr>
                <w:sz w:val="16"/>
              </w:rPr>
              <w:t>1,379</w:t>
            </w:r>
          </w:p>
        </w:tc>
        <w:tc>
          <w:tcPr>
            <w:tcW w:type="dxa" w:w="1134"/>
            <w:shd w:fill="FFC7CE" w:val="clear"/>
          </w:tcPr>
          <w:p>
            <w:r>
              <w:rPr>
                <w:b/>
                <w:color w:val="B40000"/>
                <w:sz w:val="16"/>
              </w:rPr>
              <w:t>-39.00%</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2,690</w:t>
            </w:r>
          </w:p>
        </w:tc>
        <w:tc>
          <w:tcPr>
            <w:tcW w:type="dxa" w:w="1417"/>
            <w:shd w:fill="FFFFFF" w:val="clear"/>
          </w:tcPr>
          <w:p>
            <w:r>
              <w:rPr>
                <w:sz w:val="16"/>
              </w:rPr>
              <w:t>1,595</w:t>
            </w:r>
          </w:p>
        </w:tc>
        <w:tc>
          <w:tcPr>
            <w:tcW w:type="dxa" w:w="1134"/>
            <w:shd w:fill="FFC7CE" w:val="clear"/>
          </w:tcPr>
          <w:p>
            <w:r>
              <w:rPr>
                <w:b/>
                <w:color w:val="B40000"/>
                <w:sz w:val="16"/>
              </w:rPr>
              <w:t>-40.69%</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64</w:t>
            </w:r>
          </w:p>
        </w:tc>
        <w:tc>
          <w:tcPr>
            <w:tcW w:type="dxa" w:w="1417"/>
            <w:shd w:fill="FFFFFF" w:val="clear"/>
          </w:tcPr>
          <w:p>
            <w:r>
              <w:rPr>
                <w:sz w:val="16"/>
              </w:rPr>
              <w:t>30</w:t>
            </w:r>
          </w:p>
        </w:tc>
        <w:tc>
          <w:tcPr>
            <w:tcW w:type="dxa" w:w="1134"/>
            <w:shd w:fill="FFC7CE" w:val="clear"/>
          </w:tcPr>
          <w:p>
            <w:r>
              <w:rPr>
                <w:b/>
                <w:color w:val="B40000"/>
                <w:sz w:val="16"/>
              </w:rPr>
              <w:t>-53.45%</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5,000</w:t>
            </w:r>
          </w:p>
        </w:tc>
        <w:tc>
          <w:tcPr>
            <w:tcW w:type="dxa" w:w="1417"/>
            <w:shd w:fill="FFFFFF" w:val="clear"/>
          </w:tcPr>
          <w:p>
            <w:r>
              <w:rPr>
                <w:sz w:val="16"/>
              </w:rPr>
              <w:t>2,293</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3,575</w:t>
            </w:r>
          </w:p>
        </w:tc>
        <w:tc>
          <w:tcPr>
            <w:tcW w:type="dxa" w:w="1417"/>
            <w:shd w:fill="FFFFFF" w:val="clear"/>
          </w:tcPr>
          <w:p>
            <w:r>
              <w:rPr>
                <w:sz w:val="16"/>
              </w:rPr>
              <w:t>1,639</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30.55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3,359 titres</w:t>
            </w:r>
          </w:p>
        </w:tc>
        <w:tc>
          <w:tcPr>
            <w:tcW w:type="dxa" w:w="2268"/>
            <w:shd w:fill="FFF2CC" w:val="clear"/>
          </w:tcPr>
          <w:p>
            <w:r>
              <w:rPr>
                <w:b/>
                <w:color w:val="503200"/>
                <w:sz w:val="16"/>
              </w:rPr>
              <w:t xml:space="preserve">Cours actuel : </w:t>
            </w:r>
            <w:r>
              <w:rPr>
                <w:color w:val="000000"/>
                <w:sz w:val="17"/>
              </w:rPr>
              <w:t>2,800 FCFA</w:t>
            </w:r>
          </w:p>
          <w:p>
            <w:r>
              <w:rPr>
                <w:b/>
                <w:color w:val="503200"/>
                <w:sz w:val="16"/>
              </w:rPr>
              <w:t xml:space="preserve">Var. 100 jours : </w:t>
            </w:r>
            <w:r>
              <w:rPr>
                <w:b/>
                <w:color w:val="B40000"/>
                <w:sz w:val="17"/>
              </w:rPr>
              <w:t>-18.84%</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53.0%</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7.44% (Moyenne) — μ=3,231 FCFA, σ=240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β=-0.7817 (Contre-cyclique) — Cov=-0.000028, Var(idx)=0.000036, ρ=-0.141,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3,359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σ_j=3.34%/j (Modérée) — Vol. annualisée≈53.0%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2026-08-06</w:t>
            </w:r>
          </w:p>
        </w:tc>
        <w:tc>
          <w:tcPr>
            <w:tcW w:type="dxa" w:w="1440"/>
            <w:shd w:fill="FAFAFA" w:val="clear"/>
          </w:tcPr>
          <w:p>
            <w:r>
              <w:rPr>
                <w:sz w:val="17"/>
              </w:rPr>
              <w:t>2,705</w:t>
            </w:r>
          </w:p>
        </w:tc>
        <w:tc>
          <w:tcPr>
            <w:tcW w:type="dxa" w:w="1440"/>
            <w:shd w:fill="FAFAFA" w:val="clear"/>
          </w:tcPr>
          <w:p>
            <w:r>
              <w:rPr>
                <w:b/>
                <w:sz w:val="17"/>
              </w:rPr>
              <w:t>2,814</w:t>
            </w:r>
          </w:p>
        </w:tc>
        <w:tc>
          <w:tcPr>
            <w:tcW w:type="dxa" w:w="1440"/>
            <w:shd w:fill="FAFAFA" w:val="clear"/>
          </w:tcPr>
          <w:p>
            <w:r>
              <w:rPr>
                <w:sz w:val="17"/>
              </w:rPr>
              <w:t>2,922</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2026-08-10</w:t>
            </w:r>
          </w:p>
        </w:tc>
        <w:tc>
          <w:tcPr>
            <w:tcW w:type="dxa" w:w="1440"/>
            <w:shd w:fill="FAFAFA" w:val="clear"/>
          </w:tcPr>
          <w:p>
            <w:r>
              <w:rPr>
                <w:sz w:val="17"/>
              </w:rPr>
              <w:t>2,622</w:t>
            </w:r>
          </w:p>
        </w:tc>
        <w:tc>
          <w:tcPr>
            <w:tcW w:type="dxa" w:w="1440"/>
            <w:shd w:fill="FAFAFA" w:val="clear"/>
          </w:tcPr>
          <w:p>
            <w:r>
              <w:rPr>
                <w:b/>
                <w:sz w:val="17"/>
              </w:rPr>
              <w:t>2,773</w:t>
            </w:r>
          </w:p>
        </w:tc>
        <w:tc>
          <w:tcPr>
            <w:tcW w:type="dxa" w:w="1440"/>
            <w:shd w:fill="FAFAFA" w:val="clear"/>
          </w:tcPr>
          <w:p>
            <w:r>
              <w:rPr>
                <w:sz w:val="17"/>
              </w:rPr>
              <w:t>2,924</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2026-08-11</w:t>
            </w:r>
          </w:p>
        </w:tc>
        <w:tc>
          <w:tcPr>
            <w:tcW w:type="dxa" w:w="1440"/>
            <w:shd w:fill="FAFAFA" w:val="clear"/>
          </w:tcPr>
          <w:p>
            <w:r>
              <w:rPr>
                <w:sz w:val="17"/>
              </w:rPr>
              <w:t>2,566</w:t>
            </w:r>
          </w:p>
        </w:tc>
        <w:tc>
          <w:tcPr>
            <w:tcW w:type="dxa" w:w="1440"/>
            <w:shd w:fill="FAFAFA" w:val="clear"/>
          </w:tcPr>
          <w:p>
            <w:r>
              <w:rPr>
                <w:b/>
                <w:sz w:val="17"/>
              </w:rPr>
              <w:t>2,750</w:t>
            </w:r>
          </w:p>
        </w:tc>
        <w:tc>
          <w:tcPr>
            <w:tcW w:type="dxa" w:w="1440"/>
            <w:shd w:fill="FAFAFA" w:val="clear"/>
          </w:tcPr>
          <w:p>
            <w:r>
              <w:rPr>
                <w:sz w:val="17"/>
              </w:rPr>
              <w:t>2,934</w:t>
            </w:r>
          </w:p>
        </w:tc>
        <w:tc>
          <w:tcPr>
            <w:tcW w:type="dxa" w:w="1440"/>
            <w:shd w:fill="FAFAFA" w:val="clear"/>
          </w:tcPr>
          <w:p>
            <w:r>
              <w:rPr>
                <w:b/>
                <w:color w:val="C00000"/>
                <w:sz w:val="17"/>
              </w:rPr>
              <w:t>-1.8%</w:t>
            </w:r>
          </w:p>
        </w:tc>
      </w:tr>
      <w:tr>
        <w:tc>
          <w:tcPr>
            <w:tcW w:type="dxa" w:w="1440"/>
            <w:shd w:fill="FFDCE0" w:val="clear"/>
          </w:tcPr>
          <w:p>
            <w:r>
              <w:rPr>
                <w:sz w:val="17"/>
              </w:rPr>
              <w:t>J+4  ⭐</w:t>
            </w:r>
          </w:p>
        </w:tc>
        <w:tc>
          <w:tcPr>
            <w:tcW w:type="dxa" w:w="1440"/>
            <w:shd w:fill="FFDCE0" w:val="clear"/>
          </w:tcPr>
          <w:p>
            <w:r>
              <w:rPr>
                <w:sz w:val="17"/>
              </w:rPr>
              <w:t>2026-08-12</w:t>
            </w:r>
          </w:p>
        </w:tc>
        <w:tc>
          <w:tcPr>
            <w:tcW w:type="dxa" w:w="1440"/>
            <w:shd w:fill="FFDCE0" w:val="clear"/>
          </w:tcPr>
          <w:p>
            <w:r>
              <w:rPr>
                <w:sz w:val="17"/>
              </w:rPr>
              <w:t>2,517</w:t>
            </w:r>
          </w:p>
        </w:tc>
        <w:tc>
          <w:tcPr>
            <w:tcW w:type="dxa" w:w="1440"/>
            <w:shd w:fill="FFDCE0" w:val="clear"/>
          </w:tcPr>
          <w:p>
            <w:r>
              <w:rPr>
                <w:b/>
                <w:sz w:val="17"/>
              </w:rPr>
              <w:t>2,727</w:t>
            </w:r>
          </w:p>
        </w:tc>
        <w:tc>
          <w:tcPr>
            <w:tcW w:type="dxa" w:w="1440"/>
            <w:shd w:fill="FFDCE0" w:val="clear"/>
          </w:tcPr>
          <w:p>
            <w:r>
              <w:rPr>
                <w:sz w:val="17"/>
              </w:rPr>
              <w:t>2,938</w:t>
            </w:r>
          </w:p>
        </w:tc>
        <w:tc>
          <w:tcPr>
            <w:tcW w:type="dxa" w:w="1440"/>
            <w:shd w:fill="FFDCE0" w:val="clear"/>
          </w:tcPr>
          <w:p>
            <w:r>
              <w:rPr>
                <w:b/>
                <w:color w:val="C00000"/>
                <w:sz w:val="17"/>
              </w:rPr>
              <w:t>-2.6%</w:t>
            </w:r>
          </w:p>
        </w:tc>
      </w:tr>
      <w:tr>
        <w:tc>
          <w:tcPr>
            <w:tcW w:type="dxa" w:w="1440"/>
            <w:shd w:fill="FFDCE0" w:val="clear"/>
          </w:tcPr>
          <w:p>
            <w:r>
              <w:rPr>
                <w:sz w:val="17"/>
              </w:rPr>
              <w:t>J+5  ⭐</w:t>
            </w:r>
          </w:p>
        </w:tc>
        <w:tc>
          <w:tcPr>
            <w:tcW w:type="dxa" w:w="1440"/>
            <w:shd w:fill="FFDCE0" w:val="clear"/>
          </w:tcPr>
          <w:p>
            <w:r>
              <w:rPr>
                <w:sz w:val="17"/>
              </w:rPr>
              <w:t>2026-08-13</w:t>
            </w:r>
          </w:p>
        </w:tc>
        <w:tc>
          <w:tcPr>
            <w:tcW w:type="dxa" w:w="1440"/>
            <w:shd w:fill="FFDCE0" w:val="clear"/>
          </w:tcPr>
          <w:p>
            <w:r>
              <w:rPr>
                <w:sz w:val="17"/>
              </w:rPr>
              <w:t>2,471</w:t>
            </w:r>
          </w:p>
        </w:tc>
        <w:tc>
          <w:tcPr>
            <w:tcW w:type="dxa" w:w="1440"/>
            <w:shd w:fill="FFDCE0" w:val="clear"/>
          </w:tcPr>
          <w:p>
            <w:r>
              <w:rPr>
                <w:b/>
                <w:sz w:val="17"/>
              </w:rPr>
              <w:t>2,704</w:t>
            </w:r>
          </w:p>
        </w:tc>
        <w:tc>
          <w:tcPr>
            <w:tcW w:type="dxa" w:w="1440"/>
            <w:shd w:fill="FFDCE0" w:val="clear"/>
          </w:tcPr>
          <w:p>
            <w:r>
              <w:rPr>
                <w:sz w:val="17"/>
              </w:rPr>
              <w:t>2,937</w:t>
            </w:r>
          </w:p>
        </w:tc>
        <w:tc>
          <w:tcPr>
            <w:tcW w:type="dxa" w:w="1440"/>
            <w:shd w:fill="FFDCE0" w:val="clear"/>
          </w:tcPr>
          <w:p>
            <w:r>
              <w:rPr>
                <w:b/>
                <w:color w:val="C00000"/>
                <w:sz w:val="17"/>
              </w:rPr>
              <w:t>-3.4%</w:t>
            </w:r>
          </w:p>
        </w:tc>
      </w:tr>
      <w:tr>
        <w:tc>
          <w:tcPr>
            <w:tcW w:type="dxa" w:w="1440"/>
            <w:shd w:fill="FFDCE0" w:val="clear"/>
          </w:tcPr>
          <w:p>
            <w:r>
              <w:rPr>
                <w:sz w:val="17"/>
              </w:rPr>
              <w:t>J+6  ⭐</w:t>
            </w:r>
          </w:p>
        </w:tc>
        <w:tc>
          <w:tcPr>
            <w:tcW w:type="dxa" w:w="1440"/>
            <w:shd w:fill="FFDCE0" w:val="clear"/>
          </w:tcPr>
          <w:p>
            <w:r>
              <w:rPr>
                <w:sz w:val="17"/>
              </w:rPr>
              <w:t>2026-08-14</w:t>
            </w:r>
          </w:p>
        </w:tc>
        <w:tc>
          <w:tcPr>
            <w:tcW w:type="dxa" w:w="1440"/>
            <w:shd w:fill="FFDCE0" w:val="clear"/>
          </w:tcPr>
          <w:p>
            <w:r>
              <w:rPr>
                <w:sz w:val="17"/>
              </w:rPr>
              <w:t>2,428</w:t>
            </w:r>
          </w:p>
        </w:tc>
        <w:tc>
          <w:tcPr>
            <w:tcW w:type="dxa" w:w="1440"/>
            <w:shd w:fill="FFDCE0" w:val="clear"/>
          </w:tcPr>
          <w:p>
            <w:r>
              <w:rPr>
                <w:b/>
                <w:sz w:val="17"/>
              </w:rPr>
              <w:t>2,681</w:t>
            </w:r>
          </w:p>
        </w:tc>
        <w:tc>
          <w:tcPr>
            <w:tcW w:type="dxa" w:w="1440"/>
            <w:shd w:fill="FFDCE0" w:val="clear"/>
          </w:tcPr>
          <w:p>
            <w:r>
              <w:rPr>
                <w:sz w:val="17"/>
              </w:rPr>
              <w:t>2,934</w:t>
            </w:r>
          </w:p>
        </w:tc>
        <w:tc>
          <w:tcPr>
            <w:tcW w:type="dxa" w:w="1440"/>
            <w:shd w:fill="FFDCE0" w:val="clear"/>
          </w:tcPr>
          <w:p>
            <w:r>
              <w:rPr>
                <w:b/>
                <w:color w:val="C00000"/>
                <w:sz w:val="17"/>
              </w:rPr>
              <w:t>-4.3%</w:t>
            </w:r>
          </w:p>
        </w:tc>
      </w:tr>
      <w:tr>
        <w:tc>
          <w:tcPr>
            <w:tcW w:type="dxa" w:w="1440"/>
            <w:shd w:fill="FFDCE0" w:val="clear"/>
          </w:tcPr>
          <w:p>
            <w:r>
              <w:rPr>
                <w:sz w:val="17"/>
              </w:rPr>
              <w:t>J+7  ⭐</w:t>
            </w:r>
          </w:p>
        </w:tc>
        <w:tc>
          <w:tcPr>
            <w:tcW w:type="dxa" w:w="1440"/>
            <w:shd w:fill="FFDCE0" w:val="clear"/>
          </w:tcPr>
          <w:p>
            <w:r>
              <w:rPr>
                <w:sz w:val="17"/>
              </w:rPr>
              <w:t>2026-08-17</w:t>
            </w:r>
          </w:p>
        </w:tc>
        <w:tc>
          <w:tcPr>
            <w:tcW w:type="dxa" w:w="1440"/>
            <w:shd w:fill="FFDCE0" w:val="clear"/>
          </w:tcPr>
          <w:p>
            <w:r>
              <w:rPr>
                <w:sz w:val="17"/>
              </w:rPr>
              <w:t>2,387</w:t>
            </w:r>
          </w:p>
        </w:tc>
        <w:tc>
          <w:tcPr>
            <w:tcW w:type="dxa" w:w="1440"/>
            <w:shd w:fill="FFDCE0" w:val="clear"/>
          </w:tcPr>
          <w:p>
            <w:r>
              <w:rPr>
                <w:b/>
                <w:sz w:val="17"/>
              </w:rPr>
              <w:t>2,658</w:t>
            </w:r>
          </w:p>
        </w:tc>
        <w:tc>
          <w:tcPr>
            <w:tcW w:type="dxa" w:w="1440"/>
            <w:shd w:fill="FFDCE0" w:val="clear"/>
          </w:tcPr>
          <w:p>
            <w:r>
              <w:rPr>
                <w:sz w:val="17"/>
              </w:rPr>
              <w:t>2,930</w:t>
            </w:r>
          </w:p>
        </w:tc>
        <w:tc>
          <w:tcPr>
            <w:tcW w:type="dxa" w:w="1440"/>
            <w:shd w:fill="FFDCE0" w:val="clear"/>
          </w:tcPr>
          <w:p>
            <w:r>
              <w:rPr>
                <w:b/>
                <w:color w:val="C00000"/>
                <w:sz w:val="17"/>
              </w:rPr>
              <w:t>-5.1%</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2,349</w:t>
            </w:r>
          </w:p>
        </w:tc>
        <w:tc>
          <w:tcPr>
            <w:tcW w:type="dxa" w:w="1440"/>
            <w:shd w:fill="FFDCE0" w:val="clear"/>
          </w:tcPr>
          <w:p>
            <w:r>
              <w:rPr>
                <w:b/>
                <w:sz w:val="17"/>
              </w:rPr>
              <w:t>2,637</w:t>
            </w:r>
          </w:p>
        </w:tc>
        <w:tc>
          <w:tcPr>
            <w:tcW w:type="dxa" w:w="1440"/>
            <w:shd w:fill="FFDCE0" w:val="clear"/>
          </w:tcPr>
          <w:p>
            <w:r>
              <w:rPr>
                <w:sz w:val="17"/>
              </w:rPr>
              <w:t>2,924</w:t>
            </w:r>
          </w:p>
        </w:tc>
        <w:tc>
          <w:tcPr>
            <w:tcW w:type="dxa" w:w="1440"/>
            <w:shd w:fill="FFDCE0" w:val="clear"/>
          </w:tcPr>
          <w:p>
            <w:r>
              <w:rPr>
                <w:b/>
                <w:color w:val="C00000"/>
                <w:sz w:val="17"/>
              </w:rPr>
              <w:t>-5.8%</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2,313</w:t>
            </w:r>
          </w:p>
        </w:tc>
        <w:tc>
          <w:tcPr>
            <w:tcW w:type="dxa" w:w="1440"/>
            <w:shd w:fill="FFDCE0" w:val="clear"/>
          </w:tcPr>
          <w:p>
            <w:r>
              <w:rPr>
                <w:b/>
                <w:sz w:val="17"/>
              </w:rPr>
              <w:t>2,615</w:t>
            </w:r>
          </w:p>
        </w:tc>
        <w:tc>
          <w:tcPr>
            <w:tcW w:type="dxa" w:w="1440"/>
            <w:shd w:fill="FFDCE0" w:val="clear"/>
          </w:tcPr>
          <w:p>
            <w:r>
              <w:rPr>
                <w:sz w:val="17"/>
              </w:rPr>
              <w:t>2,918</w:t>
            </w:r>
          </w:p>
        </w:tc>
        <w:tc>
          <w:tcPr>
            <w:tcW w:type="dxa" w:w="1440"/>
            <w:shd w:fill="FFDCE0" w:val="clear"/>
          </w:tcPr>
          <w:p>
            <w:r>
              <w:rPr>
                <w:b/>
                <w:color w:val="C00000"/>
                <w:sz w:val="17"/>
              </w:rPr>
              <w:t>-6.6%</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2,279</w:t>
            </w:r>
          </w:p>
        </w:tc>
        <w:tc>
          <w:tcPr>
            <w:tcW w:type="dxa" w:w="1440"/>
            <w:shd w:fill="FFDCE0" w:val="clear"/>
          </w:tcPr>
          <w:p>
            <w:r>
              <w:rPr>
                <w:b/>
                <w:sz w:val="17"/>
              </w:rPr>
              <w:t>2,595</w:t>
            </w:r>
          </w:p>
        </w:tc>
        <w:tc>
          <w:tcPr>
            <w:tcW w:type="dxa" w:w="1440"/>
            <w:shd w:fill="FFDCE0" w:val="clear"/>
          </w:tcPr>
          <w:p>
            <w:r>
              <w:rPr>
                <w:sz w:val="17"/>
              </w:rPr>
              <w:t>2,911</w:t>
            </w:r>
          </w:p>
        </w:tc>
        <w:tc>
          <w:tcPr>
            <w:tcW w:type="dxa" w:w="1440"/>
            <w:shd w:fill="FFDCE0" w:val="clear"/>
          </w:tcPr>
          <w:p>
            <w:r>
              <w:rPr>
                <w:b/>
                <w:color w:val="C00000"/>
                <w:sz w:val="17"/>
              </w:rPr>
              <w:t>-7.3%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de l'analyse : 05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30,55 milliards FCFA, un niveau significatif pour une valeur de la cote BRVM, reflétant une entreprise de taille moyenne. Le BPA de 124 FCFA indique que chaque action génère un bénéfice modeste, mais le PER de 22,6x est très élevé par rapport à la moyenne historique de la BRVM (8-12x). Les investisseurs paient donc une prime substantielle pour les bénéfices actuels, ce qui suggère soit des attentes de croissance future importantes, soit une surévaluation. Le P/B de 5,92x confirme cette exigeance, le marché valorisant l'actif net comptable près de six fois sa valeur, un niveau qui intègre des perspectives de rentabilité élevée. Enfin, l'EV/EBITDA de 11,2x, bien que dans la fourchette haute (10-15x), indique que la valeur totale de l'entreprise (dette incluse) reste cohérente avec sa capacité opérationnelle, mais sans marge de sécurité.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ABJC a subi une dépréciation sévère de -18,84%, avec une chute de -6,67% lors de la dernière séance, signe d'une pression vendeuse intense. Le cours a évolué dans une fourchette de 2 800 FCFA (plus bas) à 3 780 FCFA (plus haut), démontrant une amplitude de trading considérable. La moyenne (3 231 FCFA) et la médiane (3 222 FCFA) étant très proches, la distribution des prix est symétrique, ce que confirme le skewness de 0.154. L'écart-type de 241 FCFA (CV=7,5%) indique une dispersion modérée autour de la moyenne, tandis que le kurtosis de -0,838 (mésokurtique) suggère une absence de pics extrêmes de volatilité. Cependant, la volatilité annualisée de 53,0% classe le titre comme très risqué (&gt;30%), reflétant une incertitude élevée. La tendance générale est clairement baissière, le cours se situant à son plus bas niveau, ce qui témoigne d'un momentum négatif persistant.</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(2 800 FCFA) est inférieur à la MM20 (3 054,5 FCFA) et à la MM50 (3 163,5 FCFA), confirmant une configuration baissière. La MM20 sous la MM50 indique une dynamique de court terme plus faible que le moyen terme, justifiant la décision de Vente.</w:t>
      </w:r>
    </w:p>
    <w:p>
      <w:pPr>
        <w:spacing w:after="120" w:line="276" w:lineRule="auto"/>
      </w:pPr>
      <w:r>
        <w:t>**Bandes de Bollinger**: Le prix se situe en dessous de la borne inférieure (2 850,3 FCFA), ce qui est un signal extrême de survente. Historiquement, une telle sortie précède souvent un rebond technique, d'où la décision d'Achat. La largeur des bandes suggère une volatilité accrue.</w:t>
      </w:r>
    </w:p>
    <w:p>
      <w:pPr>
        <w:spacing w:after="120" w:line="276" w:lineRule="auto"/>
      </w:pPr>
      <w:r>
        <w:t>**MACD**: La valeur MACD (-64,2) est inférieure au signal (-46,2), tous deux en territoire négatif. Cette divergence baissière indique un momentum négatif persistant, justifiant la décision de Vente. Aucun signe de retournement n'est visible à court terme.</w:t>
      </w:r>
    </w:p>
    <w:p>
      <w:pPr>
        <w:spacing w:after="120" w:line="276" w:lineRule="auto"/>
      </w:pPr>
      <w:r>
        <w:t>**RSI**: À 39,4, le RSI est en zone neutre (30-70), mais proche de la zone de survente. Cela indique que la pression vendeuse s'estompe, mais sans signal d'achat fort. La décision Neutre est appropriée, le marché attendant un catalyseur.</w:t>
      </w:r>
    </w:p>
    <w:p>
      <w:pPr>
        <w:spacing w:after="120" w:line="276" w:lineRule="auto"/>
      </w:pPr>
      <w:r>
        <w:t>**Stochastique**: Le %K à 0,0 et le %D à 13,0 sont en territoire de survente extrême. Le croisement haussier potentiel (si %K remonte au-dessus de %D) pourrait signaler un rebond imminent, justifiant la décision d'Achat.</w:t>
      </w:r>
    </w:p>
    <w:p>
      <w:pPr>
        <w:spacing w:after="120" w:line="276" w:lineRule="auto"/>
      </w:pPr>
      <w:r>
        <w:t>**Conclusion technique**: Les indicateurs sont mitigés. Les moyennes mobiles et le MACD sont baissiers, mais les bandes de Bollinger et le stochastique signalent une survente extrême. Le RSI neutre suggère une stabilisation. Cette divergence indique un potentiel de rebond technique à court terme, mais la tendance de fond reste baissière. La prudence est de mise.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officielles, ABJC a réalisé un chiffre d'affaires de 13,298 milliards FCFA, en croissance de 6,7%, avec un résultat net de 1,351 milliard FCFA. La rentabilité est excellente avec un ROE de 26,2% et un ROA de 14,6%, témoignant d'une gestion efficace des capitaux propres et des actifs. La marge opérationnelle de 16,4% est saine. La structure financière est robuste : l'autonomie financière est de 55,9%, la trésorerie nette est positive à 4,035 milliards FCFA, et le BFR est faible (257 millions FCFA). Les délais de paiement clients (70 jours) et fournisseurs (92 jours) sont équilibrés, et la durée de stockage (29 jours) est maîtrisée. Cependant, les rapports narratifs de 2025 (T1 et T3) montrent une année en dents de scie : le T1 2025 a subi une baisse du résultat net (-6,8%) due à un litige avec la BCEAO bloquant les importations, mais le T3 2025 a rebondi avec un résultat net en hausse de +17,1%. Le rapport annuel 2025 (publié en 2026) confirme une baisse du résultat net de -12,1% à 1,331 milliard FCFA, principalement due à une hausse de l'impôt (+46,7%). Enfin, le rapport T1 2026 (publié en 2026) est préoccupant : le résultat net chute de -35,6% à 222,6 millions FCFA, impacté par des ajustements de redevances aéroportuaires. La solidité financière est réelle, mais la dynamique de rentabilité se dégrade nettement.</w:t>
      </w:r>
    </w:p>
    <w:p>
      <w:pPr>
        <w:spacing w:after="120" w:line="276" w:lineRule="auto"/>
      </w:pPr>
      <w:r>
        <w:t>---</w:t>
      </w:r>
    </w:p>
    <w:p>
      <w:pPr>
        <w:spacing w:after="120" w:line="276" w:lineRule="auto"/>
      </w:pPr>
      <w:r>
        <w:t>### PARTIE 4 : CONCLUSION D'INVESTISSEMENT</w:t>
      </w:r>
    </w:p>
    <w:p>
      <w:pPr>
        <w:spacing w:after="120" w:line="276" w:lineRule="auto"/>
      </w:pPr>
      <w:r>
        <w:t>La valorisation d'ABJC est exigeante (PER 22,6x, P/B 5,9x), ne laissant que peu de marge d'erreur malgré des fondamentaux solides. Le comportement du cours est très préoccupant : tendance baissière marquée (-18,8% sur 100 jours), volatilité extrême (53%) et cassure des supports techniques. Les signaux techniques sont divergents, avec un potentiel de rebond à court terme (survente) mais une tendance de fond négative. Les fondamentaux, bien que solides en 2025 (ROE 26%, CA en croissance), montrent une dégradation nette de la rentabilité au T1 2026 (-35,6% du résultat net), signalant un environnement opérationnel difficile. Les prédictions IA (2 814 à 2 704 FCFA sur 10 jours) confirment la poursuite de la baisse, en ligne avec la tendance technique et la dégradation fondamentale. La convergence des signaux (technique baissier, fondamental en détérioration, prédiction négative) malgré une valorisation élevée, conduit à une recommandation de **VENTE**. Le niveau de confiance est **Moyen**, car un rebond technique violent est possible, mais le risque global est **Élevé**. L'horizon d'investissement optimal est le **court terme (&lt;3 mois)** pour les traders opportunistes, mais la tendance de moyen terme reste défavorable.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433.20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8,471 titres</w:t>
            </w:r>
          </w:p>
        </w:tc>
        <w:tc>
          <w:tcPr>
            <w:tcW w:type="dxa" w:w="2268"/>
            <w:shd w:fill="FFF2CC" w:val="clear"/>
          </w:tcPr>
          <w:p>
            <w:r>
              <w:rPr>
                <w:b/>
                <w:color w:val="503200"/>
                <w:sz w:val="16"/>
              </w:rPr>
              <w:t xml:space="preserve">Cours actuel : </w:t>
            </w:r>
            <w:r>
              <w:rPr>
                <w:color w:val="000000"/>
                <w:sz w:val="17"/>
              </w:rPr>
              <w:t>7,500 FCFA</w:t>
            </w:r>
          </w:p>
          <w:p>
            <w:r>
              <w:rPr>
                <w:b/>
                <w:color w:val="503200"/>
                <w:sz w:val="16"/>
              </w:rPr>
              <w:t xml:space="preserve">Var. 100 jours : </w:t>
            </w:r>
            <w:r>
              <w:rPr>
                <w:b/>
                <w:color w:val="007800"/>
                <w:sz w:val="17"/>
              </w:rPr>
              <w:t>+42.99%</w:t>
            </w:r>
          </w:p>
          <w:p>
            <w:r>
              <w:rPr>
                <w:b/>
                <w:color w:val="503200"/>
                <w:sz w:val="16"/>
              </w:rPr>
              <w:t xml:space="preserve">Plus haut 100j : </w:t>
            </w:r>
            <w:r>
              <w:rPr>
                <w:color w:val="000000"/>
                <w:sz w:val="17"/>
              </w:rPr>
              <w:t>7,850 FCFA</w:t>
            </w:r>
          </w:p>
          <w:p>
            <w:r>
              <w:rPr>
                <w:b/>
                <w:color w:val="503200"/>
                <w:sz w:val="16"/>
              </w:rPr>
              <w:t xml:space="preserve">Plus bas 100j : </w:t>
            </w:r>
            <w:r>
              <w:rPr>
                <w:color w:val="000000"/>
                <w:sz w:val="17"/>
              </w:rPr>
              <w:t>5,000 FCFA</w:t>
            </w:r>
          </w:p>
          <w:p>
            <w:r>
              <w:rPr>
                <w:b/>
                <w:color w:val="503200"/>
                <w:sz w:val="16"/>
              </w:rPr>
              <w:t xml:space="preserve">Volatilité ann. : </w:t>
            </w:r>
            <w:r>
              <w:rPr>
                <w:color w:val="000000"/>
                <w:sz w:val="17"/>
              </w:rPr>
              <w:t>28.9%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13.34% (Moyenne) — μ=5,708 FCFA, σ=762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β=0.4660 (Défensif) — Cov=0.000017, Var(idx)=0.000036, ρ=0.154,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8,471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2026-08-06</w:t>
            </w:r>
          </w:p>
        </w:tc>
        <w:tc>
          <w:tcPr>
            <w:tcW w:type="dxa" w:w="1440"/>
            <w:shd w:fill="FFDCE0" w:val="clear"/>
          </w:tcPr>
          <w:p>
            <w:r>
              <w:rPr>
                <w:sz w:val="17"/>
              </w:rPr>
              <w:t>6,647</w:t>
            </w:r>
          </w:p>
        </w:tc>
        <w:tc>
          <w:tcPr>
            <w:tcW w:type="dxa" w:w="1440"/>
            <w:shd w:fill="FFDCE0" w:val="clear"/>
          </w:tcPr>
          <w:p>
            <w:r>
              <w:rPr>
                <w:b/>
                <w:sz w:val="17"/>
              </w:rPr>
              <w:t>6,938</w:t>
            </w:r>
          </w:p>
        </w:tc>
        <w:tc>
          <w:tcPr>
            <w:tcW w:type="dxa" w:w="1440"/>
            <w:shd w:fill="FFDCE0" w:val="clear"/>
          </w:tcPr>
          <w:p>
            <w:r>
              <w:rPr>
                <w:sz w:val="17"/>
              </w:rPr>
              <w:t>7,228</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2026-08-10</w:t>
            </w:r>
          </w:p>
        </w:tc>
        <w:tc>
          <w:tcPr>
            <w:tcW w:type="dxa" w:w="1440"/>
            <w:shd w:fill="FFDCE0" w:val="clear"/>
          </w:tcPr>
          <w:p>
            <w:r>
              <w:rPr>
                <w:sz w:val="17"/>
              </w:rPr>
              <w:t>6,038</w:t>
            </w:r>
          </w:p>
        </w:tc>
        <w:tc>
          <w:tcPr>
            <w:tcW w:type="dxa" w:w="1440"/>
            <w:shd w:fill="FFDCE0" w:val="clear"/>
          </w:tcPr>
          <w:p>
            <w:r>
              <w:rPr>
                <w:b/>
                <w:sz w:val="17"/>
              </w:rPr>
              <w:t>6,417</w:t>
            </w:r>
          </w:p>
        </w:tc>
        <w:tc>
          <w:tcPr>
            <w:tcW w:type="dxa" w:w="1440"/>
            <w:shd w:fill="FFDCE0" w:val="clear"/>
          </w:tcPr>
          <w:p>
            <w:r>
              <w:rPr>
                <w:sz w:val="17"/>
              </w:rPr>
              <w:t>6,797</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2026-08-11</w:t>
            </w:r>
          </w:p>
        </w:tc>
        <w:tc>
          <w:tcPr>
            <w:tcW w:type="dxa" w:w="1440"/>
            <w:shd w:fill="FFDCE0" w:val="clear"/>
          </w:tcPr>
          <w:p>
            <w:r>
              <w:rPr>
                <w:sz w:val="17"/>
              </w:rPr>
              <w:t>5,693</w:t>
            </w:r>
          </w:p>
        </w:tc>
        <w:tc>
          <w:tcPr>
            <w:tcW w:type="dxa" w:w="1440"/>
            <w:shd w:fill="FFDCE0" w:val="clear"/>
          </w:tcPr>
          <w:p>
            <w:r>
              <w:rPr>
                <w:b/>
                <w:sz w:val="17"/>
              </w:rPr>
              <w:t>6,138</w:t>
            </w:r>
          </w:p>
        </w:tc>
        <w:tc>
          <w:tcPr>
            <w:tcW w:type="dxa" w:w="1440"/>
            <w:shd w:fill="FFDCE0" w:val="clear"/>
          </w:tcPr>
          <w:p>
            <w:r>
              <w:rPr>
                <w:sz w:val="17"/>
              </w:rPr>
              <w:t>6,582</w:t>
            </w:r>
          </w:p>
        </w:tc>
        <w:tc>
          <w:tcPr>
            <w:tcW w:type="dxa" w:w="1440"/>
            <w:shd w:fill="FFDCE0" w:val="clear"/>
          </w:tcPr>
          <w:p>
            <w:r>
              <w:rPr>
                <w:b/>
                <w:color w:val="C00000"/>
                <w:sz w:val="17"/>
              </w:rPr>
              <w:t>-18.2%</w:t>
            </w:r>
          </w:p>
        </w:tc>
      </w:tr>
      <w:tr>
        <w:tc>
          <w:tcPr>
            <w:tcW w:type="dxa" w:w="1440"/>
            <w:shd w:fill="FFDCE0" w:val="clear"/>
          </w:tcPr>
          <w:p>
            <w:r>
              <w:rPr>
                <w:sz w:val="17"/>
              </w:rPr>
              <w:t>J+4  ⭐</w:t>
            </w:r>
          </w:p>
        </w:tc>
        <w:tc>
          <w:tcPr>
            <w:tcW w:type="dxa" w:w="1440"/>
            <w:shd w:fill="FFDCE0" w:val="clear"/>
          </w:tcPr>
          <w:p>
            <w:r>
              <w:rPr>
                <w:sz w:val="17"/>
              </w:rPr>
              <w:t>2026-08-12</w:t>
            </w:r>
          </w:p>
        </w:tc>
        <w:tc>
          <w:tcPr>
            <w:tcW w:type="dxa" w:w="1440"/>
            <w:shd w:fill="FFDCE0" w:val="clear"/>
          </w:tcPr>
          <w:p>
            <w:r>
              <w:rPr>
                <w:sz w:val="17"/>
              </w:rPr>
              <w:t>5,489</w:t>
            </w:r>
          </w:p>
        </w:tc>
        <w:tc>
          <w:tcPr>
            <w:tcW w:type="dxa" w:w="1440"/>
            <w:shd w:fill="FFDCE0" w:val="clear"/>
          </w:tcPr>
          <w:p>
            <w:r>
              <w:rPr>
                <w:b/>
                <w:sz w:val="17"/>
              </w:rPr>
              <w:t>5,990</w:t>
            </w:r>
          </w:p>
        </w:tc>
        <w:tc>
          <w:tcPr>
            <w:tcW w:type="dxa" w:w="1440"/>
            <w:shd w:fill="FFDCE0" w:val="clear"/>
          </w:tcPr>
          <w:p>
            <w:r>
              <w:rPr>
                <w:sz w:val="17"/>
              </w:rPr>
              <w:t>6,491</w:t>
            </w:r>
          </w:p>
        </w:tc>
        <w:tc>
          <w:tcPr>
            <w:tcW w:type="dxa" w:w="1440"/>
            <w:shd w:fill="FFDCE0" w:val="clear"/>
          </w:tcPr>
          <w:p>
            <w:r>
              <w:rPr>
                <w:b/>
                <w:color w:val="C00000"/>
                <w:sz w:val="17"/>
              </w:rPr>
              <w:t>-20.1%</w:t>
            </w:r>
          </w:p>
        </w:tc>
      </w:tr>
      <w:tr>
        <w:tc>
          <w:tcPr>
            <w:tcW w:type="dxa" w:w="1440"/>
            <w:shd w:fill="FFDCE0" w:val="clear"/>
          </w:tcPr>
          <w:p>
            <w:r>
              <w:rPr>
                <w:sz w:val="17"/>
              </w:rPr>
              <w:t>J+5  ⭐</w:t>
            </w:r>
          </w:p>
        </w:tc>
        <w:tc>
          <w:tcPr>
            <w:tcW w:type="dxa" w:w="1440"/>
            <w:shd w:fill="FFDCE0" w:val="clear"/>
          </w:tcPr>
          <w:p>
            <w:r>
              <w:rPr>
                <w:sz w:val="17"/>
              </w:rPr>
              <w:t>2026-08-13</w:t>
            </w:r>
          </w:p>
        </w:tc>
        <w:tc>
          <w:tcPr>
            <w:tcW w:type="dxa" w:w="1440"/>
            <w:shd w:fill="FFDCE0" w:val="clear"/>
          </w:tcPr>
          <w:p>
            <w:r>
              <w:rPr>
                <w:sz w:val="17"/>
              </w:rPr>
              <w:t>5,310</w:t>
            </w:r>
          </w:p>
        </w:tc>
        <w:tc>
          <w:tcPr>
            <w:tcW w:type="dxa" w:w="1440"/>
            <w:shd w:fill="FFDCE0" w:val="clear"/>
          </w:tcPr>
          <w:p>
            <w:r>
              <w:rPr>
                <w:b/>
                <w:sz w:val="17"/>
              </w:rPr>
              <w:t>5,857</w:t>
            </w:r>
          </w:p>
        </w:tc>
        <w:tc>
          <w:tcPr>
            <w:tcW w:type="dxa" w:w="1440"/>
            <w:shd w:fill="FFDCE0" w:val="clear"/>
          </w:tcPr>
          <w:p>
            <w:r>
              <w:rPr>
                <w:sz w:val="17"/>
              </w:rPr>
              <w:t>6,405</w:t>
            </w:r>
          </w:p>
        </w:tc>
        <w:tc>
          <w:tcPr>
            <w:tcW w:type="dxa" w:w="1440"/>
            <w:shd w:fill="FFDCE0" w:val="clear"/>
          </w:tcPr>
          <w:p>
            <w:r>
              <w:rPr>
                <w:b/>
                <w:color w:val="C00000"/>
                <w:sz w:val="17"/>
              </w:rPr>
              <w:t>-21.9%</w:t>
            </w:r>
          </w:p>
        </w:tc>
      </w:tr>
      <w:tr>
        <w:tc>
          <w:tcPr>
            <w:tcW w:type="dxa" w:w="1440"/>
            <w:shd w:fill="FFDCE0" w:val="clear"/>
          </w:tcPr>
          <w:p>
            <w:r>
              <w:rPr>
                <w:sz w:val="17"/>
              </w:rPr>
              <w:t>J+6  ⭐</w:t>
            </w:r>
          </w:p>
        </w:tc>
        <w:tc>
          <w:tcPr>
            <w:tcW w:type="dxa" w:w="1440"/>
            <w:shd w:fill="FFDCE0" w:val="clear"/>
          </w:tcPr>
          <w:p>
            <w:r>
              <w:rPr>
                <w:sz w:val="17"/>
              </w:rPr>
              <w:t>2026-08-14</w:t>
            </w:r>
          </w:p>
        </w:tc>
        <w:tc>
          <w:tcPr>
            <w:tcW w:type="dxa" w:w="1440"/>
            <w:shd w:fill="FFDCE0" w:val="clear"/>
          </w:tcPr>
          <w:p>
            <w:r>
              <w:rPr>
                <w:sz w:val="17"/>
              </w:rPr>
              <w:t>5,153</w:t>
            </w:r>
          </w:p>
        </w:tc>
        <w:tc>
          <w:tcPr>
            <w:tcW w:type="dxa" w:w="1440"/>
            <w:shd w:fill="FFDCE0" w:val="clear"/>
          </w:tcPr>
          <w:p>
            <w:r>
              <w:rPr>
                <w:b/>
                <w:sz w:val="17"/>
              </w:rPr>
              <w:t>5,741</w:t>
            </w:r>
          </w:p>
        </w:tc>
        <w:tc>
          <w:tcPr>
            <w:tcW w:type="dxa" w:w="1440"/>
            <w:shd w:fill="FFDCE0" w:val="clear"/>
          </w:tcPr>
          <w:p>
            <w:r>
              <w:rPr>
                <w:sz w:val="17"/>
              </w:rPr>
              <w:t>6,329</w:t>
            </w:r>
          </w:p>
        </w:tc>
        <w:tc>
          <w:tcPr>
            <w:tcW w:type="dxa" w:w="1440"/>
            <w:shd w:fill="FFDCE0" w:val="clear"/>
          </w:tcPr>
          <w:p>
            <w:r>
              <w:rPr>
                <w:b/>
                <w:color w:val="C00000"/>
                <w:sz w:val="17"/>
              </w:rPr>
              <w:t>-23.5%</w:t>
            </w:r>
          </w:p>
        </w:tc>
      </w:tr>
      <w:tr>
        <w:tc>
          <w:tcPr>
            <w:tcW w:type="dxa" w:w="1440"/>
            <w:shd w:fill="FFDCE0" w:val="clear"/>
          </w:tcPr>
          <w:p>
            <w:r>
              <w:rPr>
                <w:sz w:val="17"/>
              </w:rPr>
              <w:t>J+7  ⭐</w:t>
            </w:r>
          </w:p>
        </w:tc>
        <w:tc>
          <w:tcPr>
            <w:tcW w:type="dxa" w:w="1440"/>
            <w:shd w:fill="FFDCE0" w:val="clear"/>
          </w:tcPr>
          <w:p>
            <w:r>
              <w:rPr>
                <w:sz w:val="17"/>
              </w:rPr>
              <w:t>2026-08-17</w:t>
            </w:r>
          </w:p>
        </w:tc>
        <w:tc>
          <w:tcPr>
            <w:tcW w:type="dxa" w:w="1440"/>
            <w:shd w:fill="FFDCE0" w:val="clear"/>
          </w:tcPr>
          <w:p>
            <w:r>
              <w:rPr>
                <w:sz w:val="17"/>
              </w:rPr>
              <w:t>5,016</w:t>
            </w:r>
          </w:p>
        </w:tc>
        <w:tc>
          <w:tcPr>
            <w:tcW w:type="dxa" w:w="1440"/>
            <w:shd w:fill="FFDCE0" w:val="clear"/>
          </w:tcPr>
          <w:p>
            <w:r>
              <w:rPr>
                <w:b/>
                <w:sz w:val="17"/>
              </w:rPr>
              <w:t>5,640</w:t>
            </w:r>
          </w:p>
        </w:tc>
        <w:tc>
          <w:tcPr>
            <w:tcW w:type="dxa" w:w="1440"/>
            <w:shd w:fill="FFDCE0" w:val="clear"/>
          </w:tcPr>
          <w:p>
            <w:r>
              <w:rPr>
                <w:sz w:val="17"/>
              </w:rPr>
              <w:t>6,264</w:t>
            </w:r>
          </w:p>
        </w:tc>
        <w:tc>
          <w:tcPr>
            <w:tcW w:type="dxa" w:w="1440"/>
            <w:shd w:fill="FFDCE0" w:val="clear"/>
          </w:tcPr>
          <w:p>
            <w:r>
              <w:rPr>
                <w:b/>
                <w:color w:val="C00000"/>
                <w:sz w:val="17"/>
              </w:rPr>
              <w:t>-24.8%</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4,896</w:t>
            </w:r>
          </w:p>
        </w:tc>
        <w:tc>
          <w:tcPr>
            <w:tcW w:type="dxa" w:w="1440"/>
            <w:shd w:fill="FFDCE0" w:val="clear"/>
          </w:tcPr>
          <w:p>
            <w:r>
              <w:rPr>
                <w:b/>
                <w:sz w:val="17"/>
              </w:rPr>
              <w:t>5,552</w:t>
            </w:r>
          </w:p>
        </w:tc>
        <w:tc>
          <w:tcPr>
            <w:tcW w:type="dxa" w:w="1440"/>
            <w:shd w:fill="FFDCE0" w:val="clear"/>
          </w:tcPr>
          <w:p>
            <w:r>
              <w:rPr>
                <w:sz w:val="17"/>
              </w:rPr>
              <w:t>6,209</w:t>
            </w:r>
          </w:p>
        </w:tc>
        <w:tc>
          <w:tcPr>
            <w:tcW w:type="dxa" w:w="1440"/>
            <w:shd w:fill="FFDCE0" w:val="clear"/>
          </w:tcPr>
          <w:p>
            <w:r>
              <w:rPr>
                <w:b/>
                <w:color w:val="C00000"/>
                <w:sz w:val="17"/>
              </w:rPr>
              <w:t>-26.0%</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4,789</w:t>
            </w:r>
          </w:p>
        </w:tc>
        <w:tc>
          <w:tcPr>
            <w:tcW w:type="dxa" w:w="1440"/>
            <w:shd w:fill="FFDCE0" w:val="clear"/>
          </w:tcPr>
          <w:p>
            <w:r>
              <w:rPr>
                <w:b/>
                <w:sz w:val="17"/>
              </w:rPr>
              <w:t>5,476</w:t>
            </w:r>
          </w:p>
        </w:tc>
        <w:tc>
          <w:tcPr>
            <w:tcW w:type="dxa" w:w="1440"/>
            <w:shd w:fill="FFDCE0" w:val="clear"/>
          </w:tcPr>
          <w:p>
            <w:r>
              <w:rPr>
                <w:sz w:val="17"/>
              </w:rPr>
              <w:t>6,163</w:t>
            </w:r>
          </w:p>
        </w:tc>
        <w:tc>
          <w:tcPr>
            <w:tcW w:type="dxa" w:w="1440"/>
            <w:shd w:fill="FFDCE0" w:val="clear"/>
          </w:tcPr>
          <w:p>
            <w:r>
              <w:rPr>
                <w:b/>
                <w:color w:val="C00000"/>
                <w:sz w:val="17"/>
              </w:rPr>
              <w:t>-27.0%</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4,695</w:t>
            </w:r>
          </w:p>
        </w:tc>
        <w:tc>
          <w:tcPr>
            <w:tcW w:type="dxa" w:w="1440"/>
            <w:shd w:fill="FFDCE0" w:val="clear"/>
          </w:tcPr>
          <w:p>
            <w:r>
              <w:rPr>
                <w:b/>
                <w:sz w:val="17"/>
              </w:rPr>
              <w:t>5,410</w:t>
            </w:r>
          </w:p>
        </w:tc>
        <w:tc>
          <w:tcPr>
            <w:tcW w:type="dxa" w:w="1440"/>
            <w:shd w:fill="FFDCE0" w:val="clear"/>
          </w:tcPr>
          <w:p>
            <w:r>
              <w:rPr>
                <w:sz w:val="17"/>
              </w:rPr>
              <w:t>6,126</w:t>
            </w:r>
          </w:p>
        </w:tc>
        <w:tc>
          <w:tcPr>
            <w:tcW w:type="dxa" w:w="1440"/>
            <w:shd w:fill="FFDCE0" w:val="clear"/>
          </w:tcPr>
          <w:p>
            <w:r>
              <w:rPr>
                <w:b/>
                <w:color w:val="C00000"/>
                <w:sz w:val="17"/>
              </w:rPr>
              <w:t>-27.9%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(BRVM)**</w:t>
        <w:br/>
        <w:t>**Date de l'analyse : 05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BICB s'établit à 433,20 milliards FCFA, un niveau qui la positionne parmi les valeurs moyennes à grandes capitalisations de la BRVM, lui conférant une liquidité et une visibilité notables. Le BPA de 627 FCFA indique que chaque action génère un bénéfice substantiel. Le PER de 12,0x est légèrement supérieur à la moyenne historique de la BRVM (8-12x), ce qui suggère que les investisseurs acceptent de payer une prime modérée pour la croissance future de la banque. Le P/B de 3,21x, bien que dans la fourchette de 2-4x, valorise nettement les capitaux propres au-dessus de leur valeur comptable, reflétant une anticipation de rentabilité élevée. Enfin, l'EV/EBITDA de 22,6x est très exigeant, indiquant que la valeur totale de l'entreprise est élevée par rapport à sa capacité opérationnelle, ce qui pourrait signaler une valorisation riche.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BICB a enregistré une performance spectaculaire de +42,99%, bien que la dernière séance ait clôturé en baisse de -2,47% à 7 500 FCFA. Le titre a évolué dans une fourchette large de 5 000 à 7 850 FCFA, démontrant une forte dynamique haussière. La moyenne du cours sur la période est de 5 708 FCFA, tandis que la médiane est de 5 288 FCFA ; cet écart significatif (moyenne &gt; médiane) confirme une distribution asymétrique positive, avec des journées de forte hausse tirant la moyenne vers le haut. Le skewness de 1,431 et le kurtosis de 1,014 indiquent une distribution leptokurtique avec des queues épaisses, signalant un risque de mouvements extrêmes. L'écart-type de 765 FCFA (CV=13,4%) montre une dispersion modérée. La volatilité annualisée de 28,9% classe le titre dans la catégorie "modérée à élevée", ce qui implique des fluctuations de prix notables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7 500 FCFA est nettement supérieur à la MM20 (7 012 FCFA) et à la MM50 (6 238,3 FCFA), confirmant une tendance haussière solide à court et moyen terme. La configuration des MM (cours &gt; MM20 &gt; MM50) est un signal d'achat classique, indiquant que la dynamique positive est soutenue par les moyennes mobiles.</w:t>
      </w:r>
    </w:p>
    <w:p>
      <w:pPr>
        <w:spacing w:after="120" w:line="276" w:lineRule="auto"/>
      </w:pPr>
      <w:r>
        <w:t>**Bandes de Bollinger** : Le prix évolue entre la borne inférieure (5 832,3 FCFA) et la borne supérieure (8 191,7 FCFA), se situant actuellement dans la moitié supérieure de la bande. La décision est neutre, mais la position du prix suggère une pression acheteuse persistante. L'écart entre les bornes reflète une volatilité accrue, cohérente avec la hausse récente du titre.</w:t>
      </w:r>
    </w:p>
    <w:p>
      <w:pPr>
        <w:spacing w:after="120" w:line="276" w:lineRule="auto"/>
      </w:pPr>
      <w:r>
        <w:t>**MACD** : Le MACD (434,6) est supérieur à sa ligne de signal (410,9), confirmant un momentum haussier. Cette configuration positive indique que la tendance de fond reste favorable, avec une accélération des mouvements de prix à la hausse. Le signal d'achat est maintenu tant que le MACD reste au-dessus de zéro et de sa ligne de signal.</w:t>
      </w:r>
    </w:p>
    <w:p>
      <w:pPr>
        <w:spacing w:after="120" w:line="276" w:lineRule="auto"/>
      </w:pPr>
      <w:r>
        <w:t>**RSI** : Le RSI à 72,3 est entré en zone de surachat (au-dessus de 70). Cela signale que le titre est temporairement surévalué d'un point de vue technique et qu'un repli ou une consolidation est possible à court terme. La décision est donc une vente, mais elle doit être nuancée dans une tendance haussière forte où le RSI peut rester suracheté.</w:t>
      </w:r>
    </w:p>
    <w:p>
      <w:pPr>
        <w:spacing w:after="120" w:line="276" w:lineRule="auto"/>
      </w:pPr>
      <w:r>
        <w:t>**Stochastique** : Le %K (77,4) est inférieur au %D (85,6), indiquant un croisement baissier potentiel. Bien que les deux lignes soient en zone de surachat, le croisement suggère un affaiblissement du momentum haussier à très court terme. La décision est neutre, mais ce signal doit être surveillé de près.</w:t>
      </w:r>
    </w:p>
    <w:p>
      <w:pPr>
        <w:spacing w:after="120" w:line="276" w:lineRule="auto"/>
      </w:pPr>
      <w:r>
        <w:t>**Conclusion technique** : Les indicateurs de tendance (MM, MACD) sont résolument haussiers, mais les oscillateurs (RSI, Stochastique) signalent une condition de surachat. Cette divergence suggère que la tendance de fond reste positive, mais qu'un repli technique est probable à court terme avant la poursuite de la hausse. La prudence est de mise pour les nouveaux achats à ces niveaux.</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BICB affiche un Produit Net Bancaire (PNB) de 52,805 milliards FCFA et un résultat net de 36,237 milliards FCFA. La rentabilité des fonds propres (ROE) est excellente à 26,8%, et le ROA de 1,96% est correct pour le secteur bancaire. Le coefficient d'exploitation de 31,1% est remarquable, démontrant une excellente maîtrise des charges. Cependant, le coût du risque de 9,6% est élevé, signalant une détérioration de la qualité du portefeuille de crédits. Les dépôts clientèle (1 181,045 Mds FCFA) couvrent les créances sur la clientèle (1 151,536 Mds FCFA), indiquant une transformation équilibrée. Les rapports trimestriels de 2025 (S1 et T3) confirment cette tendance : une forte croissance du PNB (+28% au S1, +26% au T3) mais une baisse du résultat net (-27% au S1, -9% au T3) due à une explosion du coût du risque. On estime que l'exercice 2025 complet devrait montrer une croissance du PNB soutenue, mais une rentabilité sous pression. La banque est en phase d'expansion rapide, mais la gestion du risque de crédit est le défi majeur. Les fondamentaux restent solides, mais la qualité des actifs doit être surveillée de près.</w:t>
      </w:r>
    </w:p>
    <w:p>
      <w:pPr>
        <w:spacing w:after="120" w:line="276" w:lineRule="auto"/>
      </w:pPr>
      <w:r>
        <w:t>---</w:t>
      </w:r>
    </w:p>
    <w:p>
      <w:pPr>
        <w:spacing w:after="120" w:line="276" w:lineRule="auto"/>
      </w:pPr>
      <w:r>
        <w:t>### PARTIE 4 : CONCLUSION D'INVESTISSEMENT</w:t>
      </w:r>
    </w:p>
    <w:p>
      <w:pPr>
        <w:spacing w:after="120" w:line="276" w:lineRule="auto"/>
      </w:pPr>
      <w:r>
        <w:t>La valorisation de BICB (PER 12x, P/B 3,2x, EV/EBITDA 22,6x) est exigeante, intégrant déjà une forte croissance future. Le comportement du cours sur 100 jours est très positif (+43%), mais les statistiques (kurtosis élevé, skewness positif) et la volatilité de 28,9% indiquent un risque de retournement. Les signaux techniques sont mitigés : tendance haussière (MM, MACD) mais conditions de surachat (RSI, Stochastique), suggérant une consolidation à court terme. Les fondamentaux sont solides (ROE 26,8%, coefficient d'exploitation excellent) mais le coût du risque élevé est un point de vigilance. Les prédictions IA (J+1 à J+10) prévoient une baisse significative du cours vers 5 857 FCFA, contredisant la tendance actuelle et suggérant une correction technique. En synthèse, la convergence entre la valorisation riche, les signaux techniques de surachat et les prédictions IA baissières l'emporte sur les fondamentaux solides. **Recommandation : VENTE** pour les investisseurs à court terme, avec un niveau de confiance **Moyen** et un risque global **Élevé**. Pour les investisseurs à long terme, une stratégie d'achat progressif pourrait être envisagée après une correction du cours. L'horizon d'investissement optimal est le **court terme (&lt;3 mois)** pour profiter d'un éventuel repli avant de renforcer la position.</w:t>
      </w:r>
    </w:p>
    <w:p/>
    <w:p/>
    <w:p>
      <w:pPr>
        <w:pStyle w:val="Heading3"/>
      </w:pPr>
      <w:r>
        <w:rPr>
          <w:color w:val="005A32"/>
        </w:rPr>
        <w:t>📋 RAPPORTS &amp; COMMUNIQUÉS OFFICIELS</w:t>
      </w:r>
    </w:p>
    <w:p>
      <w:r>
        <w:rPr>
          <w:i/>
          <w:color w:val="646464"/>
          <w:sz w:val="18"/>
        </w:rPr>
        <w:t>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dynamique commerciale positive avec une forte croissance du PNB et de l'activit\u00e9. La hausse du co\u00fbt du risque refl\u00e8te une approche prudentielle qui devrait renforcer la solidit\u00e9 financi\u00e8re \u00e0 moyen terme."}</w:t>
      </w:r>
    </w:p>
    <w:p>
      <w:pPr>
        <w:spacing w:before="40"/>
        <w:ind w:left="400"/>
      </w:pPr>
      <w:r>
        <w:rPr>
          <w:sz w:val="18"/>
        </w:rPr>
        <w:t>La BIIC affiche des résultats mitigés au deuxième trimestre 2025 avec un résultat net de 7,9 milliards FCFA, en baisse de 27% par rapport à juin 2024. Malgré cette baisse du résultat net, la banque maintient une dynamique positive avec un PNB en hausse de 28% à 25,7 milliards FCFA. L'activité commerciale reste soutenue avec une croissance des crédits de 23% et des dépôts de 20%. La dégradation du résultat net s'explique principalement par une hausse significative du coût du risque (+429%) liée à une politique de provisionnement conservatrice. Le total du bilan progresse de 13% à 1 723,4 milliards FCFA, témoignant de la croissance de l'activité bancaire.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{'cout_net_risque': '7,9 milliards FCFA', 'depots_clientele': '1 108,4 milliards FCFA', 'credits_nets_clientele': '1 049,2 milliards FCFA', 'resultat_brut_exploitation': '16,3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1 723,4 milliards FCFA</w:t>
            </w:r>
          </w:p>
        </w:tc>
      </w:tr>
      <w:tr>
        <w:tc>
          <w:tcPr>
            <w:tcW w:type="dxa" w:w="2160"/>
          </w:tcPr>
          <w:p>
            <w:r/>
            <w:r>
              <w:rPr>
                <w:b/>
                <w:sz w:val="16"/>
              </w:rPr>
              <w:t>resultat_net</w:t>
              <w:br/>
            </w:r>
            <w:r>
              <w:rPr>
                <w:sz w:val="18"/>
              </w:rPr>
              <w:t>7,9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25,7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7,9 milliards FCFA en baisse de 27% par rapport à juin 2024</w:t>
      </w:r>
    </w:p>
    <w:p>
      <w:pPr>
        <w:pStyle w:val="ListBullet"/>
        <w:spacing w:before="20" w:after="20"/>
        <w:ind w:left="700"/>
      </w:pPr>
      <w:r>
        <w:rPr>
          <w:sz w:val="18"/>
        </w:rPr>
        <w:t>Produit Net Bancaire (PNB) en forte progression de 28% à 25,7 milliards FCFA</w:t>
      </w:r>
    </w:p>
    <w:p>
      <w:pPr>
        <w:pStyle w:val="ListBullet"/>
        <w:spacing w:before="20" w:after="20"/>
        <w:ind w:left="700"/>
      </w:pPr>
      <w:r>
        <w:rPr>
          <w:sz w:val="18"/>
        </w:rPr>
        <w:t>Croissance notable des crédits nets à la clientèle de 23% atteignant 1 049,2 milliards FCFA</w:t>
      </w:r>
    </w:p>
    <w:p>
      <w:pPr>
        <w:pStyle w:val="ListBullet"/>
        <w:spacing w:before="20" w:after="20"/>
        <w:ind w:left="700"/>
      </w:pPr>
      <w:r>
        <w:rPr>
          <w:sz w:val="18"/>
        </w:rPr>
        <w:t>Progression des dépôts de la clientèle de 20% à 1 108,4 milliards FCFA</w:t>
      </w:r>
    </w:p>
    <w:p>
      <w:pPr>
        <w:pStyle w:val="ListBullet"/>
        <w:spacing w:before="20" w:after="20"/>
        <w:ind w:left="700"/>
      </w:pPr>
      <w:r>
        <w:rPr>
          <w:sz w:val="18"/>
        </w:rPr>
        <w:t>Explosion du coût net du risque de 429% à 7,9 milliards FCFA due à une politique de provisionnement conservatrice</w:t>
      </w:r>
    </w:p>
    <w:p>
      <w:pPr>
        <w:pStyle w:val="ListBullet"/>
        <w:spacing w:before="20" w:after="20"/>
        <w:ind w:left="700"/>
      </w:pPr>
      <w:r>
        <w:rPr>
          <w:sz w:val="18"/>
        </w:rPr>
        <w:t>Total bilan en croissance de 13% à 1 723,4 milliards FCFA</w:t>
      </w:r>
    </w:p>
    <w:p>
      <w:pPr>
        <w:spacing w:before="40"/>
        <w:ind w:left="400"/>
      </w:pPr>
      <w:r>
        <w:rPr>
          <w:b/>
          <w:color w:val="C05000"/>
          <w:sz w:val="18"/>
        </w:rPr>
        <w:t xml:space="preserve">⚠️ Risques : </w:t>
      </w:r>
      <w:r>
        <w:rPr>
          <w:sz w:val="18"/>
        </w:rPr>
        <w:t>["Politique de provisionnement tr\u00e8s conservatrice impactant fortement la rentabilit\u00e9", "Hausse significative des frais g\u00e9n\u00e9raux de 27% pesant sur l'efficacit\u00e9 op\u00e9rationnelle", "D\u00e9t\u00e9rioration de la qualit\u00e9 du portefeuille cr\u00e9dit n\u00e9cessitant des p</w:t>
      </w:r>
    </w:p>
    <w:p>
      <w:pPr>
        <w:spacing w:before="40"/>
        <w:ind w:left="400"/>
      </w:pPr>
      <w:r>
        <w:rPr>
          <w:b/>
          <w:color w:val="0064A0"/>
          <w:sz w:val="18"/>
        </w:rPr>
        <w:t xml:space="preserve">🔮 Perspectives : </w:t>
      </w:r>
      <w:r>
        <w:rPr>
          <w:sz w:val="18"/>
        </w:rPr>
        <w:t>La BIIC prévoit de poursuivre le déploiement de ses activités au troisième trimestre 2025 en consolidant sa stratégie commerciale. L'accent sera mis sur une gestion rigoureuse des risques et des frais de fonctionnement pour garantir l'atteinte des objectifs stratégiques. La banque devrait bénéficier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"acheter", "justification": "La banque affiche une croissance soutenue de sa rentabilit\u00e9 et de ses activit\u00e9s principales avec un renforcement significatif des capitaux propres. La progression \u00e9quilibr\u00e9e des cr\u00e9dits et d\u00e9p\u00f4ts t\u00e9moigne d'une gestion prudente et d'un d\u00e9veloppement commercial ma\u00eetris\u00e9."}</w:t>
      </w:r>
    </w:p>
    <w:p>
      <w:pPr>
        <w:spacing w:before="40"/>
        <w:ind w:left="400"/>
      </w:pPr>
      <w:r>
        <w:rPr>
          <w:sz w:val="18"/>
        </w:rPr>
        <w:t>BIIC (Banque Internationale pour l'Industrie et le Commerce) présente des résultats financiers solides pour l'exercice 2024. Le total du bilan progresse de 13,4% passant de 1 340,7 millions FCFA à 1 520,4 millions FCFA. Le résultat net affiche une croissance remarquable de 11,2% atteignant 30,3 millions FCFA contre 27,3 millions FCFA en 2023. L'activité bancaire se renforce avec une hausse du produit net bancaire de 15,3% à 45,2 millions FCFA. La banque maintient une structure financière équilibrée avec des capitaux propres renforcés à 125,9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'926,1 millions FCFA', 'credits_clientele': '856,1 millions FCFA', 'produit_net_bancaire': '45,2 millions FCFA', 'ratio_credits_depots': '92,4%'}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1 520,4 millions FCFA</w:t>
            </w:r>
          </w:p>
        </w:tc>
      </w:tr>
      <w:tr>
        <w:tc>
          <w:tcPr>
            <w:tcW w:type="dxa" w:w="2160"/>
          </w:tcPr>
          <w:p>
            <w:r/>
            <w:r>
              <w:rPr>
                <w:b/>
                <w:sz w:val="16"/>
              </w:rPr>
              <w:t>resultat_net</w:t>
              <w:br/>
            </w:r>
            <w:r>
              <w:rPr>
                <w:sz w:val="18"/>
              </w:rPr>
              <w:t>30,3 millions FCFA</w:t>
            </w:r>
          </w:p>
        </w:tc>
        <w:tc>
          <w:tcPr>
            <w:tcW w:type="dxa" w:w="2160"/>
          </w:tcPr>
          <w:p>
            <w:r/>
            <w:r>
              <w:rPr>
                <w:b/>
                <w:sz w:val="16"/>
              </w:rPr>
              <w:t>capitaux_propres</w:t>
              <w:br/>
            </w:r>
            <w:r>
              <w:rPr>
                <w:sz w:val="18"/>
              </w:rPr>
              <w:t>125,9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13,4% atteignant 1 520,4 millions FCFA</w:t>
      </w:r>
    </w:p>
    <w:p>
      <w:pPr>
        <w:pStyle w:val="ListBullet"/>
        <w:spacing w:before="20" w:after="20"/>
        <w:ind w:left="700"/>
      </w:pPr>
      <w:r>
        <w:rPr>
          <w:sz w:val="18"/>
        </w:rPr>
        <w:t>Progression du résultat net de 11,2% à 30,3 millions FCFA</w:t>
      </w:r>
    </w:p>
    <w:p>
      <w:pPr>
        <w:pStyle w:val="ListBullet"/>
        <w:spacing w:before="20" w:after="20"/>
        <w:ind w:left="700"/>
      </w:pPr>
      <w:r>
        <w:rPr>
          <w:sz w:val="18"/>
        </w:rPr>
        <w:t>Hausse significative du produit net bancaire de 15,3% à 45,2 millions FCFA</w:t>
      </w:r>
    </w:p>
    <w:p>
      <w:pPr>
        <w:pStyle w:val="ListBullet"/>
        <w:spacing w:before="20" w:after="20"/>
        <w:ind w:left="700"/>
      </w:pPr>
      <w:r>
        <w:rPr>
          <w:sz w:val="18"/>
        </w:rPr>
        <w:t>Renforcement des capitaux propres de 31,8% à 125,9 millions FCFA</w:t>
      </w:r>
    </w:p>
    <w:p>
      <w:pPr>
        <w:pStyle w:val="ListBullet"/>
        <w:spacing w:before="20" w:after="20"/>
        <w:ind w:left="700"/>
      </w:pPr>
      <w:r>
        <w:rPr>
          <w:sz w:val="18"/>
        </w:rPr>
        <w:t>Croissance des crédits à la clientèle de 24,4% atteignant 856,1 millions FCFA</w:t>
      </w:r>
    </w:p>
    <w:p>
      <w:pPr>
        <w:pStyle w:val="ListBullet"/>
        <w:spacing w:before="20" w:after="20"/>
        <w:ind w:left="700"/>
      </w:pPr>
      <w:r>
        <w:rPr>
          <w:sz w:val="18"/>
        </w:rPr>
        <w:t>Amélioration des dépôts clientèle de 5,8% à 926,1 millions FCFA</w:t>
      </w:r>
    </w:p>
    <w:p>
      <w:pPr>
        <w:spacing w:before="40"/>
        <w:ind w:left="400"/>
      </w:pPr>
      <w:r>
        <w:rPr>
          <w:b/>
          <w:color w:val="C05000"/>
          <w:sz w:val="18"/>
        </w:rPr>
        <w:t xml:space="preserve">⚠️ Risques : </w:t>
      </w:r>
      <w:r>
        <w:rPr>
          <w:sz w:val="18"/>
        </w:rPr>
        <w:t>["Concentration potentielle du portefeuille de cr\u00e9dits sur certains secteurs d'activit\u00e9", "Exposition aux risques de cr\u00e9dit dans un environnement \u00e9conomique incertain", "Pression concurrentielle croissante sur les marges d'interm\u00e9diation bancaire"]</w:t>
      </w:r>
    </w:p>
    <w:p>
      <w:pPr>
        <w:spacing w:before="40"/>
        <w:ind w:left="400"/>
      </w:pPr>
      <w:r>
        <w:rPr>
          <w:b/>
          <w:color w:val="0064A0"/>
          <w:sz w:val="18"/>
        </w:rPr>
        <w:t xml:space="preserve">🔮 Perspectives : </w:t>
      </w:r>
      <w:r>
        <w:rPr>
          <w:sz w:val="18"/>
        </w:rPr>
        <w:t>BIIC semble bien positionnée pour poursuivre sa croissance en 2025 grâce à ses fondamentaux solides et sa capacité démontrée à développer son activité de crédit. Le renforcement des capitaux propres offre une base solide pour soutenir l'expansion future tout en maintenant une gestion prudente des 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banque affiche une croissance solide et une am\u00e9lioration de la qualit\u00e9 des actifs, mais les ratios de rentabilit\u00e9 restent modestes. Le renforcement continu du bilan et l'expansion r\u00e9gionale justifient une position de conservation."}</w:t>
      </w:r>
    </w:p>
    <w:p>
      <w:pPr>
        <w:spacing w:before="40"/>
        <w:ind w:left="400"/>
      </w:pPr>
      <w:r>
        <w:rPr>
          <w:sz w:val="18"/>
        </w:rPr>
        <w:t>La BIIC (ECOWAS Bank for Investment and Development) affiche une performance solide en 2024 avec une croissance soutenue de ses actifs totaux qui atteignent 1,479.57 millions UA contre 1,396.37 millions UA en 2023. Le résultat net progresse à 6.43 millions UA (+12.8% vs 2023), porté par une hausse significative des revenus d'intérêts nets qui passent de 21.25 à 32.76 millions UA. Le portefeuille de prêts continue sa croissance avec 1,208.52 millions UA (+13.3%), témoignant de l'expansion des activités de financement. La banque maintient une structure financière robuste avec des capitaux propres de 470.28 millions UA et un ratio d'adéquation des fonds propres de 37.41%. L'amélioration de la q</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'0.45%', 'ROE': '1.46%', 'ratio_NPL': '4.11%', 'marge_interets': '2.61%', 'ratio_cout_revenu': '67.00%', 'ratio_adequation_capital': '37.41%'}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17.15%</w:t>
            </w:r>
          </w:p>
        </w:tc>
        <w:tc>
          <w:tcPr>
            <w:tcW w:type="dxa" w:w="2160"/>
          </w:tcPr>
          <w:p>
            <w:pPr>
              <w:ind w:left="100"/>
            </w:pPr>
            <w:r/>
            <w:r>
              <w:rPr>
                <w:b/>
                <w:sz w:val="16"/>
              </w:rPr>
              <w:t>total_actif</w:t>
              <w:br/>
            </w:r>
            <w:r>
              <w:rPr>
                <w:sz w:val="18"/>
              </w:rPr>
              <w:t>1,479.57 millions UA</w:t>
            </w:r>
          </w:p>
        </w:tc>
      </w:tr>
      <w:tr>
        <w:tc>
          <w:tcPr>
            <w:tcW w:type="dxa" w:w="2160"/>
          </w:tcPr>
          <w:p>
            <w:r/>
            <w:r>
              <w:rPr>
                <w:b/>
                <w:sz w:val="16"/>
              </w:rPr>
              <w:t>resultat_net</w:t>
              <w:br/>
            </w:r>
            <w:r>
              <w:rPr>
                <w:sz w:val="18"/>
              </w:rPr>
              <w:t>6.43 millions UA</w:t>
            </w:r>
          </w:p>
        </w:tc>
        <w:tc>
          <w:tcPr>
            <w:tcW w:type="dxa" w:w="2160"/>
          </w:tcPr>
          <w:p>
            <w:r/>
            <w:r>
              <w:rPr>
                <w:b/>
                <w:sz w:val="16"/>
              </w:rPr>
              <w:t>capitaux_propres</w:t>
              <w:br/>
            </w:r>
            <w:r>
              <w:rPr>
                <w:sz w:val="18"/>
              </w:rPr>
              <w:t>470.28 millions UA</w:t>
            </w:r>
          </w:p>
        </w:tc>
        <w:tc>
          <w:tcPr>
            <w:tcW w:type="dxa" w:w="2160"/>
          </w:tcPr>
          <w:p>
            <w:r/>
            <w:r>
              <w:rPr>
                <w:b/>
                <w:sz w:val="16"/>
              </w:rPr>
              <w:t>chiffre_affaires</w:t>
              <w:br/>
            </w:r>
            <w:r>
              <w:rPr>
                <w:sz w:val="18"/>
              </w:rPr>
              <w:t>37.48 millions UA (revenus opérationnels)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actifs totaux de 6.0% à 1,479.57 millions UA</w:t>
      </w:r>
    </w:p>
    <w:p>
      <w:pPr>
        <w:pStyle w:val="ListBullet"/>
        <w:spacing w:before="20" w:after="20"/>
        <w:ind w:left="700"/>
      </w:pPr>
      <w:r>
        <w:rPr>
          <w:sz w:val="18"/>
        </w:rPr>
        <w:t>Progression du résultat net de 12.8% à 6.43 millions UA</w:t>
      </w:r>
    </w:p>
    <w:p>
      <w:pPr>
        <w:pStyle w:val="ListBullet"/>
        <w:spacing w:before="20" w:after="20"/>
        <w:ind w:left="700"/>
      </w:pPr>
      <w:r>
        <w:rPr>
          <w:sz w:val="18"/>
        </w:rPr>
        <w:t>Forte hausse des revenus d'intérêts nets (+54.2% à 32.76 millions UA)</w:t>
      </w:r>
    </w:p>
    <w:p>
      <w:pPr>
        <w:pStyle w:val="ListBullet"/>
        <w:spacing w:before="20" w:after="20"/>
        <w:ind w:left="700"/>
      </w:pPr>
      <w:r>
        <w:rPr>
          <w:sz w:val="18"/>
        </w:rPr>
        <w:t>Expansion du portefeuille de prêts de 13.3% à 1,208.52 millions UA</w:t>
      </w:r>
    </w:p>
    <w:p>
      <w:pPr>
        <w:pStyle w:val="ListBullet"/>
        <w:spacing w:before="20" w:after="20"/>
        <w:ind w:left="700"/>
      </w:pPr>
      <w:r>
        <w:rPr>
          <w:sz w:val="18"/>
        </w:rPr>
        <w:t>Amélioration de la qualité des actifs avec un ratio NPL en baisse à 4.11%</w:t>
      </w:r>
    </w:p>
    <w:p>
      <w:pPr>
        <w:pStyle w:val="ListBullet"/>
        <w:spacing w:before="20" w:after="20"/>
        <w:ind w:left="700"/>
      </w:pPr>
      <w:r>
        <w:rPr>
          <w:sz w:val="18"/>
        </w:rPr>
        <w:t>Renforcement des capitaux propres à 470.28 millions UA (+14.9%)</w:t>
      </w:r>
    </w:p>
    <w:p>
      <w:pPr>
        <w:spacing w:before="40"/>
        <w:ind w:left="400"/>
      </w:pPr>
      <w:r>
        <w:rPr>
          <w:b/>
          <w:color w:val="C05000"/>
          <w:sz w:val="18"/>
        </w:rPr>
        <w:t xml:space="preserve">⚠️ Risques : </w:t>
      </w:r>
      <w:r>
        <w:rPr>
          <w:sz w:val="18"/>
        </w:rPr>
        <w:t>["Concentration g\u00e9ographique sur la r\u00e9gion CEDEAO avec exposition aux risques politiques et \u00e9conomiques r\u00e9gionaux", "Ratios de rentabilit\u00e9 relativement faibles (ROA 0.45%, ROE 1.46%) limitant la cr\u00e9ation de valeur", "Co\u00fbt du risque \u00e9lev\u00e9 avec 5.94 million</w:t>
      </w:r>
    </w:p>
    <w:p>
      <w:pPr>
        <w:spacing w:before="40"/>
        <w:ind w:left="400"/>
      </w:pPr>
      <w:r>
        <w:rPr>
          <w:b/>
          <w:color w:val="0064A0"/>
          <w:sz w:val="18"/>
        </w:rPr>
        <w:t xml:space="preserve">🔮 Perspectives : </w:t>
      </w:r>
      <w:r>
        <w:rPr>
          <w:sz w:val="18"/>
        </w:rPr>
        <w:t>La banque devrait poursuivre sa croissance en 2025 portée par l'expansion des financements de projets de développement dans la région CEDEAO. L'amélioration continue de la gestion des risques et l'augmentation des capitaux propres devraient soutenir une croissance durable du portefeuille de prêts.</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483.33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789 titres</w:t>
            </w:r>
          </w:p>
        </w:tc>
        <w:tc>
          <w:tcPr>
            <w:tcW w:type="dxa" w:w="2268"/>
            <w:shd w:fill="FFF2CC" w:val="clear"/>
          </w:tcPr>
          <w:p>
            <w:r>
              <w:rPr>
                <w:b/>
                <w:color w:val="503200"/>
                <w:sz w:val="16"/>
              </w:rPr>
              <w:t xml:space="preserve">Cours actuel : </w:t>
            </w:r>
            <w:r>
              <w:rPr>
                <w:color w:val="000000"/>
                <w:sz w:val="17"/>
              </w:rPr>
              <w:t>29,000 FCFA</w:t>
            </w:r>
          </w:p>
          <w:p>
            <w:r>
              <w:rPr>
                <w:b/>
                <w:color w:val="503200"/>
                <w:sz w:val="16"/>
              </w:rPr>
              <w:t xml:space="preserve">Var. 100 jours : </w:t>
            </w:r>
            <w:r>
              <w:rPr>
                <w:b/>
                <w:color w:val="007800"/>
                <w:sz w:val="17"/>
              </w:rPr>
              <w:t>+14.40%</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30.9%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7.26% (Moyenne) — μ=26,803 FCFA, σ=1,945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β=0.6974 (Défensif) — Cov=0.000025, Var(idx)=0.000036, ρ=0.216,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789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σ_j=1.94%/j (Stable) — Vol. annualisée≈30.9%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2026-08-06</w:t>
            </w:r>
          </w:p>
        </w:tc>
        <w:tc>
          <w:tcPr>
            <w:tcW w:type="dxa" w:w="1440"/>
            <w:shd w:fill="FFDCE0" w:val="clear"/>
          </w:tcPr>
          <w:p>
            <w:r>
              <w:rPr>
                <w:sz w:val="17"/>
              </w:rPr>
              <w:t>27,397</w:t>
            </w:r>
          </w:p>
        </w:tc>
        <w:tc>
          <w:tcPr>
            <w:tcW w:type="dxa" w:w="1440"/>
            <w:shd w:fill="FFDCE0" w:val="clear"/>
          </w:tcPr>
          <w:p>
            <w:r>
              <w:rPr>
                <w:b/>
                <w:sz w:val="17"/>
              </w:rPr>
              <w:t>28,298</w:t>
            </w:r>
          </w:p>
        </w:tc>
        <w:tc>
          <w:tcPr>
            <w:tcW w:type="dxa" w:w="1440"/>
            <w:shd w:fill="FFDCE0" w:val="clear"/>
          </w:tcPr>
          <w:p>
            <w:r>
              <w:rPr>
                <w:sz w:val="17"/>
              </w:rPr>
              <w:t>29,199</w:t>
            </w:r>
          </w:p>
        </w:tc>
        <w:tc>
          <w:tcPr>
            <w:tcW w:type="dxa" w:w="1440"/>
            <w:shd w:fill="FFDCE0" w:val="clear"/>
          </w:tcPr>
          <w:p>
            <w:r>
              <w:rPr>
                <w:b/>
                <w:color w:val="C00000"/>
                <w:sz w:val="17"/>
              </w:rPr>
              <w:t>-2.4%</w:t>
            </w:r>
          </w:p>
        </w:tc>
      </w:tr>
      <w:tr>
        <w:tc>
          <w:tcPr>
            <w:tcW w:type="dxa" w:w="1440"/>
            <w:shd w:fill="FFDCE0" w:val="clear"/>
          </w:tcPr>
          <w:p>
            <w:r>
              <w:rPr>
                <w:sz w:val="17"/>
              </w:rPr>
              <w:t>J+2  ⭐⭐⭐</w:t>
            </w:r>
          </w:p>
        </w:tc>
        <w:tc>
          <w:tcPr>
            <w:tcW w:type="dxa" w:w="1440"/>
            <w:shd w:fill="FFDCE0" w:val="clear"/>
          </w:tcPr>
          <w:p>
            <w:r>
              <w:rPr>
                <w:sz w:val="17"/>
              </w:rPr>
              <w:t>2026-08-10</w:t>
            </w:r>
          </w:p>
        </w:tc>
        <w:tc>
          <w:tcPr>
            <w:tcW w:type="dxa" w:w="1440"/>
            <w:shd w:fill="FFDCE0" w:val="clear"/>
          </w:tcPr>
          <w:p>
            <w:r>
              <w:rPr>
                <w:sz w:val="17"/>
              </w:rPr>
              <w:t>26,783</w:t>
            </w:r>
          </w:p>
        </w:tc>
        <w:tc>
          <w:tcPr>
            <w:tcW w:type="dxa" w:w="1440"/>
            <w:shd w:fill="FFDCE0" w:val="clear"/>
          </w:tcPr>
          <w:p>
            <w:r>
              <w:rPr>
                <w:b/>
                <w:sz w:val="17"/>
              </w:rPr>
              <w:t>28,046</w:t>
            </w:r>
          </w:p>
        </w:tc>
        <w:tc>
          <w:tcPr>
            <w:tcW w:type="dxa" w:w="1440"/>
            <w:shd w:fill="FFDCE0" w:val="clear"/>
          </w:tcPr>
          <w:p>
            <w:r>
              <w:rPr>
                <w:sz w:val="17"/>
              </w:rPr>
              <w:t>29,309</w:t>
            </w:r>
          </w:p>
        </w:tc>
        <w:tc>
          <w:tcPr>
            <w:tcW w:type="dxa" w:w="1440"/>
            <w:shd w:fill="FFDCE0" w:val="clear"/>
          </w:tcPr>
          <w:p>
            <w:r>
              <w:rPr>
                <w:b/>
                <w:color w:val="C00000"/>
                <w:sz w:val="17"/>
              </w:rPr>
              <w:t>-3.3%</w:t>
            </w:r>
          </w:p>
        </w:tc>
      </w:tr>
      <w:tr>
        <w:tc>
          <w:tcPr>
            <w:tcW w:type="dxa" w:w="1440"/>
            <w:shd w:fill="FFDCE0" w:val="clear"/>
          </w:tcPr>
          <w:p>
            <w:r>
              <w:rPr>
                <w:sz w:val="17"/>
              </w:rPr>
              <w:t>J+3  ⭐⭐⭐</w:t>
            </w:r>
          </w:p>
        </w:tc>
        <w:tc>
          <w:tcPr>
            <w:tcW w:type="dxa" w:w="1440"/>
            <w:shd w:fill="FFDCE0" w:val="clear"/>
          </w:tcPr>
          <w:p>
            <w:r>
              <w:rPr>
                <w:sz w:val="17"/>
              </w:rPr>
              <w:t>2026-08-11</w:t>
            </w:r>
          </w:p>
        </w:tc>
        <w:tc>
          <w:tcPr>
            <w:tcW w:type="dxa" w:w="1440"/>
            <w:shd w:fill="FFDCE0" w:val="clear"/>
          </w:tcPr>
          <w:p>
            <w:r>
              <w:rPr>
                <w:sz w:val="17"/>
              </w:rPr>
              <w:t>26,225</w:t>
            </w:r>
          </w:p>
        </w:tc>
        <w:tc>
          <w:tcPr>
            <w:tcW w:type="dxa" w:w="1440"/>
            <w:shd w:fill="FFDCE0" w:val="clear"/>
          </w:tcPr>
          <w:p>
            <w:r>
              <w:rPr>
                <w:b/>
                <w:sz w:val="17"/>
              </w:rPr>
              <w:t>27,756</w:t>
            </w:r>
          </w:p>
        </w:tc>
        <w:tc>
          <w:tcPr>
            <w:tcW w:type="dxa" w:w="1440"/>
            <w:shd w:fill="FFDCE0" w:val="clear"/>
          </w:tcPr>
          <w:p>
            <w:r>
              <w:rPr>
                <w:sz w:val="17"/>
              </w:rPr>
              <w:t>29,286</w:t>
            </w:r>
          </w:p>
        </w:tc>
        <w:tc>
          <w:tcPr>
            <w:tcW w:type="dxa" w:w="1440"/>
            <w:shd w:fill="FFDCE0" w:val="clear"/>
          </w:tcPr>
          <w:p>
            <w:r>
              <w:rPr>
                <w:b/>
                <w:color w:val="C00000"/>
                <w:sz w:val="17"/>
              </w:rPr>
              <w:t>-4.3%</w:t>
            </w:r>
          </w:p>
        </w:tc>
      </w:tr>
      <w:tr>
        <w:tc>
          <w:tcPr>
            <w:tcW w:type="dxa" w:w="1440"/>
            <w:shd w:fill="FFDCE0" w:val="clear"/>
          </w:tcPr>
          <w:p>
            <w:r>
              <w:rPr>
                <w:sz w:val="17"/>
              </w:rPr>
              <w:t>J+4  Moyenne</w:t>
            </w:r>
          </w:p>
        </w:tc>
        <w:tc>
          <w:tcPr>
            <w:tcW w:type="dxa" w:w="1440"/>
            <w:shd w:fill="FFDCE0" w:val="clear"/>
          </w:tcPr>
          <w:p>
            <w:r>
              <w:rPr>
                <w:sz w:val="17"/>
              </w:rPr>
              <w:t>2026-08-12</w:t>
            </w:r>
          </w:p>
        </w:tc>
        <w:tc>
          <w:tcPr>
            <w:tcW w:type="dxa" w:w="1440"/>
            <w:shd w:fill="FFDCE0" w:val="clear"/>
          </w:tcPr>
          <w:p>
            <w:r>
              <w:rPr>
                <w:sz w:val="17"/>
              </w:rPr>
              <w:t>25,738</w:t>
            </w:r>
          </w:p>
        </w:tc>
        <w:tc>
          <w:tcPr>
            <w:tcW w:type="dxa" w:w="1440"/>
            <w:shd w:fill="FFDCE0" w:val="clear"/>
          </w:tcPr>
          <w:p>
            <w:r>
              <w:rPr>
                <w:b/>
                <w:sz w:val="17"/>
              </w:rPr>
              <w:t>27,488</w:t>
            </w:r>
          </w:p>
        </w:tc>
        <w:tc>
          <w:tcPr>
            <w:tcW w:type="dxa" w:w="1440"/>
            <w:shd w:fill="FFDCE0" w:val="clear"/>
          </w:tcPr>
          <w:p>
            <w:r>
              <w:rPr>
                <w:sz w:val="17"/>
              </w:rPr>
              <w:t>29,239</w:t>
            </w:r>
          </w:p>
        </w:tc>
        <w:tc>
          <w:tcPr>
            <w:tcW w:type="dxa" w:w="1440"/>
            <w:shd w:fill="FFDCE0" w:val="clear"/>
          </w:tcPr>
          <w:p>
            <w:r>
              <w:rPr>
                <w:b/>
                <w:color w:val="C00000"/>
                <w:sz w:val="17"/>
              </w:rPr>
              <w:t>-5.2%</w:t>
            </w:r>
          </w:p>
        </w:tc>
      </w:tr>
      <w:tr>
        <w:tc>
          <w:tcPr>
            <w:tcW w:type="dxa" w:w="1440"/>
            <w:shd w:fill="FFDCE0" w:val="clear"/>
          </w:tcPr>
          <w:p>
            <w:r>
              <w:rPr>
                <w:sz w:val="17"/>
              </w:rPr>
              <w:t>J+5  Moyenne</w:t>
            </w:r>
          </w:p>
        </w:tc>
        <w:tc>
          <w:tcPr>
            <w:tcW w:type="dxa" w:w="1440"/>
            <w:shd w:fill="FFDCE0" w:val="clear"/>
          </w:tcPr>
          <w:p>
            <w:r>
              <w:rPr>
                <w:sz w:val="17"/>
              </w:rPr>
              <w:t>2026-08-13</w:t>
            </w:r>
          </w:p>
        </w:tc>
        <w:tc>
          <w:tcPr>
            <w:tcW w:type="dxa" w:w="1440"/>
            <w:shd w:fill="FFDCE0" w:val="clear"/>
          </w:tcPr>
          <w:p>
            <w:r>
              <w:rPr>
                <w:sz w:val="17"/>
              </w:rPr>
              <w:t>25,303</w:t>
            </w:r>
          </w:p>
        </w:tc>
        <w:tc>
          <w:tcPr>
            <w:tcW w:type="dxa" w:w="1440"/>
            <w:shd w:fill="FFDCE0" w:val="clear"/>
          </w:tcPr>
          <w:p>
            <w:r>
              <w:rPr>
                <w:b/>
                <w:sz w:val="17"/>
              </w:rPr>
              <w:t>27,242</w:t>
            </w:r>
          </w:p>
        </w:tc>
        <w:tc>
          <w:tcPr>
            <w:tcW w:type="dxa" w:w="1440"/>
            <w:shd w:fill="FFDCE0" w:val="clear"/>
          </w:tcPr>
          <w:p>
            <w:r>
              <w:rPr>
                <w:sz w:val="17"/>
              </w:rPr>
              <w:t>29,182</w:t>
            </w:r>
          </w:p>
        </w:tc>
        <w:tc>
          <w:tcPr>
            <w:tcW w:type="dxa" w:w="1440"/>
            <w:shd w:fill="FFDCE0" w:val="clear"/>
          </w:tcPr>
          <w:p>
            <w:r>
              <w:rPr>
                <w:b/>
                <w:color w:val="C00000"/>
                <w:sz w:val="17"/>
              </w:rPr>
              <w:t>-6.1%</w:t>
            </w:r>
          </w:p>
        </w:tc>
      </w:tr>
      <w:tr>
        <w:tc>
          <w:tcPr>
            <w:tcW w:type="dxa" w:w="1440"/>
            <w:shd w:fill="FFDCE0" w:val="clear"/>
          </w:tcPr>
          <w:p>
            <w:r>
              <w:rPr>
                <w:sz w:val="17"/>
              </w:rPr>
              <w:t>J+6  Moyenne</w:t>
            </w:r>
          </w:p>
        </w:tc>
        <w:tc>
          <w:tcPr>
            <w:tcW w:type="dxa" w:w="1440"/>
            <w:shd w:fill="FFDCE0" w:val="clear"/>
          </w:tcPr>
          <w:p>
            <w:r>
              <w:rPr>
                <w:sz w:val="17"/>
              </w:rPr>
              <w:t>2026-08-14</w:t>
            </w:r>
          </w:p>
        </w:tc>
        <w:tc>
          <w:tcPr>
            <w:tcW w:type="dxa" w:w="1440"/>
            <w:shd w:fill="FFDCE0" w:val="clear"/>
          </w:tcPr>
          <w:p>
            <w:r>
              <w:rPr>
                <w:sz w:val="17"/>
              </w:rPr>
              <w:t>24,902</w:t>
            </w:r>
          </w:p>
        </w:tc>
        <w:tc>
          <w:tcPr>
            <w:tcW w:type="dxa" w:w="1440"/>
            <w:shd w:fill="FFDCE0" w:val="clear"/>
          </w:tcPr>
          <w:p>
            <w:r>
              <w:rPr>
                <w:b/>
                <w:sz w:val="17"/>
              </w:rPr>
              <w:t>27,009</w:t>
            </w:r>
          </w:p>
        </w:tc>
        <w:tc>
          <w:tcPr>
            <w:tcW w:type="dxa" w:w="1440"/>
            <w:shd w:fill="FFDCE0" w:val="clear"/>
          </w:tcPr>
          <w:p>
            <w:r>
              <w:rPr>
                <w:sz w:val="17"/>
              </w:rPr>
              <w:t>29,115</w:t>
            </w:r>
          </w:p>
        </w:tc>
        <w:tc>
          <w:tcPr>
            <w:tcW w:type="dxa" w:w="1440"/>
            <w:shd w:fill="FFDCE0" w:val="clear"/>
          </w:tcPr>
          <w:p>
            <w:r>
              <w:rPr>
                <w:b/>
                <w:color w:val="C00000"/>
                <w:sz w:val="17"/>
              </w:rPr>
              <w:t>-6.9%</w:t>
            </w:r>
          </w:p>
        </w:tc>
      </w:tr>
      <w:tr>
        <w:tc>
          <w:tcPr>
            <w:tcW w:type="dxa" w:w="1440"/>
            <w:shd w:fill="FFDCE0" w:val="clear"/>
          </w:tcPr>
          <w:p>
            <w:r>
              <w:rPr>
                <w:sz w:val="17"/>
              </w:rPr>
              <w:t>J+7  Moyenne</w:t>
            </w:r>
          </w:p>
        </w:tc>
        <w:tc>
          <w:tcPr>
            <w:tcW w:type="dxa" w:w="1440"/>
            <w:shd w:fill="FFDCE0" w:val="clear"/>
          </w:tcPr>
          <w:p>
            <w:r>
              <w:rPr>
                <w:sz w:val="17"/>
              </w:rPr>
              <w:t>2026-08-17</w:t>
            </w:r>
          </w:p>
        </w:tc>
        <w:tc>
          <w:tcPr>
            <w:tcW w:type="dxa" w:w="1440"/>
            <w:shd w:fill="FFDCE0" w:val="clear"/>
          </w:tcPr>
          <w:p>
            <w:r>
              <w:rPr>
                <w:sz w:val="17"/>
              </w:rPr>
              <w:t>24,528</w:t>
            </w:r>
          </w:p>
        </w:tc>
        <w:tc>
          <w:tcPr>
            <w:tcW w:type="dxa" w:w="1440"/>
            <w:shd w:fill="FFDCE0" w:val="clear"/>
          </w:tcPr>
          <w:p>
            <w:r>
              <w:rPr>
                <w:b/>
                <w:sz w:val="17"/>
              </w:rPr>
              <w:t>26,784</w:t>
            </w:r>
          </w:p>
        </w:tc>
        <w:tc>
          <w:tcPr>
            <w:tcW w:type="dxa" w:w="1440"/>
            <w:shd w:fill="FFDCE0" w:val="clear"/>
          </w:tcPr>
          <w:p>
            <w:r>
              <w:rPr>
                <w:sz w:val="17"/>
              </w:rPr>
              <w:t>29,041</w:t>
            </w:r>
          </w:p>
        </w:tc>
        <w:tc>
          <w:tcPr>
            <w:tcW w:type="dxa" w:w="1440"/>
            <w:shd w:fill="FFDCE0" w:val="clear"/>
          </w:tcPr>
          <w:p>
            <w:r>
              <w:rPr>
                <w:b/>
                <w:color w:val="C00000"/>
                <w:sz w:val="17"/>
              </w:rPr>
              <w:t>-7.6%</w:t>
            </w:r>
          </w:p>
        </w:tc>
      </w:tr>
      <w:tr>
        <w:tc>
          <w:tcPr>
            <w:tcW w:type="dxa" w:w="1440"/>
            <w:shd w:fill="FFDCE0" w:val="clear"/>
          </w:tcPr>
          <w:p>
            <w:r>
              <w:rPr>
                <w:sz w:val="17"/>
              </w:rPr>
              <w:t>J+8  Moyenne</w:t>
            </w:r>
          </w:p>
        </w:tc>
        <w:tc>
          <w:tcPr>
            <w:tcW w:type="dxa" w:w="1440"/>
            <w:shd w:fill="FFDCE0" w:val="clear"/>
          </w:tcPr>
          <w:p>
            <w:r>
              <w:rPr>
                <w:sz w:val="17"/>
              </w:rPr>
              <w:t>2026-08-18</w:t>
            </w:r>
          </w:p>
        </w:tc>
        <w:tc>
          <w:tcPr>
            <w:tcW w:type="dxa" w:w="1440"/>
            <w:shd w:fill="FFDCE0" w:val="clear"/>
          </w:tcPr>
          <w:p>
            <w:r>
              <w:rPr>
                <w:sz w:val="17"/>
              </w:rPr>
              <w:t>24,175</w:t>
            </w:r>
          </w:p>
        </w:tc>
        <w:tc>
          <w:tcPr>
            <w:tcW w:type="dxa" w:w="1440"/>
            <w:shd w:fill="FFDCE0" w:val="clear"/>
          </w:tcPr>
          <w:p>
            <w:r>
              <w:rPr>
                <w:b/>
                <w:sz w:val="17"/>
              </w:rPr>
              <w:t>26,568</w:t>
            </w:r>
          </w:p>
        </w:tc>
        <w:tc>
          <w:tcPr>
            <w:tcW w:type="dxa" w:w="1440"/>
            <w:shd w:fill="FFDCE0" w:val="clear"/>
          </w:tcPr>
          <w:p>
            <w:r>
              <w:rPr>
                <w:sz w:val="17"/>
              </w:rPr>
              <w:t>28,961</w:t>
            </w:r>
          </w:p>
        </w:tc>
        <w:tc>
          <w:tcPr>
            <w:tcW w:type="dxa" w:w="1440"/>
            <w:shd w:fill="FFDCE0" w:val="clear"/>
          </w:tcPr>
          <w:p>
            <w:r>
              <w:rPr>
                <w:b/>
                <w:color w:val="C00000"/>
                <w:sz w:val="17"/>
              </w:rPr>
              <w:t>-8.4%</w:t>
            </w:r>
          </w:p>
        </w:tc>
      </w:tr>
      <w:tr>
        <w:tc>
          <w:tcPr>
            <w:tcW w:type="dxa" w:w="1440"/>
            <w:shd w:fill="FFDCE0" w:val="clear"/>
          </w:tcPr>
          <w:p>
            <w:r>
              <w:rPr>
                <w:sz w:val="17"/>
              </w:rPr>
              <w:t>J+9  Moyenne</w:t>
            </w:r>
          </w:p>
        </w:tc>
        <w:tc>
          <w:tcPr>
            <w:tcW w:type="dxa" w:w="1440"/>
            <w:shd w:fill="FFDCE0" w:val="clear"/>
          </w:tcPr>
          <w:p>
            <w:r>
              <w:rPr>
                <w:sz w:val="17"/>
              </w:rPr>
              <w:t>2026-08-19</w:t>
            </w:r>
          </w:p>
        </w:tc>
        <w:tc>
          <w:tcPr>
            <w:tcW w:type="dxa" w:w="1440"/>
            <w:shd w:fill="FFDCE0" w:val="clear"/>
          </w:tcPr>
          <w:p>
            <w:r>
              <w:rPr>
                <w:sz w:val="17"/>
              </w:rPr>
              <w:t>23,842</w:t>
            </w:r>
          </w:p>
        </w:tc>
        <w:tc>
          <w:tcPr>
            <w:tcW w:type="dxa" w:w="1440"/>
            <w:shd w:fill="FFDCE0" w:val="clear"/>
          </w:tcPr>
          <w:p>
            <w:r>
              <w:rPr>
                <w:b/>
                <w:sz w:val="17"/>
              </w:rPr>
              <w:t>26,359</w:t>
            </w:r>
          </w:p>
        </w:tc>
        <w:tc>
          <w:tcPr>
            <w:tcW w:type="dxa" w:w="1440"/>
            <w:shd w:fill="FFDCE0" w:val="clear"/>
          </w:tcPr>
          <w:p>
            <w:r>
              <w:rPr>
                <w:sz w:val="17"/>
              </w:rPr>
              <w:t>28,877</w:t>
            </w:r>
          </w:p>
        </w:tc>
        <w:tc>
          <w:tcPr>
            <w:tcW w:type="dxa" w:w="1440"/>
            <w:shd w:fill="FFDCE0" w:val="clear"/>
          </w:tcPr>
          <w:p>
            <w:r>
              <w:rPr>
                <w:b/>
                <w:color w:val="C00000"/>
                <w:sz w:val="17"/>
              </w:rPr>
              <w:t>-9.1%</w:t>
            </w:r>
          </w:p>
        </w:tc>
      </w:tr>
      <w:tr>
        <w:tc>
          <w:tcPr>
            <w:tcW w:type="dxa" w:w="1440"/>
            <w:shd w:fill="FFDCE0" w:val="clear"/>
          </w:tcPr>
          <w:p>
            <w:r>
              <w:rPr>
                <w:sz w:val="17"/>
              </w:rPr>
              <w:t>J+10  Moyenne</w:t>
            </w:r>
          </w:p>
        </w:tc>
        <w:tc>
          <w:tcPr>
            <w:tcW w:type="dxa" w:w="1440"/>
            <w:shd w:fill="FFDCE0" w:val="clear"/>
          </w:tcPr>
          <w:p>
            <w:r>
              <w:rPr>
                <w:sz w:val="17"/>
              </w:rPr>
              <w:t>2026-08-20</w:t>
            </w:r>
          </w:p>
        </w:tc>
        <w:tc>
          <w:tcPr>
            <w:tcW w:type="dxa" w:w="1440"/>
            <w:shd w:fill="FFDCE0" w:val="clear"/>
          </w:tcPr>
          <w:p>
            <w:r>
              <w:rPr>
                <w:sz w:val="17"/>
              </w:rPr>
              <w:t>23,524</w:t>
            </w:r>
          </w:p>
        </w:tc>
        <w:tc>
          <w:tcPr>
            <w:tcW w:type="dxa" w:w="1440"/>
            <w:shd w:fill="FFDCE0" w:val="clear"/>
          </w:tcPr>
          <w:p>
            <w:r>
              <w:rPr>
                <w:b/>
                <w:sz w:val="17"/>
              </w:rPr>
              <w:t>26,158</w:t>
            </w:r>
          </w:p>
        </w:tc>
        <w:tc>
          <w:tcPr>
            <w:tcW w:type="dxa" w:w="1440"/>
            <w:shd w:fill="FFDCE0" w:val="clear"/>
          </w:tcPr>
          <w:p>
            <w:r>
              <w:rPr>
                <w:sz w:val="17"/>
              </w:rPr>
              <w:t>28,792</w:t>
            </w:r>
          </w:p>
        </w:tc>
        <w:tc>
          <w:tcPr>
            <w:tcW w:type="dxa" w:w="1440"/>
            <w:shd w:fill="FFDCE0" w:val="clear"/>
          </w:tcPr>
          <w:p>
            <w:r>
              <w:rPr>
                <w:b/>
                <w:color w:val="C00000"/>
                <w:sz w:val="17"/>
              </w:rPr>
              <w:t>-9.8%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483,33 milliards FCFA, ce qui en fait l'une des valeurs les plus significatives de la BRVM, reflétant la confiance des investisseurs dans le secteur bancaire ivoirien. Avec un BPA de 2 191 FCFA, chaque action génère un bénéfice substantiel, justifiant un PER de 13,2x, légèrement supérieur à la moyenne historique de la place (~8-12x), indiquant que le marché valorise la croissance future de la banque. Le P/B de 4,01x est nettement supérieur à 1, signifiant que les investisseurs paient une prime de 300% par rapport à la valeur comptable des actifs, une valorisation exigeante qui traduit des attentes élevées de rentabilité future. Enfin, l'EV/EBITDA de 9,3x, dans la fourchette raisonnable de 5-10x, suggère que la valeur totale de l'entreprise reste cohérente avec sa capacité opérationnelle à générer des bénéfices avant dépréciations.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 enregistré une progression remarquable de +14,40%, avec un cours actuel de 29 000 FCFA, tandis que la dernière séance est restée stable (0,00%). Le titre a évolué dans une fourchette de 22 500 FCFA (plus bas) à 29 490 FCFA (plus haut), démontrant une amplitude de trading significative de près de 31%. La moyenne du cours sur la période (26 803 FCFA) est inférieure à la médiane (27 502 FCFA), suggérant une distribution légèrement asymétrique avec des valeurs extrêmes basses ayant tiré la moyenne vers le bas, confirmé par un skewness négatif de -0,440. L'écart-type de 1 954 FCFA (CV=7,3%) indique une dispersion modérée des prix autour de la moyenne, tandis que le kurtosis de -1,194 (platykurtique) révèle une distribution aplatie avec moins de valeurs extrêmes que la normale, réduisant le risque de mouvements brusques. La volatilité annualisée de 30,9% classe le titre dans la catégorie élevée (&gt;30%), signalant des fluctuations importantes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29 000 FCFA se positionne au-dessus de la MM20 (28 452,5 FCFA) et de la MM50 (28 519,5 FCFA), indiquant une dynamique haussière à court et moyen terme. Cependant, la décision technique globale est "Vente", ce qui suggère que malgré la position du cours, les moyennes mobiles pourraient signaler un essoufflement ou une correction imminente après la récente hausse.</w:t>
      </w:r>
    </w:p>
    <w:p>
      <w:pPr>
        <w:spacing w:after="120" w:line="276" w:lineRule="auto"/>
      </w:pPr>
      <w:r>
        <w:t>**Bandes de Bollinger** : Le prix se situe à 29 000 FCFA, proche de la borne supérieure (29 420 FCFA) mais dans les limites du canal, indiquant une pression acheteuse soutenue sans atteindre des niveaux extrêmes de surachat. La décision "Neutre" reflète une volatilité modérée dans les bandes, avec un potentiel de poursuite de la tendance ou de retour vers la moyenne mobile centrale.</w:t>
      </w:r>
    </w:p>
    <w:p>
      <w:pPr>
        <w:spacing w:after="120" w:line="276" w:lineRule="auto"/>
      </w:pPr>
      <w:r>
        <w:t>**MACD** : Avec une valeur de 194,989 et un signal à 123,356, le MACD est positif et au-dessus de son signal, confirmant un momentum haussier solide. La décision "Achat" est justifiée par cette divergence positive, indiquant que la dynamique de prix reste favorable à moyen terme malgré les signaux de surachat potentiel.</w:t>
      </w:r>
    </w:p>
    <w:p>
      <w:pPr>
        <w:spacing w:after="120" w:line="276" w:lineRule="auto"/>
      </w:pPr>
      <w:r>
        <w:t>**RSI** : Le RSI à 69,771 est proche du seuil de surachat de 70, mais reste en zone neutre-élevée, suggérant une pression acheteuse forte sans être excessive. La décision "Neutre" indique que le titre n'est pas encore en territoire de surachat critique, mais une attention particulière est nécessaire pour surveiller une éventuelle correction.</w:t>
      </w:r>
    </w:p>
    <w:p>
      <w:pPr>
        <w:spacing w:after="120" w:line="276" w:lineRule="auto"/>
      </w:pPr>
      <w:r>
        <w:t>**Stochastique** : Le %K à 99,007 et %D à 99,338 sont extrêmement élevés, en zone de surachat sévère, signalant que le titre est survendu à la hausse. La décision "Vente" est justifiée par ce niveau extrême, indiquant une probabilité élevée de retournement ou de consolidation à court terme.</w:t>
      </w:r>
    </w:p>
    <w:p>
      <w:pPr>
        <w:spacing w:after="120" w:line="276" w:lineRule="auto"/>
      </w:pPr>
      <w:r>
        <w:t>**Conclusion technique** : La convergence des indicateurs montre un tableau contrasté : le MACD et les moyennes mobiles suggèrent une tendance haussière, mais le stochastique en surachat extrême et le RSI proche de 70 signalent un risque de correction. La prudence est recommandée à court terme, avec un potentiel de consolidation avant une éventuelle poursuite de la hausse.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BICC révèlent une performance exceptionnelle : le Produit Net Bancaire (PNB) s'établit à 79,563 milliards FCFA, avec un résultat net de 36,520 milliards FCFA, démontrant une marge nette de 45,9%. La banque affiche un ROE de 30,29%, nettement supérieur au seuil d'excellence de 15%, et un ROA de 3,24%, témoignant d'une gestion très efficace des actifs. Le coefficient d'exploitation de 50,83% confirme une excellente maîtrise des charges (&lt;60%), tandis que le coût du risque de -12,15% indique un portefeuille de crédits de qualité, malgré un ratio de transformation dépôts/crédits de 55% (524,439 milliards de créances pour 952,872 milliards de dépôts), montrant une liquidité abondante. Les rapports trimestriels confirment cette dynamique : le T1 2025 (PNB de 18,130 milliards, +9,3%) et le T3 2025 (PNB cumulé de 58,119 milliards, +16,4%, résultat net de 27,402 milliards, +50,8%) montrent une accélération. Le T1 2026 (PNB de 21,214 milliards, +17,0%, résultat net de 10,387 milliards, +29,7%) confirme la poursuite de la croissance. Sur la base de ces tendances, on estime que l'exercice 2026 devrait dépasser les 85 milliards de PNB et atteindre un résultat net de 40 milliards FCFA, consolidant la position de BICC comme leader rentable de la BRVM.</w:t>
      </w:r>
    </w:p>
    <w:p>
      <w:pPr>
        <w:spacing w:after="120" w:line="276" w:lineRule="auto" w:before="240"/>
      </w:pPr>
      <w:r>
        <w:rPr>
          <w:b/>
          <w:color w:val="003366"/>
          <w:sz w:val="24"/>
        </w:rPr>
        <w:t>**PARTIE 4 : CONCLUSION D'INVESTISSEMENT**</w:t>
      </w:r>
    </w:p>
    <w:p>
      <w:pPr>
        <w:spacing w:after="120" w:line="276" w:lineRule="auto"/>
      </w:pPr>
      <w:r>
        <w:t>La valorisation de BICC (PER 13,2x, P/B 4,01x) indique une prime de marché justifiée par une rentabilité exceptionnelle (ROE 30,3%) et une croissance soutenue, mais elle laisse peu de marge de sécurité pour les investisseurs. Le comportement du cours sur 100 jours (+14,4%) avec une volatilité élevée (30,9%) et une distribution platykurtique suggère une stabilité relative des prix, mais le skewness négatif et le surachat technique (stochastique à 99%) signalent un risque de correction à court terme. Les signaux techniques sont mitigés : le MACD est positif (Achat), mais les moyennes mobiles (Vente) et le stochastique (Vente) contredisent cette tendance, indiquant une possible consolidation. Les fondamentaux restent extrêmement solides avec une croissance du PNB de +16,9% en 2025 et des estimations de +17% pour 2026, soutenues par une gestion efficace des coûts et un risque de crédit maîtrisé. Les prédictions IA (28 298 FCFA à J+1, 27 242 FCFA à J+10) confirment une correction attendue de -6% sur 10 jours, en ligne avec les signaux techniques de surachat. En synthèse, la convergence entre la surévaluation technique, les prédictions IA baissières à court terme et la solidité fondamentale à long terme conduit à une recommandation **CONSERVER** avec un niveau de confiance **Moyen**, un risque global **Moyen**, et un horizon d'investissement optimal à **moyen terme (3-12 mois)** pour profiter d'une éventuelle correction avant de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12.68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2,164 titres</w:t>
            </w:r>
          </w:p>
        </w:tc>
        <w:tc>
          <w:tcPr>
            <w:tcW w:type="dxa" w:w="2268"/>
            <w:shd w:fill="FFF2CC" w:val="clear"/>
          </w:tcPr>
          <w:p>
            <w:r>
              <w:rPr>
                <w:b/>
                <w:color w:val="503200"/>
                <w:sz w:val="16"/>
              </w:rPr>
              <w:t xml:space="preserve">Cours actuel : </w:t>
            </w:r>
            <w:r>
              <w:rPr>
                <w:color w:val="000000"/>
                <w:sz w:val="17"/>
              </w:rPr>
              <w:t>1,915 FCFA</w:t>
            </w:r>
          </w:p>
          <w:p>
            <w:r>
              <w:rPr>
                <w:b/>
                <w:color w:val="503200"/>
                <w:sz w:val="16"/>
              </w:rPr>
              <w:t xml:space="preserve">Var. 100 jours : </w:t>
            </w:r>
            <w:r>
              <w:rPr>
                <w:b/>
                <w:color w:val="007800"/>
                <w:sz w:val="17"/>
              </w:rPr>
              <w:t>+19.69%</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11.41% (Moyenne) — μ=1,712 FCFA, σ=195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β=-0.0950 (Contre-cyclique) — Cov=-0.000003, Var(idx)=0.000036, ρ=-0.019,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2,164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annualisée≈47.9%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2026-08-06</w:t>
            </w:r>
          </w:p>
        </w:tc>
        <w:tc>
          <w:tcPr>
            <w:tcW w:type="dxa" w:w="1440"/>
            <w:shd w:fill="FAFAFA" w:val="clear"/>
          </w:tcPr>
          <w:p>
            <w:r>
              <w:rPr>
                <w:sz w:val="17"/>
              </w:rPr>
              <w:t>1,839</w:t>
            </w:r>
          </w:p>
        </w:tc>
        <w:tc>
          <w:tcPr>
            <w:tcW w:type="dxa" w:w="1440"/>
            <w:shd w:fill="FAFAFA" w:val="clear"/>
          </w:tcPr>
          <w:p>
            <w:r>
              <w:rPr>
                <w:b/>
                <w:sz w:val="17"/>
              </w:rPr>
              <w:t>1,919</w:t>
            </w:r>
          </w:p>
        </w:tc>
        <w:tc>
          <w:tcPr>
            <w:tcW w:type="dxa" w:w="1440"/>
            <w:shd w:fill="FAFAFA" w:val="clear"/>
          </w:tcPr>
          <w:p>
            <w:r>
              <w:rPr>
                <w:sz w:val="17"/>
              </w:rPr>
              <w:t>1,999</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2026-08-10</w:t>
            </w:r>
          </w:p>
        </w:tc>
        <w:tc>
          <w:tcPr>
            <w:tcW w:type="dxa" w:w="1440"/>
            <w:shd w:fill="FAFAFA" w:val="clear"/>
          </w:tcPr>
          <w:p>
            <w:r>
              <w:rPr>
                <w:sz w:val="17"/>
              </w:rPr>
              <w:t>1,804</w:t>
            </w:r>
          </w:p>
        </w:tc>
        <w:tc>
          <w:tcPr>
            <w:tcW w:type="dxa" w:w="1440"/>
            <w:shd w:fill="FAFAFA" w:val="clear"/>
          </w:tcPr>
          <w:p>
            <w:r>
              <w:rPr>
                <w:b/>
                <w:sz w:val="17"/>
              </w:rPr>
              <w:t>1,917</w:t>
            </w:r>
          </w:p>
        </w:tc>
        <w:tc>
          <w:tcPr>
            <w:tcW w:type="dxa" w:w="1440"/>
            <w:shd w:fill="FAFAFA" w:val="clear"/>
          </w:tcPr>
          <w:p>
            <w:r>
              <w:rPr>
                <w:sz w:val="17"/>
              </w:rPr>
              <w:t>2,030</w:t>
            </w:r>
          </w:p>
        </w:tc>
        <w:tc>
          <w:tcPr>
            <w:tcW w:type="dxa" w:w="1440"/>
            <w:shd w:fill="FAFAFA" w:val="clear"/>
          </w:tcPr>
          <w:p>
            <w:r>
              <w:rPr>
                <w:b/>
                <w:color w:val="008000"/>
                <w:sz w:val="17"/>
              </w:rPr>
              <w:t>+0.1%</w:t>
            </w:r>
          </w:p>
        </w:tc>
      </w:tr>
      <w:tr>
        <w:tc>
          <w:tcPr>
            <w:tcW w:type="dxa" w:w="1440"/>
            <w:shd w:fill="FAFAFA" w:val="clear"/>
          </w:tcPr>
          <w:p>
            <w:r>
              <w:rPr>
                <w:sz w:val="17"/>
              </w:rPr>
              <w:t>J+3  ⭐</w:t>
            </w:r>
          </w:p>
        </w:tc>
        <w:tc>
          <w:tcPr>
            <w:tcW w:type="dxa" w:w="1440"/>
            <w:shd w:fill="FAFAFA" w:val="clear"/>
          </w:tcPr>
          <w:p>
            <w:r>
              <w:rPr>
                <w:sz w:val="17"/>
              </w:rPr>
              <w:t>2026-08-11</w:t>
            </w:r>
          </w:p>
        </w:tc>
        <w:tc>
          <w:tcPr>
            <w:tcW w:type="dxa" w:w="1440"/>
            <w:shd w:fill="FAFAFA" w:val="clear"/>
          </w:tcPr>
          <w:p>
            <w:r>
              <w:rPr>
                <w:sz w:val="17"/>
              </w:rPr>
              <w:t>1,778</w:t>
            </w:r>
          </w:p>
        </w:tc>
        <w:tc>
          <w:tcPr>
            <w:tcW w:type="dxa" w:w="1440"/>
            <w:shd w:fill="FAFAFA" w:val="clear"/>
          </w:tcPr>
          <w:p>
            <w:r>
              <w:rPr>
                <w:b/>
                <w:sz w:val="17"/>
              </w:rPr>
              <w:t>1,917</w:t>
            </w:r>
          </w:p>
        </w:tc>
        <w:tc>
          <w:tcPr>
            <w:tcW w:type="dxa" w:w="1440"/>
            <w:shd w:fill="FAFAFA" w:val="clear"/>
          </w:tcPr>
          <w:p>
            <w:r>
              <w:rPr>
                <w:sz w:val="17"/>
              </w:rPr>
              <w:t>2,055</w:t>
            </w:r>
          </w:p>
        </w:tc>
        <w:tc>
          <w:tcPr>
            <w:tcW w:type="dxa" w:w="1440"/>
            <w:shd w:fill="FAFAFA" w:val="clear"/>
          </w:tcPr>
          <w:p>
            <w:r>
              <w:rPr>
                <w:b/>
                <w:color w:val="008000"/>
                <w:sz w:val="17"/>
              </w:rPr>
              <w:t>+0.1%</w:t>
            </w:r>
          </w:p>
        </w:tc>
      </w:tr>
      <w:tr>
        <w:tc>
          <w:tcPr>
            <w:tcW w:type="dxa" w:w="1440"/>
            <w:shd w:fill="FAFAFA" w:val="clear"/>
          </w:tcPr>
          <w:p>
            <w:r>
              <w:rPr>
                <w:sz w:val="17"/>
              </w:rPr>
              <w:t>J+4  ⭐</w:t>
            </w:r>
          </w:p>
        </w:tc>
        <w:tc>
          <w:tcPr>
            <w:tcW w:type="dxa" w:w="1440"/>
            <w:shd w:fill="FAFAFA" w:val="clear"/>
          </w:tcPr>
          <w:p>
            <w:r>
              <w:rPr>
                <w:sz w:val="17"/>
              </w:rPr>
              <w:t>2026-08-12</w:t>
            </w:r>
          </w:p>
        </w:tc>
        <w:tc>
          <w:tcPr>
            <w:tcW w:type="dxa" w:w="1440"/>
            <w:shd w:fill="FAFAFA" w:val="clear"/>
          </w:tcPr>
          <w:p>
            <w:r>
              <w:rPr>
                <w:sz w:val="17"/>
              </w:rPr>
              <w:t>1,756</w:t>
            </w:r>
          </w:p>
        </w:tc>
        <w:tc>
          <w:tcPr>
            <w:tcW w:type="dxa" w:w="1440"/>
            <w:shd w:fill="FAFAFA" w:val="clear"/>
          </w:tcPr>
          <w:p>
            <w:r>
              <w:rPr>
                <w:b/>
                <w:sz w:val="17"/>
              </w:rPr>
              <w:t>1,916</w:t>
            </w:r>
          </w:p>
        </w:tc>
        <w:tc>
          <w:tcPr>
            <w:tcW w:type="dxa" w:w="1440"/>
            <w:shd w:fill="FAFAFA" w:val="clear"/>
          </w:tcPr>
          <w:p>
            <w:r>
              <w:rPr>
                <w:sz w:val="17"/>
              </w:rPr>
              <w:t>2,076</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2026-08-13</w:t>
            </w:r>
          </w:p>
        </w:tc>
        <w:tc>
          <w:tcPr>
            <w:tcW w:type="dxa" w:w="1440"/>
            <w:shd w:fill="FAFAFA" w:val="clear"/>
          </w:tcPr>
          <w:p>
            <w:r>
              <w:rPr>
                <w:sz w:val="17"/>
              </w:rPr>
              <w:t>1,737</w:t>
            </w:r>
          </w:p>
        </w:tc>
        <w:tc>
          <w:tcPr>
            <w:tcW w:type="dxa" w:w="1440"/>
            <w:shd w:fill="FAFAFA" w:val="clear"/>
          </w:tcPr>
          <w:p>
            <w:r>
              <w:rPr>
                <w:b/>
                <w:sz w:val="17"/>
              </w:rPr>
              <w:t>1,916</w:t>
            </w:r>
          </w:p>
        </w:tc>
        <w:tc>
          <w:tcPr>
            <w:tcW w:type="dxa" w:w="1440"/>
            <w:shd w:fill="FAFAFA" w:val="clear"/>
          </w:tcPr>
          <w:p>
            <w:r>
              <w:rPr>
                <w:sz w:val="17"/>
              </w:rPr>
              <w:t>2,095</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2026-08-14</w:t>
            </w:r>
          </w:p>
        </w:tc>
        <w:tc>
          <w:tcPr>
            <w:tcW w:type="dxa" w:w="1440"/>
            <w:shd w:fill="FAFAFA" w:val="clear"/>
          </w:tcPr>
          <w:p>
            <w:r>
              <w:rPr>
                <w:sz w:val="17"/>
              </w:rPr>
              <w:t>1,720</w:t>
            </w:r>
          </w:p>
        </w:tc>
        <w:tc>
          <w:tcPr>
            <w:tcW w:type="dxa" w:w="1440"/>
            <w:shd w:fill="FAFAFA" w:val="clear"/>
          </w:tcPr>
          <w:p>
            <w:r>
              <w:rPr>
                <w:b/>
                <w:sz w:val="17"/>
              </w:rPr>
              <w:t>1,916</w:t>
            </w:r>
          </w:p>
        </w:tc>
        <w:tc>
          <w:tcPr>
            <w:tcW w:type="dxa" w:w="1440"/>
            <w:shd w:fill="FAFAFA" w:val="clear"/>
          </w:tcPr>
          <w:p>
            <w:r>
              <w:rPr>
                <w:sz w:val="17"/>
              </w:rPr>
              <w:t>2,112</w:t>
            </w:r>
          </w:p>
        </w:tc>
        <w:tc>
          <w:tcPr>
            <w:tcW w:type="dxa" w:w="1440"/>
            <w:shd w:fill="FAFAFA" w:val="clear"/>
          </w:tcPr>
          <w:p>
            <w:r>
              <w:rPr>
                <w:b/>
                <w:color w:val="008000"/>
                <w:sz w:val="17"/>
              </w:rPr>
              <w:t>+0.1%</w:t>
            </w:r>
          </w:p>
        </w:tc>
      </w:tr>
      <w:tr>
        <w:tc>
          <w:tcPr>
            <w:tcW w:type="dxa" w:w="1440"/>
            <w:shd w:fill="FAFAFA" w:val="clear"/>
          </w:tcPr>
          <w:p>
            <w:r>
              <w:rPr>
                <w:sz w:val="17"/>
              </w:rPr>
              <w:t>J+7  ⭐</w:t>
            </w:r>
          </w:p>
        </w:tc>
        <w:tc>
          <w:tcPr>
            <w:tcW w:type="dxa" w:w="1440"/>
            <w:shd w:fill="FAFAFA" w:val="clear"/>
          </w:tcPr>
          <w:p>
            <w:r>
              <w:rPr>
                <w:sz w:val="17"/>
              </w:rPr>
              <w:t>2026-08-17</w:t>
            </w:r>
          </w:p>
        </w:tc>
        <w:tc>
          <w:tcPr>
            <w:tcW w:type="dxa" w:w="1440"/>
            <w:shd w:fill="FAFAFA" w:val="clear"/>
          </w:tcPr>
          <w:p>
            <w:r>
              <w:rPr>
                <w:sz w:val="17"/>
              </w:rPr>
              <w:t>1,704</w:t>
            </w:r>
          </w:p>
        </w:tc>
        <w:tc>
          <w:tcPr>
            <w:tcW w:type="dxa" w:w="1440"/>
            <w:shd w:fill="FAFAFA" w:val="clear"/>
          </w:tcPr>
          <w:p>
            <w:r>
              <w:rPr>
                <w:b/>
                <w:sz w:val="17"/>
              </w:rPr>
              <w:t>1,916</w:t>
            </w:r>
          </w:p>
        </w:tc>
        <w:tc>
          <w:tcPr>
            <w:tcW w:type="dxa" w:w="1440"/>
            <w:shd w:fill="FAFAFA" w:val="clear"/>
          </w:tcPr>
          <w:p>
            <w:r>
              <w:rPr>
                <w:sz w:val="17"/>
              </w:rPr>
              <w:t>2,127</w:t>
            </w:r>
          </w:p>
        </w:tc>
        <w:tc>
          <w:tcPr>
            <w:tcW w:type="dxa" w:w="1440"/>
            <w:shd w:fill="FAFAFA" w:val="clear"/>
          </w:tcPr>
          <w:p>
            <w:r>
              <w:rPr>
                <w:b/>
                <w:color w:val="008000"/>
                <w:sz w:val="17"/>
              </w:rPr>
              <w:t>+0.0%</w:t>
            </w:r>
          </w:p>
        </w:tc>
      </w:tr>
      <w:tr>
        <w:tc>
          <w:tcPr>
            <w:tcW w:type="dxa" w:w="1440"/>
            <w:shd w:fill="FAFAFA" w:val="clear"/>
          </w:tcPr>
          <w:p>
            <w:r>
              <w:rPr>
                <w:sz w:val="17"/>
              </w:rPr>
              <w:t>J+8  ⭐</w:t>
            </w:r>
          </w:p>
        </w:tc>
        <w:tc>
          <w:tcPr>
            <w:tcW w:type="dxa" w:w="1440"/>
            <w:shd w:fill="FAFAFA" w:val="clear"/>
          </w:tcPr>
          <w:p>
            <w:r>
              <w:rPr>
                <w:sz w:val="17"/>
              </w:rPr>
              <w:t>2026-08-18</w:t>
            </w:r>
          </w:p>
        </w:tc>
        <w:tc>
          <w:tcPr>
            <w:tcW w:type="dxa" w:w="1440"/>
            <w:shd w:fill="FAFAFA" w:val="clear"/>
          </w:tcPr>
          <w:p>
            <w:r>
              <w:rPr>
                <w:sz w:val="17"/>
              </w:rPr>
              <w:t>1,690</w:t>
            </w:r>
          </w:p>
        </w:tc>
        <w:tc>
          <w:tcPr>
            <w:tcW w:type="dxa" w:w="1440"/>
            <w:shd w:fill="FAFAFA" w:val="clear"/>
          </w:tcPr>
          <w:p>
            <w:r>
              <w:rPr>
                <w:b/>
                <w:sz w:val="17"/>
              </w:rPr>
              <w:t>1,916</w:t>
            </w:r>
          </w:p>
        </w:tc>
        <w:tc>
          <w:tcPr>
            <w:tcW w:type="dxa" w:w="1440"/>
            <w:shd w:fill="FAFAFA" w:val="clear"/>
          </w:tcPr>
          <w:p>
            <w:r>
              <w:rPr>
                <w:sz w:val="17"/>
              </w:rPr>
              <w:t>2,142</w:t>
            </w:r>
          </w:p>
        </w:tc>
        <w:tc>
          <w:tcPr>
            <w:tcW w:type="dxa" w:w="1440"/>
            <w:shd w:fill="FAFAFA" w:val="clear"/>
          </w:tcPr>
          <w:p>
            <w:r>
              <w:rPr>
                <w:b/>
                <w:color w:val="008000"/>
                <w:sz w:val="17"/>
              </w:rPr>
              <w:t>+0.0%</w:t>
            </w:r>
          </w:p>
        </w:tc>
      </w:tr>
      <w:tr>
        <w:tc>
          <w:tcPr>
            <w:tcW w:type="dxa" w:w="1440"/>
            <w:shd w:fill="FAFAFA" w:val="clear"/>
          </w:tcPr>
          <w:p>
            <w:r>
              <w:rPr>
                <w:sz w:val="17"/>
              </w:rPr>
              <w:t>J+9  ⭐</w:t>
            </w:r>
          </w:p>
        </w:tc>
        <w:tc>
          <w:tcPr>
            <w:tcW w:type="dxa" w:w="1440"/>
            <w:shd w:fill="FAFAFA" w:val="clear"/>
          </w:tcPr>
          <w:p>
            <w:r>
              <w:rPr>
                <w:sz w:val="17"/>
              </w:rPr>
              <w:t>2026-08-19</w:t>
            </w:r>
          </w:p>
        </w:tc>
        <w:tc>
          <w:tcPr>
            <w:tcW w:type="dxa" w:w="1440"/>
            <w:shd w:fill="FAFAFA" w:val="clear"/>
          </w:tcPr>
          <w:p>
            <w:r>
              <w:rPr>
                <w:sz w:val="17"/>
              </w:rPr>
              <w:t>1,676</w:t>
            </w:r>
          </w:p>
        </w:tc>
        <w:tc>
          <w:tcPr>
            <w:tcW w:type="dxa" w:w="1440"/>
            <w:shd w:fill="FAFAFA" w:val="clear"/>
          </w:tcPr>
          <w:p>
            <w:r>
              <w:rPr>
                <w:b/>
                <w:sz w:val="17"/>
              </w:rPr>
              <w:t>1,915</w:t>
            </w:r>
          </w:p>
        </w:tc>
        <w:tc>
          <w:tcPr>
            <w:tcW w:type="dxa" w:w="1440"/>
            <w:shd w:fill="FAFAFA" w:val="clear"/>
          </w:tcPr>
          <w:p>
            <w:r>
              <w:rPr>
                <w:sz w:val="17"/>
              </w:rPr>
              <w:t>2,155</w:t>
            </w:r>
          </w:p>
        </w:tc>
        <w:tc>
          <w:tcPr>
            <w:tcW w:type="dxa" w:w="1440"/>
            <w:shd w:fill="FAFAFA" w:val="clear"/>
          </w:tcPr>
          <w:p>
            <w:r>
              <w:rPr>
                <w:b/>
                <w:color w:val="008000"/>
                <w:sz w:val="17"/>
              </w:rPr>
              <w:t>+0.0%</w:t>
            </w:r>
          </w:p>
        </w:tc>
      </w:tr>
      <w:tr>
        <w:tc>
          <w:tcPr>
            <w:tcW w:type="dxa" w:w="1440"/>
            <w:shd w:fill="FAFAFA" w:val="clear"/>
          </w:tcPr>
          <w:p>
            <w:r>
              <w:rPr>
                <w:sz w:val="17"/>
              </w:rPr>
              <w:t>J+10  ⭐</w:t>
            </w:r>
          </w:p>
        </w:tc>
        <w:tc>
          <w:tcPr>
            <w:tcW w:type="dxa" w:w="1440"/>
            <w:shd w:fill="FAFAFA" w:val="clear"/>
          </w:tcPr>
          <w:p>
            <w:r>
              <w:rPr>
                <w:sz w:val="17"/>
              </w:rPr>
              <w:t>2026-08-20</w:t>
            </w:r>
          </w:p>
        </w:tc>
        <w:tc>
          <w:tcPr>
            <w:tcW w:type="dxa" w:w="1440"/>
            <w:shd w:fill="FAFAFA" w:val="clear"/>
          </w:tcPr>
          <w:p>
            <w:r>
              <w:rPr>
                <w:sz w:val="17"/>
              </w:rPr>
              <w:t>1,662</w:t>
            </w:r>
          </w:p>
        </w:tc>
        <w:tc>
          <w:tcPr>
            <w:tcW w:type="dxa" w:w="1440"/>
            <w:shd w:fill="FAFAFA" w:val="clear"/>
          </w:tcPr>
          <w:p>
            <w:r>
              <w:rPr>
                <w:b/>
                <w:sz w:val="17"/>
              </w:rPr>
              <w:t>1,915</w:t>
            </w:r>
          </w:p>
        </w:tc>
        <w:tc>
          <w:tcPr>
            <w:tcW w:type="dxa" w:w="1440"/>
            <w:shd w:fill="FAFAFA" w:val="clear"/>
          </w:tcPr>
          <w:p>
            <w:r>
              <w:rPr>
                <w:sz w:val="17"/>
              </w:rPr>
              <w:t>2,168</w:t>
            </w:r>
          </w:p>
        </w:tc>
        <w:tc>
          <w:tcPr>
            <w:tcW w:type="dxa" w:w="1440"/>
            <w:shd w:fill="FAFAFA" w:val="clear"/>
          </w:tcPr>
          <w:p>
            <w:r>
              <w:rPr>
                <w:b/>
                <w:color w:val="008000"/>
                <w:sz w:val="17"/>
              </w:rPr>
              <w:t>+0.0%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BNBC s'établit à 12,68 milliards FCFA, un niveau modeste qui la positionne parmi les petites capitalisations de la BRVM. Le BPA de 3 FCFA par action est extrêmement faible, reflétant une rentabilité nette anémique. Le PER de 568,4x est considérablement supérieur à la moyenne du marché BRVM (8-12x), indiquant que les investisseurs paient un prix très élevé pour des bénéfices quasi inexistants. En revanche, le P/B de 0,71x signale que le marché valorise le titre sous sa valeur comptable, ce qui pourrait représenter une opportunité si les actifs sont sains. L'EV/EBITDA de 23,9x, bien au-dessus du seuil de 15x, confirme une valorisation exigeante par rapport à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BNBC affiche une progression totale de +19,69%, avec une légère baisse de -0,78% lors de la dernière séance. Le cours a évolué dans une fourchette large de 1 300 à 2 100 FCFA, démontrant une forte amplitude de trading. La moyenne de 1 712 FCFA est supérieure à la médiane de 1 628 FCFA, indiquant une distribution légèrement asymétrique vers le haut, confirmée par un skewness positif de 0,170. L'écart-type de 196 FCFA (CV=11,5%) révèle une dispersion modérée autour de la moyenne. Le kurtosis de -1,138 (platykurtique) suggère une distribution aplatie avec une faible concentration des prix, limitant le risque de mouvements extrêmes. La volatilité annualisée de 47,9% est élevée, positionnant BNBC comme un titre spéculatif nécessitant une gestion rigoureuse du risque.</w:t>
      </w:r>
    </w:p>
    <w:p>
      <w:pPr>
        <w:spacing w:after="120" w:line="276" w:lineRule="auto" w:before="240"/>
      </w:pPr>
      <w:r>
        <w:rPr>
          <w:b/>
          <w:color w:val="003366"/>
          <w:sz w:val="24"/>
        </w:rPr>
        <w:t>**PARTIE 2 : ANALYSE TECHNIQUE DÉTAILLÉE**</w:t>
      </w:r>
    </w:p>
    <w:p>
      <w:pPr>
        <w:spacing w:after="120" w:line="276" w:lineRule="auto"/>
      </w:pPr>
      <w:r>
        <w:t>**Moyennes Mobiles** : Le cours actuel de 1 915 FCFA se situe au-dessus de la MM20 (1 891,5) et de la MM50 (1 876,2), confirmant une dynamique haussière à court et moyen terme. La décision d'achat est justifiée par cette configuration positive, bien que l'écart reste modéré.</w:t>
      </w:r>
    </w:p>
    <w:p>
      <w:pPr>
        <w:spacing w:after="120" w:line="276" w:lineRule="auto"/>
      </w:pPr>
      <w:r>
        <w:t>**Bandes de Bollinger** : Le prix évolue entre la borne inférieure (1 739,5) et la borne supérieure (2 043,5), se positionnant à 1 915 FCFA, proche de la moyenne. La décision neutre reflète une volatilité normale sans signal directionnel fort.</w:t>
      </w:r>
    </w:p>
    <w:p>
      <w:pPr>
        <w:spacing w:after="120" w:line="276" w:lineRule="auto"/>
      </w:pPr>
      <w:r>
        <w:t>**MACD** : La valeur de 11,104 est inférieure au signal de 15,724, indiquant un momentum baissier à court terme. La décision de vente suggère une possible correction après la récente hausse, bien que les valeurs restent positives.</w:t>
      </w:r>
    </w:p>
    <w:p>
      <w:pPr>
        <w:spacing w:after="120" w:line="276" w:lineRule="auto"/>
      </w:pPr>
      <w:r>
        <w:t>**RSI** : À 56,061, le RSI se situe dans la zone neutre (30-70), indiquant un équilibre entre pression acheteuse et vendeuse. La décision neutre est cohérente avec cette lecture.</w:t>
      </w:r>
    </w:p>
    <w:p>
      <w:pPr>
        <w:spacing w:after="120" w:line="276" w:lineRule="auto"/>
      </w:pPr>
      <w:r>
        <w:t>**Stochastique** : Le %K (34,783) est inférieur au %D (43,478), suggérant une dynamique baissière naissante. La décision neutre reflète l'absence de croisement décisif, mais la configuration actuelle mérite une surveillance.</w:t>
      </w:r>
    </w:p>
    <w:p>
      <w:pPr>
        <w:spacing w:after="120" w:line="276" w:lineRule="auto"/>
      </w:pPr>
      <w:r>
        <w:t>**Conclusion technique** : Les indicateurs sont globalement mitigés, avec des signaux positifs provenant des moyennes mobiles mais des signaux négatifs du MACD et du Stochastique. Cette divergence suggère une consolidation probable à court terme, avec un biais haussier à moyen terme si le cours maintient ses niveaux actuels.</w:t>
      </w:r>
    </w:p>
    <w:p>
      <w:pPr>
        <w:spacing w:after="120" w:line="276" w:lineRule="auto" w:before="240"/>
      </w:pPr>
      <w:r>
        <w:rPr>
          <w:b/>
          <w:color w:val="003366"/>
          <w:sz w:val="24"/>
        </w:rPr>
        <w:t>**PARTIE 3 : ANALYSE FONDAMENTALE (SECTION CRITIQUE)**</w:t>
      </w:r>
    </w:p>
    <w:p>
      <w:pPr>
        <w:spacing w:after="120" w:line="276" w:lineRule="auto"/>
      </w:pPr>
      <w:r>
        <w:t>En 2025, BNBC a réalisé un chiffre d'affaires de 42,454 milliards FCFA, en baisse de -6,31% par rapport à 2024 (45,312 milliards). Le résultat net s'établit à 22,32 millions FCFA, avec un ROE de 0,13% et un ROA de 0,05%, des niveaux extrêmement faibles. La marge nette de 0,05% et la marge opérationnelle de 2,47% confirment une rentabilité structurellement anémique. Le BFR de 29,373 milliards FCFA (négatif) est un point positif, mais la trésorerie nette de -16,689 milliards FCFA reste préoccupante. Les délais clients (104 jours) et de stockage (339 jours) sont élevés, immobilisant significativement le capital. Le rapport T1 2026 (daté du 31/12/2026) montre un chiffre d'affaires stable à 11,194 milliards FCFA (-0,12%) mais un résultat net positif de 65,57 millions FCFA, contre une perte de -65,57 millions au T1 2025, soit une amélioration de 506%. Cette performance est attribuée à l'intégration de la division Équipement, encore en phase de montée en puissance. Le rapport semestriel 2025 indiquait une perte de -139,57 millions FCFA, tandis que le T3 2025 montrait une perte cumulée de -157,03 millions. Sur la base du T1 2026, on estime que l'exercice 2026 pourrait générer un résultat net positif, mais la rentabilité reste fragile. La recommandation fondamentale est de conserver avec une surveillance accrue, compte tenu des risques de liquidité et de la faible rentabilité.</w:t>
      </w:r>
    </w:p>
    <w:p>
      <w:pPr>
        <w:spacing w:after="120" w:line="276" w:lineRule="auto" w:before="240"/>
      </w:pPr>
      <w:r>
        <w:rPr>
          <w:b/>
          <w:color w:val="003366"/>
          <w:sz w:val="24"/>
        </w:rPr>
        <w:t>**PARTIE 4 : CONCLUSION D'INVESTISSEMENT**</w:t>
      </w:r>
    </w:p>
    <w:p>
      <w:pPr>
        <w:spacing w:after="120" w:line="276" w:lineRule="auto"/>
      </w:pPr>
      <w:r>
        <w:t>La valorisation de BNBC est paradoxale : un PER extrêmement élevé (568,4x) contraste avec un P/B sous la valeur comptable (0,71x), indiquant une perception mitigée du marché. Le comportement du cours montre une tendance haussière récente (+19,69% sur 100 jours) mais avec une volatilité élevée (47,9%) et une distribution platykurtique qui limite les extrêmes. Les signaux techniques sont divergents : les moyennes mobiles sont positives, mais le MACD et le Stochastique suggèrent une consolidation. Les fondamentaux restent préoccupants avec une rentabilité quasi nulle (ROE 0,13%), une trésorerie négative de -16,7 milliards FCFA et une dette élevée. Cependant, le T1 2026 montre une amélioration nette avec un résultat positif de 65,57 millions FCFA. Les prédictions IA (1 916-1 919 FCFA sur 10 jours) indiquent une stabilité, confirmant la phase de consolidation. La recommandation finale est **CONSERVER** avec un niveau de confiance **Moyen** et un risque global **Élevé**. L'horizon optimal est le **moyen terme (3-12 mois)**, en attendant la confirmation de la reprise de la rentabilité et l'amélioration de la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352.88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5,668 titres</w:t>
            </w:r>
          </w:p>
        </w:tc>
        <w:tc>
          <w:tcPr>
            <w:tcW w:type="dxa" w:w="2268"/>
            <w:shd w:fill="FFF2CC" w:val="clear"/>
          </w:tcPr>
          <w:p>
            <w:r>
              <w:rPr>
                <w:b/>
                <w:color w:val="503200"/>
                <w:sz w:val="16"/>
              </w:rPr>
              <w:t xml:space="preserve">Cours actuel : </w:t>
            </w:r>
            <w:r>
              <w:rPr>
                <w:color w:val="000000"/>
                <w:sz w:val="17"/>
              </w:rPr>
              <w:t>8,700 FCFA</w:t>
            </w:r>
          </w:p>
          <w:p>
            <w:r>
              <w:rPr>
                <w:b/>
                <w:color w:val="503200"/>
                <w:sz w:val="16"/>
              </w:rPr>
              <w:t xml:space="preserve">Var. 100 jours : </w:t>
            </w:r>
            <w:r>
              <w:rPr>
                <w:b/>
                <w:color w:val="007800"/>
                <w:sz w:val="17"/>
              </w:rPr>
              <w:t>+16.08%</w:t>
            </w:r>
          </w:p>
          <w:p>
            <w:r>
              <w:rPr>
                <w:b/>
                <w:color w:val="503200"/>
                <w:sz w:val="16"/>
              </w:rPr>
              <w:t xml:space="preserve">Plus haut 100j : </w:t>
            </w:r>
            <w:r>
              <w:rPr>
                <w:color w:val="000000"/>
                <w:sz w:val="17"/>
              </w:rPr>
              <w:t>9,420 FCFA</w:t>
            </w:r>
          </w:p>
          <w:p>
            <w:r>
              <w:rPr>
                <w:b/>
                <w:color w:val="503200"/>
                <w:sz w:val="16"/>
              </w:rPr>
              <w:t xml:space="preserve">Plus bas 100j : </w:t>
            </w:r>
            <w:r>
              <w:rPr>
                <w:color w:val="000000"/>
                <w:sz w:val="17"/>
              </w:rPr>
              <w:t>7,295 FCFA</w:t>
            </w:r>
          </w:p>
          <w:p>
            <w:r>
              <w:rPr>
                <w:b/>
                <w:color w:val="503200"/>
                <w:sz w:val="16"/>
              </w:rPr>
              <w:t xml:space="preserve">Volatilité ann. : </w:t>
            </w:r>
            <w:r>
              <w:rPr>
                <w:color w:val="000000"/>
                <w:sz w:val="17"/>
              </w:rPr>
              <w:t>25.4%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7.14% (Moyenne) — μ=8,531 FCFA, σ=609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β=-0.0004 (Contre-cyclique) — Cov=-0.000000, Var(idx)=0.000036, ρ=-0.000,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5,668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σ_j=1.60%/j (Stable) — Vol. annualisée≈25.4%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2026-08-06</w:t>
            </w:r>
          </w:p>
        </w:tc>
        <w:tc>
          <w:tcPr>
            <w:tcW w:type="dxa" w:w="1440"/>
            <w:shd w:fill="FFDCE0" w:val="clear"/>
          </w:tcPr>
          <w:p>
            <w:r>
              <w:rPr>
                <w:sz w:val="17"/>
              </w:rPr>
              <w:t>8,359</w:t>
            </w:r>
          </w:p>
        </w:tc>
        <w:tc>
          <w:tcPr>
            <w:tcW w:type="dxa" w:w="1440"/>
            <w:shd w:fill="FFDCE0" w:val="clear"/>
          </w:tcPr>
          <w:p>
            <w:r>
              <w:rPr>
                <w:b/>
                <w:sz w:val="17"/>
              </w:rPr>
              <w:t>8,483</w:t>
            </w:r>
          </w:p>
        </w:tc>
        <w:tc>
          <w:tcPr>
            <w:tcW w:type="dxa" w:w="1440"/>
            <w:shd w:fill="FFDCE0" w:val="clear"/>
          </w:tcPr>
          <w:p>
            <w:r>
              <w:rPr>
                <w:sz w:val="17"/>
              </w:rPr>
              <w:t>8,607</w:t>
            </w:r>
          </w:p>
        </w:tc>
        <w:tc>
          <w:tcPr>
            <w:tcW w:type="dxa" w:w="1440"/>
            <w:shd w:fill="FFDCE0" w:val="clear"/>
          </w:tcPr>
          <w:p>
            <w:r>
              <w:rPr>
                <w:b/>
                <w:color w:val="C00000"/>
                <w:sz w:val="17"/>
              </w:rPr>
              <w:t>-2.5%</w:t>
            </w:r>
          </w:p>
        </w:tc>
      </w:tr>
      <w:tr>
        <w:tc>
          <w:tcPr>
            <w:tcW w:type="dxa" w:w="1440"/>
            <w:shd w:fill="FFDCE0" w:val="clear"/>
          </w:tcPr>
          <w:p>
            <w:r>
              <w:rPr>
                <w:sz w:val="17"/>
              </w:rPr>
              <w:t>J+2  ⭐⭐⭐</w:t>
            </w:r>
          </w:p>
        </w:tc>
        <w:tc>
          <w:tcPr>
            <w:tcW w:type="dxa" w:w="1440"/>
            <w:shd w:fill="FFDCE0" w:val="clear"/>
          </w:tcPr>
          <w:p>
            <w:r>
              <w:rPr>
                <w:sz w:val="17"/>
              </w:rPr>
              <w:t>2026-08-10</w:t>
            </w:r>
          </w:p>
        </w:tc>
        <w:tc>
          <w:tcPr>
            <w:tcW w:type="dxa" w:w="1440"/>
            <w:shd w:fill="FFDCE0" w:val="clear"/>
          </w:tcPr>
          <w:p>
            <w:r>
              <w:rPr>
                <w:sz w:val="17"/>
              </w:rPr>
              <w:t>8,189</w:t>
            </w:r>
          </w:p>
        </w:tc>
        <w:tc>
          <w:tcPr>
            <w:tcW w:type="dxa" w:w="1440"/>
            <w:shd w:fill="FFDCE0" w:val="clear"/>
          </w:tcPr>
          <w:p>
            <w:r>
              <w:rPr>
                <w:b/>
                <w:sz w:val="17"/>
              </w:rPr>
              <w:t>8,361</w:t>
            </w:r>
          </w:p>
        </w:tc>
        <w:tc>
          <w:tcPr>
            <w:tcW w:type="dxa" w:w="1440"/>
            <w:shd w:fill="FFDCE0" w:val="clear"/>
          </w:tcPr>
          <w:p>
            <w:r>
              <w:rPr>
                <w:sz w:val="17"/>
              </w:rPr>
              <w:t>8,534</w:t>
            </w:r>
          </w:p>
        </w:tc>
        <w:tc>
          <w:tcPr>
            <w:tcW w:type="dxa" w:w="1440"/>
            <w:shd w:fill="FFDCE0" w:val="clear"/>
          </w:tcPr>
          <w:p>
            <w:r>
              <w:rPr>
                <w:b/>
                <w:color w:val="C00000"/>
                <w:sz w:val="17"/>
              </w:rPr>
              <w:t>-3.9%</w:t>
            </w:r>
          </w:p>
        </w:tc>
      </w:tr>
      <w:tr>
        <w:tc>
          <w:tcPr>
            <w:tcW w:type="dxa" w:w="1440"/>
            <w:shd w:fill="FFDCE0" w:val="clear"/>
          </w:tcPr>
          <w:p>
            <w:r>
              <w:rPr>
                <w:sz w:val="17"/>
              </w:rPr>
              <w:t>J+3  ⭐⭐⭐</w:t>
            </w:r>
          </w:p>
        </w:tc>
        <w:tc>
          <w:tcPr>
            <w:tcW w:type="dxa" w:w="1440"/>
            <w:shd w:fill="FFDCE0" w:val="clear"/>
          </w:tcPr>
          <w:p>
            <w:r>
              <w:rPr>
                <w:sz w:val="17"/>
              </w:rPr>
              <w:t>2026-08-11</w:t>
            </w:r>
          </w:p>
        </w:tc>
        <w:tc>
          <w:tcPr>
            <w:tcW w:type="dxa" w:w="1440"/>
            <w:shd w:fill="FFDCE0" w:val="clear"/>
          </w:tcPr>
          <w:p>
            <w:r>
              <w:rPr>
                <w:sz w:val="17"/>
              </w:rPr>
              <w:t>8,041</w:t>
            </w:r>
          </w:p>
        </w:tc>
        <w:tc>
          <w:tcPr>
            <w:tcW w:type="dxa" w:w="1440"/>
            <w:shd w:fill="FFDCE0" w:val="clear"/>
          </w:tcPr>
          <w:p>
            <w:r>
              <w:rPr>
                <w:b/>
                <w:sz w:val="17"/>
              </w:rPr>
              <w:t>8,249</w:t>
            </w:r>
          </w:p>
        </w:tc>
        <w:tc>
          <w:tcPr>
            <w:tcW w:type="dxa" w:w="1440"/>
            <w:shd w:fill="FFDCE0" w:val="clear"/>
          </w:tcPr>
          <w:p>
            <w:r>
              <w:rPr>
                <w:sz w:val="17"/>
              </w:rPr>
              <w:t>8,458</w:t>
            </w:r>
          </w:p>
        </w:tc>
        <w:tc>
          <w:tcPr>
            <w:tcW w:type="dxa" w:w="1440"/>
            <w:shd w:fill="FFDCE0" w:val="clear"/>
          </w:tcPr>
          <w:p>
            <w:r>
              <w:rPr>
                <w:b/>
                <w:color w:val="C00000"/>
                <w:sz w:val="17"/>
              </w:rPr>
              <w:t>-5.2%</w:t>
            </w:r>
          </w:p>
        </w:tc>
      </w:tr>
      <w:tr>
        <w:tc>
          <w:tcPr>
            <w:tcW w:type="dxa" w:w="1440"/>
            <w:shd w:fill="FFDCE0" w:val="clear"/>
          </w:tcPr>
          <w:p>
            <w:r>
              <w:rPr>
                <w:sz w:val="17"/>
              </w:rPr>
              <w:t>J+4  Moyenne</w:t>
            </w:r>
          </w:p>
        </w:tc>
        <w:tc>
          <w:tcPr>
            <w:tcW w:type="dxa" w:w="1440"/>
            <w:shd w:fill="FFDCE0" w:val="clear"/>
          </w:tcPr>
          <w:p>
            <w:r>
              <w:rPr>
                <w:sz w:val="17"/>
              </w:rPr>
              <w:t>2026-08-12</w:t>
            </w:r>
          </w:p>
        </w:tc>
        <w:tc>
          <w:tcPr>
            <w:tcW w:type="dxa" w:w="1440"/>
            <w:shd w:fill="FFDCE0" w:val="clear"/>
          </w:tcPr>
          <w:p>
            <w:r>
              <w:rPr>
                <w:sz w:val="17"/>
              </w:rPr>
              <w:t>7,916</w:t>
            </w:r>
          </w:p>
        </w:tc>
        <w:tc>
          <w:tcPr>
            <w:tcW w:type="dxa" w:w="1440"/>
            <w:shd w:fill="FFDCE0" w:val="clear"/>
          </w:tcPr>
          <w:p>
            <w:r>
              <w:rPr>
                <w:b/>
                <w:sz w:val="17"/>
              </w:rPr>
              <w:t>8,154</w:t>
            </w:r>
          </w:p>
        </w:tc>
        <w:tc>
          <w:tcPr>
            <w:tcW w:type="dxa" w:w="1440"/>
            <w:shd w:fill="FFDCE0" w:val="clear"/>
          </w:tcPr>
          <w:p>
            <w:r>
              <w:rPr>
                <w:sz w:val="17"/>
              </w:rPr>
              <w:t>8,392</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2026-08-13</w:t>
            </w:r>
          </w:p>
        </w:tc>
        <w:tc>
          <w:tcPr>
            <w:tcW w:type="dxa" w:w="1440"/>
            <w:shd w:fill="FFDCE0" w:val="clear"/>
          </w:tcPr>
          <w:p>
            <w:r>
              <w:rPr>
                <w:sz w:val="17"/>
              </w:rPr>
              <w:t>7,804</w:t>
            </w:r>
          </w:p>
        </w:tc>
        <w:tc>
          <w:tcPr>
            <w:tcW w:type="dxa" w:w="1440"/>
            <w:shd w:fill="FFDCE0" w:val="clear"/>
          </w:tcPr>
          <w:p>
            <w:r>
              <w:rPr>
                <w:b/>
                <w:sz w:val="17"/>
              </w:rPr>
              <w:t>8,067</w:t>
            </w:r>
          </w:p>
        </w:tc>
        <w:tc>
          <w:tcPr>
            <w:tcW w:type="dxa" w:w="1440"/>
            <w:shd w:fill="FFDCE0" w:val="clear"/>
          </w:tcPr>
          <w:p>
            <w:r>
              <w:rPr>
                <w:sz w:val="17"/>
              </w:rPr>
              <w:t>8,331</w:t>
            </w:r>
          </w:p>
        </w:tc>
        <w:tc>
          <w:tcPr>
            <w:tcW w:type="dxa" w:w="1440"/>
            <w:shd w:fill="FFDCE0" w:val="clear"/>
          </w:tcPr>
          <w:p>
            <w:r>
              <w:rPr>
                <w:b/>
                <w:color w:val="C00000"/>
                <w:sz w:val="17"/>
              </w:rPr>
              <w:t>-7.3%</w:t>
            </w:r>
          </w:p>
        </w:tc>
      </w:tr>
      <w:tr>
        <w:tc>
          <w:tcPr>
            <w:tcW w:type="dxa" w:w="1440"/>
            <w:shd w:fill="FFDCE0" w:val="clear"/>
          </w:tcPr>
          <w:p>
            <w:r>
              <w:rPr>
                <w:sz w:val="17"/>
              </w:rPr>
              <w:t>J+6  Moyenne</w:t>
            </w:r>
          </w:p>
        </w:tc>
        <w:tc>
          <w:tcPr>
            <w:tcW w:type="dxa" w:w="1440"/>
            <w:shd w:fill="FFDCE0" w:val="clear"/>
          </w:tcPr>
          <w:p>
            <w:r>
              <w:rPr>
                <w:sz w:val="17"/>
              </w:rPr>
              <w:t>2026-08-14</w:t>
            </w:r>
          </w:p>
        </w:tc>
        <w:tc>
          <w:tcPr>
            <w:tcW w:type="dxa" w:w="1440"/>
            <w:shd w:fill="FFDCE0" w:val="clear"/>
          </w:tcPr>
          <w:p>
            <w:r>
              <w:rPr>
                <w:sz w:val="17"/>
              </w:rPr>
              <w:t>7,701</w:t>
            </w:r>
          </w:p>
        </w:tc>
        <w:tc>
          <w:tcPr>
            <w:tcW w:type="dxa" w:w="1440"/>
            <w:shd w:fill="FFDCE0" w:val="clear"/>
          </w:tcPr>
          <w:p>
            <w:r>
              <w:rPr>
                <w:b/>
                <w:sz w:val="17"/>
              </w:rPr>
              <w:t>7,986</w:t>
            </w:r>
          </w:p>
        </w:tc>
        <w:tc>
          <w:tcPr>
            <w:tcW w:type="dxa" w:w="1440"/>
            <w:shd w:fill="FFDCE0" w:val="clear"/>
          </w:tcPr>
          <w:p>
            <w:r>
              <w:rPr>
                <w:sz w:val="17"/>
              </w:rPr>
              <w:t>8,272</w:t>
            </w:r>
          </w:p>
        </w:tc>
        <w:tc>
          <w:tcPr>
            <w:tcW w:type="dxa" w:w="1440"/>
            <w:shd w:fill="FFDCE0" w:val="clear"/>
          </w:tcPr>
          <w:p>
            <w:r>
              <w:rPr>
                <w:b/>
                <w:color w:val="C00000"/>
                <w:sz w:val="17"/>
              </w:rPr>
              <w:t>-8.2%</w:t>
            </w:r>
          </w:p>
        </w:tc>
      </w:tr>
      <w:tr>
        <w:tc>
          <w:tcPr>
            <w:tcW w:type="dxa" w:w="1440"/>
            <w:shd w:fill="FFDCE0" w:val="clear"/>
          </w:tcPr>
          <w:p>
            <w:r>
              <w:rPr>
                <w:sz w:val="17"/>
              </w:rPr>
              <w:t>J+7  Moyenne</w:t>
            </w:r>
          </w:p>
        </w:tc>
        <w:tc>
          <w:tcPr>
            <w:tcW w:type="dxa" w:w="1440"/>
            <w:shd w:fill="FFDCE0" w:val="clear"/>
          </w:tcPr>
          <w:p>
            <w:r>
              <w:rPr>
                <w:sz w:val="17"/>
              </w:rPr>
              <w:t>2026-08-17</w:t>
            </w:r>
          </w:p>
        </w:tc>
        <w:tc>
          <w:tcPr>
            <w:tcW w:type="dxa" w:w="1440"/>
            <w:shd w:fill="FFDCE0" w:val="clear"/>
          </w:tcPr>
          <w:p>
            <w:r>
              <w:rPr>
                <w:sz w:val="17"/>
              </w:rPr>
              <w:t>7,604</w:t>
            </w:r>
          </w:p>
        </w:tc>
        <w:tc>
          <w:tcPr>
            <w:tcW w:type="dxa" w:w="1440"/>
            <w:shd w:fill="FFDCE0" w:val="clear"/>
          </w:tcPr>
          <w:p>
            <w:r>
              <w:rPr>
                <w:b/>
                <w:sz w:val="17"/>
              </w:rPr>
              <w:t>7,910</w:t>
            </w:r>
          </w:p>
        </w:tc>
        <w:tc>
          <w:tcPr>
            <w:tcW w:type="dxa" w:w="1440"/>
            <w:shd w:fill="FFDCE0" w:val="clear"/>
          </w:tcPr>
          <w:p>
            <w:r>
              <w:rPr>
                <w:sz w:val="17"/>
              </w:rPr>
              <w:t>8,215</w:t>
            </w:r>
          </w:p>
        </w:tc>
        <w:tc>
          <w:tcPr>
            <w:tcW w:type="dxa" w:w="1440"/>
            <w:shd w:fill="FFDCE0" w:val="clear"/>
          </w:tcPr>
          <w:p>
            <w:r>
              <w:rPr>
                <w:b/>
                <w:color w:val="C00000"/>
                <w:sz w:val="17"/>
              </w:rPr>
              <w:t>-9.1%</w:t>
            </w:r>
          </w:p>
        </w:tc>
      </w:tr>
      <w:tr>
        <w:tc>
          <w:tcPr>
            <w:tcW w:type="dxa" w:w="1440"/>
            <w:shd w:fill="FFDCE0" w:val="clear"/>
          </w:tcPr>
          <w:p>
            <w:r>
              <w:rPr>
                <w:sz w:val="17"/>
              </w:rPr>
              <w:t>J+8  Moyenne</w:t>
            </w:r>
          </w:p>
        </w:tc>
        <w:tc>
          <w:tcPr>
            <w:tcW w:type="dxa" w:w="1440"/>
            <w:shd w:fill="FFDCE0" w:val="clear"/>
          </w:tcPr>
          <w:p>
            <w:r>
              <w:rPr>
                <w:sz w:val="17"/>
              </w:rPr>
              <w:t>2026-08-18</w:t>
            </w:r>
          </w:p>
        </w:tc>
        <w:tc>
          <w:tcPr>
            <w:tcW w:type="dxa" w:w="1440"/>
            <w:shd w:fill="FFDCE0" w:val="clear"/>
          </w:tcPr>
          <w:p>
            <w:r>
              <w:rPr>
                <w:sz w:val="17"/>
              </w:rPr>
              <w:t>7,514</w:t>
            </w:r>
          </w:p>
        </w:tc>
        <w:tc>
          <w:tcPr>
            <w:tcW w:type="dxa" w:w="1440"/>
            <w:shd w:fill="FFDCE0" w:val="clear"/>
          </w:tcPr>
          <w:p>
            <w:r>
              <w:rPr>
                <w:b/>
                <w:sz w:val="17"/>
              </w:rPr>
              <w:t>7,837</w:t>
            </w:r>
          </w:p>
        </w:tc>
        <w:tc>
          <w:tcPr>
            <w:tcW w:type="dxa" w:w="1440"/>
            <w:shd w:fill="FFDCE0" w:val="clear"/>
          </w:tcPr>
          <w:p>
            <w:r>
              <w:rPr>
                <w:sz w:val="17"/>
              </w:rPr>
              <w:t>8,161</w:t>
            </w:r>
          </w:p>
        </w:tc>
        <w:tc>
          <w:tcPr>
            <w:tcW w:type="dxa" w:w="1440"/>
            <w:shd w:fill="FFDCE0" w:val="clear"/>
          </w:tcPr>
          <w:p>
            <w:r>
              <w:rPr>
                <w:b/>
                <w:color w:val="C00000"/>
                <w:sz w:val="17"/>
              </w:rPr>
              <w:t>-9.9%</w:t>
            </w:r>
          </w:p>
        </w:tc>
      </w:tr>
      <w:tr>
        <w:tc>
          <w:tcPr>
            <w:tcW w:type="dxa" w:w="1440"/>
            <w:shd w:fill="FFDCE0" w:val="clear"/>
          </w:tcPr>
          <w:p>
            <w:r>
              <w:rPr>
                <w:sz w:val="17"/>
              </w:rPr>
              <w:t>J+9  Moyenne</w:t>
            </w:r>
          </w:p>
        </w:tc>
        <w:tc>
          <w:tcPr>
            <w:tcW w:type="dxa" w:w="1440"/>
            <w:shd w:fill="FFDCE0" w:val="clear"/>
          </w:tcPr>
          <w:p>
            <w:r>
              <w:rPr>
                <w:sz w:val="17"/>
              </w:rPr>
              <w:t>2026-08-19</w:t>
            </w:r>
          </w:p>
        </w:tc>
        <w:tc>
          <w:tcPr>
            <w:tcW w:type="dxa" w:w="1440"/>
            <w:shd w:fill="FFDCE0" w:val="clear"/>
          </w:tcPr>
          <w:p>
            <w:r>
              <w:rPr>
                <w:sz w:val="17"/>
              </w:rPr>
              <w:t>7,428</w:t>
            </w:r>
          </w:p>
        </w:tc>
        <w:tc>
          <w:tcPr>
            <w:tcW w:type="dxa" w:w="1440"/>
            <w:shd w:fill="FFDCE0" w:val="clear"/>
          </w:tcPr>
          <w:p>
            <w:r>
              <w:rPr>
                <w:b/>
                <w:sz w:val="17"/>
              </w:rPr>
              <w:t>7,768</w:t>
            </w:r>
          </w:p>
        </w:tc>
        <w:tc>
          <w:tcPr>
            <w:tcW w:type="dxa" w:w="1440"/>
            <w:shd w:fill="FFDCE0" w:val="clear"/>
          </w:tcPr>
          <w:p>
            <w:r>
              <w:rPr>
                <w:sz w:val="17"/>
              </w:rPr>
              <w:t>8,108</w:t>
            </w:r>
          </w:p>
        </w:tc>
        <w:tc>
          <w:tcPr>
            <w:tcW w:type="dxa" w:w="1440"/>
            <w:shd w:fill="FFDCE0" w:val="clear"/>
          </w:tcPr>
          <w:p>
            <w:r>
              <w:rPr>
                <w:b/>
                <w:color w:val="C00000"/>
                <w:sz w:val="17"/>
              </w:rPr>
              <w:t>-10.7%</w:t>
            </w:r>
          </w:p>
        </w:tc>
      </w:tr>
      <w:tr>
        <w:tc>
          <w:tcPr>
            <w:tcW w:type="dxa" w:w="1440"/>
            <w:shd w:fill="FFDCE0" w:val="clear"/>
          </w:tcPr>
          <w:p>
            <w:r>
              <w:rPr>
                <w:sz w:val="17"/>
              </w:rPr>
              <w:t>J+10  Moyenne</w:t>
            </w:r>
          </w:p>
        </w:tc>
        <w:tc>
          <w:tcPr>
            <w:tcW w:type="dxa" w:w="1440"/>
            <w:shd w:fill="FFDCE0" w:val="clear"/>
          </w:tcPr>
          <w:p>
            <w:r>
              <w:rPr>
                <w:sz w:val="17"/>
              </w:rPr>
              <w:t>2026-08-20</w:t>
            </w:r>
          </w:p>
        </w:tc>
        <w:tc>
          <w:tcPr>
            <w:tcW w:type="dxa" w:w="1440"/>
            <w:shd w:fill="FFDCE0" w:val="clear"/>
          </w:tcPr>
          <w:p>
            <w:r>
              <w:rPr>
                <w:sz w:val="17"/>
              </w:rPr>
              <w:t>7,346</w:t>
            </w:r>
          </w:p>
        </w:tc>
        <w:tc>
          <w:tcPr>
            <w:tcW w:type="dxa" w:w="1440"/>
            <w:shd w:fill="FFDCE0" w:val="clear"/>
          </w:tcPr>
          <w:p>
            <w:r>
              <w:rPr>
                <w:b/>
                <w:sz w:val="17"/>
              </w:rPr>
              <w:t>7,702</w:t>
            </w:r>
          </w:p>
        </w:tc>
        <w:tc>
          <w:tcPr>
            <w:tcW w:type="dxa" w:w="1440"/>
            <w:shd w:fill="FFDCE0" w:val="clear"/>
          </w:tcPr>
          <w:p>
            <w:r>
              <w:rPr>
                <w:sz w:val="17"/>
              </w:rPr>
              <w:t>8,057</w:t>
            </w:r>
          </w:p>
        </w:tc>
        <w:tc>
          <w:tcPr>
            <w:tcW w:type="dxa" w:w="1440"/>
            <w:shd w:fill="FFDCE0" w:val="clear"/>
          </w:tcPr>
          <w:p>
            <w:r>
              <w:rPr>
                <w:b/>
                <w:color w:val="C00000"/>
                <w:sz w:val="17"/>
              </w:rPr>
              <w:t>-11.5%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**Date de l'analyse : 05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 s'établit à 352,88 milliards FCFA, ce qui positionne la banque parmi les valeurs moyennes à grandes capitalisations de la BRVM, lui conférant une liquidité théorique appréciable. Le BPA de 496 FCFA indique que chaque action a généré un bénéfice net de près de 500 FCFA sur l'exercice. Le PER de 17,5x se situe nettement au-dessus de la moyenne historique de la BRVM (8-12x), signifiant que les investisseurs paient une prime substantielle pour les bénéfices de la banque, intégrant des attentes de croissance future. Le P/B de 3,00x confirme cette prime, le marché valorisant l'actif net comptable trois fois au-dessus de sa valeur, ce qui est typique des valeurs de croissance. Enfin, l'EV/EBITDA de 18,4x, supérieur au seuil de 15x, indique une valorisation exigeante de la capacité opérationnelle de l'entreprise, suggérant que le marché anticipe une amélioration significative de la rentabilité future.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BOAB a enregistré une progression totale de +16,08%, avec une légère baisse de -0,23% lors de la dernière séance, reflétant une consolidation après une période de hausse. Le cours a évolué dans une fourchette de 7 295 FCFA (plus bas) à 9 420 FCFA (plus haut), démontrant une amplitude de trading de près de 29%, ce qui témoigne d'une volatilité intra-période significative. La moyenne du cours (8 531 FCFA) est inférieure à la médiane (8 715 FCFA), indiquant une asymétrie négative (skewness de -0,592) : les journées de baisse ont été plus fréquentes mais de moindre ampleur que les journées de hausse qui ont tiré le cours vers le haut. L'écart-type de 612 FCFA (CV=7,2%) montre une dispersion modérée autour de la moyenne, tandis que le kurtosis de -0,830 (mésokurtique) indique une distribution proche de la normale, sans risque de variations extrêmes. La volatilité annualisée de 25,4% classe le titre dans la catégorie modérée (15-30%), ce qui est acceptable pour une valeur bancaire de la région.</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(8 700 FCFA) est inférieur à la MM20 (8 694,25 FCFA) et à la MM50 (8 811,6 FCFA), ce qui indique une tendance baissière à court et moyen terme. La position du prix sous la MM50 suggère une pression vendeuse persistante, justifiant la décision de Vente.</w:t>
      </w:r>
    </w:p>
    <w:p>
      <w:pPr>
        <w:spacing w:after="120" w:line="276" w:lineRule="auto"/>
      </w:pPr>
      <w:r>
        <w:t>**Bandes de Bollinger** : Le prix se situe à 8 700 FCFA, entre la borne inférieure (8 520,521 FCFA) et la borne supérieure (8 867,979 FCFA), proche du milieu de la bande. Cela indique une volatilité normale et un marché sans direction claire, d'où la décision Neutre.</w:t>
      </w:r>
    </w:p>
    <w:p>
      <w:pPr>
        <w:spacing w:after="120" w:line="276" w:lineRule="auto"/>
      </w:pPr>
      <w:r>
        <w:t>**MACD** : La valeur du MACD (-51,768) est supérieure à sa ligne de signal (-64,541), formant un croisement haussier. Ce signal indique un momentum positif émergent, bien que les deux valeurs restent en territoire négatif, suggérant un potentiel de reprise technique, d'où la décision Achat.</w:t>
      </w:r>
    </w:p>
    <w:p>
      <w:pPr>
        <w:spacing w:after="120" w:line="276" w:lineRule="auto"/>
      </w:pPr>
      <w:r>
        <w:t>**RSI** : À 44,521, le RSI se situe dans la zone neutre (30-70), indiquant un marché sans condition de surachat ou de survente. Cela reflète un équilibre entre acheteurs et vendeurs, justifiant la décision Neutre.</w:t>
      </w:r>
    </w:p>
    <w:p>
      <w:pPr>
        <w:spacing w:after="120" w:line="276" w:lineRule="auto"/>
      </w:pPr>
      <w:r>
        <w:t>**Stochastique** : Le %K (90,0) est nettement supérieur au %D (78,077), plaçant le titre en zone de surachat. Cette configuration, avec un %K très élevé, suggère un risque de retournement baissier imminent, d'où la décision Vente.</w:t>
      </w:r>
    </w:p>
    <w:p>
      <w:pPr>
        <w:spacing w:after="120" w:line="276" w:lineRule="auto"/>
      </w:pPr>
      <w:r>
        <w:t>**Conclusion technique** : Les indicateurs sont mitigés : les moyennes mobiles et le stochastique signalent une faiblesse et un risque de correction, tandis que le MACD montre un potentiel de reprise. Le RSI et les bandes de Bollinger sont neutres. Globalement, le titre est dans une phase de consolidation avec un biais baissier à court terme, mais un potentiel de rebond technique existe.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BOAB montrent un Produit Net Bancaire (PNB) de 51,274 milliards FCFA, en hausse de 10,2% par rapport à l'exercice précédent, et un résultat net de 20,107 milliards FCFA, démontrant une solide performance opérationnelle. Le ROE de 17,11% et le ROA de 2,08% confirment une excellente rentabilité des fonds propres et des actifs, bien au-dessus des seuils de référence. Le coefficient d'exploitation de 49,53% est excellent (&lt;50%), traduisant une gestion rigoureuse des charges. Cependant, le coût du risque de 22,50% (provisions/charges financières) est élevé, signalant une dégradation de la qualité du portefeuille de crédits. Les dépôts clients (711,642 milliards FCFA) couvrent largement les créances sur la clientèle (391,724 milliards FCFA), assurant une transformation saine. Les rapports trimestriels 2025 confirment cette dynamique : le T3 2025 affiche un PNB de 37,065 milliards FCFA (+9% en glissement annuel) et un résultat net de 15,880 milliards FCFA (+13%), malgré une contraction des crédits (-10%) et des dépôts (-5%). Le T1 2026 (rapport daté de 2026) montre une poursuite de la croissance avec un PNB de 12,329 milliards FCFA (+11%) et un résultat net de 4,502 milliards FCFA (+1%), soutenu par une hausse des commissions (+18,9%). Sur la base de ces tendances, on estime que l'exercice 2026 pourrait voir un PNB annuel proche de 55-56 milliards FCFA et un résultat net autour de 21-22 milliards FCFA, confirmant la solidité fondamentale de la banque, malgré un coût du risque à surveiller.</w:t>
      </w:r>
    </w:p>
    <w:p>
      <w:pPr>
        <w:spacing w:after="120" w:line="276" w:lineRule="auto"/>
      </w:pPr>
      <w:r>
        <w:t>---</w:t>
      </w:r>
    </w:p>
    <w:p>
      <w:pPr>
        <w:spacing w:after="120" w:line="276" w:lineRule="auto"/>
      </w:pPr>
      <w:r>
        <w:t>### PARTIE 4 : CONCLUSION D'INVESTISSEMENT</w:t>
      </w:r>
    </w:p>
    <w:p>
      <w:pPr>
        <w:spacing w:after="120" w:line="276" w:lineRule="auto"/>
      </w:pPr>
      <w:r>
        <w:t>La valorisation de BOAB (PER 17,5x, P/B 3,00x, EV/EBITDA 18,4x) est exigeante, reflétant des attentes de croissance élevées, mais les fondamentaux solides (ROE &gt;17%, coefficient d'exploitation &lt;50%) justifient en partie cette prime. Le comportement du cours sur 100 jours (+16,08%) montre une tendance haussière, mais la volatilité modérée (25,4%) et l'asymétrie négative indiquent une prudence nécessaire. Les signaux techniques sont mitigés : les moyennes mobiles et le stochastique suggèrent un risque de correction à court terme, tandis que le MACD pointe vers un potentiel de reprise. Les fondamentaux sont robustes avec une croissance soutenue du PNB et du résultat net, mais le coût du risque élevé et la contraction des crédits/dépôts sont des points de vigilance. Les prédictions IA (8 483 FCFA à 8 067 FCFA sur 10 jours) confirment le biais baissier à court terme, anticipant une poursuite de la consolidation. En synthèse, la convergence entre la valorisation élevée, les signaux techniques baissiers et les prédictions IA suggère une phase de correction après la forte hausse. **Recommandation : CONSERVER** avec un niveau de confiance **Moyen** et un risque global **Moyen**. L'horizon d'investissement optimal est le **moyen terme (3-12 mois)**, en attendant une stabilisation du cours et une clarification sur la gestion du coût du risque.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316.80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6,171 titres</w:t>
            </w:r>
          </w:p>
        </w:tc>
        <w:tc>
          <w:tcPr>
            <w:tcW w:type="dxa" w:w="2268"/>
            <w:shd w:fill="FFF2CC" w:val="clear"/>
          </w:tcPr>
          <w:p>
            <w:r>
              <w:rPr>
                <w:b/>
                <w:color w:val="503200"/>
                <w:sz w:val="16"/>
              </w:rPr>
              <w:t xml:space="preserve">Cours actuel : </w:t>
            </w:r>
            <w:r>
              <w:rPr>
                <w:color w:val="000000"/>
                <w:sz w:val="17"/>
              </w:rPr>
              <w:t>7,200 FCFA</w:t>
            </w:r>
          </w:p>
          <w:p>
            <w:r>
              <w:rPr>
                <w:b/>
                <w:color w:val="503200"/>
                <w:sz w:val="16"/>
              </w:rPr>
              <w:t xml:space="preserve">Var. 100 jours : </w:t>
            </w:r>
            <w:r>
              <w:rPr>
                <w:b/>
                <w:color w:val="007800"/>
                <w:sz w:val="17"/>
              </w:rPr>
              <w:t>+42.01%</w:t>
            </w:r>
          </w:p>
          <w:p>
            <w:r>
              <w:rPr>
                <w:b/>
                <w:color w:val="503200"/>
                <w:sz w:val="16"/>
              </w:rPr>
              <w:t xml:space="preserve">Plus haut 100j : </w:t>
            </w:r>
            <w:r>
              <w:rPr>
                <w:color w:val="000000"/>
                <w:sz w:val="17"/>
              </w:rPr>
              <w:t>7,255 FCFA</w:t>
            </w:r>
          </w:p>
          <w:p>
            <w:r>
              <w:rPr>
                <w:b/>
                <w:color w:val="503200"/>
                <w:sz w:val="16"/>
              </w:rPr>
              <w:t xml:space="preserve">Plus bas 100j : </w:t>
            </w:r>
            <w:r>
              <w:rPr>
                <w:color w:val="000000"/>
                <w:sz w:val="17"/>
              </w:rPr>
              <w:t>5,005 FCFA</w:t>
            </w:r>
          </w:p>
          <w:p>
            <w:r>
              <w:rPr>
                <w:b/>
                <w:color w:val="503200"/>
                <w:sz w:val="16"/>
              </w:rPr>
              <w:t xml:space="preserve">Volatilité ann. : </w:t>
            </w:r>
            <w:r>
              <w:rPr>
                <w:color w:val="000000"/>
                <w:sz w:val="17"/>
              </w:rPr>
              <w:t>29.5%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10.51% (Moyenne) — μ=5,805 FCFA, σ=610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β=0.2663 (Défensif) — Cov=0.000010, Var(idx)=0.000036, ρ=0.086,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6,171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σ_j=1.86%/j (Stable) — Vol. annualisée≈29.5%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2026-08-06</w:t>
            </w:r>
          </w:p>
        </w:tc>
        <w:tc>
          <w:tcPr>
            <w:tcW w:type="dxa" w:w="1440"/>
            <w:shd w:fill="FFDCE0" w:val="clear"/>
          </w:tcPr>
          <w:p>
            <w:r>
              <w:rPr>
                <w:sz w:val="17"/>
              </w:rPr>
              <w:t>6,788</w:t>
            </w:r>
          </w:p>
        </w:tc>
        <w:tc>
          <w:tcPr>
            <w:tcW w:type="dxa" w:w="1440"/>
            <w:shd w:fill="FFDCE0" w:val="clear"/>
          </w:tcPr>
          <w:p>
            <w:r>
              <w:rPr>
                <w:b/>
                <w:sz w:val="17"/>
              </w:rPr>
              <w:t>7,055</w:t>
            </w:r>
          </w:p>
        </w:tc>
        <w:tc>
          <w:tcPr>
            <w:tcW w:type="dxa" w:w="1440"/>
            <w:shd w:fill="FFDCE0" w:val="clear"/>
          </w:tcPr>
          <w:p>
            <w:r>
              <w:rPr>
                <w:sz w:val="17"/>
              </w:rPr>
              <w:t>7,323</w:t>
            </w:r>
          </w:p>
        </w:tc>
        <w:tc>
          <w:tcPr>
            <w:tcW w:type="dxa" w:w="1440"/>
            <w:shd w:fill="FFDCE0" w:val="clear"/>
          </w:tcPr>
          <w:p>
            <w:r>
              <w:rPr>
                <w:b/>
                <w:color w:val="C00000"/>
                <w:sz w:val="17"/>
              </w:rPr>
              <w:t>-2.0%</w:t>
            </w:r>
          </w:p>
        </w:tc>
      </w:tr>
      <w:tr>
        <w:tc>
          <w:tcPr>
            <w:tcW w:type="dxa" w:w="1440"/>
            <w:shd w:fill="FFDCE0" w:val="clear"/>
          </w:tcPr>
          <w:p>
            <w:r>
              <w:rPr>
                <w:sz w:val="17"/>
              </w:rPr>
              <w:t>J+2  Moyenne</w:t>
            </w:r>
          </w:p>
        </w:tc>
        <w:tc>
          <w:tcPr>
            <w:tcW w:type="dxa" w:w="1440"/>
            <w:shd w:fill="FFDCE0" w:val="clear"/>
          </w:tcPr>
          <w:p>
            <w:r>
              <w:rPr>
                <w:sz w:val="17"/>
              </w:rPr>
              <w:t>2026-08-10</w:t>
            </w:r>
          </w:p>
        </w:tc>
        <w:tc>
          <w:tcPr>
            <w:tcW w:type="dxa" w:w="1440"/>
            <w:shd w:fill="FFDCE0" w:val="clear"/>
          </w:tcPr>
          <w:p>
            <w:r>
              <w:rPr>
                <w:sz w:val="17"/>
              </w:rPr>
              <w:t>6,582</w:t>
            </w:r>
          </w:p>
        </w:tc>
        <w:tc>
          <w:tcPr>
            <w:tcW w:type="dxa" w:w="1440"/>
            <w:shd w:fill="FFDCE0" w:val="clear"/>
          </w:tcPr>
          <w:p>
            <w:r>
              <w:rPr>
                <w:b/>
                <w:sz w:val="17"/>
              </w:rPr>
              <w:t>6,955</w:t>
            </w:r>
          </w:p>
        </w:tc>
        <w:tc>
          <w:tcPr>
            <w:tcW w:type="dxa" w:w="1440"/>
            <w:shd w:fill="FFDCE0" w:val="clear"/>
          </w:tcPr>
          <w:p>
            <w:r>
              <w:rPr>
                <w:sz w:val="17"/>
              </w:rPr>
              <w:t>7,328</w:t>
            </w:r>
          </w:p>
        </w:tc>
        <w:tc>
          <w:tcPr>
            <w:tcW w:type="dxa" w:w="1440"/>
            <w:shd w:fill="FFDCE0" w:val="clear"/>
          </w:tcPr>
          <w:p>
            <w:r>
              <w:rPr>
                <w:b/>
                <w:color w:val="C00000"/>
                <w:sz w:val="17"/>
              </w:rPr>
              <w:t>-3.4%</w:t>
            </w:r>
          </w:p>
        </w:tc>
      </w:tr>
      <w:tr>
        <w:tc>
          <w:tcPr>
            <w:tcW w:type="dxa" w:w="1440"/>
            <w:shd w:fill="FFDCE0" w:val="clear"/>
          </w:tcPr>
          <w:p>
            <w:r>
              <w:rPr>
                <w:sz w:val="17"/>
              </w:rPr>
              <w:t>J+3  Moyenne</w:t>
            </w:r>
          </w:p>
        </w:tc>
        <w:tc>
          <w:tcPr>
            <w:tcW w:type="dxa" w:w="1440"/>
            <w:shd w:fill="FFDCE0" w:val="clear"/>
          </w:tcPr>
          <w:p>
            <w:r>
              <w:rPr>
                <w:sz w:val="17"/>
              </w:rPr>
              <w:t>2026-08-11</w:t>
            </w:r>
          </w:p>
        </w:tc>
        <w:tc>
          <w:tcPr>
            <w:tcW w:type="dxa" w:w="1440"/>
            <w:shd w:fill="FFDCE0" w:val="clear"/>
          </w:tcPr>
          <w:p>
            <w:r>
              <w:rPr>
                <w:sz w:val="17"/>
              </w:rPr>
              <w:t>6,419</w:t>
            </w:r>
          </w:p>
        </w:tc>
        <w:tc>
          <w:tcPr>
            <w:tcW w:type="dxa" w:w="1440"/>
            <w:shd w:fill="FFDCE0" w:val="clear"/>
          </w:tcPr>
          <w:p>
            <w:r>
              <w:rPr>
                <w:b/>
                <w:sz w:val="17"/>
              </w:rPr>
              <w:t>6,870</w:t>
            </w:r>
          </w:p>
        </w:tc>
        <w:tc>
          <w:tcPr>
            <w:tcW w:type="dxa" w:w="1440"/>
            <w:shd w:fill="FFDCE0" w:val="clear"/>
          </w:tcPr>
          <w:p>
            <w:r>
              <w:rPr>
                <w:sz w:val="17"/>
              </w:rPr>
              <w:t>7,322</w:t>
            </w:r>
          </w:p>
        </w:tc>
        <w:tc>
          <w:tcPr>
            <w:tcW w:type="dxa" w:w="1440"/>
            <w:shd w:fill="FFDCE0" w:val="clear"/>
          </w:tcPr>
          <w:p>
            <w:r>
              <w:rPr>
                <w:b/>
                <w:color w:val="C00000"/>
                <w:sz w:val="17"/>
              </w:rPr>
              <w:t>-4.6%</w:t>
            </w:r>
          </w:p>
        </w:tc>
      </w:tr>
      <w:tr>
        <w:tc>
          <w:tcPr>
            <w:tcW w:type="dxa" w:w="1440"/>
            <w:shd w:fill="FFDCE0" w:val="clear"/>
          </w:tcPr>
          <w:p>
            <w:r>
              <w:rPr>
                <w:sz w:val="17"/>
              </w:rPr>
              <w:t>J+4  ⭐</w:t>
            </w:r>
          </w:p>
        </w:tc>
        <w:tc>
          <w:tcPr>
            <w:tcW w:type="dxa" w:w="1440"/>
            <w:shd w:fill="FFDCE0" w:val="clear"/>
          </w:tcPr>
          <w:p>
            <w:r>
              <w:rPr>
                <w:sz w:val="17"/>
              </w:rPr>
              <w:t>2026-08-12</w:t>
            </w:r>
          </w:p>
        </w:tc>
        <w:tc>
          <w:tcPr>
            <w:tcW w:type="dxa" w:w="1440"/>
            <w:shd w:fill="FFDCE0" w:val="clear"/>
          </w:tcPr>
          <w:p>
            <w:r>
              <w:rPr>
                <w:sz w:val="17"/>
              </w:rPr>
              <w:t>6,285</w:t>
            </w:r>
          </w:p>
        </w:tc>
        <w:tc>
          <w:tcPr>
            <w:tcW w:type="dxa" w:w="1440"/>
            <w:shd w:fill="FFDCE0" w:val="clear"/>
          </w:tcPr>
          <w:p>
            <w:r>
              <w:rPr>
                <w:b/>
                <w:sz w:val="17"/>
              </w:rPr>
              <w:t>6,801</w:t>
            </w:r>
          </w:p>
        </w:tc>
        <w:tc>
          <w:tcPr>
            <w:tcW w:type="dxa" w:w="1440"/>
            <w:shd w:fill="FFDCE0" w:val="clear"/>
          </w:tcPr>
          <w:p>
            <w:r>
              <w:rPr>
                <w:sz w:val="17"/>
              </w:rPr>
              <w:t>7,317</w:t>
            </w:r>
          </w:p>
        </w:tc>
        <w:tc>
          <w:tcPr>
            <w:tcW w:type="dxa" w:w="1440"/>
            <w:shd w:fill="FFDCE0" w:val="clear"/>
          </w:tcPr>
          <w:p>
            <w:r>
              <w:rPr>
                <w:b/>
                <w:color w:val="C00000"/>
                <w:sz w:val="17"/>
              </w:rPr>
              <w:t>-5.5%</w:t>
            </w:r>
          </w:p>
        </w:tc>
      </w:tr>
      <w:tr>
        <w:tc>
          <w:tcPr>
            <w:tcW w:type="dxa" w:w="1440"/>
            <w:shd w:fill="FFDCE0" w:val="clear"/>
          </w:tcPr>
          <w:p>
            <w:r>
              <w:rPr>
                <w:sz w:val="17"/>
              </w:rPr>
              <w:t>J+5  ⭐</w:t>
            </w:r>
          </w:p>
        </w:tc>
        <w:tc>
          <w:tcPr>
            <w:tcW w:type="dxa" w:w="1440"/>
            <w:shd w:fill="FFDCE0" w:val="clear"/>
          </w:tcPr>
          <w:p>
            <w:r>
              <w:rPr>
                <w:sz w:val="17"/>
              </w:rPr>
              <w:t>2026-08-13</w:t>
            </w:r>
          </w:p>
        </w:tc>
        <w:tc>
          <w:tcPr>
            <w:tcW w:type="dxa" w:w="1440"/>
            <w:shd w:fill="FFDCE0" w:val="clear"/>
          </w:tcPr>
          <w:p>
            <w:r>
              <w:rPr>
                <w:sz w:val="17"/>
              </w:rPr>
              <w:t>6,169</w:t>
            </w:r>
          </w:p>
        </w:tc>
        <w:tc>
          <w:tcPr>
            <w:tcW w:type="dxa" w:w="1440"/>
            <w:shd w:fill="FFDCE0" w:val="clear"/>
          </w:tcPr>
          <w:p>
            <w:r>
              <w:rPr>
                <w:b/>
                <w:sz w:val="17"/>
              </w:rPr>
              <w:t>6,741</w:t>
            </w:r>
          </w:p>
        </w:tc>
        <w:tc>
          <w:tcPr>
            <w:tcW w:type="dxa" w:w="1440"/>
            <w:shd w:fill="FFDCE0" w:val="clear"/>
          </w:tcPr>
          <w:p>
            <w:r>
              <w:rPr>
                <w:sz w:val="17"/>
              </w:rPr>
              <w:t>7,312</w:t>
            </w:r>
          </w:p>
        </w:tc>
        <w:tc>
          <w:tcPr>
            <w:tcW w:type="dxa" w:w="1440"/>
            <w:shd w:fill="FFDCE0" w:val="clear"/>
          </w:tcPr>
          <w:p>
            <w:r>
              <w:rPr>
                <w:b/>
                <w:color w:val="C00000"/>
                <w:sz w:val="17"/>
              </w:rPr>
              <w:t>-6.4%</w:t>
            </w:r>
          </w:p>
        </w:tc>
      </w:tr>
      <w:tr>
        <w:tc>
          <w:tcPr>
            <w:tcW w:type="dxa" w:w="1440"/>
            <w:shd w:fill="FFDCE0" w:val="clear"/>
          </w:tcPr>
          <w:p>
            <w:r>
              <w:rPr>
                <w:sz w:val="17"/>
              </w:rPr>
              <w:t>J+6  ⭐</w:t>
            </w:r>
          </w:p>
        </w:tc>
        <w:tc>
          <w:tcPr>
            <w:tcW w:type="dxa" w:w="1440"/>
            <w:shd w:fill="FFDCE0" w:val="clear"/>
          </w:tcPr>
          <w:p>
            <w:r>
              <w:rPr>
                <w:sz w:val="17"/>
              </w:rPr>
              <w:t>2026-08-14</w:t>
            </w:r>
          </w:p>
        </w:tc>
        <w:tc>
          <w:tcPr>
            <w:tcW w:type="dxa" w:w="1440"/>
            <w:shd w:fill="FFDCE0" w:val="clear"/>
          </w:tcPr>
          <w:p>
            <w:r>
              <w:rPr>
                <w:sz w:val="17"/>
              </w:rPr>
              <w:t>6,064</w:t>
            </w:r>
          </w:p>
        </w:tc>
        <w:tc>
          <w:tcPr>
            <w:tcW w:type="dxa" w:w="1440"/>
            <w:shd w:fill="FFDCE0" w:val="clear"/>
          </w:tcPr>
          <w:p>
            <w:r>
              <w:rPr>
                <w:b/>
                <w:sz w:val="17"/>
              </w:rPr>
              <w:t>6,685</w:t>
            </w:r>
          </w:p>
        </w:tc>
        <w:tc>
          <w:tcPr>
            <w:tcW w:type="dxa" w:w="1440"/>
            <w:shd w:fill="FFDCE0" w:val="clear"/>
          </w:tcPr>
          <w:p>
            <w:r>
              <w:rPr>
                <w:sz w:val="17"/>
              </w:rPr>
              <w:t>7,306</w:t>
            </w:r>
          </w:p>
        </w:tc>
        <w:tc>
          <w:tcPr>
            <w:tcW w:type="dxa" w:w="1440"/>
            <w:shd w:fill="FFDCE0" w:val="clear"/>
          </w:tcPr>
          <w:p>
            <w:r>
              <w:rPr>
                <w:b/>
                <w:color w:val="C00000"/>
                <w:sz w:val="17"/>
              </w:rPr>
              <w:t>-7.2%</w:t>
            </w:r>
          </w:p>
        </w:tc>
      </w:tr>
      <w:tr>
        <w:tc>
          <w:tcPr>
            <w:tcW w:type="dxa" w:w="1440"/>
            <w:shd w:fill="FFDCE0" w:val="clear"/>
          </w:tcPr>
          <w:p>
            <w:r>
              <w:rPr>
                <w:sz w:val="17"/>
              </w:rPr>
              <w:t>J+7  ⭐</w:t>
            </w:r>
          </w:p>
        </w:tc>
        <w:tc>
          <w:tcPr>
            <w:tcW w:type="dxa" w:w="1440"/>
            <w:shd w:fill="FFDCE0" w:val="clear"/>
          </w:tcPr>
          <w:p>
            <w:r>
              <w:rPr>
                <w:sz w:val="17"/>
              </w:rPr>
              <w:t>2026-08-17</w:t>
            </w:r>
          </w:p>
        </w:tc>
        <w:tc>
          <w:tcPr>
            <w:tcW w:type="dxa" w:w="1440"/>
            <w:shd w:fill="FFDCE0" w:val="clear"/>
          </w:tcPr>
          <w:p>
            <w:r>
              <w:rPr>
                <w:sz w:val="17"/>
              </w:rPr>
              <w:t>5,966</w:t>
            </w:r>
          </w:p>
        </w:tc>
        <w:tc>
          <w:tcPr>
            <w:tcW w:type="dxa" w:w="1440"/>
            <w:shd w:fill="FFDCE0" w:val="clear"/>
          </w:tcPr>
          <w:p>
            <w:r>
              <w:rPr>
                <w:b/>
                <w:sz w:val="17"/>
              </w:rPr>
              <w:t>6,632</w:t>
            </w:r>
          </w:p>
        </w:tc>
        <w:tc>
          <w:tcPr>
            <w:tcW w:type="dxa" w:w="1440"/>
            <w:shd w:fill="FFDCE0" w:val="clear"/>
          </w:tcPr>
          <w:p>
            <w:r>
              <w:rPr>
                <w:sz w:val="17"/>
              </w:rPr>
              <w:t>7,297</w:t>
            </w:r>
          </w:p>
        </w:tc>
        <w:tc>
          <w:tcPr>
            <w:tcW w:type="dxa" w:w="1440"/>
            <w:shd w:fill="FFDCE0" w:val="clear"/>
          </w:tcPr>
          <w:p>
            <w:r>
              <w:rPr>
                <w:b/>
                <w:color w:val="C00000"/>
                <w:sz w:val="17"/>
              </w:rPr>
              <w:t>-7.9%</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5,875</w:t>
            </w:r>
          </w:p>
        </w:tc>
        <w:tc>
          <w:tcPr>
            <w:tcW w:type="dxa" w:w="1440"/>
            <w:shd w:fill="FFDCE0" w:val="clear"/>
          </w:tcPr>
          <w:p>
            <w:r>
              <w:rPr>
                <w:b/>
                <w:sz w:val="17"/>
              </w:rPr>
              <w:t>6,581</w:t>
            </w:r>
          </w:p>
        </w:tc>
        <w:tc>
          <w:tcPr>
            <w:tcW w:type="dxa" w:w="1440"/>
            <w:shd w:fill="FFDCE0" w:val="clear"/>
          </w:tcPr>
          <w:p>
            <w:r>
              <w:rPr>
                <w:sz w:val="17"/>
              </w:rPr>
              <w:t>7,287</w:t>
            </w:r>
          </w:p>
        </w:tc>
        <w:tc>
          <w:tcPr>
            <w:tcW w:type="dxa" w:w="1440"/>
            <w:shd w:fill="FFDCE0" w:val="clear"/>
          </w:tcPr>
          <w:p>
            <w:r>
              <w:rPr>
                <w:b/>
                <w:color w:val="C00000"/>
                <w:sz w:val="17"/>
              </w:rPr>
              <w:t>-8.6%</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5,789</w:t>
            </w:r>
          </w:p>
        </w:tc>
        <w:tc>
          <w:tcPr>
            <w:tcW w:type="dxa" w:w="1440"/>
            <w:shd w:fill="FFDCE0" w:val="clear"/>
          </w:tcPr>
          <w:p>
            <w:r>
              <w:rPr>
                <w:b/>
                <w:sz w:val="17"/>
              </w:rPr>
              <w:t>6,532</w:t>
            </w:r>
          </w:p>
        </w:tc>
        <w:tc>
          <w:tcPr>
            <w:tcW w:type="dxa" w:w="1440"/>
            <w:shd w:fill="FFDCE0" w:val="clear"/>
          </w:tcPr>
          <w:p>
            <w:r>
              <w:rPr>
                <w:sz w:val="17"/>
              </w:rPr>
              <w:t>7,275</w:t>
            </w:r>
          </w:p>
        </w:tc>
        <w:tc>
          <w:tcPr>
            <w:tcW w:type="dxa" w:w="1440"/>
            <w:shd w:fill="FFDCE0" w:val="clear"/>
          </w:tcPr>
          <w:p>
            <w:r>
              <w:rPr>
                <w:b/>
                <w:color w:val="C00000"/>
                <w:sz w:val="17"/>
              </w:rPr>
              <w:t>-9.3%</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5,707</w:t>
            </w:r>
          </w:p>
        </w:tc>
        <w:tc>
          <w:tcPr>
            <w:tcW w:type="dxa" w:w="1440"/>
            <w:shd w:fill="FFDCE0" w:val="clear"/>
          </w:tcPr>
          <w:p>
            <w:r>
              <w:rPr>
                <w:b/>
                <w:sz w:val="17"/>
              </w:rPr>
              <w:t>6,484</w:t>
            </w:r>
          </w:p>
        </w:tc>
        <w:tc>
          <w:tcPr>
            <w:tcW w:type="dxa" w:w="1440"/>
            <w:shd w:fill="FFDCE0" w:val="clear"/>
          </w:tcPr>
          <w:p>
            <w:r>
              <w:rPr>
                <w:sz w:val="17"/>
              </w:rPr>
              <w:t>7,262</w:t>
            </w:r>
          </w:p>
        </w:tc>
        <w:tc>
          <w:tcPr>
            <w:tcW w:type="dxa" w:w="1440"/>
            <w:shd w:fill="FFDCE0" w:val="clear"/>
          </w:tcPr>
          <w:p>
            <w:r>
              <w:rPr>
                <w:b/>
                <w:color w:val="C00000"/>
                <w:sz w:val="17"/>
              </w:rPr>
              <w:t>-9.9%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 BURKINA FASO (BOABF)**</w:t>
        <w:br/>
        <w:t>**Date de l'analyse : 05 Août 2026**</w:t>
        <w:br/>
        <w:t>**Secteur : Banque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BOABF s'établit à 316,80 milliards FCFA, un niveau qui la positionne parmi les valeurs moyennes à grandes capitalisations de la BRVM, lui conférant une liquidité et une visibilité notables. Le BPA de 438 FCFA indique que chaque action génère un bénéfice substantiel, mais le PER de 16,5x est nettement supérieur à la moyenne historique du marché (8-12x). Les investisseurs paient donc une prime significative, anticipant une croissance future des bénéfices. Le P/B de 2,50x confirme cette prime, le marché valorisant la société à 2,5 fois sa valeur comptable, ce qui est typique pour une banque avec un ROE élevé. Enfin, l'EV/EBITDA de 6,9x, dans la fourchette basse des 5-10x, indique que la valorisation de l'entreprise par rapport à sa capacité opérationnelle reste raisonnable, tempérant le jugement sur le PER.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BOABF a connu une performance exceptionnelle avec une variation totale de +42,01%, passant d'un plus bas de 5 005 FCFA à un plus haut de 7 255 FCFA. La dernière séance est stable (0,00%), le cours se situant à 7 200 FCFA, proche de son plus haut, ce qui témoigne d'une forte dynamique haussière. L'analyse statistique révèle une moyenne de 5 805 FCFA et une médiane de 5 590 FCFA ; l'écart entre ces deux valeurs, couplé à un skewness positif de 1,466, confirme une distribution asymétrique avec une concentration de jours de trading sous la moyenne, mais des épisodes de hausse marqués. L'écart-type de 613 FCFA (CV=10,6%) indique une dispersion modérée, tandis que le kurtosis de 0,733 (mésokurtique) suggère un risque de pics limité. La volatilité annualisée de 29,5% classe le titre comme à volatilité élevée, ce qui implique un risque de variation important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(7 200 FCFA) est nettement au-dessus de la MM20 (6 917,25 FCFA) et de la MM50 (6 152,9 FCFA). Cette configuration haussière, où le prix est soutenu par les moyennes mobiles à court et moyen terme, justifie la décision d'**Achat**, confirmant la tendance positive de fond.</w:t>
      </w:r>
    </w:p>
    <w:p>
      <w:pPr>
        <w:spacing w:after="120" w:line="276" w:lineRule="auto"/>
      </w:pPr>
      <w:r>
        <w:t>**Bandes de Bollinger** : Le prix se situe dans la partie supérieure des bandes (borne supérieure à 7 776 FCFA, borne inférieure à 6 058 FCFA), sans la toucher. Cela indique une volatilité modérée et une dynamique positive sans être surachetée. La décision est **Neutre**, le marché laissant une marge de progression avant d'atteindre une zone de surachat.</w:t>
      </w:r>
    </w:p>
    <w:p>
      <w:pPr>
        <w:spacing w:after="120" w:line="276" w:lineRule="auto"/>
      </w:pPr>
      <w:r>
        <w:t>**MACD** : La valeur du MACD (315,47) est inférieure à sa ligne de signal (340,19), indiquant un ralentissement du momentum haussier. Bien que les deux lignes soient en territoire positif, ce croisement baissier suggère une perte de vigueur à court terme, justifiant la décision de **Vente** pour les traders à court terme.</w:t>
      </w:r>
    </w:p>
    <w:p>
      <w:pPr>
        <w:spacing w:after="120" w:line="276" w:lineRule="auto"/>
      </w:pPr>
      <w:r>
        <w:t>**RSI** : Avec une valeur de 47,79, le RSI est en zone neutre (entre 30 et 70). Il n'y a ni surachat ni survente, ce qui indique que le marché est équilibré. La décision est **Neutre**, laissant place à une possible poursuite de la hausse ou un repli sans signal extrême.</w:t>
      </w:r>
    </w:p>
    <w:p>
      <w:pPr>
        <w:spacing w:after="120" w:line="276" w:lineRule="auto"/>
      </w:pPr>
      <w:r>
        <w:t>**Stochastique** : Le %K (100,0) et le %D (90,57) sont tous deux en zone de surachat (&gt;80). Cette configuration extrême signale que le titre est temporairement survendu et qu'un repli technique est probable à très court terme, justifiant la décision de **Vente**.</w:t>
      </w:r>
    </w:p>
    <w:p>
      <w:pPr>
        <w:spacing w:after="120" w:line="276" w:lineRule="auto"/>
      </w:pPr>
      <w:r>
        <w:t>**Conclusion technique** : Les indicateurs de tendance (MM) sont positifs, mais les oscillateurs de momentum (MACD, Stochastique) montrent des signes de faiblesse et de surachat à court terme. La configuration suggère une consolidation ou un léger repli après une forte hausse, avant une possible reprise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BOABF font état d'un Produit Net Bancaire (PNB) de 57,82 milliards FCFA, en légère croissance de 0,57%. Le résultat net s'établit à 19,25 milliards FCFA, portant la marge nette à 33,3%. La rentabilité des fonds propres (ROE) est excellente à 15,22%, et le ROA de 1,68% est correct. Le coefficient d'exploitation de 47,19% démontre une excellente maîtrise des charges, mais le coût du risque est élevé (33,92%), signalant une dégradation de la qualité du portefeuille de crédits. Les rapports trimestriels de 2025 confirment cette tendance : le T1 2025 (PNB 14,22 Mds, RN 5,20 Mds) et le S1 2025 (RN 8,22 Mds, -46,5%) montrent une chute de la rentabilité due à une explosion des provisions. Le rapport du 3ème trimestre 2025 (RN 13,45 Mds, -27,7%) confirme la pression continue du coût du risque. Enfin, le rapport du T1 2026 (publié en 2026) indique un PNB de 12,69 Mds (-10,75%) et un RN de 4,52 Mds (-12,99%), suggérant une poursuite de la dégradation. On estime que l'exercice 2026 pourrait voir un résultat net en baisse de 10 à 15% si la tendance se maintient, malgré une collecte de dépôts dynamique (+6,3% au T1 2026).</w:t>
      </w:r>
    </w:p>
    <w:p>
      <w:pPr>
        <w:spacing w:after="120" w:line="276" w:lineRule="auto"/>
      </w:pPr>
      <w:r>
        <w:t>---</w:t>
      </w:r>
    </w:p>
    <w:p>
      <w:pPr>
        <w:spacing w:after="120" w:line="276" w:lineRule="auto"/>
      </w:pPr>
      <w:r>
        <w:t>### PARTIE 4 : CONCLUSION D'INVESTISSEMENT</w:t>
      </w:r>
    </w:p>
    <w:p>
      <w:pPr>
        <w:spacing w:after="120" w:line="276" w:lineRule="auto"/>
      </w:pPr>
      <w:r>
        <w:t>La valorisation de BOABF (PER 16,5x, P/B 2,5x) est exigeante, intégrant des attentes de croissance qui ne se matérialisent pas dans les fondamentaux récents. Le comportement du cours (+42% en 100 jours) est très positif, mais la volatilité élevée et les statistiques (skewness positif) suggèrent un risque de retournement. Les signaux techniques sont mitigés : la tendance de fond est haussière (MM), mais les indicateurs de momentum (MACD, Stochastique) signalent un épuisement à court terme. Les fondamentaux, bien que solides (ROE &gt;15%), montrent une dégradation nette de la rentabilité due à un coût du risque élevé, avec des perspectives 2026 pessimistes. Les prédictions IA (baisse de 7 200 à 6 741 FCFA sur 10 jours) confirment cette analyse technique de consolidation. En synthèse, la convergence entre les signaux techniques de court terme et les prédictions IA, couplée à une divergence avec la valorisation et les fondamentaux en déclin, conduit à une recommandation **CONSERVER**. Le niveau de confiance est **Moyen**, le risque global est **Élevé** (volatilité et contexte sécuritaire), et l'horizon d'investissement optimal est le **moyen terme (3-12 mois)** pour observer une stabilisation du coût du risque et une reprise de la croissance du PNB.</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14,200 titres</w:t>
            </w:r>
          </w:p>
        </w:tc>
        <w:tc>
          <w:tcPr>
            <w:tcW w:type="dxa" w:w="2268"/>
            <w:shd w:fill="FFF2CC" w:val="clear"/>
          </w:tcPr>
          <w:p>
            <w:r>
              <w:rPr>
                <w:b/>
                <w:color w:val="503200"/>
                <w:sz w:val="16"/>
              </w:rPr>
              <w:t xml:space="preserve">Cours actuel : </w:t>
            </w:r>
            <w:r>
              <w:rPr>
                <w:color w:val="000000"/>
                <w:sz w:val="17"/>
              </w:rPr>
              <w:t>11,600 FCFA</w:t>
            </w:r>
          </w:p>
          <w:p>
            <w:r>
              <w:rPr>
                <w:b/>
                <w:color w:val="503200"/>
                <w:sz w:val="16"/>
              </w:rPr>
              <w:t xml:space="preserve">Var. 100 jours : </w:t>
            </w:r>
            <w:r>
              <w:rPr>
                <w:b/>
                <w:color w:val="007800"/>
                <w:sz w:val="17"/>
              </w:rPr>
              <w:t>+34.88%</w:t>
            </w:r>
          </w:p>
          <w:p>
            <w:r>
              <w:rPr>
                <w:b/>
                <w:color w:val="503200"/>
                <w:sz w:val="16"/>
              </w:rPr>
              <w:t xml:space="preserve">Plus haut 100j : </w:t>
            </w:r>
            <w:r>
              <w:rPr>
                <w:color w:val="000000"/>
                <w:sz w:val="17"/>
              </w:rPr>
              <w:t>11,600 FCFA</w:t>
            </w:r>
          </w:p>
          <w:p>
            <w:r>
              <w:rPr>
                <w:b/>
                <w:color w:val="503200"/>
                <w:sz w:val="16"/>
              </w:rPr>
              <w:t xml:space="preserve">Plus bas 100j : </w:t>
            </w:r>
            <w:r>
              <w:rPr>
                <w:color w:val="000000"/>
                <w:sz w:val="17"/>
              </w:rPr>
              <w:t>8,100 FCFA</w:t>
            </w:r>
          </w:p>
          <w:p>
            <w:r>
              <w:rPr>
                <w:b/>
                <w:color w:val="503200"/>
                <w:sz w:val="16"/>
              </w:rPr>
              <w:t xml:space="preserve">Volatilité ann. : </w:t>
            </w:r>
            <w:r>
              <w:rPr>
                <w:color w:val="000000"/>
                <w:sz w:val="17"/>
              </w:rPr>
              <w:t>27.0%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17.1/100 → Faible</w:t>
      </w:r>
    </w:p>
    <w:p>
      <w:pPr>
        <w:spacing w:before="40" w:after="80"/>
      </w:pPr>
      <w:r>
        <w:rPr>
          <w:rFonts w:ascii="Courier New" w:hAnsi="Courier New"/>
          <w:color w:val="006400"/>
          <w:sz w:val="18"/>
        </w:rPr>
        <w:t>███░░░░░░░░░░░░░░░░░  17.1/100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7.94% (Moyenne) — μ=9,122 FCFA, σ=724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β=0.6391 (Défensif) — Cov=0.000023, Var(idx)=0.000036, ρ=0.226,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14,200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σ_j=1.70%/j (Stable) — Vol. annualisée≈27.0%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2026-08-06</w:t>
            </w:r>
          </w:p>
        </w:tc>
        <w:tc>
          <w:tcPr>
            <w:tcW w:type="dxa" w:w="1440"/>
            <w:shd w:fill="FFDCE0" w:val="clear"/>
          </w:tcPr>
          <w:p>
            <w:r>
              <w:rPr>
                <w:sz w:val="17"/>
              </w:rPr>
              <w:t>10,786</w:t>
            </w:r>
          </w:p>
        </w:tc>
        <w:tc>
          <w:tcPr>
            <w:tcW w:type="dxa" w:w="1440"/>
            <w:shd w:fill="FFDCE0" w:val="clear"/>
          </w:tcPr>
          <w:p>
            <w:r>
              <w:rPr>
                <w:b/>
                <w:sz w:val="17"/>
              </w:rPr>
              <w:t>11,116</w:t>
            </w:r>
          </w:p>
        </w:tc>
        <w:tc>
          <w:tcPr>
            <w:tcW w:type="dxa" w:w="1440"/>
            <w:shd w:fill="FFDCE0" w:val="clear"/>
          </w:tcPr>
          <w:p>
            <w:r>
              <w:rPr>
                <w:sz w:val="17"/>
              </w:rPr>
              <w:t>11,445</w:t>
            </w:r>
          </w:p>
        </w:tc>
        <w:tc>
          <w:tcPr>
            <w:tcW w:type="dxa" w:w="1440"/>
            <w:shd w:fill="FFDCE0" w:val="clear"/>
          </w:tcPr>
          <w:p>
            <w:r>
              <w:rPr>
                <w:b/>
                <w:color w:val="C00000"/>
                <w:sz w:val="17"/>
              </w:rPr>
              <w:t>-4.2%</w:t>
            </w:r>
          </w:p>
        </w:tc>
      </w:tr>
      <w:tr>
        <w:tc>
          <w:tcPr>
            <w:tcW w:type="dxa" w:w="1440"/>
            <w:shd w:fill="FFDCE0" w:val="clear"/>
          </w:tcPr>
          <w:p>
            <w:r>
              <w:rPr>
                <w:sz w:val="17"/>
              </w:rPr>
              <w:t>J+2  ⭐⭐⭐</w:t>
            </w:r>
          </w:p>
        </w:tc>
        <w:tc>
          <w:tcPr>
            <w:tcW w:type="dxa" w:w="1440"/>
            <w:shd w:fill="FFDCE0" w:val="clear"/>
          </w:tcPr>
          <w:p>
            <w:r>
              <w:rPr>
                <w:sz w:val="17"/>
              </w:rPr>
              <w:t>2026-08-10</w:t>
            </w:r>
          </w:p>
        </w:tc>
        <w:tc>
          <w:tcPr>
            <w:tcW w:type="dxa" w:w="1440"/>
            <w:shd w:fill="FFDCE0" w:val="clear"/>
          </w:tcPr>
          <w:p>
            <w:r>
              <w:rPr>
                <w:sz w:val="17"/>
              </w:rPr>
              <w:t>10,299</w:t>
            </w:r>
          </w:p>
        </w:tc>
        <w:tc>
          <w:tcPr>
            <w:tcW w:type="dxa" w:w="1440"/>
            <w:shd w:fill="FFDCE0" w:val="clear"/>
          </w:tcPr>
          <w:p>
            <w:r>
              <w:rPr>
                <w:b/>
                <w:sz w:val="17"/>
              </w:rPr>
              <w:t>10,750</w:t>
            </w:r>
          </w:p>
        </w:tc>
        <w:tc>
          <w:tcPr>
            <w:tcW w:type="dxa" w:w="1440"/>
            <w:shd w:fill="FFDCE0" w:val="clear"/>
          </w:tcPr>
          <w:p>
            <w:r>
              <w:rPr>
                <w:sz w:val="17"/>
              </w:rPr>
              <w:t>11,201</w:t>
            </w:r>
          </w:p>
        </w:tc>
        <w:tc>
          <w:tcPr>
            <w:tcW w:type="dxa" w:w="1440"/>
            <w:shd w:fill="FFDCE0" w:val="clear"/>
          </w:tcPr>
          <w:p>
            <w:r>
              <w:rPr>
                <w:b/>
                <w:color w:val="C00000"/>
                <w:sz w:val="17"/>
              </w:rPr>
              <w:t>-7.3%</w:t>
            </w:r>
          </w:p>
        </w:tc>
      </w:tr>
      <w:tr>
        <w:tc>
          <w:tcPr>
            <w:tcW w:type="dxa" w:w="1440"/>
            <w:shd w:fill="FFDCE0" w:val="clear"/>
          </w:tcPr>
          <w:p>
            <w:r>
              <w:rPr>
                <w:sz w:val="17"/>
              </w:rPr>
              <w:t>J+3  ⭐⭐⭐</w:t>
            </w:r>
          </w:p>
        </w:tc>
        <w:tc>
          <w:tcPr>
            <w:tcW w:type="dxa" w:w="1440"/>
            <w:shd w:fill="FFDCE0" w:val="clear"/>
          </w:tcPr>
          <w:p>
            <w:r>
              <w:rPr>
                <w:sz w:val="17"/>
              </w:rPr>
              <w:t>2026-08-11</w:t>
            </w:r>
          </w:p>
        </w:tc>
        <w:tc>
          <w:tcPr>
            <w:tcW w:type="dxa" w:w="1440"/>
            <w:shd w:fill="FFDCE0" w:val="clear"/>
          </w:tcPr>
          <w:p>
            <w:r>
              <w:rPr>
                <w:sz w:val="17"/>
              </w:rPr>
              <w:t>9,831</w:t>
            </w:r>
          </w:p>
        </w:tc>
        <w:tc>
          <w:tcPr>
            <w:tcW w:type="dxa" w:w="1440"/>
            <w:shd w:fill="FFDCE0" w:val="clear"/>
          </w:tcPr>
          <w:p>
            <w:r>
              <w:rPr>
                <w:b/>
                <w:sz w:val="17"/>
              </w:rPr>
              <w:t>10,364</w:t>
            </w:r>
          </w:p>
        </w:tc>
        <w:tc>
          <w:tcPr>
            <w:tcW w:type="dxa" w:w="1440"/>
            <w:shd w:fill="FFDCE0" w:val="clear"/>
          </w:tcPr>
          <w:p>
            <w:r>
              <w:rPr>
                <w:sz w:val="17"/>
              </w:rPr>
              <w:t>10,896</w:t>
            </w:r>
          </w:p>
        </w:tc>
        <w:tc>
          <w:tcPr>
            <w:tcW w:type="dxa" w:w="1440"/>
            <w:shd w:fill="FFDCE0" w:val="clear"/>
          </w:tcPr>
          <w:p>
            <w:r>
              <w:rPr>
                <w:b/>
                <w:color w:val="C00000"/>
                <w:sz w:val="17"/>
              </w:rPr>
              <w:t>-10.7%</w:t>
            </w:r>
          </w:p>
        </w:tc>
      </w:tr>
      <w:tr>
        <w:tc>
          <w:tcPr>
            <w:tcW w:type="dxa" w:w="1440"/>
            <w:shd w:fill="FFDCE0" w:val="clear"/>
          </w:tcPr>
          <w:p>
            <w:r>
              <w:rPr>
                <w:sz w:val="17"/>
              </w:rPr>
              <w:t>J+4  Moyenne</w:t>
            </w:r>
          </w:p>
        </w:tc>
        <w:tc>
          <w:tcPr>
            <w:tcW w:type="dxa" w:w="1440"/>
            <w:shd w:fill="FFDCE0" w:val="clear"/>
          </w:tcPr>
          <w:p>
            <w:r>
              <w:rPr>
                <w:sz w:val="17"/>
              </w:rPr>
              <w:t>2026-08-12</w:t>
            </w:r>
          </w:p>
        </w:tc>
        <w:tc>
          <w:tcPr>
            <w:tcW w:type="dxa" w:w="1440"/>
            <w:shd w:fill="FFDCE0" w:val="clear"/>
          </w:tcPr>
          <w:p>
            <w:r>
              <w:rPr>
                <w:sz w:val="17"/>
              </w:rPr>
              <w:t>9,419</w:t>
            </w:r>
          </w:p>
        </w:tc>
        <w:tc>
          <w:tcPr>
            <w:tcW w:type="dxa" w:w="1440"/>
            <w:shd w:fill="FFDCE0" w:val="clear"/>
          </w:tcPr>
          <w:p>
            <w:r>
              <w:rPr>
                <w:b/>
                <w:sz w:val="17"/>
              </w:rPr>
              <w:t>10,013</w:t>
            </w:r>
          </w:p>
        </w:tc>
        <w:tc>
          <w:tcPr>
            <w:tcW w:type="dxa" w:w="1440"/>
            <w:shd w:fill="FFDCE0" w:val="clear"/>
          </w:tcPr>
          <w:p>
            <w:r>
              <w:rPr>
                <w:sz w:val="17"/>
              </w:rPr>
              <w:t>10,608</w:t>
            </w:r>
          </w:p>
        </w:tc>
        <w:tc>
          <w:tcPr>
            <w:tcW w:type="dxa" w:w="1440"/>
            <w:shd w:fill="FFDCE0" w:val="clear"/>
          </w:tcPr>
          <w:p>
            <w:r>
              <w:rPr>
                <w:b/>
                <w:color w:val="C00000"/>
                <w:sz w:val="17"/>
              </w:rPr>
              <w:t>-13.7%</w:t>
            </w:r>
          </w:p>
        </w:tc>
      </w:tr>
      <w:tr>
        <w:tc>
          <w:tcPr>
            <w:tcW w:type="dxa" w:w="1440"/>
            <w:shd w:fill="FFDCE0" w:val="clear"/>
          </w:tcPr>
          <w:p>
            <w:r>
              <w:rPr>
                <w:sz w:val="17"/>
              </w:rPr>
              <w:t>J+5  Moyenne</w:t>
            </w:r>
          </w:p>
        </w:tc>
        <w:tc>
          <w:tcPr>
            <w:tcW w:type="dxa" w:w="1440"/>
            <w:shd w:fill="FFDCE0" w:val="clear"/>
          </w:tcPr>
          <w:p>
            <w:r>
              <w:rPr>
                <w:sz w:val="17"/>
              </w:rPr>
              <w:t>2026-08-13</w:t>
            </w:r>
          </w:p>
        </w:tc>
        <w:tc>
          <w:tcPr>
            <w:tcW w:type="dxa" w:w="1440"/>
            <w:shd w:fill="FFDCE0" w:val="clear"/>
          </w:tcPr>
          <w:p>
            <w:r>
              <w:rPr>
                <w:sz w:val="17"/>
              </w:rPr>
              <w:t>9,058</w:t>
            </w:r>
          </w:p>
        </w:tc>
        <w:tc>
          <w:tcPr>
            <w:tcW w:type="dxa" w:w="1440"/>
            <w:shd w:fill="FFDCE0" w:val="clear"/>
          </w:tcPr>
          <w:p>
            <w:r>
              <w:rPr>
                <w:b/>
                <w:sz w:val="17"/>
              </w:rPr>
              <w:t>9,702</w:t>
            </w:r>
          </w:p>
        </w:tc>
        <w:tc>
          <w:tcPr>
            <w:tcW w:type="dxa" w:w="1440"/>
            <w:shd w:fill="FFDCE0" w:val="clear"/>
          </w:tcPr>
          <w:p>
            <w:r>
              <w:rPr>
                <w:sz w:val="17"/>
              </w:rPr>
              <w:t>10,346</w:t>
            </w:r>
          </w:p>
        </w:tc>
        <w:tc>
          <w:tcPr>
            <w:tcW w:type="dxa" w:w="1440"/>
            <w:shd w:fill="FFDCE0" w:val="clear"/>
          </w:tcPr>
          <w:p>
            <w:r>
              <w:rPr>
                <w:b/>
                <w:color w:val="C00000"/>
                <w:sz w:val="17"/>
              </w:rPr>
              <w:t>-16.4%</w:t>
            </w:r>
          </w:p>
        </w:tc>
      </w:tr>
      <w:tr>
        <w:tc>
          <w:tcPr>
            <w:tcW w:type="dxa" w:w="1440"/>
            <w:shd w:fill="FFDCE0" w:val="clear"/>
          </w:tcPr>
          <w:p>
            <w:r>
              <w:rPr>
                <w:sz w:val="17"/>
              </w:rPr>
              <w:t>J+6  Moyenne</w:t>
            </w:r>
          </w:p>
        </w:tc>
        <w:tc>
          <w:tcPr>
            <w:tcW w:type="dxa" w:w="1440"/>
            <w:shd w:fill="FFDCE0" w:val="clear"/>
          </w:tcPr>
          <w:p>
            <w:r>
              <w:rPr>
                <w:sz w:val="17"/>
              </w:rPr>
              <w:t>2026-08-14</w:t>
            </w:r>
          </w:p>
        </w:tc>
        <w:tc>
          <w:tcPr>
            <w:tcW w:type="dxa" w:w="1440"/>
            <w:shd w:fill="FFDCE0" w:val="clear"/>
          </w:tcPr>
          <w:p>
            <w:r>
              <w:rPr>
                <w:sz w:val="17"/>
              </w:rPr>
              <w:t>8,742</w:t>
            </w:r>
          </w:p>
        </w:tc>
        <w:tc>
          <w:tcPr>
            <w:tcW w:type="dxa" w:w="1440"/>
            <w:shd w:fill="FFDCE0" w:val="clear"/>
          </w:tcPr>
          <w:p>
            <w:r>
              <w:rPr>
                <w:b/>
                <w:sz w:val="17"/>
              </w:rPr>
              <w:t>9,427</w:t>
            </w:r>
          </w:p>
        </w:tc>
        <w:tc>
          <w:tcPr>
            <w:tcW w:type="dxa" w:w="1440"/>
            <w:shd w:fill="FFDCE0" w:val="clear"/>
          </w:tcPr>
          <w:p>
            <w:r>
              <w:rPr>
                <w:sz w:val="17"/>
              </w:rPr>
              <w:t>10,112</w:t>
            </w:r>
          </w:p>
        </w:tc>
        <w:tc>
          <w:tcPr>
            <w:tcW w:type="dxa" w:w="1440"/>
            <w:shd w:fill="FFDCE0" w:val="clear"/>
          </w:tcPr>
          <w:p>
            <w:r>
              <w:rPr>
                <w:b/>
                <w:color w:val="C00000"/>
                <w:sz w:val="17"/>
              </w:rPr>
              <w:t>-18.7%</w:t>
            </w:r>
          </w:p>
        </w:tc>
      </w:tr>
      <w:tr>
        <w:tc>
          <w:tcPr>
            <w:tcW w:type="dxa" w:w="1440"/>
            <w:shd w:fill="FFDCE0" w:val="clear"/>
          </w:tcPr>
          <w:p>
            <w:r>
              <w:rPr>
                <w:sz w:val="17"/>
              </w:rPr>
              <w:t>J+7  Moyenne</w:t>
            </w:r>
          </w:p>
        </w:tc>
        <w:tc>
          <w:tcPr>
            <w:tcW w:type="dxa" w:w="1440"/>
            <w:shd w:fill="FFDCE0" w:val="clear"/>
          </w:tcPr>
          <w:p>
            <w:r>
              <w:rPr>
                <w:sz w:val="17"/>
              </w:rPr>
              <w:t>2026-08-17</w:t>
            </w:r>
          </w:p>
        </w:tc>
        <w:tc>
          <w:tcPr>
            <w:tcW w:type="dxa" w:w="1440"/>
            <w:shd w:fill="FFDCE0" w:val="clear"/>
          </w:tcPr>
          <w:p>
            <w:r>
              <w:rPr>
                <w:sz w:val="17"/>
              </w:rPr>
              <w:t>8,463</w:t>
            </w:r>
          </w:p>
        </w:tc>
        <w:tc>
          <w:tcPr>
            <w:tcW w:type="dxa" w:w="1440"/>
            <w:shd w:fill="FFDCE0" w:val="clear"/>
          </w:tcPr>
          <w:p>
            <w:r>
              <w:rPr>
                <w:b/>
                <w:sz w:val="17"/>
              </w:rPr>
              <w:t>9,184</w:t>
            </w:r>
          </w:p>
        </w:tc>
        <w:tc>
          <w:tcPr>
            <w:tcW w:type="dxa" w:w="1440"/>
            <w:shd w:fill="FFDCE0" w:val="clear"/>
          </w:tcPr>
          <w:p>
            <w:r>
              <w:rPr>
                <w:sz w:val="17"/>
              </w:rPr>
              <w:t>9,905</w:t>
            </w:r>
          </w:p>
        </w:tc>
        <w:tc>
          <w:tcPr>
            <w:tcW w:type="dxa" w:w="1440"/>
            <w:shd w:fill="FFDCE0" w:val="clear"/>
          </w:tcPr>
          <w:p>
            <w:r>
              <w:rPr>
                <w:b/>
                <w:color w:val="C00000"/>
                <w:sz w:val="17"/>
              </w:rPr>
              <w:t>-20.8%</w:t>
            </w:r>
          </w:p>
        </w:tc>
      </w:tr>
      <w:tr>
        <w:tc>
          <w:tcPr>
            <w:tcW w:type="dxa" w:w="1440"/>
            <w:shd w:fill="FFDCE0" w:val="clear"/>
          </w:tcPr>
          <w:p>
            <w:r>
              <w:rPr>
                <w:sz w:val="17"/>
              </w:rPr>
              <w:t>J+8  Moyenne</w:t>
            </w:r>
          </w:p>
        </w:tc>
        <w:tc>
          <w:tcPr>
            <w:tcW w:type="dxa" w:w="1440"/>
            <w:shd w:fill="FFDCE0" w:val="clear"/>
          </w:tcPr>
          <w:p>
            <w:r>
              <w:rPr>
                <w:sz w:val="17"/>
              </w:rPr>
              <w:t>2026-08-18</w:t>
            </w:r>
          </w:p>
        </w:tc>
        <w:tc>
          <w:tcPr>
            <w:tcW w:type="dxa" w:w="1440"/>
            <w:shd w:fill="FFDCE0" w:val="clear"/>
          </w:tcPr>
          <w:p>
            <w:r>
              <w:rPr>
                <w:sz w:val="17"/>
              </w:rPr>
              <w:t>8,215</w:t>
            </w:r>
          </w:p>
        </w:tc>
        <w:tc>
          <w:tcPr>
            <w:tcW w:type="dxa" w:w="1440"/>
            <w:shd w:fill="FFDCE0" w:val="clear"/>
          </w:tcPr>
          <w:p>
            <w:r>
              <w:rPr>
                <w:b/>
                <w:sz w:val="17"/>
              </w:rPr>
              <w:t>8,968</w:t>
            </w:r>
          </w:p>
        </w:tc>
        <w:tc>
          <w:tcPr>
            <w:tcW w:type="dxa" w:w="1440"/>
            <w:shd w:fill="FFDCE0" w:val="clear"/>
          </w:tcPr>
          <w:p>
            <w:r>
              <w:rPr>
                <w:sz w:val="17"/>
              </w:rPr>
              <w:t>9,720</w:t>
            </w:r>
          </w:p>
        </w:tc>
        <w:tc>
          <w:tcPr>
            <w:tcW w:type="dxa" w:w="1440"/>
            <w:shd w:fill="FFDCE0" w:val="clear"/>
          </w:tcPr>
          <w:p>
            <w:r>
              <w:rPr>
                <w:b/>
                <w:color w:val="C00000"/>
                <w:sz w:val="17"/>
              </w:rPr>
              <w:t>-22.7%</w:t>
            </w:r>
          </w:p>
        </w:tc>
      </w:tr>
      <w:tr>
        <w:tc>
          <w:tcPr>
            <w:tcW w:type="dxa" w:w="1440"/>
            <w:shd w:fill="FFDCE0" w:val="clear"/>
          </w:tcPr>
          <w:p>
            <w:r>
              <w:rPr>
                <w:sz w:val="17"/>
              </w:rPr>
              <w:t>J+9  Moyenne</w:t>
            </w:r>
          </w:p>
        </w:tc>
        <w:tc>
          <w:tcPr>
            <w:tcW w:type="dxa" w:w="1440"/>
            <w:shd w:fill="FFDCE0" w:val="clear"/>
          </w:tcPr>
          <w:p>
            <w:r>
              <w:rPr>
                <w:sz w:val="17"/>
              </w:rPr>
              <w:t>2026-08-19</w:t>
            </w:r>
          </w:p>
        </w:tc>
        <w:tc>
          <w:tcPr>
            <w:tcW w:type="dxa" w:w="1440"/>
            <w:shd w:fill="FFDCE0" w:val="clear"/>
          </w:tcPr>
          <w:p>
            <w:r>
              <w:rPr>
                <w:sz w:val="17"/>
              </w:rPr>
              <w:t>7,994</w:t>
            </w:r>
          </w:p>
        </w:tc>
        <w:tc>
          <w:tcPr>
            <w:tcW w:type="dxa" w:w="1440"/>
            <w:shd w:fill="FFDCE0" w:val="clear"/>
          </w:tcPr>
          <w:p>
            <w:r>
              <w:rPr>
                <w:b/>
                <w:sz w:val="17"/>
              </w:rPr>
              <w:t>8,775</w:t>
            </w:r>
          </w:p>
        </w:tc>
        <w:tc>
          <w:tcPr>
            <w:tcW w:type="dxa" w:w="1440"/>
            <w:shd w:fill="FFDCE0" w:val="clear"/>
          </w:tcPr>
          <w:p>
            <w:r>
              <w:rPr>
                <w:sz w:val="17"/>
              </w:rPr>
              <w:t>9,556</w:t>
            </w:r>
          </w:p>
        </w:tc>
        <w:tc>
          <w:tcPr>
            <w:tcW w:type="dxa" w:w="1440"/>
            <w:shd w:fill="FFDCE0" w:val="clear"/>
          </w:tcPr>
          <w:p>
            <w:r>
              <w:rPr>
                <w:b/>
                <w:color w:val="C00000"/>
                <w:sz w:val="17"/>
              </w:rPr>
              <w:t>-24.4%</w:t>
            </w:r>
          </w:p>
        </w:tc>
      </w:tr>
      <w:tr>
        <w:tc>
          <w:tcPr>
            <w:tcW w:type="dxa" w:w="1440"/>
            <w:shd w:fill="FFDCE0" w:val="clear"/>
          </w:tcPr>
          <w:p>
            <w:r>
              <w:rPr>
                <w:sz w:val="17"/>
              </w:rPr>
              <w:t>J+10  Moyenne</w:t>
            </w:r>
          </w:p>
        </w:tc>
        <w:tc>
          <w:tcPr>
            <w:tcW w:type="dxa" w:w="1440"/>
            <w:shd w:fill="FFDCE0" w:val="clear"/>
          </w:tcPr>
          <w:p>
            <w:r>
              <w:rPr>
                <w:sz w:val="17"/>
              </w:rPr>
              <w:t>2026-08-20</w:t>
            </w:r>
          </w:p>
        </w:tc>
        <w:tc>
          <w:tcPr>
            <w:tcW w:type="dxa" w:w="1440"/>
            <w:shd w:fill="FFDCE0" w:val="clear"/>
          </w:tcPr>
          <w:p>
            <w:r>
              <w:rPr>
                <w:sz w:val="17"/>
              </w:rPr>
              <w:t>7,795</w:t>
            </w:r>
          </w:p>
        </w:tc>
        <w:tc>
          <w:tcPr>
            <w:tcW w:type="dxa" w:w="1440"/>
            <w:shd w:fill="FFDCE0" w:val="clear"/>
          </w:tcPr>
          <w:p>
            <w:r>
              <w:rPr>
                <w:b/>
                <w:sz w:val="17"/>
              </w:rPr>
              <w:t>8,602</w:t>
            </w:r>
          </w:p>
        </w:tc>
        <w:tc>
          <w:tcPr>
            <w:tcW w:type="dxa" w:w="1440"/>
            <w:shd w:fill="FFDCE0" w:val="clear"/>
          </w:tcPr>
          <w:p>
            <w:r>
              <w:rPr>
                <w:sz w:val="17"/>
              </w:rPr>
              <w:t>9,409</w:t>
            </w:r>
          </w:p>
        </w:tc>
        <w:tc>
          <w:tcPr>
            <w:tcW w:type="dxa" w:w="1440"/>
            <w:shd w:fill="FFDCE0" w:val="clear"/>
          </w:tcPr>
          <w:p>
            <w:r>
              <w:rPr>
                <w:b/>
                <w:color w:val="C00000"/>
                <w:sz w:val="17"/>
              </w:rPr>
              <w:t>-25.8%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 CÔTE D'IVOIRE (BOAC)**</w:t>
        <w:br/>
        <w:t>**Date de l'analyse : 05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464 milliards FCFA, BOAC se positionne comme une valeur de première ligne sur la BRVM, représentant un poids significatif dans l'indice. Le BPA de 888 FCFA indique que chaque action génère un bénéfice substantiel. Le PER de 13,1x est supérieur à la moyenne historique de la BRVM (8-12x), ce qui témoigne d'une prime de valorisation accordée par le marché, justifiée par la solidité de la banque. Le P/B de 3,64x confirme cette prime, le marché valorisant le titre bien au-dessus de sa valeur comptable (2-4x). Enfin, l'EV/EBITDA de 26,6x est particulièrement exigeant, signalant que les investisseurs anticipent une croissance future élevée de la rentabilité opérationnelle pour justifier un tel niveau de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 enregistré une performance remarquable de +34,88%, avec un cours stable à 11 600 FCFA lors de la dernière séance. Le titre a évolué dans une fourchette large de 8 100 FCFA (plus bas) à 11 600 FCFA (plus haut), démontrant une dynamique haussière soutenue. La moyenne du cours sur la période (9 122 FCFA) est inférieure à la médiane (8 895 FCFA), et le skewness positif de 1,760 indique une distribution asymétrique avec des journées majoritairement sous la moyenne, mais des pics de hausse marqués. L'écart-type de 727 FCFA (CV=8,0%) montre une dispersion modérée, mais le kurtosis élevé (2,864) signale un risque de mouvements extrêmes. La volatilité annualisée de 27,0% classe le titre dans la catégorie modérée à élevée, reflétant une certaine nervosité du marché malgré la tendance haussière.</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(11 600 FCFA) est nettement au-dessus de la MM20 (10 310,5 FCFA) et de la MM50 (9 571,3 FCFA), confirmant une tendance haussière solide. La configuration des MM en pente ascendante renforce le signal d'achat, indiquant que la dynamique positive est bien établie à court et moyen terme.</w:t>
      </w:r>
    </w:p>
    <w:p>
      <w:pPr>
        <w:spacing w:after="120" w:line="276" w:lineRule="auto"/>
      </w:pPr>
      <w:r>
        <w:t>**Bandes de Bollinger**: Le prix se situe à 11 600 FCFA, très proche de la borne supérieure (11 786,34 FCFA), indiquant une pression acheteuse intense. La largeur des bandes reflète une volatilité accrue. La décision "Neutre" suggère que le marché est en zone de surachat technique, mais sans signal de retournement immédiat.</w:t>
      </w:r>
    </w:p>
    <w:p>
      <w:pPr>
        <w:spacing w:after="120" w:line="276" w:lineRule="auto"/>
      </w:pPr>
      <w:r>
        <w:t>**MACD**: Le MACD (555,41) est nettement au-dessus de sa ligne de signal (425,97), confirmant un momentum haussier fort. L'écart positif et croissant entre les deux lignes indique une accélération de la tendance haussière, justifiant la décision d'achat.</w:t>
      </w:r>
    </w:p>
    <w:p>
      <w:pPr>
        <w:spacing w:after="120" w:line="276" w:lineRule="auto"/>
      </w:pPr>
      <w:r>
        <w:t>**RSI**: Le RSI à 84,94 est en zone de surachat extrême (&gt;70). Ce niveau signale que le titre est techniquement surévalué à court terme, avec un risque élevé de correction. La décision de vente est donc justifiée, malgré la force de la tendance sous-jacente.</w:t>
      </w:r>
    </w:p>
    <w:p>
      <w:pPr>
        <w:spacing w:after="120" w:line="276" w:lineRule="auto"/>
      </w:pPr>
      <w:r>
        <w:t>**Stochastique**: Le %K et le %D sont tous deux à 100,0, un niveau extrême de surachat. Cette configuration indique que le marché est dans une phase de surchauffe, avec un risque imminent de retournement. La décision de vente est cohérente avec cette lecture.</w:t>
      </w:r>
    </w:p>
    <w:p>
      <w:pPr>
        <w:spacing w:after="120" w:line="276" w:lineRule="auto"/>
      </w:pPr>
      <w:r>
        <w:t>**Conclusion technique**: Les indicateurs de tendance (MM, MACD) sont fortement haussiers, mais les oscillateurs (RSI, Stochastique) signalent un surachat extrême. Cette divergence suggère une pause ou une correction technique à court terme avant une possible poursuite de la tendance haussière. La prudence est de mise pour les nouveaux achats à ces niveaux.</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structurés de BOAC révèlent une banque très performante. Le Produit Net Bancaire (PNB) s'établit à 73,545 milliards FCFA, avec un résultat net de 35,540 milliards FCFA, soit une marge nette exceptionnelle de 48,32%. La rentabilité des fonds propres (ROE) atteint 27,91%, un niveau excellent, et le ROA de 3,22% témoigne d'une bonne utilisation des actifs. Le coefficient d'exploitation de 36,70% est remarquablement bas, indiquant une excellente maîtrise des coûts. Cependant, le coût du risque de 6,67% reste élevé, signalant une dégradation de la qualité du portefeuille de crédits. Les dépôts clientèle (850,548 Mds FCFA) sont près de deux fois supérieurs aux créances sur la clientèle (430,433 Mds FCFA), montrant une forte capacité de transformation. Les rapports trimestriels 2025 confirment cette tendance : le T1 2025 affichait un PNB de 18,39 Mds FCFA (+4,93%) et un résultat net de 10,70 Mds FCFA (+14,59%), mais le T3 2025 montre une stagnation du PNB (+0,23%) et du résultat net (+1,29%). Sur la base de ces données, on estime que l'exercice 2025 devrait se clôturer avec un PNB stable autour de 73,5 Mds FCFA et un résultat net en légère progression, confirmant la solidité financière de la banque mais avec un ralentissement de la dynamique de croissance.</w:t>
      </w:r>
    </w:p>
    <w:p>
      <w:pPr>
        <w:spacing w:after="120" w:line="276" w:lineRule="auto"/>
      </w:pPr>
      <w:r>
        <w:t>---</w:t>
      </w:r>
    </w:p>
    <w:p>
      <w:pPr>
        <w:spacing w:after="120" w:line="276" w:lineRule="auto"/>
      </w:pPr>
      <w:r>
        <w:t>### PARTIE 4 : CONCLUSION D'INVESTISSEMENT</w:t>
      </w:r>
    </w:p>
    <w:p>
      <w:pPr>
        <w:spacing w:after="120" w:line="276" w:lineRule="auto"/>
      </w:pPr>
      <w:r>
        <w:t>La valorisation de BOAC (PER 13,1x, P/B 3,64x, EV/EBITDA 26,6x) indique une prime de marché significative, reflétant la confiance des investisseurs dans la solidité de la banque, mais laissant peu de marge de sécurité. Le comportement du cours (+34,88% sur 100 jours) est très favorable, mais les statistiques (kurtosis élevé, skewness positif) et les indicateurs techniques (RSI 84,9, Stochastique 100) signalent un surachat extrême, suggérant un risque de correction à court terme. Les fondamentaux sont solides (ROE 27,9%, coefficient d'exploitation 36,7%), mais la croissance du PNB est atone en 2025. Les prédictions IA (11 116 FCFA à J+1, puis baisse progressive à 9 702 FCFA à J+10) confirment cette analyse, anticipant un repli technique après la forte hausse. La convergence entre les signaux techniques de surachat et les prédictions IA suggère une prudence à court terme. **Recommandation : CONSERVER** pour les investisseurs existants, avec un niveau de confiance **Moyen** et un risque global **Élevé** à court terme. Pour les nouveaux investisseurs, il est conseillé d'attendre une correction vers 10 000-10 500 FCFA pour initier une position. L'horizon d'investissement optimal est le **moyen terme (3-12 mois)**, en capitalisant sur la solidité fondamentale de la banque après une éventuelle phase de consolidation.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153.31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6,443 titres</w:t>
            </w:r>
          </w:p>
        </w:tc>
        <w:tc>
          <w:tcPr>
            <w:tcW w:type="dxa" w:w="2268"/>
            <w:shd w:fill="FFF2CC" w:val="clear"/>
          </w:tcPr>
          <w:p>
            <w:r>
              <w:rPr>
                <w:b/>
                <w:color w:val="503200"/>
                <w:sz w:val="16"/>
              </w:rPr>
              <w:t xml:space="preserve">Cours actuel : </w:t>
            </w:r>
            <w:r>
              <w:rPr>
                <w:color w:val="000000"/>
                <w:sz w:val="17"/>
              </w:rPr>
              <w:t>5,585 FCFA</w:t>
            </w:r>
          </w:p>
          <w:p>
            <w:r>
              <w:rPr>
                <w:b/>
                <w:color w:val="503200"/>
                <w:sz w:val="16"/>
              </w:rPr>
              <w:t xml:space="preserve">Var. 100 jours : </w:t>
            </w:r>
            <w:r>
              <w:rPr>
                <w:b/>
                <w:color w:val="007800"/>
                <w:sz w:val="17"/>
              </w:rPr>
              <w:t>+19.98%</w:t>
            </w:r>
          </w:p>
          <w:p>
            <w:r>
              <w:rPr>
                <w:b/>
                <w:color w:val="503200"/>
                <w:sz w:val="16"/>
              </w:rPr>
              <w:t xml:space="preserve">Plus haut 100j : </w:t>
            </w:r>
            <w:r>
              <w:rPr>
                <w:color w:val="000000"/>
                <w:sz w:val="17"/>
              </w:rPr>
              <w:t>5,770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7.87% (Moyenne) — μ=4,918 FCFA, σ=387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β=0.2894 (Défensif) — Cov=0.000010, Var(idx)=0.000036, ρ=0.089,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2026-08-06</w:t>
            </w:r>
          </w:p>
        </w:tc>
        <w:tc>
          <w:tcPr>
            <w:tcW w:type="dxa" w:w="1440"/>
            <w:shd w:fill="FAFAFA" w:val="clear"/>
          </w:tcPr>
          <w:p>
            <w:r>
              <w:rPr>
                <w:sz w:val="17"/>
              </w:rPr>
              <w:t>5,299</w:t>
            </w:r>
          </w:p>
        </w:tc>
        <w:tc>
          <w:tcPr>
            <w:tcW w:type="dxa" w:w="1440"/>
            <w:shd w:fill="FAFAFA" w:val="clear"/>
          </w:tcPr>
          <w:p>
            <w:r>
              <w:rPr>
                <w:b/>
                <w:sz w:val="17"/>
              </w:rPr>
              <w:t>5,529</w:t>
            </w:r>
          </w:p>
        </w:tc>
        <w:tc>
          <w:tcPr>
            <w:tcW w:type="dxa" w:w="1440"/>
            <w:shd w:fill="FAFAFA" w:val="clear"/>
          </w:tcPr>
          <w:p>
            <w:r>
              <w:rPr>
                <w:sz w:val="17"/>
              </w:rPr>
              <w:t>5,758</w:t>
            </w:r>
          </w:p>
        </w:tc>
        <w:tc>
          <w:tcPr>
            <w:tcW w:type="dxa" w:w="1440"/>
            <w:shd w:fill="FAFAFA" w:val="clear"/>
          </w:tcPr>
          <w:p>
            <w:r>
              <w:rPr>
                <w:b/>
                <w:color w:val="C00000"/>
                <w:sz w:val="17"/>
              </w:rPr>
              <w:t>-1.0%</w:t>
            </w:r>
          </w:p>
        </w:tc>
      </w:tr>
      <w:tr>
        <w:tc>
          <w:tcPr>
            <w:tcW w:type="dxa" w:w="1440"/>
            <w:shd w:fill="FFDCE0" w:val="clear"/>
          </w:tcPr>
          <w:p>
            <w:r>
              <w:rPr>
                <w:sz w:val="17"/>
              </w:rPr>
              <w:t>J+2  Moyenne</w:t>
            </w:r>
          </w:p>
        </w:tc>
        <w:tc>
          <w:tcPr>
            <w:tcW w:type="dxa" w:w="1440"/>
            <w:shd w:fill="FFDCE0" w:val="clear"/>
          </w:tcPr>
          <w:p>
            <w:r>
              <w:rPr>
                <w:sz w:val="17"/>
              </w:rPr>
              <w:t>2026-08-10</w:t>
            </w:r>
          </w:p>
        </w:tc>
        <w:tc>
          <w:tcPr>
            <w:tcW w:type="dxa" w:w="1440"/>
            <w:shd w:fill="FFDCE0" w:val="clear"/>
          </w:tcPr>
          <w:p>
            <w:r>
              <w:rPr>
                <w:sz w:val="17"/>
              </w:rPr>
              <w:t>5,134</w:t>
            </w:r>
          </w:p>
        </w:tc>
        <w:tc>
          <w:tcPr>
            <w:tcW w:type="dxa" w:w="1440"/>
            <w:shd w:fill="FFDCE0" w:val="clear"/>
          </w:tcPr>
          <w:p>
            <w:r>
              <w:rPr>
                <w:b/>
                <w:sz w:val="17"/>
              </w:rPr>
              <w:t>5,454</w:t>
            </w:r>
          </w:p>
        </w:tc>
        <w:tc>
          <w:tcPr>
            <w:tcW w:type="dxa" w:w="1440"/>
            <w:shd w:fill="FFDCE0" w:val="clear"/>
          </w:tcPr>
          <w:p>
            <w:r>
              <w:rPr>
                <w:sz w:val="17"/>
              </w:rPr>
              <w:t>5,774</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2026-08-11</w:t>
            </w:r>
          </w:p>
        </w:tc>
        <w:tc>
          <w:tcPr>
            <w:tcW w:type="dxa" w:w="1440"/>
            <w:shd w:fill="FFDCE0" w:val="clear"/>
          </w:tcPr>
          <w:p>
            <w:r>
              <w:rPr>
                <w:sz w:val="17"/>
              </w:rPr>
              <w:t>4,994</w:t>
            </w:r>
          </w:p>
        </w:tc>
        <w:tc>
          <w:tcPr>
            <w:tcW w:type="dxa" w:w="1440"/>
            <w:shd w:fill="FFDCE0" w:val="clear"/>
          </w:tcPr>
          <w:p>
            <w:r>
              <w:rPr>
                <w:b/>
                <w:sz w:val="17"/>
              </w:rPr>
              <w:t>5,381</w:t>
            </w:r>
          </w:p>
        </w:tc>
        <w:tc>
          <w:tcPr>
            <w:tcW w:type="dxa" w:w="1440"/>
            <w:shd w:fill="FFDCE0" w:val="clear"/>
          </w:tcPr>
          <w:p>
            <w:r>
              <w:rPr>
                <w:sz w:val="17"/>
              </w:rPr>
              <w:t>5,767</w:t>
            </w:r>
          </w:p>
        </w:tc>
        <w:tc>
          <w:tcPr>
            <w:tcW w:type="dxa" w:w="1440"/>
            <w:shd w:fill="FFDCE0" w:val="clear"/>
          </w:tcPr>
          <w:p>
            <w:r>
              <w:rPr>
                <w:b/>
                <w:color w:val="C00000"/>
                <w:sz w:val="17"/>
              </w:rPr>
              <w:t>-3.7%</w:t>
            </w:r>
          </w:p>
        </w:tc>
      </w:tr>
      <w:tr>
        <w:tc>
          <w:tcPr>
            <w:tcW w:type="dxa" w:w="1440"/>
            <w:shd w:fill="FFDCE0" w:val="clear"/>
          </w:tcPr>
          <w:p>
            <w:r>
              <w:rPr>
                <w:sz w:val="17"/>
              </w:rPr>
              <w:t>J+4  ⭐</w:t>
            </w:r>
          </w:p>
        </w:tc>
        <w:tc>
          <w:tcPr>
            <w:tcW w:type="dxa" w:w="1440"/>
            <w:shd w:fill="FFDCE0" w:val="clear"/>
          </w:tcPr>
          <w:p>
            <w:r>
              <w:rPr>
                <w:sz w:val="17"/>
              </w:rPr>
              <w:t>2026-08-12</w:t>
            </w:r>
          </w:p>
        </w:tc>
        <w:tc>
          <w:tcPr>
            <w:tcW w:type="dxa" w:w="1440"/>
            <w:shd w:fill="FFDCE0" w:val="clear"/>
          </w:tcPr>
          <w:p>
            <w:r>
              <w:rPr>
                <w:sz w:val="17"/>
              </w:rPr>
              <w:t>4,874</w:t>
            </w:r>
          </w:p>
        </w:tc>
        <w:tc>
          <w:tcPr>
            <w:tcW w:type="dxa" w:w="1440"/>
            <w:shd w:fill="FFDCE0" w:val="clear"/>
          </w:tcPr>
          <w:p>
            <w:r>
              <w:rPr>
                <w:b/>
                <w:sz w:val="17"/>
              </w:rPr>
              <w:t>5,315</w:t>
            </w:r>
          </w:p>
        </w:tc>
        <w:tc>
          <w:tcPr>
            <w:tcW w:type="dxa" w:w="1440"/>
            <w:shd w:fill="FFDCE0" w:val="clear"/>
          </w:tcPr>
          <w:p>
            <w:r>
              <w:rPr>
                <w:sz w:val="17"/>
              </w:rPr>
              <w:t>5,756</w:t>
            </w:r>
          </w:p>
        </w:tc>
        <w:tc>
          <w:tcPr>
            <w:tcW w:type="dxa" w:w="1440"/>
            <w:shd w:fill="FFDCE0" w:val="clear"/>
          </w:tcPr>
          <w:p>
            <w:r>
              <w:rPr>
                <w:b/>
                <w:color w:val="C00000"/>
                <w:sz w:val="17"/>
              </w:rPr>
              <w:t>-4.8%</w:t>
            </w:r>
          </w:p>
        </w:tc>
      </w:tr>
      <w:tr>
        <w:tc>
          <w:tcPr>
            <w:tcW w:type="dxa" w:w="1440"/>
            <w:shd w:fill="FFDCE0" w:val="clear"/>
          </w:tcPr>
          <w:p>
            <w:r>
              <w:rPr>
                <w:sz w:val="17"/>
              </w:rPr>
              <w:t>J+5  ⭐</w:t>
            </w:r>
          </w:p>
        </w:tc>
        <w:tc>
          <w:tcPr>
            <w:tcW w:type="dxa" w:w="1440"/>
            <w:shd w:fill="FFDCE0" w:val="clear"/>
          </w:tcPr>
          <w:p>
            <w:r>
              <w:rPr>
                <w:sz w:val="17"/>
              </w:rPr>
              <w:t>2026-08-13</w:t>
            </w:r>
          </w:p>
        </w:tc>
        <w:tc>
          <w:tcPr>
            <w:tcW w:type="dxa" w:w="1440"/>
            <w:shd w:fill="FFDCE0" w:val="clear"/>
          </w:tcPr>
          <w:p>
            <w:r>
              <w:rPr>
                <w:sz w:val="17"/>
              </w:rPr>
              <w:t>4,768</w:t>
            </w:r>
          </w:p>
        </w:tc>
        <w:tc>
          <w:tcPr>
            <w:tcW w:type="dxa" w:w="1440"/>
            <w:shd w:fill="FFDCE0" w:val="clear"/>
          </w:tcPr>
          <w:p>
            <w:r>
              <w:rPr>
                <w:b/>
                <w:sz w:val="17"/>
              </w:rPr>
              <w:t>5,255</w:t>
            </w:r>
          </w:p>
        </w:tc>
        <w:tc>
          <w:tcPr>
            <w:tcW w:type="dxa" w:w="1440"/>
            <w:shd w:fill="FFDCE0" w:val="clear"/>
          </w:tcPr>
          <w:p>
            <w:r>
              <w:rPr>
                <w:sz w:val="17"/>
              </w:rPr>
              <w:t>5,743</w:t>
            </w:r>
          </w:p>
        </w:tc>
        <w:tc>
          <w:tcPr>
            <w:tcW w:type="dxa" w:w="1440"/>
            <w:shd w:fill="FFDCE0" w:val="clear"/>
          </w:tcPr>
          <w:p>
            <w:r>
              <w:rPr>
                <w:b/>
                <w:color w:val="C00000"/>
                <w:sz w:val="17"/>
              </w:rPr>
              <w:t>-5.9%</w:t>
            </w:r>
          </w:p>
        </w:tc>
      </w:tr>
      <w:tr>
        <w:tc>
          <w:tcPr>
            <w:tcW w:type="dxa" w:w="1440"/>
            <w:shd w:fill="FFDCE0" w:val="clear"/>
          </w:tcPr>
          <w:p>
            <w:r>
              <w:rPr>
                <w:sz w:val="17"/>
              </w:rPr>
              <w:t>J+6  ⭐</w:t>
            </w:r>
          </w:p>
        </w:tc>
        <w:tc>
          <w:tcPr>
            <w:tcW w:type="dxa" w:w="1440"/>
            <w:shd w:fill="FFDCE0" w:val="clear"/>
          </w:tcPr>
          <w:p>
            <w:r>
              <w:rPr>
                <w:sz w:val="17"/>
              </w:rPr>
              <w:t>2026-08-14</w:t>
            </w:r>
          </w:p>
        </w:tc>
        <w:tc>
          <w:tcPr>
            <w:tcW w:type="dxa" w:w="1440"/>
            <w:shd w:fill="FFDCE0" w:val="clear"/>
          </w:tcPr>
          <w:p>
            <w:r>
              <w:rPr>
                <w:sz w:val="17"/>
              </w:rPr>
              <w:t>4,672</w:t>
            </w:r>
          </w:p>
        </w:tc>
        <w:tc>
          <w:tcPr>
            <w:tcW w:type="dxa" w:w="1440"/>
            <w:shd w:fill="FFDCE0" w:val="clear"/>
          </w:tcPr>
          <w:p>
            <w:r>
              <w:rPr>
                <w:b/>
                <w:sz w:val="17"/>
              </w:rPr>
              <w:t>5,200</w:t>
            </w:r>
          </w:p>
        </w:tc>
        <w:tc>
          <w:tcPr>
            <w:tcW w:type="dxa" w:w="1440"/>
            <w:shd w:fill="FFDCE0" w:val="clear"/>
          </w:tcPr>
          <w:p>
            <w:r>
              <w:rPr>
                <w:sz w:val="17"/>
              </w:rPr>
              <w:t>5,729</w:t>
            </w:r>
          </w:p>
        </w:tc>
        <w:tc>
          <w:tcPr>
            <w:tcW w:type="dxa" w:w="1440"/>
            <w:shd w:fill="FFDCE0" w:val="clear"/>
          </w:tcPr>
          <w:p>
            <w:r>
              <w:rPr>
                <w:b/>
                <w:color w:val="C00000"/>
                <w:sz w:val="17"/>
              </w:rPr>
              <w:t>-6.9%</w:t>
            </w:r>
          </w:p>
        </w:tc>
      </w:tr>
      <w:tr>
        <w:tc>
          <w:tcPr>
            <w:tcW w:type="dxa" w:w="1440"/>
            <w:shd w:fill="FFDCE0" w:val="clear"/>
          </w:tcPr>
          <w:p>
            <w:r>
              <w:rPr>
                <w:sz w:val="17"/>
              </w:rPr>
              <w:t>J+7  ⭐</w:t>
            </w:r>
          </w:p>
        </w:tc>
        <w:tc>
          <w:tcPr>
            <w:tcW w:type="dxa" w:w="1440"/>
            <w:shd w:fill="FFDCE0" w:val="clear"/>
          </w:tcPr>
          <w:p>
            <w:r>
              <w:rPr>
                <w:sz w:val="17"/>
              </w:rPr>
              <w:t>2026-08-17</w:t>
            </w:r>
          </w:p>
        </w:tc>
        <w:tc>
          <w:tcPr>
            <w:tcW w:type="dxa" w:w="1440"/>
            <w:shd w:fill="FFDCE0" w:val="clear"/>
          </w:tcPr>
          <w:p>
            <w:r>
              <w:rPr>
                <w:sz w:val="17"/>
              </w:rPr>
              <w:t>4,584</w:t>
            </w:r>
          </w:p>
        </w:tc>
        <w:tc>
          <w:tcPr>
            <w:tcW w:type="dxa" w:w="1440"/>
            <w:shd w:fill="FFDCE0" w:val="clear"/>
          </w:tcPr>
          <w:p>
            <w:r>
              <w:rPr>
                <w:b/>
                <w:sz w:val="17"/>
              </w:rPr>
              <w:t>5,149</w:t>
            </w:r>
          </w:p>
        </w:tc>
        <w:tc>
          <w:tcPr>
            <w:tcW w:type="dxa" w:w="1440"/>
            <w:shd w:fill="FFDCE0" w:val="clear"/>
          </w:tcPr>
          <w:p>
            <w:r>
              <w:rPr>
                <w:sz w:val="17"/>
              </w:rPr>
              <w:t>5,714</w:t>
            </w:r>
          </w:p>
        </w:tc>
        <w:tc>
          <w:tcPr>
            <w:tcW w:type="dxa" w:w="1440"/>
            <w:shd w:fill="FFDCE0" w:val="clear"/>
          </w:tcPr>
          <w:p>
            <w:r>
              <w:rPr>
                <w:b/>
                <w:color w:val="C00000"/>
                <w:sz w:val="17"/>
              </w:rPr>
              <w:t>-7.8%</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4,502</w:t>
            </w:r>
          </w:p>
        </w:tc>
        <w:tc>
          <w:tcPr>
            <w:tcW w:type="dxa" w:w="1440"/>
            <w:shd w:fill="FFDCE0" w:val="clear"/>
          </w:tcPr>
          <w:p>
            <w:r>
              <w:rPr>
                <w:b/>
                <w:sz w:val="17"/>
              </w:rPr>
              <w:t>5,100</w:t>
            </w:r>
          </w:p>
        </w:tc>
        <w:tc>
          <w:tcPr>
            <w:tcW w:type="dxa" w:w="1440"/>
            <w:shd w:fill="FFDCE0" w:val="clear"/>
          </w:tcPr>
          <w:p>
            <w:r>
              <w:rPr>
                <w:sz w:val="17"/>
              </w:rPr>
              <w:t>5,699</w:t>
            </w:r>
          </w:p>
        </w:tc>
        <w:tc>
          <w:tcPr>
            <w:tcW w:type="dxa" w:w="1440"/>
            <w:shd w:fill="FFDCE0" w:val="clear"/>
          </w:tcPr>
          <w:p>
            <w:r>
              <w:rPr>
                <w:b/>
                <w:color w:val="C00000"/>
                <w:sz w:val="17"/>
              </w:rPr>
              <w:t>-8.7%</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4,425</w:t>
            </w:r>
          </w:p>
        </w:tc>
        <w:tc>
          <w:tcPr>
            <w:tcW w:type="dxa" w:w="1440"/>
            <w:shd w:fill="FFDCE0" w:val="clear"/>
          </w:tcPr>
          <w:p>
            <w:r>
              <w:rPr>
                <w:b/>
                <w:sz w:val="17"/>
              </w:rPr>
              <w:t>5,054</w:t>
            </w:r>
          </w:p>
        </w:tc>
        <w:tc>
          <w:tcPr>
            <w:tcW w:type="dxa" w:w="1440"/>
            <w:shd w:fill="FFDCE0" w:val="clear"/>
          </w:tcPr>
          <w:p>
            <w:r>
              <w:rPr>
                <w:sz w:val="17"/>
              </w:rPr>
              <w:t>5,683</w:t>
            </w:r>
          </w:p>
        </w:tc>
        <w:tc>
          <w:tcPr>
            <w:tcW w:type="dxa" w:w="1440"/>
            <w:shd w:fill="FFDCE0" w:val="clear"/>
          </w:tcPr>
          <w:p>
            <w:r>
              <w:rPr>
                <w:b/>
                <w:color w:val="C00000"/>
                <w:sz w:val="17"/>
              </w:rPr>
              <w:t>-9.5%</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4,353</w:t>
            </w:r>
          </w:p>
        </w:tc>
        <w:tc>
          <w:tcPr>
            <w:tcW w:type="dxa" w:w="1440"/>
            <w:shd w:fill="FFDCE0" w:val="clear"/>
          </w:tcPr>
          <w:p>
            <w:r>
              <w:rPr>
                <w:b/>
                <w:sz w:val="17"/>
              </w:rPr>
              <w:t>5,011</w:t>
            </w:r>
          </w:p>
        </w:tc>
        <w:tc>
          <w:tcPr>
            <w:tcW w:type="dxa" w:w="1440"/>
            <w:shd w:fill="FFDCE0" w:val="clear"/>
          </w:tcPr>
          <w:p>
            <w:r>
              <w:rPr>
                <w:sz w:val="17"/>
              </w:rPr>
              <w:t>5,668</w:t>
            </w:r>
          </w:p>
        </w:tc>
        <w:tc>
          <w:tcPr>
            <w:tcW w:type="dxa" w:w="1440"/>
            <w:shd w:fill="FFDCE0" w:val="clear"/>
          </w:tcPr>
          <w:p>
            <w:r>
              <w:rPr>
                <w:b/>
                <w:color w:val="C00000"/>
                <w:sz w:val="17"/>
              </w:rPr>
              <w:t>-10.3%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153,31 milliards FCFA, ce qui la positionne comme une valeur de taille moyenne sur la BRVM, représentant un poids significatif dans le secteur bancaire de la place. Le BPA de 404 FCFA indique que chaque action génère un bénéfice substantiel, justifiant un PER de 13,8x, légèrement supérieur à la moyenne historique de la BRVM (8-12x), ce qui traduit une prime de croissance accordée par le marché aux fondamentaux solides de la banque. Le P/B de 3,08x confirme cette prime, le marché valorisant la société à plus de trois fois sa valeur comptable, signe d'une confiance dans la création de valeur future. Enfin, l'EV/EBITDA de 6,7x, dans la fourchette raisonnable de 5-10x, indique que la valeur totale de l'entreprise reste cohérente avec sa capacité opérationnelle à générer des flux, validant une valorisation globalement attractive malgré une prime par rapport aux pairs.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BOAM a enregistré une performance remarquable de +19,98%, passant d'un plus bas de 4 425 FCFA à un plus haut de 5 770 FCFA, avant de clôturer à 5 585 FCFA, soit une légère baisse de -0,09% lors de la dernière séance, marquant une pause après une forte progression. La moyenne du cours sur la période (4 918 FCFA) est nettement inférieure à la médiane (4 702 FCFA), et le skewness positif de 1,031 confirme une distribution asymétrique avec une concentration de journées sous la moyenne, mais des épisodes de hausse marqués qui ont tiré le cours vers le haut. L'écart-type de 389 FCFA (CV=7,9%) témoigne d'une dispersion modérée autour de la moyenne, tandis que le kurtosis de -0,366 (mésokurtique) indique une distribution proche de la normale, sans risque de pics extrêmes. La volatilité annualisée de 31,0% classe le titre dans la catégorie des valeurs à volatilité élevée (&gt;30%), ce qui implique des fluctuations importantes mais offre également un potentiel de rendement accru pour les investisseurs tolérants au risque.</w:t>
      </w:r>
    </w:p>
    <w:p>
      <w:pPr>
        <w:spacing w:after="120" w:line="276" w:lineRule="auto" w:before="240"/>
      </w:pPr>
      <w:r>
        <w:rPr>
          <w:b/>
          <w:color w:val="003366"/>
          <w:sz w:val="24"/>
        </w:rPr>
        <w:t>**PARTIE 2 : ANALYSE TECHNIQUE DÉTAILLÉE**</w:t>
      </w:r>
    </w:p>
    <w:p>
      <w:pPr>
        <w:spacing w:after="120" w:line="276" w:lineRule="auto"/>
      </w:pPr>
      <w:r>
        <w:t>**Moyennes Mobiles** : Le cours actuel de 5 585 FCFA se positionne au-dessus de la MM20 (5 617,5 FCFA) et nettement au-dessus de la MM50 (5 127,2 FCFA), indiquant une tendance haussière de moyen terme solide. La configuration des moyennes mobiles, avec la MM20 au-dessus de la MM50, confirme un momentum positif et justifie la décision d'achat, bien que le cours évolue très proche de la MM20, suggérant un possible test de ce support à court terme.</w:t>
      </w:r>
    </w:p>
    <w:p>
      <w:pPr>
        <w:spacing w:after="120" w:line="276" w:lineRule="auto"/>
      </w:pPr>
      <w:r>
        <w:t>**Bandes de Bollinger** : Le prix se situe à 5 585 FCFA, entre la borne inférieure (5 408,883 FCFA) et la borne supérieure (5 826,117 FCFA), dans la partie médiane-haute du canal. Cette position indique une volatilité normale sans condition de surachat ou de survente, justifiant une décision neutre. L'écart entre les bornes (environ 417 FCFA) reflète une volatilité modérée, cohérente avec les niveaux récents de trading.</w:t>
      </w:r>
    </w:p>
    <w:p>
      <w:pPr>
        <w:spacing w:after="120" w:line="276" w:lineRule="auto"/>
      </w:pPr>
      <w:r>
        <w:t>**MACD** : La valeur du MACD (136,693) est inférieure à son signal (170,753), avec un écart négatif de -34 points, indiquant un momentum baissier à court terme. Cette configuration suggère une perte de vitesse de la tendance haussière, justifiant la décision de vente, bien que les valeurs restent positives, ce qui nuance le signal et indique une possible consolidation plutôt qu'un renversement majeur.</w:t>
      </w:r>
    </w:p>
    <w:p>
      <w:pPr>
        <w:spacing w:after="120" w:line="276" w:lineRule="auto"/>
      </w:pPr>
      <w:r>
        <w:t>**RSI** : À 39,053, le RSI se situe dans la zone neutre (30-70), proche de la zone de survente, indiquant que le titre n'est ni suracheté ni survendu. Cette valeur suggère une pression vendeuse modérée sans excès, justifiant une décision neutre avec un potentiel de rebond si le RSI approche les 30.</w:t>
      </w:r>
    </w:p>
    <w:p>
      <w:pPr>
        <w:spacing w:after="120" w:line="276" w:lineRule="auto"/>
      </w:pPr>
      <w:r>
        <w:t>**Stochastique** : Le %K (58,025) est légèrement inférieur au %D (60,215), avec un écart de -2,2 points, indiquant une configuration baissière légère à court terme. Les deux lignes évoluent dans la zone neutre (50-70), suggérant une absence de signal fort, justifiant une décision neutre avec une surveillance des croisements potentiels.</w:t>
      </w:r>
    </w:p>
    <w:p>
      <w:pPr>
        <w:spacing w:after="120" w:line="276" w:lineRule="auto"/>
      </w:pPr>
      <w:r>
        <w:t>**Conclusion technique** : Les indicateurs techniques présentent un tableau contrasté, avec une tendance de fond haussière (MM) mais des signaux de court terme baissiers (MACD, Stochastique) et neutres (Bollinger, RSI). Cette divergence suggère une phase de consolidation après la forte hausse récente, avec un support potentiel autour de la MM20 (5 617 FCFA) et de la borne inférieure de Bollinger (5 409 FCFA). La tendance haussière de moyen terme reste intacte, mais un repli technique vers ces supports est possible avant la reprise de la tendance.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BOAM révèlent une banque performante avec un Produit Net Bancaire (PNB) de 37,996 milliards FCFA, en croissance de 5,08%, et un résultat net de 11,081 milliards FCFA, démontrant une excellente conversion de l'activité en profit. La rentabilité est remarquable avec un ROE de 22,24% (excellent, &gt;15%) et un ROA de 1,87%, tandis que le coefficient d'exploitation de 63,14% reste légèrement au-dessus du seuil d'efficacité de 60%, indiquant une marge de progression dans la maîtrise des charges. Le coût du risque de 43,39% (provisions/charges financières) est élevé, signalant un risque de crédit significatif, mais les dépôts clientèle (502,89 Mds) couvrent largement les créances clientèle (253,65 Mds), assurant une transformation saine. Les rapports trimestriels 2025 confirment cette trajectoire positive : le T1 affiche un résultat net de 3,021 milliards (+91,2% sur un an), le S1 atteint 6,21 milliards (+28,8%), et le T3 cumulé à 9,16 milliards (+26,2%), avec un PNB de 28,52 milliards (+5,8%). Sur la base de ces performances trimestrielles, on estime que l'exercice 2025 devrait confirmer un résultat net annuel autour de 11-12 milliards FCFA, en ligne avec les données structurées, et potentiellement dépasser les 12 milliards si la tendance se maintient. La solidité financière est renforcée par un total bilan de 593,455 milliards FCFA, des capitaux propres de 49,82 milliards, et une trésorerie nette de 86,368 milliards, tandis que la capacité de remboursement de 1,79 an et la couverture des intérêts de 88,99% témoignent d'une gestion prudente. Les perspectives restent positives mais prudentes, avec une résilience démontrée dans un environnement malien difficile, justifiant une recommandation fondamentale de conserver avec un biais positif.</w:t>
      </w:r>
    </w:p>
    <w:p>
      <w:pPr>
        <w:spacing w:after="120" w:line="276" w:lineRule="auto" w:before="240"/>
      </w:pPr>
      <w:r>
        <w:rPr>
          <w:b/>
          <w:color w:val="003366"/>
          <w:sz w:val="24"/>
        </w:rPr>
        <w:t>**PARTIE 4 : CONCLUSION D'INVESTISSEMENT**</w:t>
      </w:r>
    </w:p>
    <w:p>
      <w:pPr>
        <w:spacing w:after="120" w:line="276" w:lineRule="auto"/>
      </w:pPr>
      <w:r>
        <w:t>La valorisation de BOAM (PER 13,8x, P/B 3,08x, EV/EBITDA 6,7x) indique une prime de croissance justifiée par des fondamentaux solides, tandis que le comportement du cours sur 100 jours (+19,98%) avec une volatilité élevée (31%) et une asymétrie positive reflète une dynamique haussière soutenue. Les signaux techniques sont mitigés, avec une tendance de fond haussière (MM) mais des indicateurs de court terme baissiers (MACD, Stochastique), suggérant une consolidation nécessaire. Les fondamentaux sont excellents, avec un ROE de 22,24%, un résultat net de 11,081 milliards en 2025, et une croissance trimestrielle soutenue (+26,2% au T3), confirmant la solidité de la banque. Les prédictions IA (5 529 à 5 255 FCFA sur J+1 à J+10) indiquent un repli technique de 4 à 6%, contredisant la tendance haussière mais offrant un point d'entrée potentiel. La convergence entre la valorisation attractive, les fondamentaux robustes et la prédiction de repli suggère une stratégie d'achat sur faiblesse. **Recommandation finale : ACHAT** avec un niveau de confiance **Élevé** et un risque global **Moyen**, l'horizon d'investissement optimal étant le **moyen terme (3-12 mois)** pour capitaliser sur la solidité des fondamentaux après la phase de consolidation attendue.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105.56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10,747 titres</w:t>
            </w:r>
          </w:p>
        </w:tc>
        <w:tc>
          <w:tcPr>
            <w:tcW w:type="dxa" w:w="2268"/>
            <w:shd w:fill="FFF2CC" w:val="clear"/>
          </w:tcPr>
          <w:p>
            <w:r>
              <w:rPr>
                <w:b/>
                <w:color w:val="503200"/>
                <w:sz w:val="16"/>
              </w:rPr>
              <w:t xml:space="preserve">Cours actuel : </w:t>
            </w:r>
            <w:r>
              <w:rPr>
                <w:color w:val="000000"/>
                <w:sz w:val="17"/>
              </w:rPr>
              <w:t>5,075 FCFA</w:t>
            </w:r>
          </w:p>
          <w:p>
            <w:r>
              <w:rPr>
                <w:b/>
                <w:color w:val="503200"/>
                <w:sz w:val="16"/>
              </w:rPr>
              <w:t xml:space="preserve">Var. 100 jours : </w:t>
            </w:r>
            <w:r>
              <w:rPr>
                <w:b/>
                <w:color w:val="007800"/>
                <w:sz w:val="17"/>
              </w:rPr>
              <w:t>+70.59%</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2,460 FCFA</w:t>
            </w:r>
          </w:p>
          <w:p>
            <w:r>
              <w:rPr>
                <w:b/>
                <w:color w:val="503200"/>
                <w:sz w:val="16"/>
              </w:rPr>
              <w:t xml:space="preserve">Volatilité ann. : </w:t>
            </w:r>
            <w:r>
              <w:rPr>
                <w:color w:val="000000"/>
                <w:sz w:val="17"/>
              </w:rPr>
              <w:t>44.1%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21.99% (Élevée) — μ=3,773 FCFA, σ=830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β=0.6778 (Défensif) — Cov=0.000025, Var(idx)=0.000036, ρ=0.147,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10,747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2026-08-06</w:t>
            </w:r>
          </w:p>
        </w:tc>
        <w:tc>
          <w:tcPr>
            <w:tcW w:type="dxa" w:w="1440"/>
            <w:shd w:fill="FAFAFA" w:val="clear"/>
          </w:tcPr>
          <w:p>
            <w:r>
              <w:rPr>
                <w:sz w:val="17"/>
              </w:rPr>
              <w:t>4,857</w:t>
            </w:r>
          </w:p>
        </w:tc>
        <w:tc>
          <w:tcPr>
            <w:tcW w:type="dxa" w:w="1440"/>
            <w:shd w:fill="FAFAFA" w:val="clear"/>
          </w:tcPr>
          <w:p>
            <w:r>
              <w:rPr>
                <w:b/>
                <w:sz w:val="17"/>
              </w:rPr>
              <w:t>5,089</w:t>
            </w:r>
          </w:p>
        </w:tc>
        <w:tc>
          <w:tcPr>
            <w:tcW w:type="dxa" w:w="1440"/>
            <w:shd w:fill="FAFAFA" w:val="clear"/>
          </w:tcPr>
          <w:p>
            <w:r>
              <w:rPr>
                <w:sz w:val="17"/>
              </w:rPr>
              <w:t>5,321</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2026-08-10</w:t>
            </w:r>
          </w:p>
        </w:tc>
        <w:tc>
          <w:tcPr>
            <w:tcW w:type="dxa" w:w="1440"/>
            <w:shd w:fill="FAFAFA" w:val="clear"/>
          </w:tcPr>
          <w:p>
            <w:r>
              <w:rPr>
                <w:sz w:val="17"/>
              </w:rPr>
              <w:t>4,745</w:t>
            </w:r>
          </w:p>
        </w:tc>
        <w:tc>
          <w:tcPr>
            <w:tcW w:type="dxa" w:w="1440"/>
            <w:shd w:fill="FAFAFA" w:val="clear"/>
          </w:tcPr>
          <w:p>
            <w:r>
              <w:rPr>
                <w:b/>
                <w:sz w:val="17"/>
              </w:rPr>
              <w:t>5,071</w:t>
            </w:r>
          </w:p>
        </w:tc>
        <w:tc>
          <w:tcPr>
            <w:tcW w:type="dxa" w:w="1440"/>
            <w:shd w:fill="FAFAFA" w:val="clear"/>
          </w:tcPr>
          <w:p>
            <w:r>
              <w:rPr>
                <w:sz w:val="17"/>
              </w:rPr>
              <w:t>5,398</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2026-08-11</w:t>
            </w:r>
          </w:p>
        </w:tc>
        <w:tc>
          <w:tcPr>
            <w:tcW w:type="dxa" w:w="1440"/>
            <w:shd w:fill="FAFAFA" w:val="clear"/>
          </w:tcPr>
          <w:p>
            <w:r>
              <w:rPr>
                <w:sz w:val="17"/>
              </w:rPr>
              <w:t>4,662</w:t>
            </w:r>
          </w:p>
        </w:tc>
        <w:tc>
          <w:tcPr>
            <w:tcW w:type="dxa" w:w="1440"/>
            <w:shd w:fill="FAFAFA" w:val="clear"/>
          </w:tcPr>
          <w:p>
            <w:r>
              <w:rPr>
                <w:b/>
                <w:sz w:val="17"/>
              </w:rPr>
              <w:t>5,061</w:t>
            </w:r>
          </w:p>
        </w:tc>
        <w:tc>
          <w:tcPr>
            <w:tcW w:type="dxa" w:w="1440"/>
            <w:shd w:fill="FAFAFA" w:val="clear"/>
          </w:tcPr>
          <w:p>
            <w:r>
              <w:rPr>
                <w:sz w:val="17"/>
              </w:rPr>
              <w:t>5,461</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2026-08-12</w:t>
            </w:r>
          </w:p>
        </w:tc>
        <w:tc>
          <w:tcPr>
            <w:tcW w:type="dxa" w:w="1440"/>
            <w:shd w:fill="FAFAFA" w:val="clear"/>
          </w:tcPr>
          <w:p>
            <w:r>
              <w:rPr>
                <w:sz w:val="17"/>
              </w:rPr>
              <w:t>4,591</w:t>
            </w:r>
          </w:p>
        </w:tc>
        <w:tc>
          <w:tcPr>
            <w:tcW w:type="dxa" w:w="1440"/>
            <w:shd w:fill="FAFAFA" w:val="clear"/>
          </w:tcPr>
          <w:p>
            <w:r>
              <w:rPr>
                <w:b/>
                <w:sz w:val="17"/>
              </w:rPr>
              <w:t>5,052</w:t>
            </w:r>
          </w:p>
        </w:tc>
        <w:tc>
          <w:tcPr>
            <w:tcW w:type="dxa" w:w="1440"/>
            <w:shd w:fill="FAFAFA" w:val="clear"/>
          </w:tcPr>
          <w:p>
            <w:r>
              <w:rPr>
                <w:sz w:val="17"/>
              </w:rPr>
              <w:t>5,513</w:t>
            </w:r>
          </w:p>
        </w:tc>
        <w:tc>
          <w:tcPr>
            <w:tcW w:type="dxa" w:w="1440"/>
            <w:shd w:fill="FAFAFA" w:val="clear"/>
          </w:tcPr>
          <w:p>
            <w:r>
              <w:rPr>
                <w:b/>
                <w:color w:val="C00000"/>
                <w:sz w:val="17"/>
              </w:rPr>
              <w:t>-0.5%</w:t>
            </w:r>
          </w:p>
        </w:tc>
      </w:tr>
      <w:tr>
        <w:tc>
          <w:tcPr>
            <w:tcW w:type="dxa" w:w="1440"/>
            <w:shd w:fill="FAFAFA" w:val="clear"/>
          </w:tcPr>
          <w:p>
            <w:r>
              <w:rPr>
                <w:sz w:val="17"/>
              </w:rPr>
              <w:t>J+5  ⭐</w:t>
            </w:r>
          </w:p>
        </w:tc>
        <w:tc>
          <w:tcPr>
            <w:tcW w:type="dxa" w:w="1440"/>
            <w:shd w:fill="FAFAFA" w:val="clear"/>
          </w:tcPr>
          <w:p>
            <w:r>
              <w:rPr>
                <w:sz w:val="17"/>
              </w:rPr>
              <w:t>2026-08-13</w:t>
            </w:r>
          </w:p>
        </w:tc>
        <w:tc>
          <w:tcPr>
            <w:tcW w:type="dxa" w:w="1440"/>
            <w:shd w:fill="FAFAFA" w:val="clear"/>
          </w:tcPr>
          <w:p>
            <w:r>
              <w:rPr>
                <w:sz w:val="17"/>
              </w:rPr>
              <w:t>4,529</w:t>
            </w:r>
          </w:p>
        </w:tc>
        <w:tc>
          <w:tcPr>
            <w:tcW w:type="dxa" w:w="1440"/>
            <w:shd w:fill="FAFAFA" w:val="clear"/>
          </w:tcPr>
          <w:p>
            <w:r>
              <w:rPr>
                <w:b/>
                <w:sz w:val="17"/>
              </w:rPr>
              <w:t>5,043</w:t>
            </w:r>
          </w:p>
        </w:tc>
        <w:tc>
          <w:tcPr>
            <w:tcW w:type="dxa" w:w="1440"/>
            <w:shd w:fill="FAFAFA" w:val="clear"/>
          </w:tcPr>
          <w:p>
            <w:r>
              <w:rPr>
                <w:sz w:val="17"/>
              </w:rPr>
              <w:t>5,557</w:t>
            </w:r>
          </w:p>
        </w:tc>
        <w:tc>
          <w:tcPr>
            <w:tcW w:type="dxa" w:w="1440"/>
            <w:shd w:fill="FAFAFA" w:val="clear"/>
          </w:tcPr>
          <w:p>
            <w:r>
              <w:rPr>
                <w:b/>
                <w:color w:val="C00000"/>
                <w:sz w:val="17"/>
              </w:rPr>
              <w:t>-0.6%</w:t>
            </w:r>
          </w:p>
        </w:tc>
      </w:tr>
      <w:tr>
        <w:tc>
          <w:tcPr>
            <w:tcW w:type="dxa" w:w="1440"/>
            <w:shd w:fill="FAFAFA" w:val="clear"/>
          </w:tcPr>
          <w:p>
            <w:r>
              <w:rPr>
                <w:sz w:val="17"/>
              </w:rPr>
              <w:t>J+6  ⭐</w:t>
            </w:r>
          </w:p>
        </w:tc>
        <w:tc>
          <w:tcPr>
            <w:tcW w:type="dxa" w:w="1440"/>
            <w:shd w:fill="FAFAFA" w:val="clear"/>
          </w:tcPr>
          <w:p>
            <w:r>
              <w:rPr>
                <w:sz w:val="17"/>
              </w:rPr>
              <w:t>2026-08-14</w:t>
            </w:r>
          </w:p>
        </w:tc>
        <w:tc>
          <w:tcPr>
            <w:tcW w:type="dxa" w:w="1440"/>
            <w:shd w:fill="FAFAFA" w:val="clear"/>
          </w:tcPr>
          <w:p>
            <w:r>
              <w:rPr>
                <w:sz w:val="17"/>
              </w:rPr>
              <w:t>4,472</w:t>
            </w:r>
          </w:p>
        </w:tc>
        <w:tc>
          <w:tcPr>
            <w:tcW w:type="dxa" w:w="1440"/>
            <w:shd w:fill="FAFAFA" w:val="clear"/>
          </w:tcPr>
          <w:p>
            <w:r>
              <w:rPr>
                <w:b/>
                <w:sz w:val="17"/>
              </w:rPr>
              <w:t>5,034</w:t>
            </w:r>
          </w:p>
        </w:tc>
        <w:tc>
          <w:tcPr>
            <w:tcW w:type="dxa" w:w="1440"/>
            <w:shd w:fill="FAFAFA" w:val="clear"/>
          </w:tcPr>
          <w:p>
            <w:r>
              <w:rPr>
                <w:sz w:val="17"/>
              </w:rPr>
              <w:t>5,596</w:t>
            </w:r>
          </w:p>
        </w:tc>
        <w:tc>
          <w:tcPr>
            <w:tcW w:type="dxa" w:w="1440"/>
            <w:shd w:fill="FAFAFA" w:val="clear"/>
          </w:tcPr>
          <w:p>
            <w:r>
              <w:rPr>
                <w:b/>
                <w:color w:val="C00000"/>
                <w:sz w:val="17"/>
              </w:rPr>
              <w:t>-0.8%</w:t>
            </w:r>
          </w:p>
        </w:tc>
      </w:tr>
      <w:tr>
        <w:tc>
          <w:tcPr>
            <w:tcW w:type="dxa" w:w="1440"/>
            <w:shd w:fill="FAFAFA" w:val="clear"/>
          </w:tcPr>
          <w:p>
            <w:r>
              <w:rPr>
                <w:sz w:val="17"/>
              </w:rPr>
              <w:t>J+7  ⭐</w:t>
            </w:r>
          </w:p>
        </w:tc>
        <w:tc>
          <w:tcPr>
            <w:tcW w:type="dxa" w:w="1440"/>
            <w:shd w:fill="FAFAFA" w:val="clear"/>
          </w:tcPr>
          <w:p>
            <w:r>
              <w:rPr>
                <w:sz w:val="17"/>
              </w:rPr>
              <w:t>2026-08-17</w:t>
            </w:r>
          </w:p>
        </w:tc>
        <w:tc>
          <w:tcPr>
            <w:tcW w:type="dxa" w:w="1440"/>
            <w:shd w:fill="FAFAFA" w:val="clear"/>
          </w:tcPr>
          <w:p>
            <w:r>
              <w:rPr>
                <w:sz w:val="17"/>
              </w:rPr>
              <w:t>4,419</w:t>
            </w:r>
          </w:p>
        </w:tc>
        <w:tc>
          <w:tcPr>
            <w:tcW w:type="dxa" w:w="1440"/>
            <w:shd w:fill="FAFAFA" w:val="clear"/>
          </w:tcPr>
          <w:p>
            <w:r>
              <w:rPr>
                <w:b/>
                <w:sz w:val="17"/>
              </w:rPr>
              <w:t>5,026</w:t>
            </w:r>
          </w:p>
        </w:tc>
        <w:tc>
          <w:tcPr>
            <w:tcW w:type="dxa" w:w="1440"/>
            <w:shd w:fill="FAFAFA" w:val="clear"/>
          </w:tcPr>
          <w:p>
            <w:r>
              <w:rPr>
                <w:sz w:val="17"/>
              </w:rPr>
              <w:t>5,632</w:t>
            </w:r>
          </w:p>
        </w:tc>
        <w:tc>
          <w:tcPr>
            <w:tcW w:type="dxa" w:w="1440"/>
            <w:shd w:fill="FAFAFA" w:val="clear"/>
          </w:tcPr>
          <w:p>
            <w:r>
              <w:rPr>
                <w:b/>
                <w:color w:val="C00000"/>
                <w:sz w:val="17"/>
              </w:rPr>
              <w:t>-1.0%</w:t>
            </w:r>
          </w:p>
        </w:tc>
      </w:tr>
      <w:tr>
        <w:tc>
          <w:tcPr>
            <w:tcW w:type="dxa" w:w="1440"/>
            <w:shd w:fill="FAFAFA" w:val="clear"/>
          </w:tcPr>
          <w:p>
            <w:r>
              <w:rPr>
                <w:sz w:val="17"/>
              </w:rPr>
              <w:t>J+8  ⭐</w:t>
            </w:r>
          </w:p>
        </w:tc>
        <w:tc>
          <w:tcPr>
            <w:tcW w:type="dxa" w:w="1440"/>
            <w:shd w:fill="FAFAFA" w:val="clear"/>
          </w:tcPr>
          <w:p>
            <w:r>
              <w:rPr>
                <w:sz w:val="17"/>
              </w:rPr>
              <w:t>2026-08-18</w:t>
            </w:r>
          </w:p>
        </w:tc>
        <w:tc>
          <w:tcPr>
            <w:tcW w:type="dxa" w:w="1440"/>
            <w:shd w:fill="FAFAFA" w:val="clear"/>
          </w:tcPr>
          <w:p>
            <w:r>
              <w:rPr>
                <w:sz w:val="17"/>
              </w:rPr>
              <w:t>4,370</w:t>
            </w:r>
          </w:p>
        </w:tc>
        <w:tc>
          <w:tcPr>
            <w:tcW w:type="dxa" w:w="1440"/>
            <w:shd w:fill="FAFAFA" w:val="clear"/>
          </w:tcPr>
          <w:p>
            <w:r>
              <w:rPr>
                <w:b/>
                <w:sz w:val="17"/>
              </w:rPr>
              <w:t>5,017</w:t>
            </w:r>
          </w:p>
        </w:tc>
        <w:tc>
          <w:tcPr>
            <w:tcW w:type="dxa" w:w="1440"/>
            <w:shd w:fill="FAFAFA" w:val="clear"/>
          </w:tcPr>
          <w:p>
            <w:r>
              <w:rPr>
                <w:sz w:val="17"/>
              </w:rPr>
              <w:t>5,664</w:t>
            </w:r>
          </w:p>
        </w:tc>
        <w:tc>
          <w:tcPr>
            <w:tcW w:type="dxa" w:w="1440"/>
            <w:shd w:fill="FAFAFA" w:val="clear"/>
          </w:tcPr>
          <w:p>
            <w:r>
              <w:rPr>
                <w:b/>
                <w:color w:val="C00000"/>
                <w:sz w:val="17"/>
              </w:rPr>
              <w:t>-1.1%</w:t>
            </w:r>
          </w:p>
        </w:tc>
      </w:tr>
      <w:tr>
        <w:tc>
          <w:tcPr>
            <w:tcW w:type="dxa" w:w="1440"/>
            <w:shd w:fill="FAFAFA" w:val="clear"/>
          </w:tcPr>
          <w:p>
            <w:r>
              <w:rPr>
                <w:sz w:val="17"/>
              </w:rPr>
              <w:t>J+9  ⭐</w:t>
            </w:r>
          </w:p>
        </w:tc>
        <w:tc>
          <w:tcPr>
            <w:tcW w:type="dxa" w:w="1440"/>
            <w:shd w:fill="FAFAFA" w:val="clear"/>
          </w:tcPr>
          <w:p>
            <w:r>
              <w:rPr>
                <w:sz w:val="17"/>
              </w:rPr>
              <w:t>2026-08-19</w:t>
            </w:r>
          </w:p>
        </w:tc>
        <w:tc>
          <w:tcPr>
            <w:tcW w:type="dxa" w:w="1440"/>
            <w:shd w:fill="FAFAFA" w:val="clear"/>
          </w:tcPr>
          <w:p>
            <w:r>
              <w:rPr>
                <w:sz w:val="17"/>
              </w:rPr>
              <w:t>4,324</w:t>
            </w:r>
          </w:p>
        </w:tc>
        <w:tc>
          <w:tcPr>
            <w:tcW w:type="dxa" w:w="1440"/>
            <w:shd w:fill="FAFAFA" w:val="clear"/>
          </w:tcPr>
          <w:p>
            <w:r>
              <w:rPr>
                <w:b/>
                <w:sz w:val="17"/>
              </w:rPr>
              <w:t>5,009</w:t>
            </w:r>
          </w:p>
        </w:tc>
        <w:tc>
          <w:tcPr>
            <w:tcW w:type="dxa" w:w="1440"/>
            <w:shd w:fill="FAFAFA" w:val="clear"/>
          </w:tcPr>
          <w:p>
            <w:r>
              <w:rPr>
                <w:sz w:val="17"/>
              </w:rPr>
              <w:t>5,693</w:t>
            </w:r>
          </w:p>
        </w:tc>
        <w:tc>
          <w:tcPr>
            <w:tcW w:type="dxa" w:w="1440"/>
            <w:shd w:fill="FAFAFA" w:val="clear"/>
          </w:tcPr>
          <w:p>
            <w:r>
              <w:rPr>
                <w:b/>
                <w:color w:val="C00000"/>
                <w:sz w:val="17"/>
              </w:rPr>
              <w:t>-1.3%</w:t>
            </w:r>
          </w:p>
        </w:tc>
      </w:tr>
      <w:tr>
        <w:tc>
          <w:tcPr>
            <w:tcW w:type="dxa" w:w="1440"/>
            <w:shd w:fill="FAFAFA" w:val="clear"/>
          </w:tcPr>
          <w:p>
            <w:r>
              <w:rPr>
                <w:sz w:val="17"/>
              </w:rPr>
              <w:t>J+10  ⭐</w:t>
            </w:r>
          </w:p>
        </w:tc>
        <w:tc>
          <w:tcPr>
            <w:tcW w:type="dxa" w:w="1440"/>
            <w:shd w:fill="FAFAFA" w:val="clear"/>
          </w:tcPr>
          <w:p>
            <w:r>
              <w:rPr>
                <w:sz w:val="17"/>
              </w:rPr>
              <w:t>2026-08-20</w:t>
            </w:r>
          </w:p>
        </w:tc>
        <w:tc>
          <w:tcPr>
            <w:tcW w:type="dxa" w:w="1440"/>
            <w:shd w:fill="FAFAFA" w:val="clear"/>
          </w:tcPr>
          <w:p>
            <w:r>
              <w:rPr>
                <w:sz w:val="17"/>
              </w:rPr>
              <w:t>4,280</w:t>
            </w:r>
          </w:p>
        </w:tc>
        <w:tc>
          <w:tcPr>
            <w:tcW w:type="dxa" w:w="1440"/>
            <w:shd w:fill="FAFAFA" w:val="clear"/>
          </w:tcPr>
          <w:p>
            <w:r>
              <w:rPr>
                <w:b/>
                <w:sz w:val="17"/>
              </w:rPr>
              <w:t>5,000</w:t>
            </w:r>
          </w:p>
        </w:tc>
        <w:tc>
          <w:tcPr>
            <w:tcW w:type="dxa" w:w="1440"/>
            <w:shd w:fill="FAFAFA" w:val="clear"/>
          </w:tcPr>
          <w:p>
            <w:r>
              <w:rPr>
                <w:sz w:val="17"/>
              </w:rPr>
              <w:t>5,721</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**Date de l'analyse : 05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BOAN s'établit à 105,56 milliards FCFA, un niveau significatif qui lui confère une place de poids dans le compartiment bancaire de la BRVM. Avec un BPA de seulement 20 FCFA, le PER de 258,1x est extrêmement élevé, très au-dessus de la moyenne du marché (8-12x), indiquant que les investisseurs paient un prix très substantiel pour des bénéfices actuels quasi inexistants. Le P/B de 2,93x valorise la banque près de trois fois ses fonds propres comptables, ce qui est élevé pour une banque dont la rentabilité (ROE) est inférieure à 2%. Enfin, l'EV/EBITDA de 39,4x est également très exigeant, signifiant que la valeur totale de l'entreprise est près de 40 fois sa capacité opérationnelle, un niveau qui laisse peu de place à l'erreur et reflète des attentes de croissance future très fortes.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BOAN a enregistré une performance spectaculaire de +70,59%, bien que la dernière séance affiche un léger repli de -0,49% à 5 075 FCFA. Le titre a évolué dans une fourchette très large, entre un plus bas de 2 460 FCFA et un plus haut de 5 400 FCFA, illustrant un mouvement haussier puissant et une forte volatilité. La moyenne du cours sur la période est de 3 773 FCFA, légèrement supérieure à la médiane de 3 700 FCFA, et le mode de 3 500 FCFA, ce qui suggère une distribution asymétrique positive (skewness de 0.520) où le titre a passé plus de temps sous sa moyenne avant de s'en éloigner. L'écart-type de 834 FCFA (CV de 22,1%) montre une dispersion modérée, tandis que le kurtosis de -0.615 (mésokurtique) indique une absence de pics extrêmes. La volatilité annualisée de 44,1% est très élevée, classant BOAN comme un actif à haut risque, mais offrant un potentiel de rendement proportionnel.</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(5 075 FCFA) est inférieur à la MM20 (5 146,5 FCFA) mais nettement supérieur à la MM50 (4 401,5 FCFA). Cette configuration, avec une MM20 au-dessus de la MM50, est typique d'une tendance haussière de moyen terme, mais le croisement sous la MM20 à court terme suggère un essoufflement. La décision "Achat" est justifiée par la tendance de fond, mais une consolidation est probable.</w:t>
      </w:r>
    </w:p>
    <w:p>
      <w:pPr>
        <w:spacing w:after="120" w:line="276" w:lineRule="auto"/>
      </w:pPr>
      <w:r>
        <w:t>**Bandes de Bollinger:** Le prix se situe à 5 075 FCFA, entre la borne inférieure (4 630,38 FCFA) et la borne supérieure (5 662,62 FCFA), mais plus proche de la moyenne. La largeur des bandes reflète la volatilité élevée du titre. La décision "Neutre" est cohérente : le titre n'est ni suracheté ni survendu, mais l'absence de contact avec les bornes indique un momentum directionnel faible à court terme.</w:t>
      </w:r>
    </w:p>
    <w:p>
      <w:pPr>
        <w:spacing w:after="120" w:line="276" w:lineRule="auto"/>
      </w:pPr>
      <w:r>
        <w:t>**MACD:** La valeur du MACD (232,935) est inférieure à son signal (296,997), formant une divergence baissière. Cela indique un ralentissement du momentum haussier. La décision "Vente" est un signal de prudence, suggérant que la pression acheteuse s'estompe et qu'une correction pourrait survenir.</w:t>
      </w:r>
    </w:p>
    <w:p>
      <w:pPr>
        <w:spacing w:after="120" w:line="276" w:lineRule="auto"/>
      </w:pPr>
      <w:r>
        <w:t>**RSI:** À 33,838, le RSI est en zone neutre, mais proche de la zone de survente (30). Cela indique que le titre est sous-pondéré à court terme sans être encore survendu. La décision "Neutre" est appropriée, mais un passage sous 30 signalerait une opportunité d'achat potentielle pour les investisseurs à contre-courant.</w:t>
      </w:r>
    </w:p>
    <w:p>
      <w:pPr>
        <w:spacing w:after="120" w:line="276" w:lineRule="auto"/>
      </w:pPr>
      <w:r>
        <w:t>**Stochastique:** Le %K est à 0,0 et le %D à 10,345, indiquant une condition de survente extrême. Le croisement du %K sous le %D suggère une pression vendeuse intense, mais un rebond technique est souvent imminent dans ces conditions. La décision "Achat" est un signal de retournement haussier probable à très court terme.</w:t>
      </w:r>
    </w:p>
    <w:p>
      <w:pPr>
        <w:spacing w:after="120" w:line="276" w:lineRule="auto"/>
      </w:pPr>
      <w:r>
        <w:t>**Conclusion technique :** Les indicateurs sont mitigés. La tendance de fond (MM50) reste haussière, mais les signaux à court terme (MACD, RSI, position sous MM20) indiquent une correction en cours. Le Stochastique en survente extrême suggère un rebond imminent. Le titre est dans une phase de consolidation après une forte hausse, avec un biais haussier à moyen terme.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BOAN révèlent une situation financière très dégradée. Le Produit Net Bancaire (PNB) s'établit à 21,125 milliards FCFA, en légère baisse de -1,2% par rapport à 2024 (21,38 Mds). Le résultat net est en chute libre de 91,8%, passant de 5,002 milliards FCFA en 2024 à seulement 409 millions FCFA en 2025. Cette contre-performance se reflète dans les ratios de rentabilité : le ROE s'effondre à 1,13% et le ROA à 0,14%. Le coefficient d'exploitation est élevé à 74,37%, indiquant une banque peu efficace, et le coût du risque est très important (67,3% des charges financières), reflétant un portefeuille de crédits à haut risque. Les rapports trimestriels de 2025 confirment cette tendance : le T1 2025 montrait un PNB en baisse de 16,3% et un résultat net en chute de 50,2%, tandis que le S1 2025 affichait une baisse du résultat net de 25,2%. Cependant, le rapport du T1 2026, daté de 2026, marque un tournant décisif : le résultat net progresse de 28,9% à 1 467,3 millions FCFA, le PNB de 7,9% à 5 170 millions FCFA, et le coefficient d'exploitation s'améliore fortement à 56,2%. Sur la base de ce rapport T1 2026, on estime que l'exercice 2026 pourrait voir un PNB en hausse de 8% et un résultat net en forte amélioration, potentiellement multiplié par 6 par rapport à 2025, comme le suggère le budget 2026 (résultat avant impôts de 7,28 milliards FCFA). La banque, soutenue par le groupe BOA, semble donc sortir de la crise, mais la prudence reste de mise.</w:t>
      </w:r>
    </w:p>
    <w:p>
      <w:pPr>
        <w:spacing w:after="120" w:line="276" w:lineRule="auto"/>
      </w:pPr>
      <w:r>
        <w:t>---</w:t>
      </w:r>
    </w:p>
    <w:p>
      <w:pPr>
        <w:spacing w:after="120" w:line="276" w:lineRule="auto"/>
      </w:pPr>
      <w:r>
        <w:t>### PARTIE 4 : CONCLUSION D'INVESTISSEMENT</w:t>
      </w:r>
    </w:p>
    <w:p>
      <w:pPr>
        <w:spacing w:after="120" w:line="276" w:lineRule="auto"/>
      </w:pPr>
      <w:r>
        <w:t>La valorisation de BOAN est extrêmement exigeante, avec un PER de 258x et un EV/EBITDA de 39,4x, indiquant une forte surévaluation par rapport aux bénéfices actuels, mais les investisseurs parient sur une reprise future. Le comportement du cours est haussier sur 100 jours (+70,59%) avec une volatilité très élevée (44,1%), ce qui est préoccupant pour un titre à la rentabilité fragile. Les signaux techniques sont mitigés : la tendance de fond reste positive, mais les indicateurs à court terme (MACD, RSI) suggèrent une consolidation, tandis que le Stochastique en survente extrême anticipe un rebond. Les fondamentaux, bien que très faibles en 2025, montrent des signes nets d'amélioration au T1 2026, avec une croissance du résultat net et une meilleure maîtrise des coûts. Les prédictions IA pour les 10 prochains jours (5 089 à 5 043 FCFA) indiquent une stabilité avec une légère tendance baissière, confirmant la phase de consolidation technique. En synthèse, la convergence entre l'amélioration fondamentale et la tendance haussière de fond est positive, mais la valorisation extrême et la volatilité élevée imposent une grande prudence. **Recommandation finale : CONSERVER.** Le niveau de confiance est **Moyen**, le risque global est **Élevé**. L'horizon d'investissement optimal est le **moyen terme (3-12 mois)**, en attendant la confirmation de la reprise de la rentabilité sur les prochains trimestres.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273.60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9,054 titres</w:t>
            </w:r>
          </w:p>
        </w:tc>
        <w:tc>
          <w:tcPr>
            <w:tcW w:type="dxa" w:w="2268"/>
            <w:shd w:fill="FFF2CC" w:val="clear"/>
          </w:tcPr>
          <w:p>
            <w:r>
              <w:rPr>
                <w:b/>
                <w:color w:val="503200"/>
                <w:sz w:val="16"/>
              </w:rPr>
              <w:t xml:space="preserve">Cours actuel : </w:t>
            </w:r>
            <w:r>
              <w:rPr>
                <w:color w:val="000000"/>
                <w:sz w:val="17"/>
              </w:rPr>
              <w:t>7,600 FCFA</w:t>
            </w:r>
          </w:p>
          <w:p>
            <w:r>
              <w:rPr>
                <w:b/>
                <w:color w:val="503200"/>
                <w:sz w:val="16"/>
              </w:rPr>
              <w:t xml:space="preserve">Var. 100 jours : </w:t>
            </w:r>
            <w:r>
              <w:rPr>
                <w:b/>
                <w:color w:val="007800"/>
                <w:sz w:val="17"/>
              </w:rPr>
              <w:t>+11.76%</w:t>
            </w:r>
          </w:p>
          <w:p>
            <w:r>
              <w:rPr>
                <w:b/>
                <w:color w:val="503200"/>
                <w:sz w:val="16"/>
              </w:rPr>
              <w:t xml:space="preserve">Plus haut 100j : </w:t>
            </w:r>
            <w:r>
              <w:rPr>
                <w:color w:val="000000"/>
                <w:sz w:val="17"/>
              </w:rPr>
              <w:t>8,050 FCFA</w:t>
            </w:r>
          </w:p>
          <w:p>
            <w:r>
              <w:rPr>
                <w:b/>
                <w:color w:val="503200"/>
                <w:sz w:val="16"/>
              </w:rPr>
              <w:t xml:space="preserve">Plus bas 100j : </w:t>
            </w:r>
            <w:r>
              <w:rPr>
                <w:color w:val="000000"/>
                <w:sz w:val="17"/>
              </w:rPr>
              <w:t>6,400 FCFA</w:t>
            </w:r>
          </w:p>
          <w:p>
            <w:r>
              <w:rPr>
                <w:b/>
                <w:color w:val="503200"/>
                <w:sz w:val="16"/>
              </w:rPr>
              <w:t xml:space="preserve">Volatilité ann. : </w:t>
            </w:r>
            <w:r>
              <w:rPr>
                <w:color w:val="000000"/>
                <w:sz w:val="17"/>
              </w:rPr>
              <w:t>24.9%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5.34% (Moyenne) — μ=7,243 FCFA, σ=387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β=0.5969 (Défensif) — Cov=0.000022, Var(idx)=0.000036, ρ=0.229,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9,054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σ_j=1.57%/j (Stable) — Vol. annualisée≈24.9%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2026-08-06</w:t>
            </w:r>
          </w:p>
        </w:tc>
        <w:tc>
          <w:tcPr>
            <w:tcW w:type="dxa" w:w="1440"/>
            <w:shd w:fill="FAFAFA" w:val="clear"/>
          </w:tcPr>
          <w:p>
            <w:r>
              <w:rPr>
                <w:sz w:val="17"/>
              </w:rPr>
              <w:t>7,294</w:t>
            </w:r>
          </w:p>
        </w:tc>
        <w:tc>
          <w:tcPr>
            <w:tcW w:type="dxa" w:w="1440"/>
            <w:shd w:fill="FAFAFA" w:val="clear"/>
          </w:tcPr>
          <w:p>
            <w:r>
              <w:rPr>
                <w:b/>
                <w:sz w:val="17"/>
              </w:rPr>
              <w:t>7,467</w:t>
            </w:r>
          </w:p>
        </w:tc>
        <w:tc>
          <w:tcPr>
            <w:tcW w:type="dxa" w:w="1440"/>
            <w:shd w:fill="FAFAFA" w:val="clear"/>
          </w:tcPr>
          <w:p>
            <w:r>
              <w:rPr>
                <w:sz w:val="17"/>
              </w:rPr>
              <w:t>7,641</w:t>
            </w:r>
          </w:p>
        </w:tc>
        <w:tc>
          <w:tcPr>
            <w:tcW w:type="dxa" w:w="1440"/>
            <w:shd w:fill="FAFAFA" w:val="clear"/>
          </w:tcPr>
          <w:p>
            <w:r>
              <w:rPr>
                <w:b/>
                <w:color w:val="C00000"/>
                <w:sz w:val="17"/>
              </w:rPr>
              <w:t>-1.7%</w:t>
            </w:r>
          </w:p>
        </w:tc>
      </w:tr>
      <w:tr>
        <w:tc>
          <w:tcPr>
            <w:tcW w:type="dxa" w:w="1440"/>
            <w:shd w:fill="FFDCE0" w:val="clear"/>
          </w:tcPr>
          <w:p>
            <w:r>
              <w:rPr>
                <w:sz w:val="17"/>
              </w:rPr>
              <w:t>J+2  ⭐⭐⭐</w:t>
            </w:r>
          </w:p>
        </w:tc>
        <w:tc>
          <w:tcPr>
            <w:tcW w:type="dxa" w:w="1440"/>
            <w:shd w:fill="FFDCE0" w:val="clear"/>
          </w:tcPr>
          <w:p>
            <w:r>
              <w:rPr>
                <w:sz w:val="17"/>
              </w:rPr>
              <w:t>2026-08-10</w:t>
            </w:r>
          </w:p>
        </w:tc>
        <w:tc>
          <w:tcPr>
            <w:tcW w:type="dxa" w:w="1440"/>
            <w:shd w:fill="FFDCE0" w:val="clear"/>
          </w:tcPr>
          <w:p>
            <w:r>
              <w:rPr>
                <w:sz w:val="17"/>
              </w:rPr>
              <w:t>7,116</w:t>
            </w:r>
          </w:p>
        </w:tc>
        <w:tc>
          <w:tcPr>
            <w:tcW w:type="dxa" w:w="1440"/>
            <w:shd w:fill="FFDCE0" w:val="clear"/>
          </w:tcPr>
          <w:p>
            <w:r>
              <w:rPr>
                <w:b/>
                <w:sz w:val="17"/>
              </w:rPr>
              <w:t>7,358</w:t>
            </w:r>
          </w:p>
        </w:tc>
        <w:tc>
          <w:tcPr>
            <w:tcW w:type="dxa" w:w="1440"/>
            <w:shd w:fill="FFDCE0" w:val="clear"/>
          </w:tcPr>
          <w:p>
            <w:r>
              <w:rPr>
                <w:sz w:val="17"/>
              </w:rPr>
              <w:t>7,600</w:t>
            </w:r>
          </w:p>
        </w:tc>
        <w:tc>
          <w:tcPr>
            <w:tcW w:type="dxa" w:w="1440"/>
            <w:shd w:fill="FFDCE0" w:val="clear"/>
          </w:tcPr>
          <w:p>
            <w:r>
              <w:rPr>
                <w:b/>
                <w:color w:val="C00000"/>
                <w:sz w:val="17"/>
              </w:rPr>
              <w:t>-3.2%</w:t>
            </w:r>
          </w:p>
        </w:tc>
      </w:tr>
      <w:tr>
        <w:tc>
          <w:tcPr>
            <w:tcW w:type="dxa" w:w="1440"/>
            <w:shd w:fill="FFDCE0" w:val="clear"/>
          </w:tcPr>
          <w:p>
            <w:r>
              <w:rPr>
                <w:sz w:val="17"/>
              </w:rPr>
              <w:t>J+3  ⭐⭐⭐</w:t>
            </w:r>
          </w:p>
        </w:tc>
        <w:tc>
          <w:tcPr>
            <w:tcW w:type="dxa" w:w="1440"/>
            <w:shd w:fill="FFDCE0" w:val="clear"/>
          </w:tcPr>
          <w:p>
            <w:r>
              <w:rPr>
                <w:sz w:val="17"/>
              </w:rPr>
              <w:t>2026-08-11</w:t>
            </w:r>
          </w:p>
        </w:tc>
        <w:tc>
          <w:tcPr>
            <w:tcW w:type="dxa" w:w="1440"/>
            <w:shd w:fill="FFDCE0" w:val="clear"/>
          </w:tcPr>
          <w:p>
            <w:r>
              <w:rPr>
                <w:sz w:val="17"/>
              </w:rPr>
              <w:t>6,963</w:t>
            </w:r>
          </w:p>
        </w:tc>
        <w:tc>
          <w:tcPr>
            <w:tcW w:type="dxa" w:w="1440"/>
            <w:shd w:fill="FFDCE0" w:val="clear"/>
          </w:tcPr>
          <w:p>
            <w:r>
              <w:rPr>
                <w:b/>
                <w:sz w:val="17"/>
              </w:rPr>
              <w:t>7,255</w:t>
            </w:r>
          </w:p>
        </w:tc>
        <w:tc>
          <w:tcPr>
            <w:tcW w:type="dxa" w:w="1440"/>
            <w:shd w:fill="FFDCE0" w:val="clear"/>
          </w:tcPr>
          <w:p>
            <w:r>
              <w:rPr>
                <w:sz w:val="17"/>
              </w:rPr>
              <w:t>7,547</w:t>
            </w:r>
          </w:p>
        </w:tc>
        <w:tc>
          <w:tcPr>
            <w:tcW w:type="dxa" w:w="1440"/>
            <w:shd w:fill="FFDCE0" w:val="clear"/>
          </w:tcPr>
          <w:p>
            <w:r>
              <w:rPr>
                <w:b/>
                <w:color w:val="C00000"/>
                <w:sz w:val="17"/>
              </w:rPr>
              <w:t>-4.5%</w:t>
            </w:r>
          </w:p>
        </w:tc>
      </w:tr>
      <w:tr>
        <w:tc>
          <w:tcPr>
            <w:tcW w:type="dxa" w:w="1440"/>
            <w:shd w:fill="FFDCE0" w:val="clear"/>
          </w:tcPr>
          <w:p>
            <w:r>
              <w:rPr>
                <w:sz w:val="17"/>
              </w:rPr>
              <w:t>J+4  Moyenne</w:t>
            </w:r>
          </w:p>
        </w:tc>
        <w:tc>
          <w:tcPr>
            <w:tcW w:type="dxa" w:w="1440"/>
            <w:shd w:fill="FFDCE0" w:val="clear"/>
          </w:tcPr>
          <w:p>
            <w:r>
              <w:rPr>
                <w:sz w:val="17"/>
              </w:rPr>
              <w:t>2026-08-12</w:t>
            </w:r>
          </w:p>
        </w:tc>
        <w:tc>
          <w:tcPr>
            <w:tcW w:type="dxa" w:w="1440"/>
            <w:shd w:fill="FFDCE0" w:val="clear"/>
          </w:tcPr>
          <w:p>
            <w:r>
              <w:rPr>
                <w:sz w:val="17"/>
              </w:rPr>
              <w:t>6,825</w:t>
            </w:r>
          </w:p>
        </w:tc>
        <w:tc>
          <w:tcPr>
            <w:tcW w:type="dxa" w:w="1440"/>
            <w:shd w:fill="FFDCE0" w:val="clear"/>
          </w:tcPr>
          <w:p>
            <w:r>
              <w:rPr>
                <w:b/>
                <w:sz w:val="17"/>
              </w:rPr>
              <w:t>7,158</w:t>
            </w:r>
          </w:p>
        </w:tc>
        <w:tc>
          <w:tcPr>
            <w:tcW w:type="dxa" w:w="1440"/>
            <w:shd w:fill="FFDCE0" w:val="clear"/>
          </w:tcPr>
          <w:p>
            <w:r>
              <w:rPr>
                <w:sz w:val="17"/>
              </w:rPr>
              <w:t>7,491</w:t>
            </w:r>
          </w:p>
        </w:tc>
        <w:tc>
          <w:tcPr>
            <w:tcW w:type="dxa" w:w="1440"/>
            <w:shd w:fill="FFDCE0" w:val="clear"/>
          </w:tcPr>
          <w:p>
            <w:r>
              <w:rPr>
                <w:b/>
                <w:color w:val="C00000"/>
                <w:sz w:val="17"/>
              </w:rPr>
              <w:t>-5.8%</w:t>
            </w:r>
          </w:p>
        </w:tc>
      </w:tr>
      <w:tr>
        <w:tc>
          <w:tcPr>
            <w:tcW w:type="dxa" w:w="1440"/>
            <w:shd w:fill="FFDCE0" w:val="clear"/>
          </w:tcPr>
          <w:p>
            <w:r>
              <w:rPr>
                <w:sz w:val="17"/>
              </w:rPr>
              <w:t>J+5  Moyenne</w:t>
            </w:r>
          </w:p>
        </w:tc>
        <w:tc>
          <w:tcPr>
            <w:tcW w:type="dxa" w:w="1440"/>
            <w:shd w:fill="FFDCE0" w:val="clear"/>
          </w:tcPr>
          <w:p>
            <w:r>
              <w:rPr>
                <w:sz w:val="17"/>
              </w:rPr>
              <w:t>2026-08-13</w:t>
            </w:r>
          </w:p>
        </w:tc>
        <w:tc>
          <w:tcPr>
            <w:tcW w:type="dxa" w:w="1440"/>
            <w:shd w:fill="FFDCE0" w:val="clear"/>
          </w:tcPr>
          <w:p>
            <w:r>
              <w:rPr>
                <w:sz w:val="17"/>
              </w:rPr>
              <w:t>6,700</w:t>
            </w:r>
          </w:p>
        </w:tc>
        <w:tc>
          <w:tcPr>
            <w:tcW w:type="dxa" w:w="1440"/>
            <w:shd w:fill="FFDCE0" w:val="clear"/>
          </w:tcPr>
          <w:p>
            <w:r>
              <w:rPr>
                <w:b/>
                <w:sz w:val="17"/>
              </w:rPr>
              <w:t>7,067</w:t>
            </w:r>
          </w:p>
        </w:tc>
        <w:tc>
          <w:tcPr>
            <w:tcW w:type="dxa" w:w="1440"/>
            <w:shd w:fill="FFDCE0" w:val="clear"/>
          </w:tcPr>
          <w:p>
            <w:r>
              <w:rPr>
                <w:sz w:val="17"/>
              </w:rPr>
              <w:t>7,434</w:t>
            </w:r>
          </w:p>
        </w:tc>
        <w:tc>
          <w:tcPr>
            <w:tcW w:type="dxa" w:w="1440"/>
            <w:shd w:fill="FFDCE0" w:val="clear"/>
          </w:tcPr>
          <w:p>
            <w:r>
              <w:rPr>
                <w:b/>
                <w:color w:val="C00000"/>
                <w:sz w:val="17"/>
              </w:rPr>
              <w:t>-7.0%</w:t>
            </w:r>
          </w:p>
        </w:tc>
      </w:tr>
      <w:tr>
        <w:tc>
          <w:tcPr>
            <w:tcW w:type="dxa" w:w="1440"/>
            <w:shd w:fill="FFDCE0" w:val="clear"/>
          </w:tcPr>
          <w:p>
            <w:r>
              <w:rPr>
                <w:sz w:val="17"/>
              </w:rPr>
              <w:t>J+6  Moyenne</w:t>
            </w:r>
          </w:p>
        </w:tc>
        <w:tc>
          <w:tcPr>
            <w:tcW w:type="dxa" w:w="1440"/>
            <w:shd w:fill="FFDCE0" w:val="clear"/>
          </w:tcPr>
          <w:p>
            <w:r>
              <w:rPr>
                <w:sz w:val="17"/>
              </w:rPr>
              <w:t>2026-08-14</w:t>
            </w:r>
          </w:p>
        </w:tc>
        <w:tc>
          <w:tcPr>
            <w:tcW w:type="dxa" w:w="1440"/>
            <w:shd w:fill="FFDCE0" w:val="clear"/>
          </w:tcPr>
          <w:p>
            <w:r>
              <w:rPr>
                <w:sz w:val="17"/>
              </w:rPr>
              <w:t>6,584</w:t>
            </w:r>
          </w:p>
        </w:tc>
        <w:tc>
          <w:tcPr>
            <w:tcW w:type="dxa" w:w="1440"/>
            <w:shd w:fill="FFDCE0" w:val="clear"/>
          </w:tcPr>
          <w:p>
            <w:r>
              <w:rPr>
                <w:b/>
                <w:sz w:val="17"/>
              </w:rPr>
              <w:t>6,981</w:t>
            </w:r>
          </w:p>
        </w:tc>
        <w:tc>
          <w:tcPr>
            <w:tcW w:type="dxa" w:w="1440"/>
            <w:shd w:fill="FFDCE0" w:val="clear"/>
          </w:tcPr>
          <w:p>
            <w:r>
              <w:rPr>
                <w:sz w:val="17"/>
              </w:rPr>
              <w:t>7,378</w:t>
            </w:r>
          </w:p>
        </w:tc>
        <w:tc>
          <w:tcPr>
            <w:tcW w:type="dxa" w:w="1440"/>
            <w:shd w:fill="FFDCE0" w:val="clear"/>
          </w:tcPr>
          <w:p>
            <w:r>
              <w:rPr>
                <w:b/>
                <w:color w:val="C00000"/>
                <w:sz w:val="17"/>
              </w:rPr>
              <w:t>-8.1%</w:t>
            </w:r>
          </w:p>
        </w:tc>
      </w:tr>
      <w:tr>
        <w:tc>
          <w:tcPr>
            <w:tcW w:type="dxa" w:w="1440"/>
            <w:shd w:fill="FFDCE0" w:val="clear"/>
          </w:tcPr>
          <w:p>
            <w:r>
              <w:rPr>
                <w:sz w:val="17"/>
              </w:rPr>
              <w:t>J+7  Moyenne</w:t>
            </w:r>
          </w:p>
        </w:tc>
        <w:tc>
          <w:tcPr>
            <w:tcW w:type="dxa" w:w="1440"/>
            <w:shd w:fill="FFDCE0" w:val="clear"/>
          </w:tcPr>
          <w:p>
            <w:r>
              <w:rPr>
                <w:sz w:val="17"/>
              </w:rPr>
              <w:t>2026-08-17</w:t>
            </w:r>
          </w:p>
        </w:tc>
        <w:tc>
          <w:tcPr>
            <w:tcW w:type="dxa" w:w="1440"/>
            <w:shd w:fill="FFDCE0" w:val="clear"/>
          </w:tcPr>
          <w:p>
            <w:r>
              <w:rPr>
                <w:sz w:val="17"/>
              </w:rPr>
              <w:t>6,475</w:t>
            </w:r>
          </w:p>
        </w:tc>
        <w:tc>
          <w:tcPr>
            <w:tcW w:type="dxa" w:w="1440"/>
            <w:shd w:fill="FFDCE0" w:val="clear"/>
          </w:tcPr>
          <w:p>
            <w:r>
              <w:rPr>
                <w:b/>
                <w:sz w:val="17"/>
              </w:rPr>
              <w:t>6,899</w:t>
            </w:r>
          </w:p>
        </w:tc>
        <w:tc>
          <w:tcPr>
            <w:tcW w:type="dxa" w:w="1440"/>
            <w:shd w:fill="FFDCE0" w:val="clear"/>
          </w:tcPr>
          <w:p>
            <w:r>
              <w:rPr>
                <w:sz w:val="17"/>
              </w:rPr>
              <w:t>7,323</w:t>
            </w:r>
          </w:p>
        </w:tc>
        <w:tc>
          <w:tcPr>
            <w:tcW w:type="dxa" w:w="1440"/>
            <w:shd w:fill="FFDCE0" w:val="clear"/>
          </w:tcPr>
          <w:p>
            <w:r>
              <w:rPr>
                <w:b/>
                <w:color w:val="C00000"/>
                <w:sz w:val="17"/>
              </w:rPr>
              <w:t>-9.2%</w:t>
            </w:r>
          </w:p>
        </w:tc>
      </w:tr>
      <w:tr>
        <w:tc>
          <w:tcPr>
            <w:tcW w:type="dxa" w:w="1440"/>
            <w:shd w:fill="FFDCE0" w:val="clear"/>
          </w:tcPr>
          <w:p>
            <w:r>
              <w:rPr>
                <w:sz w:val="17"/>
              </w:rPr>
              <w:t>J+8  Moyenne</w:t>
            </w:r>
          </w:p>
        </w:tc>
        <w:tc>
          <w:tcPr>
            <w:tcW w:type="dxa" w:w="1440"/>
            <w:shd w:fill="FFDCE0" w:val="clear"/>
          </w:tcPr>
          <w:p>
            <w:r>
              <w:rPr>
                <w:sz w:val="17"/>
              </w:rPr>
              <w:t>2026-08-18</w:t>
            </w:r>
          </w:p>
        </w:tc>
        <w:tc>
          <w:tcPr>
            <w:tcW w:type="dxa" w:w="1440"/>
            <w:shd w:fill="FFDCE0" w:val="clear"/>
          </w:tcPr>
          <w:p>
            <w:r>
              <w:rPr>
                <w:sz w:val="17"/>
              </w:rPr>
              <w:t>6,373</w:t>
            </w:r>
          </w:p>
        </w:tc>
        <w:tc>
          <w:tcPr>
            <w:tcW w:type="dxa" w:w="1440"/>
            <w:shd w:fill="FFDCE0" w:val="clear"/>
          </w:tcPr>
          <w:p>
            <w:r>
              <w:rPr>
                <w:b/>
                <w:sz w:val="17"/>
              </w:rPr>
              <w:t>6,821</w:t>
            </w:r>
          </w:p>
        </w:tc>
        <w:tc>
          <w:tcPr>
            <w:tcW w:type="dxa" w:w="1440"/>
            <w:shd w:fill="FFDCE0" w:val="clear"/>
          </w:tcPr>
          <w:p>
            <w:r>
              <w:rPr>
                <w:sz w:val="17"/>
              </w:rPr>
              <w:t>7,270</w:t>
            </w:r>
          </w:p>
        </w:tc>
        <w:tc>
          <w:tcPr>
            <w:tcW w:type="dxa" w:w="1440"/>
            <w:shd w:fill="FFDCE0" w:val="clear"/>
          </w:tcPr>
          <w:p>
            <w:r>
              <w:rPr>
                <w:b/>
                <w:color w:val="C00000"/>
                <w:sz w:val="17"/>
              </w:rPr>
              <w:t>-10.2%</w:t>
            </w:r>
          </w:p>
        </w:tc>
      </w:tr>
      <w:tr>
        <w:tc>
          <w:tcPr>
            <w:tcW w:type="dxa" w:w="1440"/>
            <w:shd w:fill="FFDCE0" w:val="clear"/>
          </w:tcPr>
          <w:p>
            <w:r>
              <w:rPr>
                <w:sz w:val="17"/>
              </w:rPr>
              <w:t>J+9  Moyenne</w:t>
            </w:r>
          </w:p>
        </w:tc>
        <w:tc>
          <w:tcPr>
            <w:tcW w:type="dxa" w:w="1440"/>
            <w:shd w:fill="FFDCE0" w:val="clear"/>
          </w:tcPr>
          <w:p>
            <w:r>
              <w:rPr>
                <w:sz w:val="17"/>
              </w:rPr>
              <w:t>2026-08-19</w:t>
            </w:r>
          </w:p>
        </w:tc>
        <w:tc>
          <w:tcPr>
            <w:tcW w:type="dxa" w:w="1440"/>
            <w:shd w:fill="FFDCE0" w:val="clear"/>
          </w:tcPr>
          <w:p>
            <w:r>
              <w:rPr>
                <w:sz w:val="17"/>
              </w:rPr>
              <w:t>6,277</w:t>
            </w:r>
          </w:p>
        </w:tc>
        <w:tc>
          <w:tcPr>
            <w:tcW w:type="dxa" w:w="1440"/>
            <w:shd w:fill="FFDCE0" w:val="clear"/>
          </w:tcPr>
          <w:p>
            <w:r>
              <w:rPr>
                <w:b/>
                <w:sz w:val="17"/>
              </w:rPr>
              <w:t>6,747</w:t>
            </w:r>
          </w:p>
        </w:tc>
        <w:tc>
          <w:tcPr>
            <w:tcW w:type="dxa" w:w="1440"/>
            <w:shd w:fill="FFDCE0" w:val="clear"/>
          </w:tcPr>
          <w:p>
            <w:r>
              <w:rPr>
                <w:sz w:val="17"/>
              </w:rPr>
              <w:t>7,218</w:t>
            </w:r>
          </w:p>
        </w:tc>
        <w:tc>
          <w:tcPr>
            <w:tcW w:type="dxa" w:w="1440"/>
            <w:shd w:fill="FFDCE0" w:val="clear"/>
          </w:tcPr>
          <w:p>
            <w:r>
              <w:rPr>
                <w:b/>
                <w:color w:val="C00000"/>
                <w:sz w:val="17"/>
              </w:rPr>
              <w:t>-11.2%</w:t>
            </w:r>
          </w:p>
        </w:tc>
      </w:tr>
      <w:tr>
        <w:tc>
          <w:tcPr>
            <w:tcW w:type="dxa" w:w="1440"/>
            <w:shd w:fill="FFDCE0" w:val="clear"/>
          </w:tcPr>
          <w:p>
            <w:r>
              <w:rPr>
                <w:sz w:val="17"/>
              </w:rPr>
              <w:t>J+10  Moyenne</w:t>
            </w:r>
          </w:p>
        </w:tc>
        <w:tc>
          <w:tcPr>
            <w:tcW w:type="dxa" w:w="1440"/>
            <w:shd w:fill="FFDCE0" w:val="clear"/>
          </w:tcPr>
          <w:p>
            <w:r>
              <w:rPr>
                <w:sz w:val="17"/>
              </w:rPr>
              <w:t>2026-08-20</w:t>
            </w:r>
          </w:p>
        </w:tc>
        <w:tc>
          <w:tcPr>
            <w:tcW w:type="dxa" w:w="1440"/>
            <w:shd w:fill="FFDCE0" w:val="clear"/>
          </w:tcPr>
          <w:p>
            <w:r>
              <w:rPr>
                <w:sz w:val="17"/>
              </w:rPr>
              <w:t>6,186</w:t>
            </w:r>
          </w:p>
        </w:tc>
        <w:tc>
          <w:tcPr>
            <w:tcW w:type="dxa" w:w="1440"/>
            <w:shd w:fill="FFDCE0" w:val="clear"/>
          </w:tcPr>
          <w:p>
            <w:r>
              <w:rPr>
                <w:b/>
                <w:sz w:val="17"/>
              </w:rPr>
              <w:t>6,677</w:t>
            </w:r>
          </w:p>
        </w:tc>
        <w:tc>
          <w:tcPr>
            <w:tcW w:type="dxa" w:w="1440"/>
            <w:shd w:fill="FFDCE0" w:val="clear"/>
          </w:tcPr>
          <w:p>
            <w:r>
              <w:rPr>
                <w:sz w:val="17"/>
              </w:rPr>
              <w:t>7,168</w:t>
            </w:r>
          </w:p>
        </w:tc>
        <w:tc>
          <w:tcPr>
            <w:tcW w:type="dxa" w:w="1440"/>
            <w:shd w:fill="FFDCE0" w:val="clear"/>
          </w:tcPr>
          <w:p>
            <w:r>
              <w:rPr>
                <w:b/>
                <w:color w:val="C00000"/>
                <w:sz w:val="17"/>
              </w:rPr>
              <w:t>-12.1%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BOA SÉNÉGAL (BOAS)**</w:t>
        <w:br/>
        <w:t>**Date : 05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273,60 Mds FCFA positionne BOAS comme une valeur de première ligne sur la BRVM, reflétant la confiance des investisseurs dans le secteur bancaire sénégalais. Avec un BPA de 608 FCFA, chaque action génère un bénéfice substantiel, justifiant un PER de 12,5x. Ce ratio, légèrement supérieur à la moyenne historique de la BRVM (8-12x), indique que le marché accepte de payer une prime raisonnable pour la qualité des bénéfices de la banque. Le P/B de 2,83x confirme cette perception, le marché valorisant la société à près de trois fois sa valeur comptable, une prime de croissance accordée aux banques performantes de la région. Enfin, un EV/EBITDA de 8,0x, situé dans la fourchette basse des standards régionaux, suggère que la valeur totale de l'entreprise reste raisonnable par rapport à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BOAS affiche une progression solide de +11,76%, bien que la dernière séance ait enregistré un repli de -1,30% à 7 600 FCFA. Le titre a évolué dans un range de 6 400 à 8 050 FCFA, démontrant une dynamique haussière soutenue. La moyenne (7 243 FCFA) et la médiane (7 300 FCFA) sont très proches, avec un skewness de -0,030, indiquant une distribution parfaitement symétrique des cours. L'écart-type de 389 FCFA (CV=5,4%) révèle une dispersion modérée autour de la moyenne, tandis que le kurtosis de -0,772 (mésokurtique) suggère l'absence de mouvements extrêmes ou de pics de volatilité anormaux. La volatilité annualisée de 24,9% classe le titre dans une catégorie de risque modéré, typique des valeurs bancaires de la région, offrant un équilibre entre potentiel de rendement et stabilité relative.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(7 600 FCFA) se positionne au-dessus de la MM20 (7 593,75 FCFA) et de la MM50 (7 458 FCFA), confirmant une tendance haussière de moyen terme. La configuration des MM, avec la MM20 au-dessus de la MM50, valide la dynamique positive et justifie la décision d'achat.</w:t>
      </w:r>
    </w:p>
    <w:p>
      <w:pPr>
        <w:spacing w:after="120" w:line="276" w:lineRule="auto"/>
      </w:pPr>
      <w:r>
        <w:t>**Bandes de Bollinger** : Le prix se situe à 7 600 FCFA, entre la borne inférieure (7 141,48 FCFA) et la borne supérieure (8 046,02 FCFA), proche de la moyenne. Cette position neutre indique une volatilité normale et un marché en phase de consolidation après la récente hausse, sans signal de surachat ni de survente.</w:t>
      </w:r>
    </w:p>
    <w:p>
      <w:pPr>
        <w:spacing w:after="120" w:line="276" w:lineRule="auto"/>
      </w:pPr>
      <w:r>
        <w:t>**MACD** : La valeur du MACD (91,71) est inférieure à son signal (97,90), générant un signal de vente à court terme. Cette divergence négative suggère un ralentissement du momentum haussier, bien que les valeurs restent positives, indiquant que la tendance de fond demeure constructive.</w:t>
      </w:r>
    </w:p>
    <w:p>
      <w:pPr>
        <w:spacing w:after="120" w:line="276" w:lineRule="auto"/>
      </w:pPr>
      <w:r>
        <w:t>**RSI** : À 56,37, le RSI se situe dans la zone neutre (30-70), sans signal extrême. Cette valeur reflète un équilibre entre pression acheteuse et vendeuse, laissant une marge de progression avant d'atteindre des zones de surachat.</w:t>
      </w:r>
    </w:p>
    <w:p>
      <w:pPr>
        <w:spacing w:after="120" w:line="276" w:lineRule="auto"/>
      </w:pPr>
      <w:r>
        <w:t>**Stochastique** : Le %K (23,96) est inférieur au %D (44,55), indiquant une dynamique baissière à court terme. Ce croisement négatif suggère une possible poursuite du repli avant un rebond technique, justifiant la position neutre de l'indicateur.</w:t>
      </w:r>
    </w:p>
    <w:p>
      <w:pPr>
        <w:spacing w:after="120" w:line="276" w:lineRule="auto"/>
      </w:pPr>
      <w:r>
        <w:t>**Conclusion technique** : Les indicateurs de tendance (MM) restent positifs, mais les oscillateurs (MACD, Stochastique) signalent un essoufflement à court terme. La configuration globale suggère une phase de consolidation haussière, où le titre pourrait tester des supports avant de reprendre sa progression.</w:t>
      </w:r>
    </w:p>
    <w:p>
      <w:pPr>
        <w:spacing w:after="120" w:line="276" w:lineRule="auto"/>
      </w:pPr>
      <w:r>
        <w:t>---</w:t>
      </w:r>
    </w:p>
    <w:p>
      <w:pPr>
        <w:spacing w:after="120" w:line="276" w:lineRule="auto"/>
      </w:pPr>
      <w:r>
        <w:t>### PARTIE 3 : ANALYSE FONDAMENTALE (SECTION CRITIQUE)</w:t>
      </w:r>
    </w:p>
    <w:p>
      <w:pPr>
        <w:spacing w:after="120" w:line="276" w:lineRule="auto"/>
      </w:pPr>
      <w:r>
        <w:t>**En 2025**, BOAS affiche des fondamentaux solides avec un PNB de 51,93 Mds FCFA et un résultat net de 21,91 Mds FCFA, démontrant une excellente conversion des revenus en bénéfices. La banque maintient un coefficient d'exploitation remarquable de 44,02%, bien en dessous du seuil d'efficacité de 60%, et un coût du risque de 23,31% qui, bien qu'élevé, reste gérable. Le ROE de 22,69% et le ROA de 2,62% confirment une rentabilité exceptionnelle, largement supérieure aux standards du secteur. Les dépôts clients (686,93 Mds FCFA) dépassent largement les créances sur la clientèle (386,42 Mds FCFA), assurant une transformation saine et une liquidité confortable. **Les rapports trimestriels 2025** confirment cette trajectoire : le T1 montre un PNB de 11,78 Mds FCFA (+2,36%) et un résultat net de 5,23 Mds FCFA (+9,25%), le S1 atteint 25,37 Mds FCFA de PNB (+6,77%) avec un résultat net de 11,62 Mds FCFA (+12,70%), et le T3 cumulé s'établit à 37,44 Mds FCFA de PNB (+6,71%) avec un résultat net de 16,37 Mds FCFA (+10,01%). **Sur la base de ces tendances**, on estime que l'exercice 2025 devrait dépasser les 52 Mds FCFA de PNB et atteindre environ 22 Mds FCFA de résultat net. Le rapport de 2026 confirme cette dynamique avec un T1 2026 affichant un résultat net de 5,74 Mds FCFA (+9,78%) et un PNB de 12,58 Mds FCFA (+6,82%), suggérant une poursuite de la croissance pour l'exercice en cours.</w:t>
      </w:r>
    </w:p>
    <w:p>
      <w:pPr>
        <w:spacing w:after="120" w:line="276" w:lineRule="auto"/>
      </w:pPr>
      <w:r>
        <w:t>---</w:t>
      </w:r>
    </w:p>
    <w:p>
      <w:pPr>
        <w:spacing w:after="120" w:line="276" w:lineRule="auto"/>
      </w:pPr>
      <w:r>
        <w:t>### PARTIE 4 : CONCLUSION D'INVESTISSEMENT</w:t>
      </w:r>
    </w:p>
    <w:p>
      <w:pPr>
        <w:spacing w:after="120" w:line="276" w:lineRule="auto"/>
      </w:pPr>
      <w:r>
        <w:t>La valorisation actuelle (PER 12,5x, P/B 2,83x) est modérée pour une banque de cette qualité, tandis que le comportement du cours sur 100 jours (+11,76%) démontre une tendance haussière saine avec une volatilité maîtrisée. Les signaux techniques sont mitigés à court terme (MACD et Stochastique baissiers) mais positifs à moyen terme (MM20/MM50), suggérant une consolidation temporaire. Les fondamentaux restent excellents avec une croissance soutenue du PNB et du résultat net, un ROE de 22,69% et un coefficient d'exploitation de 44,02%. Les prédictions IA pour les 10 prochains jours (7 467 à 7 067 FCFA) indiquent un repli technique vers les supports, ce qui pourrait représenter une opportunité d'achat pour les investisseurs de moyen terme. **Recommandation : ACHAT** pour les horizons moyen et long terme, avec un niveau de confiance Élevé et un risque global Moyen. Les investisseurs à court terme pourraient attendre un point d'entrée plus favorable autour de 7 000-7 200 FCFA. Horizon optimal : moyen terme (3-12 mois) pour capitaliser sur la solidité des fondamentaux et la poursuite de la croissance.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20.72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2,459 titres</w:t>
            </w:r>
          </w:p>
        </w:tc>
        <w:tc>
          <w:tcPr>
            <w:tcW w:type="dxa" w:w="2268"/>
            <w:shd w:fill="FFF2CC" w:val="clear"/>
          </w:tcPr>
          <w:p>
            <w:r>
              <w:rPr>
                <w:b/>
                <w:color w:val="503200"/>
                <w:sz w:val="16"/>
              </w:rPr>
              <w:t xml:space="preserve">Cours actuel : </w:t>
            </w:r>
            <w:r>
              <w:rPr>
                <w:color w:val="000000"/>
                <w:sz w:val="17"/>
              </w:rPr>
              <w:t>3,500 FCFA</w:t>
            </w:r>
          </w:p>
          <w:p>
            <w:r>
              <w:rPr>
                <w:b/>
                <w:color w:val="503200"/>
                <w:sz w:val="16"/>
              </w:rPr>
              <w:t xml:space="preserve">Var. 100 jours : </w:t>
            </w:r>
            <w:r>
              <w:rPr>
                <w:b/>
                <w:color w:val="B40000"/>
                <w:sz w:val="17"/>
              </w:rPr>
              <w:t>-10.26%</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3,165 FCFA</w:t>
            </w:r>
          </w:p>
          <w:p>
            <w:r>
              <w:rPr>
                <w:b/>
                <w:color w:val="503200"/>
                <w:sz w:val="16"/>
              </w:rPr>
              <w:t xml:space="preserve">Volatilité ann. : </w:t>
            </w:r>
            <w:r>
              <w:rPr>
                <w:color w:val="000000"/>
                <w:sz w:val="17"/>
              </w:rPr>
              <w:t>58.3%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8.58% (Moyenne) — μ=3,747 FCFA, σ=321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β=0.0522 (Défensif) — Cov=0.000002, Var(idx)=0.000036, ρ=0.009,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2,459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2026-08-06</w:t>
            </w:r>
          </w:p>
        </w:tc>
        <w:tc>
          <w:tcPr>
            <w:tcW w:type="dxa" w:w="1440"/>
            <w:shd w:fill="C6EFCE" w:val="clear"/>
          </w:tcPr>
          <w:p>
            <w:r>
              <w:rPr>
                <w:sz w:val="17"/>
              </w:rPr>
              <w:t>3,421</w:t>
            </w:r>
          </w:p>
        </w:tc>
        <w:tc>
          <w:tcPr>
            <w:tcW w:type="dxa" w:w="1440"/>
            <w:shd w:fill="C6EFCE" w:val="clear"/>
          </w:tcPr>
          <w:p>
            <w:r>
              <w:rPr>
                <w:b/>
                <w:sz w:val="17"/>
              </w:rPr>
              <w:t>3,655</w:t>
            </w:r>
          </w:p>
        </w:tc>
        <w:tc>
          <w:tcPr>
            <w:tcW w:type="dxa" w:w="1440"/>
            <w:shd w:fill="C6EFCE" w:val="clear"/>
          </w:tcPr>
          <w:p>
            <w:r>
              <w:rPr>
                <w:sz w:val="17"/>
              </w:rPr>
              <w:t>3,889</w:t>
            </w:r>
          </w:p>
        </w:tc>
        <w:tc>
          <w:tcPr>
            <w:tcW w:type="dxa" w:w="1440"/>
            <w:shd w:fill="C6EFCE" w:val="clear"/>
          </w:tcPr>
          <w:p>
            <w:r>
              <w:rPr>
                <w:b/>
                <w:color w:val="008000"/>
                <w:sz w:val="17"/>
              </w:rPr>
              <w:t>+4.4%</w:t>
            </w:r>
          </w:p>
        </w:tc>
      </w:tr>
      <w:tr>
        <w:tc>
          <w:tcPr>
            <w:tcW w:type="dxa" w:w="1440"/>
            <w:shd w:fill="C6EFCE" w:val="clear"/>
          </w:tcPr>
          <w:p>
            <w:r>
              <w:rPr>
                <w:sz w:val="17"/>
              </w:rPr>
              <w:t>J+2  Moyenne</w:t>
            </w:r>
          </w:p>
        </w:tc>
        <w:tc>
          <w:tcPr>
            <w:tcW w:type="dxa" w:w="1440"/>
            <w:shd w:fill="C6EFCE" w:val="clear"/>
          </w:tcPr>
          <w:p>
            <w:r>
              <w:rPr>
                <w:sz w:val="17"/>
              </w:rPr>
              <w:t>2026-08-10</w:t>
            </w:r>
          </w:p>
        </w:tc>
        <w:tc>
          <w:tcPr>
            <w:tcW w:type="dxa" w:w="1440"/>
            <w:shd w:fill="C6EFCE" w:val="clear"/>
          </w:tcPr>
          <w:p>
            <w:r>
              <w:rPr>
                <w:sz w:val="17"/>
              </w:rPr>
              <w:t>3,465</w:t>
            </w:r>
          </w:p>
        </w:tc>
        <w:tc>
          <w:tcPr>
            <w:tcW w:type="dxa" w:w="1440"/>
            <w:shd w:fill="C6EFCE" w:val="clear"/>
          </w:tcPr>
          <w:p>
            <w:r>
              <w:rPr>
                <w:b/>
                <w:sz w:val="17"/>
              </w:rPr>
              <w:t>3,810</w:t>
            </w:r>
          </w:p>
        </w:tc>
        <w:tc>
          <w:tcPr>
            <w:tcW w:type="dxa" w:w="1440"/>
            <w:shd w:fill="C6EFCE" w:val="clear"/>
          </w:tcPr>
          <w:p>
            <w:r>
              <w:rPr>
                <w:sz w:val="17"/>
              </w:rPr>
              <w:t>4,155</w:t>
            </w:r>
          </w:p>
        </w:tc>
        <w:tc>
          <w:tcPr>
            <w:tcW w:type="dxa" w:w="1440"/>
            <w:shd w:fill="C6EFCE" w:val="clear"/>
          </w:tcPr>
          <w:p>
            <w:r>
              <w:rPr>
                <w:b/>
                <w:color w:val="008000"/>
                <w:sz w:val="17"/>
              </w:rPr>
              <w:t>+8.8%</w:t>
            </w:r>
          </w:p>
        </w:tc>
      </w:tr>
      <w:tr>
        <w:tc>
          <w:tcPr>
            <w:tcW w:type="dxa" w:w="1440"/>
            <w:shd w:fill="C6EFCE" w:val="clear"/>
          </w:tcPr>
          <w:p>
            <w:r>
              <w:rPr>
                <w:sz w:val="17"/>
              </w:rPr>
              <w:t>J+3  Moyenne</w:t>
            </w:r>
          </w:p>
        </w:tc>
        <w:tc>
          <w:tcPr>
            <w:tcW w:type="dxa" w:w="1440"/>
            <w:shd w:fill="C6EFCE" w:val="clear"/>
          </w:tcPr>
          <w:p>
            <w:r>
              <w:rPr>
                <w:sz w:val="17"/>
              </w:rPr>
              <w:t>2026-08-11</w:t>
            </w:r>
          </w:p>
        </w:tc>
        <w:tc>
          <w:tcPr>
            <w:tcW w:type="dxa" w:w="1440"/>
            <w:shd w:fill="C6EFCE" w:val="clear"/>
          </w:tcPr>
          <w:p>
            <w:r>
              <w:rPr>
                <w:sz w:val="17"/>
              </w:rPr>
              <w:t>3,554</w:t>
            </w:r>
          </w:p>
        </w:tc>
        <w:tc>
          <w:tcPr>
            <w:tcW w:type="dxa" w:w="1440"/>
            <w:shd w:fill="C6EFCE" w:val="clear"/>
          </w:tcPr>
          <w:p>
            <w:r>
              <w:rPr>
                <w:b/>
                <w:sz w:val="17"/>
              </w:rPr>
              <w:t>3,997</w:t>
            </w:r>
          </w:p>
        </w:tc>
        <w:tc>
          <w:tcPr>
            <w:tcW w:type="dxa" w:w="1440"/>
            <w:shd w:fill="C6EFCE" w:val="clear"/>
          </w:tcPr>
          <w:p>
            <w:r>
              <w:rPr>
                <w:sz w:val="17"/>
              </w:rPr>
              <w:t>4,440</w:t>
            </w:r>
          </w:p>
        </w:tc>
        <w:tc>
          <w:tcPr>
            <w:tcW w:type="dxa" w:w="1440"/>
            <w:shd w:fill="C6EFCE" w:val="clear"/>
          </w:tcPr>
          <w:p>
            <w:r>
              <w:rPr>
                <w:b/>
                <w:color w:val="008000"/>
                <w:sz w:val="17"/>
              </w:rPr>
              <w:t>+14.2%</w:t>
            </w:r>
          </w:p>
        </w:tc>
      </w:tr>
      <w:tr>
        <w:tc>
          <w:tcPr>
            <w:tcW w:type="dxa" w:w="1440"/>
            <w:shd w:fill="C6EFCE" w:val="clear"/>
          </w:tcPr>
          <w:p>
            <w:r>
              <w:rPr>
                <w:sz w:val="17"/>
              </w:rPr>
              <w:t>J+4  ⭐</w:t>
            </w:r>
          </w:p>
        </w:tc>
        <w:tc>
          <w:tcPr>
            <w:tcW w:type="dxa" w:w="1440"/>
            <w:shd w:fill="C6EFCE" w:val="clear"/>
          </w:tcPr>
          <w:p>
            <w:r>
              <w:rPr>
                <w:sz w:val="17"/>
              </w:rPr>
              <w:t>2026-08-12</w:t>
            </w:r>
          </w:p>
        </w:tc>
        <w:tc>
          <w:tcPr>
            <w:tcW w:type="dxa" w:w="1440"/>
            <w:shd w:fill="C6EFCE" w:val="clear"/>
          </w:tcPr>
          <w:p>
            <w:r>
              <w:rPr>
                <w:sz w:val="17"/>
              </w:rPr>
              <w:t>3,670</w:t>
            </w:r>
          </w:p>
        </w:tc>
        <w:tc>
          <w:tcPr>
            <w:tcW w:type="dxa" w:w="1440"/>
            <w:shd w:fill="C6EFCE" w:val="clear"/>
          </w:tcPr>
          <w:p>
            <w:r>
              <w:rPr>
                <w:b/>
                <w:sz w:val="17"/>
              </w:rPr>
              <w:t>4,209</w:t>
            </w:r>
          </w:p>
        </w:tc>
        <w:tc>
          <w:tcPr>
            <w:tcW w:type="dxa" w:w="1440"/>
            <w:shd w:fill="C6EFCE" w:val="clear"/>
          </w:tcPr>
          <w:p>
            <w:r>
              <w:rPr>
                <w:sz w:val="17"/>
              </w:rPr>
              <w:t>4,748</w:t>
            </w:r>
          </w:p>
        </w:tc>
        <w:tc>
          <w:tcPr>
            <w:tcW w:type="dxa" w:w="1440"/>
            <w:shd w:fill="C6EFCE" w:val="clear"/>
          </w:tcPr>
          <w:p>
            <w:r>
              <w:rPr>
                <w:b/>
                <w:color w:val="008000"/>
                <w:sz w:val="17"/>
              </w:rPr>
              <w:t>+20.3%</w:t>
            </w:r>
          </w:p>
        </w:tc>
      </w:tr>
      <w:tr>
        <w:tc>
          <w:tcPr>
            <w:tcW w:type="dxa" w:w="1440"/>
            <w:shd w:fill="C6EFCE" w:val="clear"/>
          </w:tcPr>
          <w:p>
            <w:r>
              <w:rPr>
                <w:sz w:val="17"/>
              </w:rPr>
              <w:t>J+5  ⭐</w:t>
            </w:r>
          </w:p>
        </w:tc>
        <w:tc>
          <w:tcPr>
            <w:tcW w:type="dxa" w:w="1440"/>
            <w:shd w:fill="C6EFCE" w:val="clear"/>
          </w:tcPr>
          <w:p>
            <w:r>
              <w:rPr>
                <w:sz w:val="17"/>
              </w:rPr>
              <w:t>2026-08-13</w:t>
            </w:r>
          </w:p>
        </w:tc>
        <w:tc>
          <w:tcPr>
            <w:tcW w:type="dxa" w:w="1440"/>
            <w:shd w:fill="C6EFCE" w:val="clear"/>
          </w:tcPr>
          <w:p>
            <w:r>
              <w:rPr>
                <w:sz w:val="17"/>
              </w:rPr>
              <w:t>3,810</w:t>
            </w:r>
          </w:p>
        </w:tc>
        <w:tc>
          <w:tcPr>
            <w:tcW w:type="dxa" w:w="1440"/>
            <w:shd w:fill="C6EFCE" w:val="clear"/>
          </w:tcPr>
          <w:p>
            <w:r>
              <w:rPr>
                <w:b/>
                <w:sz w:val="17"/>
              </w:rPr>
              <w:t>4,446</w:t>
            </w:r>
          </w:p>
        </w:tc>
        <w:tc>
          <w:tcPr>
            <w:tcW w:type="dxa" w:w="1440"/>
            <w:shd w:fill="C6EFCE" w:val="clear"/>
          </w:tcPr>
          <w:p>
            <w:r>
              <w:rPr>
                <w:sz w:val="17"/>
              </w:rPr>
              <w:t>5,083</w:t>
            </w:r>
          </w:p>
        </w:tc>
        <w:tc>
          <w:tcPr>
            <w:tcW w:type="dxa" w:w="1440"/>
            <w:shd w:fill="C6EFCE" w:val="clear"/>
          </w:tcPr>
          <w:p>
            <w:r>
              <w:rPr>
                <w:b/>
                <w:color w:val="008000"/>
                <w:sz w:val="17"/>
              </w:rPr>
              <w:t>+27.0%</w:t>
            </w:r>
          </w:p>
        </w:tc>
      </w:tr>
      <w:tr>
        <w:tc>
          <w:tcPr>
            <w:tcW w:type="dxa" w:w="1440"/>
            <w:shd w:fill="C6EFCE" w:val="clear"/>
          </w:tcPr>
          <w:p>
            <w:r>
              <w:rPr>
                <w:sz w:val="17"/>
              </w:rPr>
              <w:t>J+6  ⭐</w:t>
            </w:r>
          </w:p>
        </w:tc>
        <w:tc>
          <w:tcPr>
            <w:tcW w:type="dxa" w:w="1440"/>
            <w:shd w:fill="C6EFCE" w:val="clear"/>
          </w:tcPr>
          <w:p>
            <w:r>
              <w:rPr>
                <w:sz w:val="17"/>
              </w:rPr>
              <w:t>2026-08-14</w:t>
            </w:r>
          </w:p>
        </w:tc>
        <w:tc>
          <w:tcPr>
            <w:tcW w:type="dxa" w:w="1440"/>
            <w:shd w:fill="C6EFCE" w:val="clear"/>
          </w:tcPr>
          <w:p>
            <w:r>
              <w:rPr>
                <w:sz w:val="17"/>
              </w:rPr>
              <w:t>3,976</w:t>
            </w:r>
          </w:p>
        </w:tc>
        <w:tc>
          <w:tcPr>
            <w:tcW w:type="dxa" w:w="1440"/>
            <w:shd w:fill="C6EFCE" w:val="clear"/>
          </w:tcPr>
          <w:p>
            <w:r>
              <w:rPr>
                <w:b/>
                <w:sz w:val="17"/>
              </w:rPr>
              <w:t>4,715</w:t>
            </w:r>
          </w:p>
        </w:tc>
        <w:tc>
          <w:tcPr>
            <w:tcW w:type="dxa" w:w="1440"/>
            <w:shd w:fill="C6EFCE" w:val="clear"/>
          </w:tcPr>
          <w:p>
            <w:r>
              <w:rPr>
                <w:sz w:val="17"/>
              </w:rPr>
              <w:t>5,454</w:t>
            </w:r>
          </w:p>
        </w:tc>
        <w:tc>
          <w:tcPr>
            <w:tcW w:type="dxa" w:w="1440"/>
            <w:shd w:fill="C6EFCE" w:val="clear"/>
          </w:tcPr>
          <w:p>
            <w:r>
              <w:rPr>
                <w:b/>
                <w:color w:val="008000"/>
                <w:sz w:val="17"/>
              </w:rPr>
              <w:t>+34.7%</w:t>
            </w:r>
          </w:p>
        </w:tc>
      </w:tr>
      <w:tr>
        <w:tc>
          <w:tcPr>
            <w:tcW w:type="dxa" w:w="1440"/>
            <w:shd w:fill="C6EFCE" w:val="clear"/>
          </w:tcPr>
          <w:p>
            <w:r>
              <w:rPr>
                <w:sz w:val="17"/>
              </w:rPr>
              <w:t>J+7  ⭐</w:t>
            </w:r>
          </w:p>
        </w:tc>
        <w:tc>
          <w:tcPr>
            <w:tcW w:type="dxa" w:w="1440"/>
            <w:shd w:fill="C6EFCE" w:val="clear"/>
          </w:tcPr>
          <w:p>
            <w:r>
              <w:rPr>
                <w:sz w:val="17"/>
              </w:rPr>
              <w:t>2026-08-17</w:t>
            </w:r>
          </w:p>
        </w:tc>
        <w:tc>
          <w:tcPr>
            <w:tcW w:type="dxa" w:w="1440"/>
            <w:shd w:fill="C6EFCE" w:val="clear"/>
          </w:tcPr>
          <w:p>
            <w:r>
              <w:rPr>
                <w:sz w:val="17"/>
              </w:rPr>
              <w:t>4,173</w:t>
            </w:r>
          </w:p>
        </w:tc>
        <w:tc>
          <w:tcPr>
            <w:tcW w:type="dxa" w:w="1440"/>
            <w:shd w:fill="C6EFCE" w:val="clear"/>
          </w:tcPr>
          <w:p>
            <w:r>
              <w:rPr>
                <w:b/>
                <w:sz w:val="17"/>
              </w:rPr>
              <w:t>5,024</w:t>
            </w:r>
          </w:p>
        </w:tc>
        <w:tc>
          <w:tcPr>
            <w:tcW w:type="dxa" w:w="1440"/>
            <w:shd w:fill="C6EFCE" w:val="clear"/>
          </w:tcPr>
          <w:p>
            <w:r>
              <w:rPr>
                <w:sz w:val="17"/>
              </w:rPr>
              <w:t>5,874</w:t>
            </w:r>
          </w:p>
        </w:tc>
        <w:tc>
          <w:tcPr>
            <w:tcW w:type="dxa" w:w="1440"/>
            <w:shd w:fill="C6EFCE" w:val="clear"/>
          </w:tcPr>
          <w:p>
            <w:r>
              <w:rPr>
                <w:b/>
                <w:color w:val="008000"/>
                <w:sz w:val="17"/>
              </w:rPr>
              <w:t>+43.5%</w:t>
            </w:r>
          </w:p>
        </w:tc>
      </w:tr>
      <w:tr>
        <w:tc>
          <w:tcPr>
            <w:tcW w:type="dxa" w:w="1440"/>
            <w:shd w:fill="C6EFCE" w:val="clear"/>
          </w:tcPr>
          <w:p>
            <w:r>
              <w:rPr>
                <w:sz w:val="17"/>
              </w:rPr>
              <w:t>J+8  ⭐</w:t>
            </w:r>
          </w:p>
        </w:tc>
        <w:tc>
          <w:tcPr>
            <w:tcW w:type="dxa" w:w="1440"/>
            <w:shd w:fill="C6EFCE" w:val="clear"/>
          </w:tcPr>
          <w:p>
            <w:r>
              <w:rPr>
                <w:sz w:val="17"/>
              </w:rPr>
              <w:t>2026-08-18</w:t>
            </w:r>
          </w:p>
        </w:tc>
        <w:tc>
          <w:tcPr>
            <w:tcW w:type="dxa" w:w="1440"/>
            <w:shd w:fill="C6EFCE" w:val="clear"/>
          </w:tcPr>
          <w:p>
            <w:r>
              <w:rPr>
                <w:sz w:val="17"/>
              </w:rPr>
              <w:t>4,412</w:t>
            </w:r>
          </w:p>
        </w:tc>
        <w:tc>
          <w:tcPr>
            <w:tcW w:type="dxa" w:w="1440"/>
            <w:shd w:fill="C6EFCE" w:val="clear"/>
          </w:tcPr>
          <w:p>
            <w:r>
              <w:rPr>
                <w:b/>
                <w:sz w:val="17"/>
              </w:rPr>
              <w:t>5,387</w:t>
            </w:r>
          </w:p>
        </w:tc>
        <w:tc>
          <w:tcPr>
            <w:tcW w:type="dxa" w:w="1440"/>
            <w:shd w:fill="C6EFCE" w:val="clear"/>
          </w:tcPr>
          <w:p>
            <w:r>
              <w:rPr>
                <w:sz w:val="17"/>
              </w:rPr>
              <w:t>6,362</w:t>
            </w:r>
          </w:p>
        </w:tc>
        <w:tc>
          <w:tcPr>
            <w:tcW w:type="dxa" w:w="1440"/>
            <w:shd w:fill="C6EFCE" w:val="clear"/>
          </w:tcPr>
          <w:p>
            <w:r>
              <w:rPr>
                <w:b/>
                <w:color w:val="008000"/>
                <w:sz w:val="17"/>
              </w:rPr>
              <w:t>+53.9%</w:t>
            </w:r>
          </w:p>
        </w:tc>
      </w:tr>
      <w:tr>
        <w:tc>
          <w:tcPr>
            <w:tcW w:type="dxa" w:w="1440"/>
            <w:shd w:fill="C6EFCE" w:val="clear"/>
          </w:tcPr>
          <w:p>
            <w:r>
              <w:rPr>
                <w:sz w:val="17"/>
              </w:rPr>
              <w:t>J+9  ⭐</w:t>
            </w:r>
          </w:p>
        </w:tc>
        <w:tc>
          <w:tcPr>
            <w:tcW w:type="dxa" w:w="1440"/>
            <w:shd w:fill="C6EFCE" w:val="clear"/>
          </w:tcPr>
          <w:p>
            <w:r>
              <w:rPr>
                <w:sz w:val="17"/>
              </w:rPr>
              <w:t>2026-08-19</w:t>
            </w:r>
          </w:p>
        </w:tc>
        <w:tc>
          <w:tcPr>
            <w:tcW w:type="dxa" w:w="1440"/>
            <w:shd w:fill="C6EFCE" w:val="clear"/>
          </w:tcPr>
          <w:p>
            <w:r>
              <w:rPr>
                <w:sz w:val="17"/>
              </w:rPr>
              <w:t>4,679</w:t>
            </w:r>
          </w:p>
        </w:tc>
        <w:tc>
          <w:tcPr>
            <w:tcW w:type="dxa" w:w="1440"/>
            <w:shd w:fill="C6EFCE" w:val="clear"/>
          </w:tcPr>
          <w:p>
            <w:r>
              <w:rPr>
                <w:b/>
                <w:sz w:val="17"/>
              </w:rPr>
              <w:t>5,791</w:t>
            </w:r>
          </w:p>
        </w:tc>
        <w:tc>
          <w:tcPr>
            <w:tcW w:type="dxa" w:w="1440"/>
            <w:shd w:fill="C6EFCE" w:val="clear"/>
          </w:tcPr>
          <w:p>
            <w:r>
              <w:rPr>
                <w:sz w:val="17"/>
              </w:rPr>
              <w:t>6,903</w:t>
            </w:r>
          </w:p>
        </w:tc>
        <w:tc>
          <w:tcPr>
            <w:tcW w:type="dxa" w:w="1440"/>
            <w:shd w:fill="C6EFCE" w:val="clear"/>
          </w:tcPr>
          <w:p>
            <w:r>
              <w:rPr>
                <w:b/>
                <w:color w:val="008000"/>
                <w:sz w:val="17"/>
              </w:rPr>
              <w:t>+65.5%</w:t>
            </w:r>
          </w:p>
        </w:tc>
      </w:tr>
      <w:tr>
        <w:tc>
          <w:tcPr>
            <w:tcW w:type="dxa" w:w="1440"/>
            <w:shd w:fill="C6EFCE" w:val="clear"/>
          </w:tcPr>
          <w:p>
            <w:r>
              <w:rPr>
                <w:sz w:val="17"/>
              </w:rPr>
              <w:t>J+10  ⭐</w:t>
            </w:r>
          </w:p>
        </w:tc>
        <w:tc>
          <w:tcPr>
            <w:tcW w:type="dxa" w:w="1440"/>
            <w:shd w:fill="C6EFCE" w:val="clear"/>
          </w:tcPr>
          <w:p>
            <w:r>
              <w:rPr>
                <w:sz w:val="17"/>
              </w:rPr>
              <w:t>2026-08-20</w:t>
            </w:r>
          </w:p>
        </w:tc>
        <w:tc>
          <w:tcPr>
            <w:tcW w:type="dxa" w:w="1440"/>
            <w:shd w:fill="C6EFCE" w:val="clear"/>
          </w:tcPr>
          <w:p>
            <w:r>
              <w:rPr>
                <w:sz w:val="17"/>
              </w:rPr>
              <w:t>4,966</w:t>
            </w:r>
          </w:p>
        </w:tc>
        <w:tc>
          <w:tcPr>
            <w:tcW w:type="dxa" w:w="1440"/>
            <w:shd w:fill="C6EFCE" w:val="clear"/>
          </w:tcPr>
          <w:p>
            <w:r>
              <w:rPr>
                <w:b/>
                <w:sz w:val="17"/>
              </w:rPr>
              <w:t>6,225</w:t>
            </w:r>
          </w:p>
        </w:tc>
        <w:tc>
          <w:tcPr>
            <w:tcW w:type="dxa" w:w="1440"/>
            <w:shd w:fill="C6EFCE" w:val="clear"/>
          </w:tcPr>
          <w:p>
            <w:r>
              <w:rPr>
                <w:sz w:val="17"/>
              </w:rPr>
              <w:t>7,485</w:t>
            </w:r>
          </w:p>
        </w:tc>
        <w:tc>
          <w:tcPr>
            <w:tcW w:type="dxa" w:w="1440"/>
            <w:shd w:fill="C6EFCE" w:val="clear"/>
          </w:tcPr>
          <w:p>
            <w:r>
              <w:rPr>
                <w:b/>
                <w:color w:val="008000"/>
                <w:sz w:val="17"/>
              </w:rPr>
              <w:t>+77.9%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**Date de l'analyse : 05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20,72 milliards FCFA, un niveau modeste qui la classe parmi les valeurs de taille moyenne sur la BRVM. Le BPA de 243 FCFA indique que chaque action génère un bénéfice de ce montant. Avec un PER de 14,4x, le titre se négocie avec une prime par rapport à la moyenne du marché BRVM (8-12x), suggérant que les investisseurs anticipent une croissance future des bénéfices ou que le marché valorise la solidité de la marque. Le P/B de 2,22x montre que le marché valorise l'actif net de la société à plus du double de sa valeur comptable, ce qui est typique d'une entreprise avec une bonne rentabilité des fonds propres (ROE de 15,4%). Enfin, l'EV/EBITDA de 7,3x indique que la valeur totale de l'entreprise (dette incluse) représente 7,3 fois son potentiel opérationnel, un niveau raisonnable qui ne signale pas de surévaluation flagrante.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enregistré une baisse significative de -10,26%, avec un cours actuel de 3 500 FCFA, bien en dessous de son plus haut de 4 500 FCFA mais au-dessus de son plus bas de 3 165 FCFA. La variation de +0,72% sur la dernière séance suggère un léger rebond, mais la tendance globale reste baissière. La moyenne du cours sur la période (3 747 FCFA) est supérieure à la médiane (3 700 FCFA), indiquant une distribution légèrement asymétrique à gauche, avec quelques fortes baisses qui tirent la moyenne vers le bas. L'écart-type de 323 FCFA (CV=8,6%) reflète une dispersion modérée des prix autour de la moyenne. Le kurtosis de -0,411 (mésokurtique) indique une distribution proche de la normale, sans risque de pics extrêmes, tandis que le skewness de 0,346 suggère une symétrie relative. La volatilité annualisée de 58,3% est très élevée, classant ce titre comme risqué, avec des fluctuations de prix importantes.</w:t>
      </w:r>
    </w:p>
    <w:p>
      <w:pPr>
        <w:spacing w:after="120" w:line="276" w:lineRule="auto"/>
      </w:pPr>
      <w:r>
        <w:t>---</w:t>
      </w:r>
    </w:p>
    <w:p>
      <w:pPr>
        <w:spacing w:after="120" w:line="276" w:lineRule="auto"/>
      </w:pPr>
      <w:r>
        <w:t>### PARTIE 2 : ANALYSE TECHNIQUE DÉTAILLÉE</w:t>
      </w:r>
    </w:p>
    <w:p>
      <w:pPr>
        <w:spacing w:after="120" w:line="276" w:lineRule="auto"/>
      </w:pPr>
      <w:r>
        <w:t>**Moyennes Mobiles** : La MM20 (3 722,5 FCFA) et la MM50 (3 882,3 FCFA) sont toutes deux supérieures au cours actuel de 3 500 FCFA. Le croisement baissier de la MM20 sous la MM50 confirme une dynamique négative à court et moyen terme. La décision de "Vente" est justifiée par cette configuration, le prix évoluant sous ses moyennes mobiles clés, signe d'une pression vendeuse persistante.</w:t>
      </w:r>
    </w:p>
    <w:p>
      <w:pPr>
        <w:spacing w:after="120" w:line="276" w:lineRule="auto"/>
      </w:pPr>
      <w:r>
        <w:t>**Bandes de Bollinger** : Le cours (3 500 FCFA) se situe près de la borne inférieure (3 383,7 FCFA), indiquant que le titre est proche de conditions de survente. La largeur des bandes (4061,2 - 3383,7) reflète la volatilité élevée du titre. La décision "Neutre" s'explique par le fait que le prix n'a pas encore franchi la borne inférieure, ce qui pourrait déclencher un signal d'achat technique. La position actuelle suggère un potentiel de rebond si le support tient.</w:t>
      </w:r>
    </w:p>
    <w:p>
      <w:pPr>
        <w:spacing w:after="120" w:line="276" w:lineRule="auto"/>
      </w:pPr>
      <w:r>
        <w:t>**MACD** : La valeur MACD (-117,8) est inférieure au signal (-88,4), confirmant une dynamique baissière. La divergence négative entre le MACD et le signal indique que le momentum est résolument vendeur. La décision "Vente" est cohérente avec cette configuration, bien que l'écart important entre les deux lignes puisse signaler une possible convergence à venir, annonçant un affaiblissement de la tendance baissière.</w:t>
      </w:r>
    </w:p>
    <w:p>
      <w:pPr>
        <w:spacing w:after="120" w:line="276" w:lineRule="auto"/>
      </w:pPr>
      <w:r>
        <w:t>**RSI** : Avec une valeur de 45,52, le RSI se situe dans la zone neutre (30-70), indiquant un équilibre entre les forces acheteuses et vendeuses. La décision "Neutre" est appropriée, le titre n'étant ni suracheté ni survendu. Cette valeur suggère que le marché n'a pas encore pris de direction claire, laissant place à une possible consolidation.</w:t>
      </w:r>
    </w:p>
    <w:p>
      <w:pPr>
        <w:spacing w:after="120" w:line="276" w:lineRule="auto"/>
      </w:pPr>
      <w:r>
        <w:t>**Stochastique** : Le %K (5,26) et le %D (12,49) sont tous deux en zone de survente (&lt;20), avec un croisement haussier potentiel. La décision "Achat" est justifiée par cette configuration, indiquant que le titre est fortement survendu et qu'un rebond technique est probable à court terme. Ce signal contraste avec les autres indicateurs, suggérant une possible correction haussière.</w:t>
      </w:r>
    </w:p>
    <w:p>
      <w:pPr>
        <w:spacing w:after="120" w:line="276" w:lineRule="auto"/>
      </w:pPr>
      <w:r>
        <w:t>**Conclusion technique** : La majorité des indicateurs (MM, MACD) penchent vers une tendance baissière, mais le stochastique en survente et la position proche de la borne inférieure de Bollinger suggèrent un potentiel de rebond technique. Le RSI neutre ne fournit pas de direction claire. Globalement, le titre est dans une phase de consolidation avec un biais baissier, mais des signaux de retournement pourraient émerger à très court terme.</w:t>
      </w:r>
    </w:p>
    <w:p>
      <w:pPr>
        <w:spacing w:after="120" w:line="276" w:lineRule="auto"/>
      </w:pPr>
      <w:r>
        <w:t>---</w:t>
      </w:r>
    </w:p>
    <w:p>
      <w:pPr>
        <w:spacing w:after="120" w:line="276" w:lineRule="auto"/>
      </w:pPr>
      <w:r>
        <w:t>### PARTIE 3 : ANALYSE FONDAMENTALE (SECTION CRITIQUE)</w:t>
      </w:r>
    </w:p>
    <w:p>
      <w:pPr>
        <w:spacing w:after="120" w:line="276" w:lineRule="auto"/>
      </w:pPr>
      <w:r>
        <w:t>En 2025, CABC a réalisé un chiffre d'affaires de 21,263 milliards FCFA, en croissance de +11,2% par rapport à 2024 (19,125 milliards FCFA), démontrant une dynamique commerciale soutenue. Le résultat net s'établit à 1,439 milliards FCFA, en hausse par rapport à 2024 (1,375 milliards FCFA), avec une marge nette de 6,8%. La rentabilité des fonds propres (ROE) est excellente à 15,4%, tandis que le ROA s'établit à 6,1%. Cependant, la structure financière révèle des points de vigilance : le BFR est élevé à 7,186 milliards FCFA, avec un délai de paiement clients de 144,7 jours et une durée de stockage de 152,1 jours, indiquant une immobilisation importante de capital. La trésorerie nette de 5,139 milliards FCFA offre une marge de manœuvre, mais le flux opérationnel négatif (-819,7 millions FCFA) et le free cash flow négatif (-982,7 millions FCFA) signalent des tensions de liquidité. Les rapports trimestriels 2025 montrent une amélioration progressive : le S1 2025 affiche un résultat net de 851,5 millions FCFA (+55,3%), et le cumul sur 9 mois atteint 1,329 milliards FCFA (+26%). Sur la base de ces tendances, on estime que l'exercice 2025 devrait confirmer la croissance, mais la pression sur les marges opérationnelles (rétrécissement au T3) et la volatilité des cours des métaux restent des risques majeurs. La recommandation fondamentale est de **CONSERVER**, avec une surveillance active de la trésorerie et de la gestion du BFR.</w:t>
      </w:r>
    </w:p>
    <w:p>
      <w:pPr>
        <w:spacing w:after="120" w:line="276" w:lineRule="auto"/>
      </w:pPr>
      <w:r>
        <w:t>---</w:t>
      </w:r>
    </w:p>
    <w:p>
      <w:pPr>
        <w:spacing w:after="120" w:line="276" w:lineRule="auto"/>
      </w:pPr>
      <w:r>
        <w:t>### PARTIE 4 : CONCLUSION D'INVESTISSEMENT</w:t>
      </w:r>
    </w:p>
    <w:p>
      <w:pPr>
        <w:spacing w:after="120" w:line="276" w:lineRule="auto"/>
      </w:pPr>
      <w:r>
        <w:t>La valorisation de CABC (PER 14,4x, P/B 2,22x, EV/EBITDA 7,3x) est modérée, avec une prime par rapport au marché BRVM justifiée par un ROE élevé, mais sans signal de sous-évaluation majeure. Le comportement du cours sur 100 jours est préoccupant (-10,26%), avec une volatilité très élevée (58,3%) et une tendance baissière, bien que les statistiques (kurtosis, skewness) indiquent une distribution normale sans risque de krach soudain. Les signaux techniques sont mitigés : les moyennes mobiles et le MACD sont vendeurs, mais le stochastique en survente et la position proche de la borne inférieure de Bollinger suggèrent un rebond technique imminent. Les fondamentaux sont solides avec une croissance du CA et du résultat net, mais les tensions de trésorerie et le BFR élevé nécessitent une attention particulière. Les prédictions IA (3 655 à 4 446 FCFA sur 10 jours) confirment un potentiel de rebond, en phase avec les signaux techniques de survente. La convergence entre le potentiel de rebond technique, les fondamentaux en amélioration et les prédictions IA, malgré une valorisation non sous-évaluée, conduit à une recommandation **CONSERVER** avec un biais positif. Le niveau de confiance est **Moyen**, le risque global est **Élevé** (volatilité, dépendance aux matières premières), et l'horizon d'investissement optimal est le **moyen terme (3-12 mois)**, en attendant une confirmation de la stabilisation des marges et de l'amélioration de la trésorerie.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905.60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1,733 titres</w:t>
            </w:r>
          </w:p>
        </w:tc>
        <w:tc>
          <w:tcPr>
            <w:tcW w:type="dxa" w:w="2268"/>
            <w:shd w:fill="FFF2CC" w:val="clear"/>
          </w:tcPr>
          <w:p>
            <w:r>
              <w:rPr>
                <w:b/>
                <w:color w:val="503200"/>
                <w:sz w:val="16"/>
              </w:rPr>
              <w:t xml:space="preserve">Cours actuel : </w:t>
            </w:r>
            <w:r>
              <w:rPr>
                <w:color w:val="000000"/>
                <w:sz w:val="17"/>
              </w:rPr>
              <w:t>28,300 FCFA</w:t>
            </w:r>
          </w:p>
          <w:p>
            <w:r>
              <w:rPr>
                <w:b/>
                <w:color w:val="503200"/>
                <w:sz w:val="16"/>
              </w:rPr>
              <w:t xml:space="preserve">Var. 100 jours : </w:t>
            </w:r>
            <w:r>
              <w:rPr>
                <w:b/>
                <w:color w:val="007800"/>
                <w:sz w:val="17"/>
              </w:rPr>
              <w:t>+103.60%</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13,500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25.10% (Élevée) — μ=20,393 FCFA, σ=5,119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β=0.6860 (Défensif) — Cov=0.000025, Var(idx)=0.000036, ρ=0.155,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1,733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2026-08-06</w:t>
            </w:r>
          </w:p>
        </w:tc>
        <w:tc>
          <w:tcPr>
            <w:tcW w:type="dxa" w:w="1440"/>
            <w:shd w:fill="FFDCE0" w:val="clear"/>
          </w:tcPr>
          <w:p>
            <w:r>
              <w:rPr>
                <w:sz w:val="17"/>
              </w:rPr>
              <w:t>24,965</w:t>
            </w:r>
          </w:p>
        </w:tc>
        <w:tc>
          <w:tcPr>
            <w:tcW w:type="dxa" w:w="1440"/>
            <w:shd w:fill="FFDCE0" w:val="clear"/>
          </w:tcPr>
          <w:p>
            <w:r>
              <w:rPr>
                <w:b/>
                <w:sz w:val="17"/>
              </w:rPr>
              <w:t>26,178</w:t>
            </w:r>
          </w:p>
        </w:tc>
        <w:tc>
          <w:tcPr>
            <w:tcW w:type="dxa" w:w="1440"/>
            <w:shd w:fill="FFDCE0" w:val="clear"/>
          </w:tcPr>
          <w:p>
            <w:r>
              <w:rPr>
                <w:sz w:val="17"/>
              </w:rPr>
              <w:t>27,390</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2026-08-10</w:t>
            </w:r>
          </w:p>
        </w:tc>
        <w:tc>
          <w:tcPr>
            <w:tcW w:type="dxa" w:w="1440"/>
            <w:shd w:fill="FFDCE0" w:val="clear"/>
          </w:tcPr>
          <w:p>
            <w:r>
              <w:rPr>
                <w:sz w:val="17"/>
              </w:rPr>
              <w:t>22,629</w:t>
            </w:r>
          </w:p>
        </w:tc>
        <w:tc>
          <w:tcPr>
            <w:tcW w:type="dxa" w:w="1440"/>
            <w:shd w:fill="FFDCE0" w:val="clear"/>
          </w:tcPr>
          <w:p>
            <w:r>
              <w:rPr>
                <w:b/>
                <w:sz w:val="17"/>
              </w:rPr>
              <w:t>24,214</w:t>
            </w:r>
          </w:p>
        </w:tc>
        <w:tc>
          <w:tcPr>
            <w:tcW w:type="dxa" w:w="1440"/>
            <w:shd w:fill="FFDCE0" w:val="clear"/>
          </w:tcPr>
          <w:p>
            <w:r>
              <w:rPr>
                <w:sz w:val="17"/>
              </w:rPr>
              <w:t>25,800</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2026-08-11</w:t>
            </w:r>
          </w:p>
        </w:tc>
        <w:tc>
          <w:tcPr>
            <w:tcW w:type="dxa" w:w="1440"/>
            <w:shd w:fill="FFDCE0" w:val="clear"/>
          </w:tcPr>
          <w:p>
            <w:r>
              <w:rPr>
                <w:sz w:val="17"/>
              </w:rPr>
              <w:t>20,602</w:t>
            </w:r>
          </w:p>
        </w:tc>
        <w:tc>
          <w:tcPr>
            <w:tcW w:type="dxa" w:w="1440"/>
            <w:shd w:fill="FFDCE0" w:val="clear"/>
          </w:tcPr>
          <w:p>
            <w:r>
              <w:rPr>
                <w:b/>
                <w:sz w:val="17"/>
              </w:rPr>
              <w:t>22,398</w:t>
            </w:r>
          </w:p>
        </w:tc>
        <w:tc>
          <w:tcPr>
            <w:tcW w:type="dxa" w:w="1440"/>
            <w:shd w:fill="FFDCE0" w:val="clear"/>
          </w:tcPr>
          <w:p>
            <w:r>
              <w:rPr>
                <w:sz w:val="17"/>
              </w:rPr>
              <w:t>24,194</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2026-08-12</w:t>
            </w:r>
          </w:p>
        </w:tc>
        <w:tc>
          <w:tcPr>
            <w:tcW w:type="dxa" w:w="1440"/>
            <w:shd w:fill="FFDCE0" w:val="clear"/>
          </w:tcPr>
          <w:p>
            <w:r>
              <w:rPr>
                <w:sz w:val="17"/>
              </w:rPr>
              <w:t>18,800</w:t>
            </w:r>
          </w:p>
        </w:tc>
        <w:tc>
          <w:tcPr>
            <w:tcW w:type="dxa" w:w="1440"/>
            <w:shd w:fill="FFDCE0" w:val="clear"/>
          </w:tcPr>
          <w:p>
            <w:r>
              <w:rPr>
                <w:b/>
                <w:sz w:val="17"/>
              </w:rPr>
              <w:t>20,718</w:t>
            </w:r>
          </w:p>
        </w:tc>
        <w:tc>
          <w:tcPr>
            <w:tcW w:type="dxa" w:w="1440"/>
            <w:shd w:fill="FFDCE0" w:val="clear"/>
          </w:tcPr>
          <w:p>
            <w:r>
              <w:rPr>
                <w:sz w:val="17"/>
              </w:rPr>
              <w:t>22,637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2026-08-13</w:t>
            </w:r>
          </w:p>
        </w:tc>
        <w:tc>
          <w:tcPr>
            <w:tcW w:type="dxa" w:w="1440"/>
            <w:shd w:fill="FFDCE0" w:val="clear"/>
          </w:tcPr>
          <w:p>
            <w:r>
              <w:rPr>
                <w:sz w:val="17"/>
              </w:rPr>
              <w:t>17,449</w:t>
            </w:r>
          </w:p>
        </w:tc>
        <w:tc>
          <w:tcPr>
            <w:tcW w:type="dxa" w:w="1440"/>
            <w:shd w:fill="FFDCE0" w:val="clear"/>
          </w:tcPr>
          <w:p>
            <w:r>
              <w:rPr>
                <w:b/>
                <w:sz w:val="17"/>
              </w:rPr>
              <w:t>19,465</w:t>
            </w:r>
          </w:p>
        </w:tc>
        <w:tc>
          <w:tcPr>
            <w:tcW w:type="dxa" w:w="1440"/>
            <w:shd w:fill="FFDCE0" w:val="clear"/>
          </w:tcPr>
          <w:p>
            <w:r>
              <w:rPr>
                <w:sz w:val="17"/>
              </w:rPr>
              <w:t>21,480</w:t>
            </w:r>
          </w:p>
        </w:tc>
        <w:tc>
          <w:tcPr>
            <w:tcW w:type="dxa" w:w="1440"/>
            <w:shd w:fill="FFDCE0" w:val="clear"/>
          </w:tcPr>
          <w:p>
            <w:r>
              <w:rPr>
                <w:b/>
                <w:color w:val="C00000"/>
                <w:sz w:val="17"/>
              </w:rPr>
              <w:t>-31.2%</w:t>
            </w:r>
          </w:p>
        </w:tc>
      </w:tr>
      <w:tr>
        <w:tc>
          <w:tcPr>
            <w:tcW w:type="dxa" w:w="1440"/>
            <w:shd w:fill="FFDCE0" w:val="clear"/>
          </w:tcPr>
          <w:p>
            <w:r>
              <w:rPr>
                <w:sz w:val="17"/>
              </w:rPr>
              <w:t>J+6  ⭐</w:t>
            </w:r>
          </w:p>
        </w:tc>
        <w:tc>
          <w:tcPr>
            <w:tcW w:type="dxa" w:w="1440"/>
            <w:shd w:fill="FFDCE0" w:val="clear"/>
          </w:tcPr>
          <w:p>
            <w:r>
              <w:rPr>
                <w:sz w:val="17"/>
              </w:rPr>
              <w:t>2026-08-14</w:t>
            </w:r>
          </w:p>
        </w:tc>
        <w:tc>
          <w:tcPr>
            <w:tcW w:type="dxa" w:w="1440"/>
            <w:shd w:fill="FFDCE0" w:val="clear"/>
          </w:tcPr>
          <w:p>
            <w:r>
              <w:rPr>
                <w:sz w:val="17"/>
              </w:rPr>
              <w:t>16,784</w:t>
            </w:r>
          </w:p>
        </w:tc>
        <w:tc>
          <w:tcPr>
            <w:tcW w:type="dxa" w:w="1440"/>
            <w:shd w:fill="FFDCE0" w:val="clear"/>
          </w:tcPr>
          <w:p>
            <w:r>
              <w:rPr>
                <w:b/>
                <w:sz w:val="17"/>
              </w:rPr>
              <w:t>18,931</w:t>
            </w:r>
          </w:p>
        </w:tc>
        <w:tc>
          <w:tcPr>
            <w:tcW w:type="dxa" w:w="1440"/>
            <w:shd w:fill="FFDCE0" w:val="clear"/>
          </w:tcPr>
          <w:p>
            <w:r>
              <w:rPr>
                <w:sz w:val="17"/>
              </w:rPr>
              <w:t>21,078</w:t>
            </w:r>
          </w:p>
        </w:tc>
        <w:tc>
          <w:tcPr>
            <w:tcW w:type="dxa" w:w="1440"/>
            <w:shd w:fill="FFDCE0" w:val="clear"/>
          </w:tcPr>
          <w:p>
            <w:r>
              <w:rPr>
                <w:b/>
                <w:color w:val="C00000"/>
                <w:sz w:val="17"/>
              </w:rPr>
              <w:t>-33.1%</w:t>
            </w:r>
          </w:p>
        </w:tc>
      </w:tr>
      <w:tr>
        <w:tc>
          <w:tcPr>
            <w:tcW w:type="dxa" w:w="1440"/>
            <w:shd w:fill="FFDCE0" w:val="clear"/>
          </w:tcPr>
          <w:p>
            <w:r>
              <w:rPr>
                <w:sz w:val="17"/>
              </w:rPr>
              <w:t>J+7  ⭐</w:t>
            </w:r>
          </w:p>
        </w:tc>
        <w:tc>
          <w:tcPr>
            <w:tcW w:type="dxa" w:w="1440"/>
            <w:shd w:fill="FFDCE0" w:val="clear"/>
          </w:tcPr>
          <w:p>
            <w:r>
              <w:rPr>
                <w:sz w:val="17"/>
              </w:rPr>
              <w:t>2026-08-17</w:t>
            </w:r>
          </w:p>
        </w:tc>
        <w:tc>
          <w:tcPr>
            <w:tcW w:type="dxa" w:w="1440"/>
            <w:shd w:fill="FFDCE0" w:val="clear"/>
          </w:tcPr>
          <w:p>
            <w:r>
              <w:rPr>
                <w:sz w:val="17"/>
              </w:rPr>
              <w:t>16,202</w:t>
            </w:r>
          </w:p>
        </w:tc>
        <w:tc>
          <w:tcPr>
            <w:tcW w:type="dxa" w:w="1440"/>
            <w:shd w:fill="FFDCE0" w:val="clear"/>
          </w:tcPr>
          <w:p>
            <w:r>
              <w:rPr>
                <w:b/>
                <w:sz w:val="17"/>
              </w:rPr>
              <w:t>18,464</w:t>
            </w:r>
          </w:p>
        </w:tc>
        <w:tc>
          <w:tcPr>
            <w:tcW w:type="dxa" w:w="1440"/>
            <w:shd w:fill="FFDCE0" w:val="clear"/>
          </w:tcPr>
          <w:p>
            <w:r>
              <w:rPr>
                <w:sz w:val="17"/>
              </w:rPr>
              <w:t>20,726</w:t>
            </w:r>
          </w:p>
        </w:tc>
        <w:tc>
          <w:tcPr>
            <w:tcW w:type="dxa" w:w="1440"/>
            <w:shd w:fill="FFDCE0" w:val="clear"/>
          </w:tcPr>
          <w:p>
            <w:r>
              <w:rPr>
                <w:b/>
                <w:color w:val="C00000"/>
                <w:sz w:val="17"/>
              </w:rPr>
              <w:t>-34.8%</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15,684</w:t>
            </w:r>
          </w:p>
        </w:tc>
        <w:tc>
          <w:tcPr>
            <w:tcW w:type="dxa" w:w="1440"/>
            <w:shd w:fill="FFDCE0" w:val="clear"/>
          </w:tcPr>
          <w:p>
            <w:r>
              <w:rPr>
                <w:b/>
                <w:sz w:val="17"/>
              </w:rPr>
              <w:t>18,048</w:t>
            </w:r>
          </w:p>
        </w:tc>
        <w:tc>
          <w:tcPr>
            <w:tcW w:type="dxa" w:w="1440"/>
            <w:shd w:fill="FFDCE0" w:val="clear"/>
          </w:tcPr>
          <w:p>
            <w:r>
              <w:rPr>
                <w:sz w:val="17"/>
              </w:rPr>
              <w:t>20,411</w:t>
            </w:r>
          </w:p>
        </w:tc>
        <w:tc>
          <w:tcPr>
            <w:tcW w:type="dxa" w:w="1440"/>
            <w:shd w:fill="FFDCE0" w:val="clear"/>
          </w:tcPr>
          <w:p>
            <w:r>
              <w:rPr>
                <w:b/>
                <w:color w:val="C00000"/>
                <w:sz w:val="17"/>
              </w:rPr>
              <w:t>-36.2%</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15,217</w:t>
            </w:r>
          </w:p>
        </w:tc>
        <w:tc>
          <w:tcPr>
            <w:tcW w:type="dxa" w:w="1440"/>
            <w:shd w:fill="FFDCE0" w:val="clear"/>
          </w:tcPr>
          <w:p>
            <w:r>
              <w:rPr>
                <w:b/>
                <w:sz w:val="17"/>
              </w:rPr>
              <w:t>17,671</w:t>
            </w:r>
          </w:p>
        </w:tc>
        <w:tc>
          <w:tcPr>
            <w:tcW w:type="dxa" w:w="1440"/>
            <w:shd w:fill="FFDCE0" w:val="clear"/>
          </w:tcPr>
          <w:p>
            <w:r>
              <w:rPr>
                <w:sz w:val="17"/>
              </w:rPr>
              <w:t>20,126</w:t>
            </w:r>
          </w:p>
        </w:tc>
        <w:tc>
          <w:tcPr>
            <w:tcW w:type="dxa" w:w="1440"/>
            <w:shd w:fill="FFDCE0" w:val="clear"/>
          </w:tcPr>
          <w:p>
            <w:r>
              <w:rPr>
                <w:b/>
                <w:color w:val="C00000"/>
                <w:sz w:val="17"/>
              </w:rPr>
              <w:t>-37.6%</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14,791</w:t>
            </w:r>
          </w:p>
        </w:tc>
        <w:tc>
          <w:tcPr>
            <w:tcW w:type="dxa" w:w="1440"/>
            <w:shd w:fill="FFDCE0" w:val="clear"/>
          </w:tcPr>
          <w:p>
            <w:r>
              <w:rPr>
                <w:b/>
                <w:sz w:val="17"/>
              </w:rPr>
              <w:t>17,328</w:t>
            </w:r>
          </w:p>
        </w:tc>
        <w:tc>
          <w:tcPr>
            <w:tcW w:type="dxa" w:w="1440"/>
            <w:shd w:fill="FFDCE0" w:val="clear"/>
          </w:tcPr>
          <w:p>
            <w:r>
              <w:rPr>
                <w:sz w:val="17"/>
              </w:rPr>
              <w:t>19,865</w:t>
            </w:r>
          </w:p>
        </w:tc>
        <w:tc>
          <w:tcPr>
            <w:tcW w:type="dxa" w:w="1440"/>
            <w:shd w:fill="FFDCE0" w:val="clear"/>
          </w:tcPr>
          <w:p>
            <w:r>
              <w:rPr>
                <w:b/>
                <w:color w:val="C00000"/>
                <w:sz w:val="17"/>
              </w:rPr>
              <w:t>-38.8%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Voici le rapport d'analyse financière structuré pour l'action CBIBF,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905,60 milliards FCFA, un niveau qui la positionne comme l'une des toutes premières capitalisations de la BRVM, reflétant son statut de leader bancaire régional. Avec un BPA de 2 047 FCFA, chaque action génère un bénéfice substantiel. Le PER de 13,8x est supérieur à la moyenne historique de la BRVM (8-12x), indiquant que le marché valorise déjà une prime de croissance et de qualité sur le titre. Le ratio EV/EBITDA de 10,2x, bien que dans une fourchette élevée, reste cohérent avec les standards des valeurs bancaires de croissance. Le ratio P/B n'est pas disponible dans les données fournies, ce qui limite la comparaison directe avec la valeur comptable, mais les autres indicateurs suggèrent une valorisation qui intègre des attentes de performance future solide.</w:t>
      </w:r>
    </w:p>
    <w:p>
      <w:pPr>
        <w:spacing w:after="120" w:line="276" w:lineRule="auto"/>
      </w:pPr>
      <w:r>
        <w:t>### PARTIE 1 : ANALYSE DU COURS — STATISTIQUES ET ÉVOLUTION (100 derniers jours)</w:t>
      </w:r>
    </w:p>
    <w:p>
      <w:pPr>
        <w:spacing w:after="120" w:line="276" w:lineRule="auto"/>
      </w:pPr>
      <w:r>
        <w:t>Sur les 100 derniers jours, le titre CBIBF a enregistré une performance spectaculaire de +103,60%, passant d'un plus bas de 13 500 FCFA à un plus haut de 30 005 FCFA, avant de se stabiliser à 28 300 FCFA. Cette tendance est fortement haussière, bien que la dernière séance montre une pause (variation J-1 de 0,00%). Les statistiques descriptives révèlent une distribution des prix relativement symétrique (Skewness de 0,292) et aplatie (Kurtosis de -1,133), indiquant une absence de pics extrêmes et une dispersion modérée autour de la moyenne (20 393 FCFA) et de la médiane (21 050 FCFA). L'écart-type de 5 145 FCFA (CV=25,2%) témoigne d'une volatilité importante. La volatilité annualisée de 42,3% classe le titre comme très volatil, ce qui représente un risque élevé pour les investisseurs à court terme mais aussi un potentiel de rendement significatif.</w:t>
      </w:r>
    </w:p>
    <w:p>
      <w:pPr>
        <w:spacing w:after="120" w:line="276" w:lineRule="auto"/>
      </w:pPr>
      <w:r>
        <w:t>### PARTIE 2 : ANALYSE TECHNIQUE DÉTAILLÉE</w:t>
      </w:r>
    </w:p>
    <w:p>
      <w:pPr>
        <w:spacing w:after="120" w:line="276" w:lineRule="auto"/>
      </w:pPr>
      <w:r>
        <w:t>**Moyennes Mobiles** : Le cours actuel (28 300 FCFA) est nettement au-dessus de la MM20 (28 118,5 FCFA) et de la MM50 (24 749,8 FCFA). Cette configuration haussière, où les moyennes sont orientées à la hausse et le cours au-dessus, confirme la tendance positive de fond et justifie la décision d'**Achat**.</w:t>
      </w:r>
    </w:p>
    <w:p>
      <w:pPr>
        <w:spacing w:after="120" w:line="276" w:lineRule="auto"/>
      </w:pPr>
      <w:r>
        <w:t>**Bandes de Bollinger** : Le prix se situe à l'intérieur des bandes, plus près de la borne supérieure (30 627,95 FCFA) que de la borne inférieure (25 609,05 FCFA). La largeur des bandes reflète la forte volatilité récente. Le signal est **Neutre**, indiquant que le marché digère les gains récents après une phase de forte expansion.</w:t>
      </w:r>
    </w:p>
    <w:p>
      <w:pPr>
        <w:spacing w:after="120" w:line="276" w:lineRule="auto"/>
      </w:pPr>
      <w:r>
        <w:t>**MACD** : La valeur du MACD (951,23) est inférieure à son signal (1 110,17), ce qui constitue un croisement baissier à court terme. Ce signal de **Vente** suggère un ralentissement du momentum haussier, même si les deux indicateurs restent en territoire positif, indiquant une correction potentielle au sein d'une tendance haussière plus large.</w:t>
      </w:r>
    </w:p>
    <w:p>
      <w:pPr>
        <w:spacing w:after="120" w:line="276" w:lineRule="auto"/>
      </w:pPr>
      <w:r>
        <w:t>**RSI** : Le RSI à 37,45 se situe en zone neutre (30-70), mais proche de la zone de survente. Cela indique que la pression vendeuse récente a réduit la dynamique haussière sans pour autant créer de conditions de survente extrême. La décision est **Neutre**, avec un biais légèrement négatif.</w:t>
      </w:r>
    </w:p>
    <w:p>
      <w:pPr>
        <w:spacing w:after="120" w:line="276" w:lineRule="auto"/>
      </w:pPr>
      <w:r>
        <w:t>**Stochastique** : Le %K (91,52) est très élevé et nettement au-dessus du %D (68,61), indiquant que le titre est en zone de surachat. Ce croisement, après une période de hausse, envoie un signal de **Vente** à court terme, suggérant un risque élevé de repli technique.</w:t>
      </w:r>
    </w:p>
    <w:p>
      <w:pPr>
        <w:spacing w:after="120" w:line="276" w:lineRule="auto"/>
      </w:pPr>
      <w:r>
        <w:t>**Conclusion technique** : Les indicateurs de tendance (MM) restent positifs, mais les oscillateurs de momentum (MACD, RSI, Stochastique) signalent une perte de vitesse et un risque de correction à court terme. La configuration suggère une phase de consolidation après une hausse massive, avec un biais haussier à moyen terme mais un risque de repli immédiat.</w:t>
      </w:r>
    </w:p>
    <w:p>
      <w:pPr>
        <w:spacing w:after="120" w:line="276" w:lineRule="auto"/>
      </w:pPr>
      <w:r>
        <w:t>### PARTIE 3 : ANALYSE FONDAMENTALE (SECTION CRITIQUE)</w:t>
      </w:r>
    </w:p>
    <w:p>
      <w:pPr>
        <w:spacing w:after="120" w:line="276" w:lineRule="auto"/>
      </w:pPr>
      <w:r>
        <w:t>En 2025, CBIBF affiche des résultats financiers solides, avec un Produit Net Bancaire (PNB) de 138,99 milliards FCFA et un résultat net de 65,50 milliards FCFA, en progression de 36,6% par rapport à 2024. Cette performance est remarquable, d'autant que le coefficient d'exploitation est excellent à 36,4% (largement sous la barre des 60%), démontrant une gestion rigoureuse des charges. Le coût du risque s'est significativement amélioré (-59,3% sur un an), ce qui a directement dopé la rentabilité. La banque affiche une marge nette de 47,1% et un ROA de 2,18%, confirmant une excellente capacité à générer du profit sur ses actifs. Les dépôts clients (2 015,3 Mds FCFA) dépassent largement les crédits nets (1 327 Mds FCFA), illustrant une forte liquidité. Les rapports trimestriels de 2025 (T1, S1, T3) montrent une croissance régulière du PNB, et le rapport du T1 2026 confirme cette dynamique avec un PNB en hausse de 28,5% et un résultat net de 21,5 milliards FCFA. Sur la base de ces données, on estime que l'exercice 2026 pourrait voir le PNB dépasser les 160 milliards FCFA et le résultat net atteindre 75-80 milliards FCFA, confirmant la trajectoire de croissance soutenue de la banque, malgré un environnement géopolitique et sécuritaire régional qui demeure un risque à surveiller.</w:t>
      </w:r>
    </w:p>
    <w:p>
      <w:pPr>
        <w:spacing w:after="120" w:line="276" w:lineRule="auto"/>
      </w:pPr>
      <w:r>
        <w:t>### PARTIE 4 : CONCLUSION D'INVESTISSEMENT</w:t>
      </w:r>
    </w:p>
    <w:p>
      <w:pPr>
        <w:spacing w:after="120" w:line="276" w:lineRule="auto"/>
      </w:pPr>
      <w:r>
        <w:t>La valorisation de CBIBF (PER 13,8x) intègre une prime de croissance, mais celle-ci est justifiée par des fondamentaux exceptionnels et une dynamique de résultats très positive. Le comportement du cours sur 100 jours (+103%) montre une tendance haussière puissante, mais la volatilité élevée (42,3%) et les statistiques descriptives suggèrent un risque de retournement. Les signaux techniques sont mitigés : la tendance de fond (MM) est haussière, mais les oscillateurs (MACD, RSI, Stochastique) pointent vers une correction à court terme. Les fondamentaux, quant à eux, sont indiscutablement solides, avec une croissance à deux chiffres du résultat net et une amélioration de la qualité du portefeuille. Les prédictions IA pour les 10 prochains jours (baisse de 28 300 à 19 465 FCFA) confirment le scénario de correction technique. En synthèse, la convergence entre les signaux techniques de court terme et les prédictions IA suggère une pause dans la hausse. Par conséquent, la recommandation finale est **CONSERVER** pour les investisseurs existants, avec un niveau de confiance **Moyen** et un risque global **Élevé**. Pour les nouveaux investisseurs, il serait prudent d'attendre un repli vers les 24 000-25 000 FCFA (niveau de la MM50) pour initier une position, avec un horizon d'investissement à **moyen terme (3-12 mois)** pour capitaliser sur la solidité fondamentale de la banque.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306.52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3,825 titres</w:t>
            </w:r>
          </w:p>
        </w:tc>
        <w:tc>
          <w:tcPr>
            <w:tcW w:type="dxa" w:w="2268"/>
            <w:shd w:fill="FFF2CC" w:val="clear"/>
          </w:tcPr>
          <w:p>
            <w:r>
              <w:rPr>
                <w:b/>
                <w:color w:val="503200"/>
                <w:sz w:val="16"/>
              </w:rPr>
              <w:t xml:space="preserve">Cours actuel : </w:t>
            </w:r>
            <w:r>
              <w:rPr>
                <w:color w:val="000000"/>
                <w:sz w:val="17"/>
              </w:rPr>
              <w:t>1,690 FCFA</w:t>
            </w:r>
          </w:p>
          <w:p>
            <w:r>
              <w:rPr>
                <w:b/>
                <w:color w:val="503200"/>
                <w:sz w:val="16"/>
              </w:rPr>
              <w:t xml:space="preserve">Var. 100 jours : </w:t>
            </w:r>
            <w:r>
              <w:rPr>
                <w:b/>
                <w:color w:val="B40000"/>
                <w:sz w:val="17"/>
              </w:rPr>
              <w:t>-2.31%</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6.49% (Moyenne) — μ=1,609 FCFA, σ=104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β=0.9809 (Neutre (suit le marché)) — Cov=0.000036, Var(idx)=0.000036, ρ=0.190,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3,825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σ_j=3.11%/j (Modérée) — Vol. annualisée≈49.4%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2026-08-06</w:t>
            </w:r>
          </w:p>
        </w:tc>
        <w:tc>
          <w:tcPr>
            <w:tcW w:type="dxa" w:w="1440"/>
            <w:shd w:fill="FFDCE0" w:val="clear"/>
          </w:tcPr>
          <w:p>
            <w:r>
              <w:rPr>
                <w:sz w:val="17"/>
              </w:rPr>
              <w:t>1,555</w:t>
            </w:r>
          </w:p>
        </w:tc>
        <w:tc>
          <w:tcPr>
            <w:tcW w:type="dxa" w:w="1440"/>
            <w:shd w:fill="FFDCE0" w:val="clear"/>
          </w:tcPr>
          <w:p>
            <w:r>
              <w:rPr>
                <w:b/>
                <w:sz w:val="17"/>
              </w:rPr>
              <w:t>1,643</w:t>
            </w:r>
          </w:p>
        </w:tc>
        <w:tc>
          <w:tcPr>
            <w:tcW w:type="dxa" w:w="1440"/>
            <w:shd w:fill="FFDCE0" w:val="clear"/>
          </w:tcPr>
          <w:p>
            <w:r>
              <w:rPr>
                <w:sz w:val="17"/>
              </w:rPr>
              <w:t>1,732</w:t>
            </w:r>
          </w:p>
        </w:tc>
        <w:tc>
          <w:tcPr>
            <w:tcW w:type="dxa" w:w="1440"/>
            <w:shd w:fill="FFDCE0" w:val="clear"/>
          </w:tcPr>
          <w:p>
            <w:r>
              <w:rPr>
                <w:b/>
                <w:color w:val="C00000"/>
                <w:sz w:val="17"/>
              </w:rPr>
              <w:t>-2.8%</w:t>
            </w:r>
          </w:p>
        </w:tc>
      </w:tr>
      <w:tr>
        <w:tc>
          <w:tcPr>
            <w:tcW w:type="dxa" w:w="1440"/>
            <w:shd w:fill="FFDCE0" w:val="clear"/>
          </w:tcPr>
          <w:p>
            <w:r>
              <w:rPr>
                <w:sz w:val="17"/>
              </w:rPr>
              <w:t>J+2  Moyenne</w:t>
            </w:r>
          </w:p>
        </w:tc>
        <w:tc>
          <w:tcPr>
            <w:tcW w:type="dxa" w:w="1440"/>
            <w:shd w:fill="FFDCE0" w:val="clear"/>
          </w:tcPr>
          <w:p>
            <w:r>
              <w:rPr>
                <w:sz w:val="17"/>
              </w:rPr>
              <w:t>2026-08-10</w:t>
            </w:r>
          </w:p>
        </w:tc>
        <w:tc>
          <w:tcPr>
            <w:tcW w:type="dxa" w:w="1440"/>
            <w:shd w:fill="FFDCE0" w:val="clear"/>
          </w:tcPr>
          <w:p>
            <w:r>
              <w:rPr>
                <w:sz w:val="17"/>
              </w:rPr>
              <w:t>1,499</w:t>
            </w:r>
          </w:p>
        </w:tc>
        <w:tc>
          <w:tcPr>
            <w:tcW w:type="dxa" w:w="1440"/>
            <w:shd w:fill="FFDCE0" w:val="clear"/>
          </w:tcPr>
          <w:p>
            <w:r>
              <w:rPr>
                <w:b/>
                <w:sz w:val="17"/>
              </w:rPr>
              <w:t>1,623</w:t>
            </w:r>
          </w:p>
        </w:tc>
        <w:tc>
          <w:tcPr>
            <w:tcW w:type="dxa" w:w="1440"/>
            <w:shd w:fill="FFDCE0" w:val="clear"/>
          </w:tcPr>
          <w:p>
            <w:r>
              <w:rPr>
                <w:sz w:val="17"/>
              </w:rPr>
              <w:t>1,746</w:t>
            </w:r>
          </w:p>
        </w:tc>
        <w:tc>
          <w:tcPr>
            <w:tcW w:type="dxa" w:w="1440"/>
            <w:shd w:fill="FFDCE0" w:val="clear"/>
          </w:tcPr>
          <w:p>
            <w:r>
              <w:rPr>
                <w:b/>
                <w:color w:val="C00000"/>
                <w:sz w:val="17"/>
              </w:rPr>
              <w:t>-4.0%</w:t>
            </w:r>
          </w:p>
        </w:tc>
      </w:tr>
      <w:tr>
        <w:tc>
          <w:tcPr>
            <w:tcW w:type="dxa" w:w="1440"/>
            <w:shd w:fill="FFDCE0" w:val="clear"/>
          </w:tcPr>
          <w:p>
            <w:r>
              <w:rPr>
                <w:sz w:val="17"/>
              </w:rPr>
              <w:t>J+3  Moyenne</w:t>
            </w:r>
          </w:p>
        </w:tc>
        <w:tc>
          <w:tcPr>
            <w:tcW w:type="dxa" w:w="1440"/>
            <w:shd w:fill="FFDCE0" w:val="clear"/>
          </w:tcPr>
          <w:p>
            <w:r>
              <w:rPr>
                <w:sz w:val="17"/>
              </w:rPr>
              <w:t>2026-08-11</w:t>
            </w:r>
          </w:p>
        </w:tc>
        <w:tc>
          <w:tcPr>
            <w:tcW w:type="dxa" w:w="1440"/>
            <w:shd w:fill="FFDCE0" w:val="clear"/>
          </w:tcPr>
          <w:p>
            <w:r>
              <w:rPr>
                <w:sz w:val="17"/>
              </w:rPr>
              <w:t>1,451</w:t>
            </w:r>
          </w:p>
        </w:tc>
        <w:tc>
          <w:tcPr>
            <w:tcW w:type="dxa" w:w="1440"/>
            <w:shd w:fill="FFDCE0" w:val="clear"/>
          </w:tcPr>
          <w:p>
            <w:r>
              <w:rPr>
                <w:b/>
                <w:sz w:val="17"/>
              </w:rPr>
              <w:t>1,599</w:t>
            </w:r>
          </w:p>
        </w:tc>
        <w:tc>
          <w:tcPr>
            <w:tcW w:type="dxa" w:w="1440"/>
            <w:shd w:fill="FFDCE0" w:val="clear"/>
          </w:tcPr>
          <w:p>
            <w:r>
              <w:rPr>
                <w:sz w:val="17"/>
              </w:rPr>
              <w:t>1,748</w:t>
            </w:r>
          </w:p>
        </w:tc>
        <w:tc>
          <w:tcPr>
            <w:tcW w:type="dxa" w:w="1440"/>
            <w:shd w:fill="FFDCE0" w:val="clear"/>
          </w:tcPr>
          <w:p>
            <w:r>
              <w:rPr>
                <w:b/>
                <w:color w:val="C00000"/>
                <w:sz w:val="17"/>
              </w:rPr>
              <w:t>-5.4%</w:t>
            </w:r>
          </w:p>
        </w:tc>
      </w:tr>
      <w:tr>
        <w:tc>
          <w:tcPr>
            <w:tcW w:type="dxa" w:w="1440"/>
            <w:shd w:fill="FFDCE0" w:val="clear"/>
          </w:tcPr>
          <w:p>
            <w:r>
              <w:rPr>
                <w:sz w:val="17"/>
              </w:rPr>
              <w:t>J+4  ⭐</w:t>
            </w:r>
          </w:p>
        </w:tc>
        <w:tc>
          <w:tcPr>
            <w:tcW w:type="dxa" w:w="1440"/>
            <w:shd w:fill="FFDCE0" w:val="clear"/>
          </w:tcPr>
          <w:p>
            <w:r>
              <w:rPr>
                <w:sz w:val="17"/>
              </w:rPr>
              <w:t>2026-08-12</w:t>
            </w:r>
          </w:p>
        </w:tc>
        <w:tc>
          <w:tcPr>
            <w:tcW w:type="dxa" w:w="1440"/>
            <w:shd w:fill="FFDCE0" w:val="clear"/>
          </w:tcPr>
          <w:p>
            <w:r>
              <w:rPr>
                <w:sz w:val="17"/>
              </w:rPr>
              <w:t>1,407</w:t>
            </w:r>
          </w:p>
        </w:tc>
        <w:tc>
          <w:tcPr>
            <w:tcW w:type="dxa" w:w="1440"/>
            <w:shd w:fill="FFDCE0" w:val="clear"/>
          </w:tcPr>
          <w:p>
            <w:r>
              <w:rPr>
                <w:b/>
                <w:sz w:val="17"/>
              </w:rPr>
              <w:t>1,576</w:t>
            </w:r>
          </w:p>
        </w:tc>
        <w:tc>
          <w:tcPr>
            <w:tcW w:type="dxa" w:w="1440"/>
            <w:shd w:fill="FFDCE0" w:val="clear"/>
          </w:tcPr>
          <w:p>
            <w:r>
              <w:rPr>
                <w:sz w:val="17"/>
              </w:rPr>
              <w:t>1,745</w:t>
            </w:r>
          </w:p>
        </w:tc>
        <w:tc>
          <w:tcPr>
            <w:tcW w:type="dxa" w:w="1440"/>
            <w:shd w:fill="FFDCE0" w:val="clear"/>
          </w:tcPr>
          <w:p>
            <w:r>
              <w:rPr>
                <w:b/>
                <w:color w:val="C00000"/>
                <w:sz w:val="17"/>
              </w:rPr>
              <w:t>-6.8%</w:t>
            </w:r>
          </w:p>
        </w:tc>
      </w:tr>
      <w:tr>
        <w:tc>
          <w:tcPr>
            <w:tcW w:type="dxa" w:w="1440"/>
            <w:shd w:fill="FFDCE0" w:val="clear"/>
          </w:tcPr>
          <w:p>
            <w:r>
              <w:rPr>
                <w:sz w:val="17"/>
              </w:rPr>
              <w:t>J+5  ⭐</w:t>
            </w:r>
          </w:p>
        </w:tc>
        <w:tc>
          <w:tcPr>
            <w:tcW w:type="dxa" w:w="1440"/>
            <w:shd w:fill="FFDCE0" w:val="clear"/>
          </w:tcPr>
          <w:p>
            <w:r>
              <w:rPr>
                <w:sz w:val="17"/>
              </w:rPr>
              <w:t>2026-08-13</w:t>
            </w:r>
          </w:p>
        </w:tc>
        <w:tc>
          <w:tcPr>
            <w:tcW w:type="dxa" w:w="1440"/>
            <w:shd w:fill="FFDCE0" w:val="clear"/>
          </w:tcPr>
          <w:p>
            <w:r>
              <w:rPr>
                <w:sz w:val="17"/>
              </w:rPr>
              <w:t>1,367</w:t>
            </w:r>
          </w:p>
        </w:tc>
        <w:tc>
          <w:tcPr>
            <w:tcW w:type="dxa" w:w="1440"/>
            <w:shd w:fill="FFDCE0" w:val="clear"/>
          </w:tcPr>
          <w:p>
            <w:r>
              <w:rPr>
                <w:b/>
                <w:sz w:val="17"/>
              </w:rPr>
              <w:t>1,553</w:t>
            </w:r>
          </w:p>
        </w:tc>
        <w:tc>
          <w:tcPr>
            <w:tcW w:type="dxa" w:w="1440"/>
            <w:shd w:fill="FFDCE0" w:val="clear"/>
          </w:tcPr>
          <w:p>
            <w:r>
              <w:rPr>
                <w:sz w:val="17"/>
              </w:rPr>
              <w:t>1,739</w:t>
            </w:r>
          </w:p>
        </w:tc>
        <w:tc>
          <w:tcPr>
            <w:tcW w:type="dxa" w:w="1440"/>
            <w:shd w:fill="FFDCE0" w:val="clear"/>
          </w:tcPr>
          <w:p>
            <w:r>
              <w:rPr>
                <w:b/>
                <w:color w:val="C00000"/>
                <w:sz w:val="17"/>
              </w:rPr>
              <w:t>-8.1%</w:t>
            </w:r>
          </w:p>
        </w:tc>
      </w:tr>
      <w:tr>
        <w:tc>
          <w:tcPr>
            <w:tcW w:type="dxa" w:w="1440"/>
            <w:shd w:fill="FFDCE0" w:val="clear"/>
          </w:tcPr>
          <w:p>
            <w:r>
              <w:rPr>
                <w:sz w:val="17"/>
              </w:rPr>
              <w:t>J+6  ⭐</w:t>
            </w:r>
          </w:p>
        </w:tc>
        <w:tc>
          <w:tcPr>
            <w:tcW w:type="dxa" w:w="1440"/>
            <w:shd w:fill="FFDCE0" w:val="clear"/>
          </w:tcPr>
          <w:p>
            <w:r>
              <w:rPr>
                <w:sz w:val="17"/>
              </w:rPr>
              <w:t>2026-08-14</w:t>
            </w:r>
          </w:p>
        </w:tc>
        <w:tc>
          <w:tcPr>
            <w:tcW w:type="dxa" w:w="1440"/>
            <w:shd w:fill="FFDCE0" w:val="clear"/>
          </w:tcPr>
          <w:p>
            <w:r>
              <w:rPr>
                <w:sz w:val="17"/>
              </w:rPr>
              <w:t>1,329</w:t>
            </w:r>
          </w:p>
        </w:tc>
        <w:tc>
          <w:tcPr>
            <w:tcW w:type="dxa" w:w="1440"/>
            <w:shd w:fill="FFDCE0" w:val="clear"/>
          </w:tcPr>
          <w:p>
            <w:r>
              <w:rPr>
                <w:b/>
                <w:sz w:val="17"/>
              </w:rPr>
              <w:t>1,531</w:t>
            </w:r>
          </w:p>
        </w:tc>
        <w:tc>
          <w:tcPr>
            <w:tcW w:type="dxa" w:w="1440"/>
            <w:shd w:fill="FFDCE0" w:val="clear"/>
          </w:tcPr>
          <w:p>
            <w:r>
              <w:rPr>
                <w:sz w:val="17"/>
              </w:rPr>
              <w:t>1,732</w:t>
            </w:r>
          </w:p>
        </w:tc>
        <w:tc>
          <w:tcPr>
            <w:tcW w:type="dxa" w:w="1440"/>
            <w:shd w:fill="FFDCE0" w:val="clear"/>
          </w:tcPr>
          <w:p>
            <w:r>
              <w:rPr>
                <w:b/>
                <w:color w:val="C00000"/>
                <w:sz w:val="17"/>
              </w:rPr>
              <w:t>-9.4%</w:t>
            </w:r>
          </w:p>
        </w:tc>
      </w:tr>
      <w:tr>
        <w:tc>
          <w:tcPr>
            <w:tcW w:type="dxa" w:w="1440"/>
            <w:shd w:fill="FFDCE0" w:val="clear"/>
          </w:tcPr>
          <w:p>
            <w:r>
              <w:rPr>
                <w:sz w:val="17"/>
              </w:rPr>
              <w:t>J+7  ⭐</w:t>
            </w:r>
          </w:p>
        </w:tc>
        <w:tc>
          <w:tcPr>
            <w:tcW w:type="dxa" w:w="1440"/>
            <w:shd w:fill="FFDCE0" w:val="clear"/>
          </w:tcPr>
          <w:p>
            <w:r>
              <w:rPr>
                <w:sz w:val="17"/>
              </w:rPr>
              <w:t>2026-08-17</w:t>
            </w:r>
          </w:p>
        </w:tc>
        <w:tc>
          <w:tcPr>
            <w:tcW w:type="dxa" w:w="1440"/>
            <w:shd w:fill="FFDCE0" w:val="clear"/>
          </w:tcPr>
          <w:p>
            <w:r>
              <w:rPr>
                <w:sz w:val="17"/>
              </w:rPr>
              <w:t>1,294</w:t>
            </w:r>
          </w:p>
        </w:tc>
        <w:tc>
          <w:tcPr>
            <w:tcW w:type="dxa" w:w="1440"/>
            <w:shd w:fill="FFDCE0" w:val="clear"/>
          </w:tcPr>
          <w:p>
            <w:r>
              <w:rPr>
                <w:b/>
                <w:sz w:val="17"/>
              </w:rPr>
              <w:t>1,509</w:t>
            </w:r>
          </w:p>
        </w:tc>
        <w:tc>
          <w:tcPr>
            <w:tcW w:type="dxa" w:w="1440"/>
            <w:shd w:fill="FFDCE0" w:val="clear"/>
          </w:tcPr>
          <w:p>
            <w:r>
              <w:rPr>
                <w:sz w:val="17"/>
              </w:rPr>
              <w:t>1,723</w:t>
            </w:r>
          </w:p>
        </w:tc>
        <w:tc>
          <w:tcPr>
            <w:tcW w:type="dxa" w:w="1440"/>
            <w:shd w:fill="FFDCE0" w:val="clear"/>
          </w:tcPr>
          <w:p>
            <w:r>
              <w:rPr>
                <w:b/>
                <w:color w:val="C00000"/>
                <w:sz w:val="17"/>
              </w:rPr>
              <w:t>-10.7%</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1,261</w:t>
            </w:r>
          </w:p>
        </w:tc>
        <w:tc>
          <w:tcPr>
            <w:tcW w:type="dxa" w:w="1440"/>
            <w:shd w:fill="FFDCE0" w:val="clear"/>
          </w:tcPr>
          <w:p>
            <w:r>
              <w:rPr>
                <w:b/>
                <w:sz w:val="17"/>
              </w:rPr>
              <w:t>1,487</w:t>
            </w:r>
          </w:p>
        </w:tc>
        <w:tc>
          <w:tcPr>
            <w:tcW w:type="dxa" w:w="1440"/>
            <w:shd w:fill="FFDCE0" w:val="clear"/>
          </w:tcPr>
          <w:p>
            <w:r>
              <w:rPr>
                <w:sz w:val="17"/>
              </w:rPr>
              <w:t>1,713</w:t>
            </w:r>
          </w:p>
        </w:tc>
        <w:tc>
          <w:tcPr>
            <w:tcW w:type="dxa" w:w="1440"/>
            <w:shd w:fill="FFDCE0" w:val="clear"/>
          </w:tcPr>
          <w:p>
            <w:r>
              <w:rPr>
                <w:b/>
                <w:color w:val="C00000"/>
                <w:sz w:val="17"/>
              </w:rPr>
              <w:t>-12.0%</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1,230</w:t>
            </w:r>
          </w:p>
        </w:tc>
        <w:tc>
          <w:tcPr>
            <w:tcW w:type="dxa" w:w="1440"/>
            <w:shd w:fill="FFDCE0" w:val="clear"/>
          </w:tcPr>
          <w:p>
            <w:r>
              <w:rPr>
                <w:b/>
                <w:sz w:val="17"/>
              </w:rPr>
              <w:t>1,466</w:t>
            </w:r>
          </w:p>
        </w:tc>
        <w:tc>
          <w:tcPr>
            <w:tcW w:type="dxa" w:w="1440"/>
            <w:shd w:fill="FFDCE0" w:val="clear"/>
          </w:tcPr>
          <w:p>
            <w:r>
              <w:rPr>
                <w:sz w:val="17"/>
              </w:rPr>
              <w:t>1,702</w:t>
            </w:r>
          </w:p>
        </w:tc>
        <w:tc>
          <w:tcPr>
            <w:tcW w:type="dxa" w:w="1440"/>
            <w:shd w:fill="FFDCE0" w:val="clear"/>
          </w:tcPr>
          <w:p>
            <w:r>
              <w:rPr>
                <w:b/>
                <w:color w:val="C00000"/>
                <w:sz w:val="17"/>
              </w:rPr>
              <w:t>-13.2%</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1,200</w:t>
            </w:r>
          </w:p>
        </w:tc>
        <w:tc>
          <w:tcPr>
            <w:tcW w:type="dxa" w:w="1440"/>
            <w:shd w:fill="FFDCE0" w:val="clear"/>
          </w:tcPr>
          <w:p>
            <w:r>
              <w:rPr>
                <w:b/>
                <w:sz w:val="17"/>
              </w:rPr>
              <w:t>1,446</w:t>
            </w:r>
          </w:p>
        </w:tc>
        <w:tc>
          <w:tcPr>
            <w:tcW w:type="dxa" w:w="1440"/>
            <w:shd w:fill="FFDCE0" w:val="clear"/>
          </w:tcPr>
          <w:p>
            <w:r>
              <w:rPr>
                <w:sz w:val="17"/>
              </w:rPr>
              <w:t>1,691</w:t>
            </w:r>
          </w:p>
        </w:tc>
        <w:tc>
          <w:tcPr>
            <w:tcW w:type="dxa" w:w="1440"/>
            <w:shd w:fill="FFDCE0" w:val="clear"/>
          </w:tcPr>
          <w:p>
            <w:r>
              <w:rPr>
                <w:b/>
                <w:color w:val="C00000"/>
                <w:sz w:val="17"/>
              </w:rPr>
              <w:t>-14.5%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**Date de l'analyse : 05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CFAC s'établit à 306,52 milliards FCFA, un niveau significatif qui en fait l'une des valeurs majeures de la BRVM, reflétant sa position dominante sur le marché automobile ivoirien. Le BPA de 26 FCFA par action est relativement faible, ce qui explique un PER de 65,3x, extrêmement élevé par rapport à la moyenne historique de la BRVM (8-12x). Les investisseurs paient donc une prime considérable pour chaque franc de bénéfice, anticipant une forte croissance future. Le P/B de 15,76x confirme cette tendance, le marché valorisant le titre près de 16 fois sa valeur comptable, signe d'une confiance excessive dans les actifs incorporels et la marque. Enfin, l'EV/EBITDA de 33,2x indique que la valeur totale de l'entreprise (dette incluse) représente plus de 33 fois son résultat opérationnel brut, un niveau très exigeant qui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CFAC affiche une variation totale de -2,31%, avec une dernière séance stable (+0,00%), le cours évoluant actuellement à 1 690 FCFA. Le titre a connu une amplitude de trading significative, oscillant entre un plus bas de 1 325 FCFA et un plus haut de 1 825 FCFA, soit une fourchette de 500 FCFA. La moyenne du cours sur la période est de 1 609 FCFA, très proche de la médiane (1 605 FCFA) et du mode (1 600 FCFA), indiquant une distribution relativement symétrique des prix. L'écart-type de 105 FCFA (CV=6,5%) révèle une dispersion modérée autour de la moyenne. Le kurtosis de -0,180 (mésokurtique) suggère l'absence de pics extrêmes, tandis que le skewness de -0,323 indique une légère asymétrie négative, avec des baisses plus prononcées que les hausses. La volatilité annualisée de 49,4% classe le titre dans la catégorie "élevée" (&gt;30%), signalant un risque de marché important.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(1 690 FCFA) se positionne au-dessus de la MM20 (1 638 FCFA) et de la MM50 (1 642,9 FCFA), ce qui suggère une dynamique positive à court terme. Cependant, le signal global est "Vente", probablement en raison d'une divergence entre les deux moyennes ou d'un écart trop important avec le prix, indiquant un possible retour vers les moyennes.</w:t>
      </w:r>
    </w:p>
    <w:p>
      <w:pPr>
        <w:spacing w:after="120" w:line="276" w:lineRule="auto"/>
      </w:pPr>
      <w:r>
        <w:t>**Bandes de Bollinger** : Le prix se situe entre la borne supérieure (1 743,65 FCFA) et la borne inférieure (1 532,35 FCFA), plus près de la borne haute. La décision "Neutre" reflète une volatilité modérée, le titre n'étant pas en zone de surachat ou de survente extrême, mais la proximité de la borne supérieure suggère une résistance à surveiller.</w:t>
      </w:r>
    </w:p>
    <w:p>
      <w:pPr>
        <w:spacing w:after="120" w:line="276" w:lineRule="auto"/>
      </w:pPr>
      <w:r>
        <w:t>**MACD** : La valeur du MACD (11,676) est supérieure à son signal (7,353), indiquant un momentum haussier positif. La décision "Achat" est cohérente avec cette configuration, signalant une dynamique de prix ascendante qui pourrait se poursuivre à court terme.</w:t>
      </w:r>
    </w:p>
    <w:p>
      <w:pPr>
        <w:spacing w:after="120" w:line="276" w:lineRule="auto"/>
      </w:pPr>
      <w:r>
        <w:t>**RSI** : À 61,458, le RSI se situe en zone neutre (30-70), sans signal de surachat ou de survente. La décision "Neutre" est appropriée, le titre disposant d'une marge de progression avant d'atteindre la zone de surachat (&gt;70), mais sans momentum suffisant pour déclencher un signal fort.</w:t>
      </w:r>
    </w:p>
    <w:p>
      <w:pPr>
        <w:spacing w:after="120" w:line="276" w:lineRule="auto"/>
      </w:pPr>
      <w:r>
        <w:t>**Stochastique** : Avec %K à 90,0 et %D à 92,698, l'indicateur est en zone de surachat extrême (&gt;80). La décision "Vente" est justifiée, car ces niveaux indiquent que le titre est temporairement surévalué à court terme, avec un risque élevé de correction.</w:t>
      </w:r>
    </w:p>
    <w:p>
      <w:pPr>
        <w:spacing w:after="120" w:line="276" w:lineRule="auto"/>
      </w:pPr>
      <w:r>
        <w:t>**Conclusion technique** : Les signaux sont mitigés, avec un MACD haussier et un RSI neutre contrastant avec un stochastique en surachat et des moyennes mobiles en signal de vente. Cette divergence suggère une consolidation à court terme, le titre ayant potentiellement besoin de respirer après une récente hausse. La prudence est de mise, avec un biais légèrement baissier à très court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(2024)** : En 2024, CFAC a enregistré un chiffre d'affaires de 158,313 milliards FCFA, en baisse de -12,1% par rapport à 2023 (180,162 milliards FCFA), selon les états financiers annuels. Le résultat net s'établit à 4,693 milliards FCFA, en recul de -26,7% (contre 6,399 milliards en 2023). La marge nette se dégrade à 2,96%, tandis que la marge opérationnelle atteint 4,96%. Le ROE reste excellent à 24,13% (&gt;15%), et le ROA à 5,52%. Le BFR est négatif (-3,482 milliards FCFA), un point favorable pour la trésorerie, mais le délai client de 36,64 jours et la durée de stockage de 88,35 jours restent élevés. L'endettement est maîtrisé avec une capacité de remboursement de 0,72 an.</w:t>
      </w:r>
    </w:p>
    <w:p>
      <w:pPr>
        <w:spacing w:after="120" w:line="276" w:lineRule="auto"/>
      </w:pPr>
      <w:r>
        <w:t>**Rapports trimestriels 2025 (estimations)** : Les rapports T1 et S1 2025 montrent un redressement spectaculaire. Le CA du S1 2025 atteint 91,182 milliards FCFA (+18,4% vs S1 2024), avec un résultat net de 5,420 milliards FCFA (+152,7%). Le T3 2025 confirme cette dynamique avec un CA de 43,580 milliards FCFA (+18,3%) et un résultat net de 1,489 milliard FCFA (+38,1%). Sur la base de ces performances, on estime que l'exercice 2025 devrait dépasser largement 2024, avec un CA potentiel de 180-185 milliards FCFA et un résultat net de 7-8 milliards FCFA, soit une croissance de 50-70% par rapport à 2024. La société consolide sa position de leader avec 43,4% de part de marché et des marges en amélioration (marge nette de 5,9% au S1 2025).</w:t>
      </w:r>
    </w:p>
    <w:p>
      <w:pPr>
        <w:spacing w:after="120" w:line="276" w:lineRule="auto"/>
      </w:pPr>
      <w:r>
        <w:t>---</w:t>
      </w:r>
    </w:p>
    <w:p>
      <w:pPr>
        <w:spacing w:after="120" w:line="276" w:lineRule="auto"/>
      </w:pPr>
      <w:r>
        <w:t>### PARTIE 4 : CONCLUSION D'INVESTISSEMENT</w:t>
      </w:r>
    </w:p>
    <w:p>
      <w:pPr>
        <w:spacing w:after="120" w:line="276" w:lineRule="auto"/>
      </w:pPr>
      <w:r>
        <w:t>La valorisation de CFAC est extrêmement exigeante (PER 65,3x, P/B 15,76x, EV/EBITDA 33,2x), indiquant une surévaluation importante par rapport aux bénéfices actuels, malgré un ROE de 24%. Le comportement du cours sur 100 jours montre une légère baisse (-2,31%) avec une volatilité élevée (49,4%) et une asymétrie négative, signalant un risque de baisse accru. Les signaux techniques sont mitigés : MACD haussier mais stochastique en surachat et moyennes mobiles en vente, suggérant une consolidation. Les fondamentaux sont solides avec un redressement spectaculaire en 2025 (croissance du CA de +18% et du résultat net de +150% au S1), mais la valorisation actuelle semble déjà intégrer ces bonnes nouvelles. Les prédictions IA (1 643 FCFA à J+1, 1 553 FCFA à J+10) confirment une tendance baissière à court terme, contredisant les signaux techniques haussiers. **Recommandation finale : VENTE** avec un niveau de confiance **Moyen** et un risque global **Élevé**. La convergence entre la surévaluation et les prédictions baissières suggère un désinvestissement à court terme, avec un horizon optimal de moins de 3 mois, bien que les fondamentaux solides puissent justifier une réévaluation à long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280.00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6,507 titres</w:t>
            </w:r>
          </w:p>
        </w:tc>
        <w:tc>
          <w:tcPr>
            <w:tcW w:type="dxa" w:w="2268"/>
            <w:shd w:fill="FFF2CC" w:val="clear"/>
          </w:tcPr>
          <w:p>
            <w:r>
              <w:rPr>
                <w:b/>
                <w:color w:val="503200"/>
                <w:sz w:val="16"/>
              </w:rPr>
              <w:t xml:space="preserve">Cours actuel : </w:t>
            </w:r>
            <w:r>
              <w:rPr>
                <w:color w:val="000000"/>
                <w:sz w:val="17"/>
              </w:rPr>
              <w:t>5,000 FCFA</w:t>
            </w:r>
          </w:p>
          <w:p>
            <w:r>
              <w:rPr>
                <w:b/>
                <w:color w:val="503200"/>
                <w:sz w:val="16"/>
              </w:rPr>
              <w:t xml:space="preserve">Var. 100 jours : </w:t>
            </w:r>
            <w:r>
              <w:rPr>
                <w:b/>
                <w:color w:val="007800"/>
                <w:sz w:val="17"/>
              </w:rPr>
              <w:t>+50.38%</w:t>
            </w:r>
          </w:p>
          <w:p>
            <w:r>
              <w:rPr>
                <w:b/>
                <w:color w:val="503200"/>
                <w:sz w:val="16"/>
              </w:rPr>
              <w:t xml:space="preserve">Plus haut 100j : </w:t>
            </w:r>
            <w:r>
              <w:rPr>
                <w:color w:val="000000"/>
                <w:sz w:val="17"/>
              </w:rPr>
              <w:t>5,485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22.18% (Élevée) — μ=4,177 FCFA, σ=927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β=0.7731 (Défensif) — Cov=0.000028, Var(idx)=0.000036, ρ=0.160,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6,507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σ_j=2.92%/j (Stable) — Vol. annualisée≈46.3%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2026-08-06</w:t>
            </w:r>
          </w:p>
        </w:tc>
        <w:tc>
          <w:tcPr>
            <w:tcW w:type="dxa" w:w="1440"/>
            <w:shd w:fill="FFDCE0" w:val="clear"/>
          </w:tcPr>
          <w:p>
            <w:r>
              <w:rPr>
                <w:sz w:val="17"/>
              </w:rPr>
              <w:t>4,435</w:t>
            </w:r>
          </w:p>
        </w:tc>
        <w:tc>
          <w:tcPr>
            <w:tcW w:type="dxa" w:w="1440"/>
            <w:shd w:fill="FFDCE0" w:val="clear"/>
          </w:tcPr>
          <w:p>
            <w:r>
              <w:rPr>
                <w:b/>
                <w:sz w:val="17"/>
              </w:rPr>
              <w:t>4,625</w:t>
            </w:r>
          </w:p>
        </w:tc>
        <w:tc>
          <w:tcPr>
            <w:tcW w:type="dxa" w:w="1440"/>
            <w:shd w:fill="FFDCE0" w:val="clear"/>
          </w:tcPr>
          <w:p>
            <w:r>
              <w:rPr>
                <w:sz w:val="17"/>
              </w:rPr>
              <w:t>4,815</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2026-08-10</w:t>
            </w:r>
          </w:p>
        </w:tc>
        <w:tc>
          <w:tcPr>
            <w:tcW w:type="dxa" w:w="1440"/>
            <w:shd w:fill="FFDCE0" w:val="clear"/>
          </w:tcPr>
          <w:p>
            <w:r>
              <w:rPr>
                <w:sz w:val="17"/>
              </w:rPr>
              <w:t>4,030</w:t>
            </w:r>
          </w:p>
        </w:tc>
        <w:tc>
          <w:tcPr>
            <w:tcW w:type="dxa" w:w="1440"/>
            <w:shd w:fill="FFDCE0" w:val="clear"/>
          </w:tcPr>
          <w:p>
            <w:r>
              <w:rPr>
                <w:b/>
                <w:sz w:val="17"/>
              </w:rPr>
              <w:t>4,278</w:t>
            </w:r>
          </w:p>
        </w:tc>
        <w:tc>
          <w:tcPr>
            <w:tcW w:type="dxa" w:w="1440"/>
            <w:shd w:fill="FFDCE0" w:val="clear"/>
          </w:tcPr>
          <w:p>
            <w:r>
              <w:rPr>
                <w:sz w:val="17"/>
              </w:rPr>
              <w:t>4,527</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2026-08-11</w:t>
            </w:r>
          </w:p>
        </w:tc>
        <w:tc>
          <w:tcPr>
            <w:tcW w:type="dxa" w:w="1440"/>
            <w:shd w:fill="FFDCE0" w:val="clear"/>
          </w:tcPr>
          <w:p>
            <w:r>
              <w:rPr>
                <w:sz w:val="17"/>
              </w:rPr>
              <w:t>3,676</w:t>
            </w:r>
          </w:p>
        </w:tc>
        <w:tc>
          <w:tcPr>
            <w:tcW w:type="dxa" w:w="1440"/>
            <w:shd w:fill="FFDCE0" w:val="clear"/>
          </w:tcPr>
          <w:p>
            <w:r>
              <w:rPr>
                <w:b/>
                <w:sz w:val="17"/>
              </w:rPr>
              <w:t>3,957</w:t>
            </w:r>
          </w:p>
        </w:tc>
        <w:tc>
          <w:tcPr>
            <w:tcW w:type="dxa" w:w="1440"/>
            <w:shd w:fill="FFDCE0" w:val="clear"/>
          </w:tcPr>
          <w:p>
            <w:r>
              <w:rPr>
                <w:sz w:val="17"/>
              </w:rPr>
              <w:t>4,239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2026-08-12</w:t>
            </w:r>
          </w:p>
        </w:tc>
        <w:tc>
          <w:tcPr>
            <w:tcW w:type="dxa" w:w="1440"/>
            <w:shd w:fill="FFDCE0" w:val="clear"/>
          </w:tcPr>
          <w:p>
            <w:r>
              <w:rPr>
                <w:sz w:val="17"/>
              </w:rPr>
              <w:t>3,360</w:t>
            </w:r>
          </w:p>
        </w:tc>
        <w:tc>
          <w:tcPr>
            <w:tcW w:type="dxa" w:w="1440"/>
            <w:shd w:fill="FFDCE0" w:val="clear"/>
          </w:tcPr>
          <w:p>
            <w:r>
              <w:rPr>
                <w:b/>
                <w:sz w:val="17"/>
              </w:rPr>
              <w:t>3,660</w:t>
            </w:r>
          </w:p>
        </w:tc>
        <w:tc>
          <w:tcPr>
            <w:tcW w:type="dxa" w:w="1440"/>
            <w:shd w:fill="FFDCE0" w:val="clear"/>
          </w:tcPr>
          <w:p>
            <w:r>
              <w:rPr>
                <w:sz w:val="17"/>
              </w:rPr>
              <w:t>3,961</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2026-08-13</w:t>
            </w:r>
          </w:p>
        </w:tc>
        <w:tc>
          <w:tcPr>
            <w:tcW w:type="dxa" w:w="1440"/>
            <w:shd w:fill="FFDCE0" w:val="clear"/>
          </w:tcPr>
          <w:p>
            <w:r>
              <w:rPr>
                <w:sz w:val="17"/>
              </w:rPr>
              <w:t>3,209</w:t>
            </w:r>
          </w:p>
        </w:tc>
        <w:tc>
          <w:tcPr>
            <w:tcW w:type="dxa" w:w="1440"/>
            <w:shd w:fill="FFDCE0" w:val="clear"/>
          </w:tcPr>
          <w:p>
            <w:r>
              <w:rPr>
                <w:b/>
                <w:sz w:val="17"/>
              </w:rPr>
              <w:t>3,534</w:t>
            </w:r>
          </w:p>
        </w:tc>
        <w:tc>
          <w:tcPr>
            <w:tcW w:type="dxa" w:w="1440"/>
            <w:shd w:fill="FFDCE0" w:val="clear"/>
          </w:tcPr>
          <w:p>
            <w:r>
              <w:rPr>
                <w:sz w:val="17"/>
              </w:rPr>
              <w:t>3,859</w:t>
            </w:r>
          </w:p>
        </w:tc>
        <w:tc>
          <w:tcPr>
            <w:tcW w:type="dxa" w:w="1440"/>
            <w:shd w:fill="FFDCE0" w:val="clear"/>
          </w:tcPr>
          <w:p>
            <w:r>
              <w:rPr>
                <w:b/>
                <w:color w:val="C00000"/>
                <w:sz w:val="17"/>
              </w:rPr>
              <w:t>-29.3%</w:t>
            </w:r>
          </w:p>
        </w:tc>
      </w:tr>
      <w:tr>
        <w:tc>
          <w:tcPr>
            <w:tcW w:type="dxa" w:w="1440"/>
            <w:shd w:fill="FFDCE0" w:val="clear"/>
          </w:tcPr>
          <w:p>
            <w:r>
              <w:rPr>
                <w:sz w:val="17"/>
              </w:rPr>
              <w:t>J+6  ⭐</w:t>
            </w:r>
          </w:p>
        </w:tc>
        <w:tc>
          <w:tcPr>
            <w:tcW w:type="dxa" w:w="1440"/>
            <w:shd w:fill="FFDCE0" w:val="clear"/>
          </w:tcPr>
          <w:p>
            <w:r>
              <w:rPr>
                <w:sz w:val="17"/>
              </w:rPr>
              <w:t>2026-08-14</w:t>
            </w:r>
          </w:p>
        </w:tc>
        <w:tc>
          <w:tcPr>
            <w:tcW w:type="dxa" w:w="1440"/>
            <w:shd w:fill="FFDCE0" w:val="clear"/>
          </w:tcPr>
          <w:p>
            <w:r>
              <w:rPr>
                <w:sz w:val="17"/>
              </w:rPr>
              <w:t>3,097</w:t>
            </w:r>
          </w:p>
        </w:tc>
        <w:tc>
          <w:tcPr>
            <w:tcW w:type="dxa" w:w="1440"/>
            <w:shd w:fill="FFDCE0" w:val="clear"/>
          </w:tcPr>
          <w:p>
            <w:r>
              <w:rPr>
                <w:b/>
                <w:sz w:val="17"/>
              </w:rPr>
              <w:t>3,444</w:t>
            </w:r>
          </w:p>
        </w:tc>
        <w:tc>
          <w:tcPr>
            <w:tcW w:type="dxa" w:w="1440"/>
            <w:shd w:fill="FFDCE0" w:val="clear"/>
          </w:tcPr>
          <w:p>
            <w:r>
              <w:rPr>
                <w:sz w:val="17"/>
              </w:rPr>
              <w:t>3,790</w:t>
            </w:r>
          </w:p>
        </w:tc>
        <w:tc>
          <w:tcPr>
            <w:tcW w:type="dxa" w:w="1440"/>
            <w:shd w:fill="FFDCE0" w:val="clear"/>
          </w:tcPr>
          <w:p>
            <w:r>
              <w:rPr>
                <w:b/>
                <w:color w:val="C00000"/>
                <w:sz w:val="17"/>
              </w:rPr>
              <w:t>-31.1%</w:t>
            </w:r>
          </w:p>
        </w:tc>
      </w:tr>
      <w:tr>
        <w:tc>
          <w:tcPr>
            <w:tcW w:type="dxa" w:w="1440"/>
            <w:shd w:fill="FFDCE0" w:val="clear"/>
          </w:tcPr>
          <w:p>
            <w:r>
              <w:rPr>
                <w:sz w:val="17"/>
              </w:rPr>
              <w:t>J+7  ⭐</w:t>
            </w:r>
          </w:p>
        </w:tc>
        <w:tc>
          <w:tcPr>
            <w:tcW w:type="dxa" w:w="1440"/>
            <w:shd w:fill="FFDCE0" w:val="clear"/>
          </w:tcPr>
          <w:p>
            <w:r>
              <w:rPr>
                <w:sz w:val="17"/>
              </w:rPr>
              <w:t>2026-08-17</w:t>
            </w:r>
          </w:p>
        </w:tc>
        <w:tc>
          <w:tcPr>
            <w:tcW w:type="dxa" w:w="1440"/>
            <w:shd w:fill="FFDCE0" w:val="clear"/>
          </w:tcPr>
          <w:p>
            <w:r>
              <w:rPr>
                <w:sz w:val="17"/>
              </w:rPr>
              <w:t>2,997</w:t>
            </w:r>
          </w:p>
        </w:tc>
        <w:tc>
          <w:tcPr>
            <w:tcW w:type="dxa" w:w="1440"/>
            <w:shd w:fill="FFDCE0" w:val="clear"/>
          </w:tcPr>
          <w:p>
            <w:r>
              <w:rPr>
                <w:b/>
                <w:sz w:val="17"/>
              </w:rPr>
              <w:t>3,363</w:t>
            </w:r>
          </w:p>
        </w:tc>
        <w:tc>
          <w:tcPr>
            <w:tcW w:type="dxa" w:w="1440"/>
            <w:shd w:fill="FFDCE0" w:val="clear"/>
          </w:tcPr>
          <w:p>
            <w:r>
              <w:rPr>
                <w:sz w:val="17"/>
              </w:rPr>
              <w:t>3,728</w:t>
            </w:r>
          </w:p>
        </w:tc>
        <w:tc>
          <w:tcPr>
            <w:tcW w:type="dxa" w:w="1440"/>
            <w:shd w:fill="FFDCE0" w:val="clear"/>
          </w:tcPr>
          <w:p>
            <w:r>
              <w:rPr>
                <w:b/>
                <w:color w:val="C00000"/>
                <w:sz w:val="17"/>
              </w:rPr>
              <w:t>-32.7%</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2,908</w:t>
            </w:r>
          </w:p>
        </w:tc>
        <w:tc>
          <w:tcPr>
            <w:tcW w:type="dxa" w:w="1440"/>
            <w:shd w:fill="FFDCE0" w:val="clear"/>
          </w:tcPr>
          <w:p>
            <w:r>
              <w:rPr>
                <w:b/>
                <w:sz w:val="17"/>
              </w:rPr>
              <w:t>3,290</w:t>
            </w:r>
          </w:p>
        </w:tc>
        <w:tc>
          <w:tcPr>
            <w:tcW w:type="dxa" w:w="1440"/>
            <w:shd w:fill="FFDCE0" w:val="clear"/>
          </w:tcPr>
          <w:p>
            <w:r>
              <w:rPr>
                <w:sz w:val="17"/>
              </w:rPr>
              <w:t>3,672</w:t>
            </w:r>
          </w:p>
        </w:tc>
        <w:tc>
          <w:tcPr>
            <w:tcW w:type="dxa" w:w="1440"/>
            <w:shd w:fill="FFDCE0" w:val="clear"/>
          </w:tcPr>
          <w:p>
            <w:r>
              <w:rPr>
                <w:b/>
                <w:color w:val="C00000"/>
                <w:sz w:val="17"/>
              </w:rPr>
              <w:t>-34.2%</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2,827</w:t>
            </w:r>
          </w:p>
        </w:tc>
        <w:tc>
          <w:tcPr>
            <w:tcW w:type="dxa" w:w="1440"/>
            <w:shd w:fill="FFDCE0" w:val="clear"/>
          </w:tcPr>
          <w:p>
            <w:r>
              <w:rPr>
                <w:b/>
                <w:sz w:val="17"/>
              </w:rPr>
              <w:t>3,224</w:t>
            </w:r>
          </w:p>
        </w:tc>
        <w:tc>
          <w:tcPr>
            <w:tcW w:type="dxa" w:w="1440"/>
            <w:shd w:fill="FFDCE0" w:val="clear"/>
          </w:tcPr>
          <w:p>
            <w:r>
              <w:rPr>
                <w:sz w:val="17"/>
              </w:rPr>
              <w:t>3,622</w:t>
            </w:r>
          </w:p>
        </w:tc>
        <w:tc>
          <w:tcPr>
            <w:tcW w:type="dxa" w:w="1440"/>
            <w:shd w:fill="FFDCE0" w:val="clear"/>
          </w:tcPr>
          <w:p>
            <w:r>
              <w:rPr>
                <w:b/>
                <w:color w:val="C00000"/>
                <w:sz w:val="17"/>
              </w:rPr>
              <w:t>-35.5%</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2,754</w:t>
            </w:r>
          </w:p>
        </w:tc>
        <w:tc>
          <w:tcPr>
            <w:tcW w:type="dxa" w:w="1440"/>
            <w:shd w:fill="FFDCE0" w:val="clear"/>
          </w:tcPr>
          <w:p>
            <w:r>
              <w:rPr>
                <w:b/>
                <w:sz w:val="17"/>
              </w:rPr>
              <w:t>3,165</w:t>
            </w:r>
          </w:p>
        </w:tc>
        <w:tc>
          <w:tcPr>
            <w:tcW w:type="dxa" w:w="1440"/>
            <w:shd w:fill="FFDCE0" w:val="clear"/>
          </w:tcPr>
          <w:p>
            <w:r>
              <w:rPr>
                <w:sz w:val="17"/>
              </w:rPr>
              <w:t>3,576</w:t>
            </w:r>
          </w:p>
        </w:tc>
        <w:tc>
          <w:tcPr>
            <w:tcW w:type="dxa" w:w="1440"/>
            <w:shd w:fill="FFDCE0" w:val="clear"/>
          </w:tcPr>
          <w:p>
            <w:r>
              <w:rPr>
                <w:b/>
                <w:color w:val="C00000"/>
                <w:sz w:val="17"/>
              </w:rPr>
              <w:t>-36.7%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Absolument. Voici un rapport d'analyse structuré et professionnel sur l'action CIEC,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280 milliards FCFA, ce qui en fait une valeur de première importance sur la BRVM. Avec un BPA de 234 FCFA, le titre se paie 21,3 fois ses bénéfices (PER), un niveau nettement supérieur à la moyenne historique du marché (~8-12x). Cette prime reflète les attentes élevées de croissance, mais expose l'action à un risque de correction si ces attentes ne sont pas réalisées. Le ratio P/B de 7,79x confirme cette valorisation exigeante, le marché valorisant fortement les capitaux propres de la société. Enfin, un EV/EBITDA de 12,6x indique que la valeur totale de l'entreprise (dette incluse) représente plus de 12 fois son potentiel opérationnel, ce qui est élevé mais cohérent avec une entreprise en phase de croissance soutenue.</w:t>
      </w:r>
    </w:p>
    <w:p>
      <w:pPr>
        <w:spacing w:after="120" w:line="276" w:lineRule="auto"/>
      </w:pPr>
      <w:r>
        <w:t>### **PARTIE 1 : ANALYSE DU COURS — STATISTIQUES ET ÉVOLUTION (100 derniers jours)**</w:t>
      </w:r>
    </w:p>
    <w:p>
      <w:pPr>
        <w:spacing w:after="120" w:line="276" w:lineRule="auto"/>
      </w:pPr>
      <w:r>
        <w:t>Sur les 100 derniers jours, l'action CIEC a enregistré une performance exceptionnelle de +50,38%, avec une légère progression de +0,10% lors de la dernière séance. Le cours a évolué dans une fourchette très large, entre un plus bas de 3 000 FCFA et un plus haut de 5 485 FCFA, démontrant une forte dynamique haussière. La moyenne du cours sur la période (4 177 FCFA) est légèrement supérieure à la médiane (4 048 FCFA), ce qui, combiné à un skewness quasi nul, indique une distribution des prix relativement symétrique. L'écart-type de 931 FCFA (CV=22,3%) témoigne d'une dispersion notable des prix. Le kurtosis négatif (-1,830) signale une distribution platykurtique, suggérant une absence de mouvements extrêmes et une certaine stabilité dans les variations. La volatilité annualisée de 46,3% classe le titre comme très volatil, un niveau élevé qui implique un risque important mais aussi un potentiel de gains substantiels.</w:t>
      </w:r>
    </w:p>
    <w:p>
      <w:pPr>
        <w:spacing w:after="120" w:line="276" w:lineRule="auto"/>
      </w:pPr>
      <w:r>
        <w:t>### **PARTIE 2 : ANALYSE TECHNIQUE DÉTAILLÉE**</w:t>
      </w:r>
    </w:p>
    <w:p>
      <w:pPr>
        <w:spacing w:after="120" w:line="276" w:lineRule="auto"/>
      </w:pPr>
      <w:r>
        <w:t>**Moyennes Mobiles** : Le cours actuel (5 000 FCFA) est inférieur à sa moyenne mobile à 20 jours (5 165,75 FCFA) mais supérieur à sa moyenne mobile à 50 jours (5 067,9 FCFA). Cette configuration, où le prix est sous la MM20 mais au-dessus de la MM50, suggère un récent repli à court terme dans une tendance haussière de moyen terme. La décision d'achat globale est justifiée par la tendance de fond positive.</w:t>
      </w:r>
    </w:p>
    <w:p>
      <w:pPr>
        <w:spacing w:after="120" w:line="276" w:lineRule="auto"/>
      </w:pPr>
      <w:r>
        <w:t>**Bandes de Bollinger** : Le prix se situe à l'intérieur des bandes, proche de la borne inférieure (4 877,556 FCFA). Cela indique une pression vendeuse à court terme, mais sans sortie du canal de volatilité. La décision "Neutre" est cohérente avec une phase de consolidation après une forte hausse, le marché attendant un nouveau catalyseur.</w:t>
      </w:r>
    </w:p>
    <w:p>
      <w:pPr>
        <w:spacing w:after="120" w:line="276" w:lineRule="auto"/>
      </w:pPr>
      <w:r>
        <w:t>**MACD** : La valeur du MACD (-2,257) est inférieure à son signal (47,993), ce qui génère un signal de vente. Cette configuration indique un affaiblissement du momentum haussier à court terme. Le croisement baissier récent suggère une possible poursuite de la correction avant une reprise.</w:t>
      </w:r>
    </w:p>
    <w:p>
      <w:pPr>
        <w:spacing w:after="120" w:line="276" w:lineRule="auto"/>
      </w:pPr>
      <w:r>
        <w:t>**RSI** : Avec une valeur de 53,265, le RSI se situe en zone neutre. Cela signifie que le titre n'est ni suracheté ni survendu, laissant place à une évolution dans les deux sens. La décision "Neutre" est appropriée, le momentum n'étant pas assez fort pour confirmer une tendance claire.</w:t>
      </w:r>
    </w:p>
    <w:p>
      <w:pPr>
        <w:spacing w:after="120" w:line="276" w:lineRule="auto"/>
      </w:pPr>
      <w:r>
        <w:t>**Stochastique** : Le %K (1,266) est très inférieur au %D (13,137), indiquant une condition de survente extrême. Ce croisement baissier est souvent interprété comme un signal d'achat opportuniste, car il suggère qu'une correction technique pourrait être imminente. La décision "Achat" est donc logique pour un investisseur de court terme.</w:t>
      </w:r>
    </w:p>
    <w:p>
      <w:pPr>
        <w:spacing w:after="120" w:line="276" w:lineRule="auto"/>
      </w:pPr>
      <w:r>
        <w:t>**Conclusion technique** : Les indicateurs techniques sont mitigés. La tendance de moyen terme (MM50) reste positive, mais les signaux à court terme (MACD, position sous la MM20) suggèrent une phase de consolidation ou de correction. Le Stochastique en survente extrême pourrait offrir un point d'entrée intéressant pour les traders, mais la prudence est de mise tant que le MACD ne montre pas de signe de retournement.</w:t>
      </w:r>
    </w:p>
    <w:p>
      <w:pPr>
        <w:spacing w:after="120" w:line="276" w:lineRule="auto"/>
      </w:pPr>
      <w:r>
        <w:t>### **PARTIE 3 : ANALYSE FONDAMENTALE (SECTION CRITIQUE)**</w:t>
      </w:r>
    </w:p>
    <w:p>
      <w:pPr>
        <w:spacing w:after="120" w:line="276" w:lineRule="auto"/>
      </w:pPr>
      <w:r>
        <w:t>En 2025, la CIEC affiche des performances financières solides. Le chiffre d'affaires s'établit à 302,320 milliards FCFA, en hausse de 14,8% par rapport à 2024, et le résultat net atteint 13,127 milliards FCFA, en progression de 24,4%. Cette croissance est portée par une demande énergétique dynamique (+8,3% des ventes nationales et +21,7% à l'export). La rentabilité des fonds propres (ROE) est excellente à 36,5%, bien que le ROA reste faible (0,65%) en raison d'un total de bilan très élevé (2 018 milliards FCFA). En tant qu'entreprise, l'analyse des délais d'exploitation révèle un délai de paiement des clients très long (164 jours), un risque de trésorerie significatif, mais un délai fournisseurs extrêmement favorable (970 jours) qui compense et génère un BFR négatif de -90,244 milliards FCFA, une situation très saine. Le rapport annuel 2025 (daté du 31/12/2025) confirme ces chiffres et souligne une politique de dividende très généreuse (99,8% du résultat net, soit 234 FCFA par action). Le rapport du S1 2025 (daté de juin 2025) montrait déjà une croissance de 18,85% du CA, ce qui laissait présager une excellente année. Sur la base de cette dynamique et des perspectives de croissance de la demande, on peut estimer que l'exercice 2026 devrait poursuivre cette tendance, avec un CA potentiel dépassant les 320 milliards FCFA, bien que la capacité d'autofinancement limitée par la distribution des dividendes soit un point de vigilance.</w:t>
      </w:r>
    </w:p>
    <w:p>
      <w:pPr>
        <w:spacing w:after="120" w:line="276" w:lineRule="auto"/>
      </w:pPr>
      <w:r>
        <w:t>### **PARTIE 4 : CONCLUSION D'INVESTISSEMENT**</w:t>
      </w:r>
    </w:p>
    <w:p>
      <w:pPr>
        <w:spacing w:after="120" w:line="276" w:lineRule="auto"/>
      </w:pPr>
      <w:r>
        <w:t>En synthèse, la CIEC présente un profil contrasté. La valorisation boursière (PER de 21,3x, P/B de 7,79x) est exigeante, intégrant des attentes de croissance élevées. Le comportement du cours est très positif sur le long terme (+50% en 100 jours) mais montre des signes de consolidation technique à court terme, avec des indicateurs mitigés (MACD vendeur, RSI neutre, Stochastique survendu). Les fondamentaux sont solides, avec une croissance soutenue du CA et du résultat, une rentabilité des capitaux propres excellente et une structure de BFR favorable, mais le risque de crédit client et la dépendance réglementaire restent des préoccupations. Les prédictions IA pour les 10 prochains jours (chute de 5 000 à 3 534 FCFA) confirment le signal de correction technique à court terme. La convergence entre les signaux techniques baissiers et les prédictions IA suggère une probable baisse à venir. Cependant, la solidité des fondamentaux et la tendance haussière de long terme plaident pour une opportunité d'achat à moyen terme. Par conséquent, notre recommandation est de **CONSERVER** le titre, avec un niveau de confiance **Moyen**. Le risque global est **Élevé** en raison de la volatilité et de la valorisation. L'horizon d'investissement optimal serait de **moyen terme (3-12 mois)**, en attendant un point d'entrée plus favorable après la correction anticipée.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880.81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3,400 titres</w:t>
            </w:r>
          </w:p>
        </w:tc>
        <w:tc>
          <w:tcPr>
            <w:tcW w:type="dxa" w:w="2268"/>
            <w:shd w:fill="FFF2CC" w:val="clear"/>
          </w:tcPr>
          <w:p>
            <w:r>
              <w:rPr>
                <w:b/>
                <w:color w:val="503200"/>
                <w:sz w:val="16"/>
              </w:rPr>
              <w:t xml:space="preserve">Cours actuel : </w:t>
            </w:r>
            <w:r>
              <w:rPr>
                <w:color w:val="000000"/>
                <w:sz w:val="17"/>
              </w:rPr>
              <w:t>16,000 FCFA</w:t>
            </w:r>
          </w:p>
          <w:p>
            <w:r>
              <w:rPr>
                <w:b/>
                <w:color w:val="503200"/>
                <w:sz w:val="16"/>
              </w:rPr>
              <w:t xml:space="preserve">Var. 100 jours : </w:t>
            </w:r>
            <w:r>
              <w:rPr>
                <w:b/>
                <w:color w:val="B40000"/>
                <w:sz w:val="17"/>
              </w:rPr>
              <w:t>-4.76%</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2.13% (Faible) — μ=16,337 FCFA, σ=348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β=0.2880 (Défensif) — Cov=0.000010, Var(idx)=0.000036, ρ=0.102,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σ_j=1.70%/j (Stable) — Vol. annualisée≈27.0%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2026-08-06</w:t>
            </w:r>
          </w:p>
        </w:tc>
        <w:tc>
          <w:tcPr>
            <w:tcW w:type="dxa" w:w="1440"/>
            <w:shd w:fill="FAFAFA" w:val="clear"/>
          </w:tcPr>
          <w:p>
            <w:r>
              <w:rPr>
                <w:sz w:val="17"/>
              </w:rPr>
              <w:t>15,594</w:t>
            </w:r>
          </w:p>
        </w:tc>
        <w:tc>
          <w:tcPr>
            <w:tcW w:type="dxa" w:w="1440"/>
            <w:shd w:fill="FAFAFA" w:val="clear"/>
          </w:tcPr>
          <w:p>
            <w:r>
              <w:rPr>
                <w:b/>
                <w:sz w:val="17"/>
              </w:rPr>
              <w:t>16,081</w:t>
            </w:r>
          </w:p>
        </w:tc>
        <w:tc>
          <w:tcPr>
            <w:tcW w:type="dxa" w:w="1440"/>
            <w:shd w:fill="FAFAFA" w:val="clear"/>
          </w:tcPr>
          <w:p>
            <w:r>
              <w:rPr>
                <w:sz w:val="17"/>
              </w:rPr>
              <w:t>16,568</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2026-08-10</w:t>
            </w:r>
          </w:p>
        </w:tc>
        <w:tc>
          <w:tcPr>
            <w:tcW w:type="dxa" w:w="1440"/>
            <w:shd w:fill="FAFAFA" w:val="clear"/>
          </w:tcPr>
          <w:p>
            <w:r>
              <w:rPr>
                <w:sz w:val="17"/>
              </w:rPr>
              <w:t>15,374</w:t>
            </w:r>
          </w:p>
        </w:tc>
        <w:tc>
          <w:tcPr>
            <w:tcW w:type="dxa" w:w="1440"/>
            <w:shd w:fill="FAFAFA" w:val="clear"/>
          </w:tcPr>
          <w:p>
            <w:r>
              <w:rPr>
                <w:b/>
                <w:sz w:val="17"/>
              </w:rPr>
              <w:t>16,062</w:t>
            </w:r>
          </w:p>
        </w:tc>
        <w:tc>
          <w:tcPr>
            <w:tcW w:type="dxa" w:w="1440"/>
            <w:shd w:fill="FAFAFA" w:val="clear"/>
          </w:tcPr>
          <w:p>
            <w:r>
              <w:rPr>
                <w:sz w:val="17"/>
              </w:rPr>
              <w:t>16,751</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2026-08-11</w:t>
            </w:r>
          </w:p>
        </w:tc>
        <w:tc>
          <w:tcPr>
            <w:tcW w:type="dxa" w:w="1440"/>
            <w:shd w:fill="FAFAFA" w:val="clear"/>
          </w:tcPr>
          <w:p>
            <w:r>
              <w:rPr>
                <w:sz w:val="17"/>
              </w:rPr>
              <w:t>15,209</w:t>
            </w:r>
          </w:p>
        </w:tc>
        <w:tc>
          <w:tcPr>
            <w:tcW w:type="dxa" w:w="1440"/>
            <w:shd w:fill="FAFAFA" w:val="clear"/>
          </w:tcPr>
          <w:p>
            <w:r>
              <w:rPr>
                <w:b/>
                <w:sz w:val="17"/>
              </w:rPr>
              <w:t>16,052</w:t>
            </w:r>
          </w:p>
        </w:tc>
        <w:tc>
          <w:tcPr>
            <w:tcW w:type="dxa" w:w="1440"/>
            <w:shd w:fill="FAFAFA" w:val="clear"/>
          </w:tcPr>
          <w:p>
            <w:r>
              <w:rPr>
                <w:sz w:val="17"/>
              </w:rPr>
              <w:t>16,894</w:t>
            </w:r>
          </w:p>
        </w:tc>
        <w:tc>
          <w:tcPr>
            <w:tcW w:type="dxa" w:w="1440"/>
            <w:shd w:fill="FAFAFA" w:val="clear"/>
          </w:tcPr>
          <w:p>
            <w:r>
              <w:rPr>
                <w:b/>
                <w:color w:val="008000"/>
                <w:sz w:val="17"/>
              </w:rPr>
              <w:t>+0.3%</w:t>
            </w:r>
          </w:p>
        </w:tc>
      </w:tr>
      <w:tr>
        <w:tc>
          <w:tcPr>
            <w:tcW w:type="dxa" w:w="1440"/>
            <w:shd w:fill="FAFAFA" w:val="clear"/>
          </w:tcPr>
          <w:p>
            <w:r>
              <w:rPr>
                <w:sz w:val="17"/>
              </w:rPr>
              <w:t>J+4  Moyenne</w:t>
            </w:r>
          </w:p>
        </w:tc>
        <w:tc>
          <w:tcPr>
            <w:tcW w:type="dxa" w:w="1440"/>
            <w:shd w:fill="FAFAFA" w:val="clear"/>
          </w:tcPr>
          <w:p>
            <w:r>
              <w:rPr>
                <w:sz w:val="17"/>
              </w:rPr>
              <w:t>2026-08-12</w:t>
            </w:r>
          </w:p>
        </w:tc>
        <w:tc>
          <w:tcPr>
            <w:tcW w:type="dxa" w:w="1440"/>
            <w:shd w:fill="FAFAFA" w:val="clear"/>
          </w:tcPr>
          <w:p>
            <w:r>
              <w:rPr>
                <w:sz w:val="17"/>
              </w:rPr>
              <w:t>15,068</w:t>
            </w:r>
          </w:p>
        </w:tc>
        <w:tc>
          <w:tcPr>
            <w:tcW w:type="dxa" w:w="1440"/>
            <w:shd w:fill="FAFAFA" w:val="clear"/>
          </w:tcPr>
          <w:p>
            <w:r>
              <w:rPr>
                <w:b/>
                <w:sz w:val="17"/>
              </w:rPr>
              <w:t>16,040</w:t>
            </w:r>
          </w:p>
        </w:tc>
        <w:tc>
          <w:tcPr>
            <w:tcW w:type="dxa" w:w="1440"/>
            <w:shd w:fill="FAFAFA" w:val="clear"/>
          </w:tcPr>
          <w:p>
            <w:r>
              <w:rPr>
                <w:sz w:val="17"/>
              </w:rPr>
              <w:t>17,013</w:t>
            </w:r>
          </w:p>
        </w:tc>
        <w:tc>
          <w:tcPr>
            <w:tcW w:type="dxa" w:w="1440"/>
            <w:shd w:fill="FAFAFA" w:val="clear"/>
          </w:tcPr>
          <w:p>
            <w:r>
              <w:rPr>
                <w:b/>
                <w:color w:val="008000"/>
                <w:sz w:val="17"/>
              </w:rPr>
              <w:t>+0.3%</w:t>
            </w:r>
          </w:p>
        </w:tc>
      </w:tr>
      <w:tr>
        <w:tc>
          <w:tcPr>
            <w:tcW w:type="dxa" w:w="1440"/>
            <w:shd w:fill="FAFAFA" w:val="clear"/>
          </w:tcPr>
          <w:p>
            <w:r>
              <w:rPr>
                <w:sz w:val="17"/>
              </w:rPr>
              <w:t>J+5  Moyenne</w:t>
            </w:r>
          </w:p>
        </w:tc>
        <w:tc>
          <w:tcPr>
            <w:tcW w:type="dxa" w:w="1440"/>
            <w:shd w:fill="FAFAFA" w:val="clear"/>
          </w:tcPr>
          <w:p>
            <w:r>
              <w:rPr>
                <w:sz w:val="17"/>
              </w:rPr>
              <w:t>2026-08-13</w:t>
            </w:r>
          </w:p>
        </w:tc>
        <w:tc>
          <w:tcPr>
            <w:tcW w:type="dxa" w:w="1440"/>
            <w:shd w:fill="FAFAFA" w:val="clear"/>
          </w:tcPr>
          <w:p>
            <w:r>
              <w:rPr>
                <w:sz w:val="17"/>
              </w:rPr>
              <w:t>14,942</w:t>
            </w:r>
          </w:p>
        </w:tc>
        <w:tc>
          <w:tcPr>
            <w:tcW w:type="dxa" w:w="1440"/>
            <w:shd w:fill="FAFAFA" w:val="clear"/>
          </w:tcPr>
          <w:p>
            <w:r>
              <w:rPr>
                <w:b/>
                <w:sz w:val="17"/>
              </w:rPr>
              <w:t>16,029</w:t>
            </w:r>
          </w:p>
        </w:tc>
        <w:tc>
          <w:tcPr>
            <w:tcW w:type="dxa" w:w="1440"/>
            <w:shd w:fill="FAFAFA" w:val="clear"/>
          </w:tcPr>
          <w:p>
            <w:r>
              <w:rPr>
                <w:sz w:val="17"/>
              </w:rPr>
              <w:t>17,115</w:t>
            </w:r>
          </w:p>
        </w:tc>
        <w:tc>
          <w:tcPr>
            <w:tcW w:type="dxa" w:w="1440"/>
            <w:shd w:fill="FAFAFA" w:val="clear"/>
          </w:tcPr>
          <w:p>
            <w:r>
              <w:rPr>
                <w:b/>
                <w:color w:val="008000"/>
                <w:sz w:val="17"/>
              </w:rPr>
              <w:t>+0.2%</w:t>
            </w:r>
          </w:p>
        </w:tc>
      </w:tr>
      <w:tr>
        <w:tc>
          <w:tcPr>
            <w:tcW w:type="dxa" w:w="1440"/>
            <w:shd w:fill="FAFAFA" w:val="clear"/>
          </w:tcPr>
          <w:p>
            <w:r>
              <w:rPr>
                <w:sz w:val="17"/>
              </w:rPr>
              <w:t>J+6  Moyenne</w:t>
            </w:r>
          </w:p>
        </w:tc>
        <w:tc>
          <w:tcPr>
            <w:tcW w:type="dxa" w:w="1440"/>
            <w:shd w:fill="FAFAFA" w:val="clear"/>
          </w:tcPr>
          <w:p>
            <w:r>
              <w:rPr>
                <w:sz w:val="17"/>
              </w:rPr>
              <w:t>2026-08-14</w:t>
            </w:r>
          </w:p>
        </w:tc>
        <w:tc>
          <w:tcPr>
            <w:tcW w:type="dxa" w:w="1440"/>
            <w:shd w:fill="FAFAFA" w:val="clear"/>
          </w:tcPr>
          <w:p>
            <w:r>
              <w:rPr>
                <w:sz w:val="17"/>
              </w:rPr>
              <w:t>14,828</w:t>
            </w:r>
          </w:p>
        </w:tc>
        <w:tc>
          <w:tcPr>
            <w:tcW w:type="dxa" w:w="1440"/>
            <w:shd w:fill="FAFAFA" w:val="clear"/>
          </w:tcPr>
          <w:p>
            <w:r>
              <w:rPr>
                <w:b/>
                <w:sz w:val="17"/>
              </w:rPr>
              <w:t>16,017</w:t>
            </w:r>
          </w:p>
        </w:tc>
        <w:tc>
          <w:tcPr>
            <w:tcW w:type="dxa" w:w="1440"/>
            <w:shd w:fill="FAFAFA" w:val="clear"/>
          </w:tcPr>
          <w:p>
            <w:r>
              <w:rPr>
                <w:sz w:val="17"/>
              </w:rPr>
              <w:t>17,206</w:t>
            </w:r>
          </w:p>
        </w:tc>
        <w:tc>
          <w:tcPr>
            <w:tcW w:type="dxa" w:w="1440"/>
            <w:shd w:fill="FAFAFA" w:val="clear"/>
          </w:tcPr>
          <w:p>
            <w:r>
              <w:rPr>
                <w:b/>
                <w:color w:val="008000"/>
                <w:sz w:val="17"/>
              </w:rPr>
              <w:t>+0.1%</w:t>
            </w:r>
          </w:p>
        </w:tc>
      </w:tr>
      <w:tr>
        <w:tc>
          <w:tcPr>
            <w:tcW w:type="dxa" w:w="1440"/>
            <w:shd w:fill="FAFAFA" w:val="clear"/>
          </w:tcPr>
          <w:p>
            <w:r>
              <w:rPr>
                <w:sz w:val="17"/>
              </w:rPr>
              <w:t>J+7  Moyenne</w:t>
            </w:r>
          </w:p>
        </w:tc>
        <w:tc>
          <w:tcPr>
            <w:tcW w:type="dxa" w:w="1440"/>
            <w:shd w:fill="FAFAFA" w:val="clear"/>
          </w:tcPr>
          <w:p>
            <w:r>
              <w:rPr>
                <w:sz w:val="17"/>
              </w:rPr>
              <w:t>2026-08-17</w:t>
            </w:r>
          </w:p>
        </w:tc>
        <w:tc>
          <w:tcPr>
            <w:tcW w:type="dxa" w:w="1440"/>
            <w:shd w:fill="FAFAFA" w:val="clear"/>
          </w:tcPr>
          <w:p>
            <w:r>
              <w:rPr>
                <w:sz w:val="17"/>
              </w:rPr>
              <w:t>14,721</w:t>
            </w:r>
          </w:p>
        </w:tc>
        <w:tc>
          <w:tcPr>
            <w:tcW w:type="dxa" w:w="1440"/>
            <w:shd w:fill="FAFAFA" w:val="clear"/>
          </w:tcPr>
          <w:p>
            <w:r>
              <w:rPr>
                <w:b/>
                <w:sz w:val="17"/>
              </w:rPr>
              <w:t>16,005</w:t>
            </w:r>
          </w:p>
        </w:tc>
        <w:tc>
          <w:tcPr>
            <w:tcW w:type="dxa" w:w="1440"/>
            <w:shd w:fill="FAFAFA" w:val="clear"/>
          </w:tcPr>
          <w:p>
            <w:r>
              <w:rPr>
                <w:sz w:val="17"/>
              </w:rPr>
              <w:t>17,289</w:t>
            </w:r>
          </w:p>
        </w:tc>
        <w:tc>
          <w:tcPr>
            <w:tcW w:type="dxa" w:w="1440"/>
            <w:shd w:fill="FAFAFA" w:val="clear"/>
          </w:tcPr>
          <w:p>
            <w:r>
              <w:rPr>
                <w:b/>
                <w:color w:val="008000"/>
                <w:sz w:val="17"/>
              </w:rPr>
              <w:t>+0.0%</w:t>
            </w:r>
          </w:p>
        </w:tc>
      </w:tr>
      <w:tr>
        <w:tc>
          <w:tcPr>
            <w:tcW w:type="dxa" w:w="1440"/>
            <w:shd w:fill="FAFAFA" w:val="clear"/>
          </w:tcPr>
          <w:p>
            <w:r>
              <w:rPr>
                <w:sz w:val="17"/>
              </w:rPr>
              <w:t>J+8  Moyenne</w:t>
            </w:r>
          </w:p>
        </w:tc>
        <w:tc>
          <w:tcPr>
            <w:tcW w:type="dxa" w:w="1440"/>
            <w:shd w:fill="FAFAFA" w:val="clear"/>
          </w:tcPr>
          <w:p>
            <w:r>
              <w:rPr>
                <w:sz w:val="17"/>
              </w:rPr>
              <w:t>2026-08-18</w:t>
            </w:r>
          </w:p>
        </w:tc>
        <w:tc>
          <w:tcPr>
            <w:tcW w:type="dxa" w:w="1440"/>
            <w:shd w:fill="FAFAFA" w:val="clear"/>
          </w:tcPr>
          <w:p>
            <w:r>
              <w:rPr>
                <w:sz w:val="17"/>
              </w:rPr>
              <w:t>14,622</w:t>
            </w:r>
          </w:p>
        </w:tc>
        <w:tc>
          <w:tcPr>
            <w:tcW w:type="dxa" w:w="1440"/>
            <w:shd w:fill="FAFAFA" w:val="clear"/>
          </w:tcPr>
          <w:p>
            <w:r>
              <w:rPr>
                <w:b/>
                <w:sz w:val="17"/>
              </w:rPr>
              <w:t>15,993</w:t>
            </w:r>
          </w:p>
        </w:tc>
        <w:tc>
          <w:tcPr>
            <w:tcW w:type="dxa" w:w="1440"/>
            <w:shd w:fill="FAFAFA" w:val="clear"/>
          </w:tcPr>
          <w:p>
            <w:r>
              <w:rPr>
                <w:sz w:val="17"/>
              </w:rPr>
              <w:t>17,365</w:t>
            </w:r>
          </w:p>
        </w:tc>
        <w:tc>
          <w:tcPr>
            <w:tcW w:type="dxa" w:w="1440"/>
            <w:shd w:fill="FAFAFA" w:val="clear"/>
          </w:tcPr>
          <w:p>
            <w:r>
              <w:rPr>
                <w:b/>
                <w:color w:val="C00000"/>
                <w:sz w:val="17"/>
              </w:rPr>
              <w:t>-0.0%</w:t>
            </w:r>
          </w:p>
        </w:tc>
      </w:tr>
      <w:tr>
        <w:tc>
          <w:tcPr>
            <w:tcW w:type="dxa" w:w="1440"/>
            <w:shd w:fill="FAFAFA" w:val="clear"/>
          </w:tcPr>
          <w:p>
            <w:r>
              <w:rPr>
                <w:sz w:val="17"/>
              </w:rPr>
              <w:t>J+9  Moyenne</w:t>
            </w:r>
          </w:p>
        </w:tc>
        <w:tc>
          <w:tcPr>
            <w:tcW w:type="dxa" w:w="1440"/>
            <w:shd w:fill="FAFAFA" w:val="clear"/>
          </w:tcPr>
          <w:p>
            <w:r>
              <w:rPr>
                <w:sz w:val="17"/>
              </w:rPr>
              <w:t>2026-08-19</w:t>
            </w:r>
          </w:p>
        </w:tc>
        <w:tc>
          <w:tcPr>
            <w:tcW w:type="dxa" w:w="1440"/>
            <w:shd w:fill="FAFAFA" w:val="clear"/>
          </w:tcPr>
          <w:p>
            <w:r>
              <w:rPr>
                <w:sz w:val="17"/>
              </w:rPr>
              <w:t>14,528</w:t>
            </w:r>
          </w:p>
        </w:tc>
        <w:tc>
          <w:tcPr>
            <w:tcW w:type="dxa" w:w="1440"/>
            <w:shd w:fill="FAFAFA" w:val="clear"/>
          </w:tcPr>
          <w:p>
            <w:r>
              <w:rPr>
                <w:b/>
                <w:sz w:val="17"/>
              </w:rPr>
              <w:t>15,982</w:t>
            </w:r>
          </w:p>
        </w:tc>
        <w:tc>
          <w:tcPr>
            <w:tcW w:type="dxa" w:w="1440"/>
            <w:shd w:fill="FAFAFA" w:val="clear"/>
          </w:tcPr>
          <w:p>
            <w:r>
              <w:rPr>
                <w:sz w:val="17"/>
              </w:rPr>
              <w:t>17,435</w:t>
            </w:r>
          </w:p>
        </w:tc>
        <w:tc>
          <w:tcPr>
            <w:tcW w:type="dxa" w:w="1440"/>
            <w:shd w:fill="FAFAFA" w:val="clear"/>
          </w:tcPr>
          <w:p>
            <w:r>
              <w:rPr>
                <w:b/>
                <w:color w:val="C00000"/>
                <w:sz w:val="17"/>
              </w:rPr>
              <w:t>-0.1%</w:t>
            </w:r>
          </w:p>
        </w:tc>
      </w:tr>
      <w:tr>
        <w:tc>
          <w:tcPr>
            <w:tcW w:type="dxa" w:w="1440"/>
            <w:shd w:fill="FAFAFA" w:val="clear"/>
          </w:tcPr>
          <w:p>
            <w:r>
              <w:rPr>
                <w:sz w:val="17"/>
              </w:rPr>
              <w:t>J+10  Moyenne</w:t>
            </w:r>
          </w:p>
        </w:tc>
        <w:tc>
          <w:tcPr>
            <w:tcW w:type="dxa" w:w="1440"/>
            <w:shd w:fill="FAFAFA" w:val="clear"/>
          </w:tcPr>
          <w:p>
            <w:r>
              <w:rPr>
                <w:sz w:val="17"/>
              </w:rPr>
              <w:t>2026-08-20</w:t>
            </w:r>
          </w:p>
        </w:tc>
        <w:tc>
          <w:tcPr>
            <w:tcW w:type="dxa" w:w="1440"/>
            <w:shd w:fill="FAFAFA" w:val="clear"/>
          </w:tcPr>
          <w:p>
            <w:r>
              <w:rPr>
                <w:sz w:val="17"/>
              </w:rPr>
              <w:t>14,439</w:t>
            </w:r>
          </w:p>
        </w:tc>
        <w:tc>
          <w:tcPr>
            <w:tcW w:type="dxa" w:w="1440"/>
            <w:shd w:fill="FAFAFA" w:val="clear"/>
          </w:tcPr>
          <w:p>
            <w:r>
              <w:rPr>
                <w:b/>
                <w:sz w:val="17"/>
              </w:rPr>
              <w:t>15,970</w:t>
            </w:r>
          </w:p>
        </w:tc>
        <w:tc>
          <w:tcPr>
            <w:tcW w:type="dxa" w:w="1440"/>
            <w:shd w:fill="FAFAFA" w:val="clear"/>
          </w:tcPr>
          <w:p>
            <w:r>
              <w:rPr>
                <w:sz w:val="17"/>
              </w:rPr>
              <w:t>17,501</w:t>
            </w:r>
          </w:p>
        </w:tc>
        <w:tc>
          <w:tcPr>
            <w:tcW w:type="dxa" w:w="1440"/>
            <w:shd w:fill="FAFAFA" w:val="clear"/>
          </w:tcPr>
          <w:p>
            <w:r>
              <w:rPr>
                <w:b/>
                <w:color w:val="C00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d'ECOC s'établit à 880,81 milliards FCFA, ce qui en fait l'une des valeurs les plus significatives de la BRVM, reflétant son statut de banque systémique en Côte d'Ivoire. Avec un BPA de 1 153 FCFA, chaque action génère un bénéfice substantiel, justifiant un PER de 13,9x. Ce ratio, bien que supérieur à la moyenne historique de la BRVM (8-12x), reste modéré et témoigne d'une valorisation raisonnable pour un établissement de cette envergure. En revanche, le P/B de 4,03x indique que le marché applique une prime significative par rapport à la valeur comptable des actifs, signe d'une confiance élevée dans la capacité de la banque à générer de la valeur, mais aussi d'une valorisation exigeante. Enfin, l'EV/EBITDA de 13,6x, situé dans la fourchette haute (10-15x), confirme que le marché intègre déjà des perspectives de croissance solides, laissant peu de marge d'erreur en cas de déception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ECOC a enregistré une baisse de 4,76%, avec une dernière séance en recul de 1,23% à 16 000 FCFA, signalant une pression vendeuse persistante à court terme. Le cours a évolué dans un range de 15 520 à 17 270 FCFA, soit une amplitude de 1 750 FCFA, indiquant une volatilité intraday notable. La moyenne (16 337 FCFA) et la médiane (16 300 FCFA) étant très proches, la distribution des prix est quasi symétrique, ce que confirme le skewness de 0,112. L'écart-type de 350 FCFA (CV=2,1%) révèle une dispersion très faible autour de la moyenne, suggérant un marché relativement calme malgré la tendance baissière. Le kurtosis de 0,214 (mésokurtique) indique une absence de pics extrêmes, tandis que la volatilité annualisée de 27,0% classe le titre dans la catégorie "modérée à élevée" (15-30%), ce qui implique des fluctuations potentielles significatives pour les investisseurs à moyen terme.</w:t>
      </w:r>
    </w:p>
    <w:p>
      <w:pPr>
        <w:spacing w:after="120" w:line="276" w:lineRule="auto" w:before="240"/>
      </w:pPr>
      <w:r>
        <w:rPr>
          <w:b/>
          <w:color w:val="003366"/>
          <w:sz w:val="24"/>
        </w:rPr>
        <w:t>**PARTIE 2 : ANALYSE TECHNIQUE DÉTAILLÉE**</w:t>
      </w:r>
    </w:p>
    <w:p>
      <w:pPr>
        <w:spacing w:after="120" w:line="276" w:lineRule="auto"/>
      </w:pPr>
      <w:r>
        <w:t>**Moyennes Mobiles**: La MM20 (16 162 FCFA) et la MM50 (16 436,5 FCFA) sont toutes deux supérieures au cours actuel de 16 000 FCFA, avec une MM50 nettement au-dessus de la MM20. Cette configuration en pente descendante confirme une tendance baissière à moyen terme, le cours évoluant sous ses moyennes mobiles clés. La décision "Vente" est justifiée par cette structure baissière, bien que l'écart entre le cours et la MM20 (162 FCFA) suggère une possible correction technique à court terme.</w:t>
      </w:r>
    </w:p>
    <w:p>
      <w:pPr>
        <w:spacing w:after="120" w:line="276" w:lineRule="auto"/>
      </w:pPr>
      <w:r>
        <w:t>**Bandes de Bollinger**: Le cours à 16 000 FCFA se positionne presque à mi-chemin entre la borne inférieure (15 533 FCFA) et la borne supérieure (16 791 FCFA), indiquant une volatilité modérée. La largeur des bandes (1 258 FCFA) reflète une volatilité en contraction, typique d'une phase de consolidation. La décision "Neutre" est appropriée, le prix n'étant ni en zone de surachat ni de survente, laissant place à une possible poursuite de la consolidation avant un mouvement directionnel.</w:t>
      </w:r>
    </w:p>
    <w:p>
      <w:pPr>
        <w:spacing w:after="120" w:line="276" w:lineRule="auto"/>
      </w:pPr>
      <w:r>
        <w:t>**MACD**: La valeur MACD (-96,48) est supérieure au signal (-110,095), avec un écart positif de 13,6 points, indiquant un croisement haussier récent. Ce signal, bien que les deux lignes soient en territoire négatif, suggère un momentum en amélioration relative. La décision "Achat" reflète ce début de retournement, mais la prudence est de mise tant que le MACD n'a pas franchi la ligne zéro.</w:t>
      </w:r>
    </w:p>
    <w:p>
      <w:pPr>
        <w:spacing w:after="120" w:line="276" w:lineRule="auto"/>
      </w:pPr>
      <w:r>
        <w:t>**RSI**: À 50,0, le RSI est parfaitement neutre, indiquant un équilibre entre pression acheteuse et vendeuse. Cette valeur, au milieu de la zone 30-70, suggère que le titre n'est ni suracheté ni survendu, laissant place à un mouvement dans les deux sens. La décision "Neutre" est cohérente avec cette lecture, le marché attendant un catalyseur pour orienter la tendance.</w:t>
      </w:r>
    </w:p>
    <w:p>
      <w:pPr>
        <w:spacing w:after="120" w:line="276" w:lineRule="auto"/>
      </w:pPr>
      <w:r>
        <w:t>**Stochastique**: Le %K (53,77) est inférieur au %D (72,64), indiquant un croisement baissier récent, bien que les deux valeurs restent en zone neutre (au-dessus de 50). Cette configuration suggère un affaiblissement du momentum haussier à court terme, mais sans signal extrême. La décision "Neutre" est justifiée, le titre n'étant ni en zone de surachat ni de survente.</w:t>
      </w:r>
    </w:p>
    <w:p>
      <w:pPr>
        <w:spacing w:after="120" w:line="276" w:lineRule="auto"/>
      </w:pPr>
      <w:r>
        <w:t>**Conclusion technique**: La convergence des indicateurs est mitigée : les moyennes mobiles signalent une tendance baissière, tandis que le MACD montre un début de retournement haussier. Le RSI, le Stochastique et les Bandes de Bollinger sont neutres, reflétant une phase de consolidation. Le titre semble chercher une direction, avec un biais légèrement négatif à court terme mais des signaux de stabilisation émergents.</w:t>
      </w:r>
    </w:p>
    <w:p>
      <w:pPr>
        <w:spacing w:after="120" w:line="276" w:lineRule="auto" w:before="240"/>
      </w:pPr>
      <w:r>
        <w:rPr>
          <w:b/>
          <w:color w:val="003366"/>
          <w:sz w:val="24"/>
        </w:rPr>
        <w:t>**PARTIE 3 : ANALYSE FONDAMENTALE (SECTION CRITIQUE)**</w:t>
      </w:r>
    </w:p>
    <w:p>
      <w:pPr>
        <w:spacing w:after="120" w:line="276" w:lineRule="auto"/>
      </w:pPr>
      <w:r>
        <w:t>En 2025, Ecobank Côte d'Ivoire affiche des fondamentaux solides avec un Produit Net Bancaire de 132,725 milliards FCFA, en croissance de 8,5%, et un résultat net de 63,482 milliards FCFA, portant le ROE à un niveau exceptionnel de 29,04% et le ROA à 3,09%. Le coefficient d'exploitation de 42,89% témoigne d'une excellente maîtrise des coûts, bien en deçà du seuil de 60% considéré comme efficace. Le coût du risque de 1,36% reste modéré, reflétant une bonne qualité du portefeuille de crédits, avec des créances clientèle de 1 050,8 milliards FCFA adossées à des dépôts de 1 626,2 milliards FCFA, soit un ratio de transformation de 64,6%. Les rapports trimestriels confirment cette dynamique : au T3 2025, le PNB atteignait 96,4 milliards FCFA (+11,3% vs T3 2024) et le résultat net 44,4 milliards FCFA (+15,4%), avec un ROE de 29,7% et un coût du risque en baisse de 54,1%. Le T1 2026 montre une légère décélération (PNB +3,7%, résultat net -1,6% à 13,0 milliards FCFA), mais la banque maintient une collecte de dépôts dynamique (+12%) et un coefficient d'exploitation amélioré à 45,7%. Sur la base de ces tendances, on estime que l'exercice 2026 devrait voir un PNB proche de 136-140 milliards FCFA et un résultat net autour de 62-65 milliards FCFA, confirmant la solidité du modèle économique.</w:t>
      </w:r>
    </w:p>
    <w:p>
      <w:pPr>
        <w:spacing w:after="120" w:line="276" w:lineRule="auto" w:before="240"/>
      </w:pPr>
      <w:r>
        <w:rPr>
          <w:b/>
          <w:color w:val="003366"/>
          <w:sz w:val="24"/>
        </w:rPr>
        <w:t>**PARTIE 4 : CONCLUSION D'INVESTISSEMENT**</w:t>
      </w:r>
    </w:p>
    <w:p>
      <w:pPr>
        <w:spacing w:after="120" w:line="276" w:lineRule="auto"/>
      </w:pPr>
      <w:r>
        <w:t>La valorisation d'ECOC (PER 13,9x, P/B 4,03x, EV/EBITDA 13,6x) reflète une prime de qualité, mais reste justifiée par des fondamentaux exceptionnels. Le comportement du cours (-4,76% sur 100 jours) contraste avec la solidité financière, créant une opportunité potentielle, tandis que les statistiques (distribution symétrique, faible dispersion) indiquent un marché stable. Les signaux techniques sont mitigés, avec une tendance baissière à court terme mais des indicateurs de momentum (MACD) en amélioration. Les fondamentaux, eux, sont indiscutablement solides : ROE de 29%, coefficient d'exploitation de 42,9%, et croissance soutenue du PNB. Les prédictions IA (16 081 FCFA à J+1, 16 029 FCFA à J+10) suggèrent une stabilisation autour de 16 000-16 080 FCFA, confirmant la fin probable de la phase de correction. La convergence entre la solidité fondamentale, la stabilisation technique et les prédictions IA conduit à une recommandation **ACHAT** pour les investisseurs à moyen terme, avec un niveau de confiance **Élevé** et un risque global **Moyen**. L'horizon optimal est de 3 à 12 mois, visant un retour vers les 17 000 FCFA, soutenu par la politique de dividende généreuse (888 FCFA brut par action, soit un rendement de 5,5%).</w:t>
      </w:r>
    </w:p>
    <w:p/>
    <w:p/>
    <w:p>
      <w:pPr>
        <w:pStyle w:val="Heading3"/>
      </w:pPr>
      <w:r>
        <w:rPr>
          <w:color w:val="00467F"/>
        </w:rPr>
        <w:t>📎 DOCUMENTS &amp; COMMUNICATIONS OFFICIELS BRVM</w:t>
      </w:r>
    </w:p>
    <w:p>
      <w:r>
        <w:rPr>
          <w:i/>
          <w:color w:val="646464"/>
          <w:sz w:val="18"/>
        </w:rPr>
        <w:t>8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[3]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Pr>
        <w:ind w:left="400"/>
      </w:pPr>
      <w:r>
        <w:rPr>
          <w:color w:val="B4B4B4"/>
          <w:sz w:val="14"/>
        </w:rPr>
        <w:t xml:space="preserve">· · · · · · · · · · · · · · · · · · · · · · · · · · · · · · </w:t>
      </w:r>
    </w:p>
    <w:p>
      <w:pPr>
        <w:spacing w:before="160"/>
      </w:pPr>
      <w:r>
        <w:rPr>
          <w:b/>
          <w:color w:val="0066CC"/>
          <w:sz w:val="20"/>
        </w:rPr>
        <w:t xml:space="preserve">[4] </w:t>
      </w:r>
      <w:r>
        <w:rPr>
          <w:b/>
          <w:sz w:val="20"/>
        </w:rPr>
        <w:t>20260513   avis de convocation   assemblee generale ordinaire   eti tg</w:t>
      </w:r>
    </w:p>
    <w:p>
      <w:pPr>
        <w:spacing w:before="20"/>
        <w:ind w:left="400"/>
      </w:pPr>
      <w:r>
        <w:rPr>
          <w:color w:val="505050"/>
          <w:sz w:val="17"/>
        </w:rPr>
        <w:t xml:space="preserve">Date : 13/05/2026  |  Catégorie : convocation AG  |  Impact : </w:t>
      </w:r>
      <w:r>
        <w:rPr>
          <w:b/>
          <w:color w:val="646464"/>
          <w:sz w:val="17"/>
        </w:rPr>
        <w:t>⚪ NEUTRE</w:t>
      </w:r>
    </w:p>
    <w:p>
      <w:pPr>
        <w:spacing w:before="40"/>
        <w:ind w:left="400"/>
      </w:pPr>
      <w:r>
        <w:rPr>
          <w:sz w:val="18"/>
        </w:rPr>
        <w:t>Ecobank Transnational Incorporated convoque ses actionnaires à la 38ème Assemblée Générale Ordinaire le 3 juin 2026 à Lomé, Togo. L'ordre du jour comprend l'approbation des comptes, l'affectation du résultat et le renouvellement des mandats d'administrateurs. Les actionnaires peuvent participer en personne ou par procuration avec possibilité de soumettre leurs questions à l'avance.</w:t>
      </w:r>
    </w:p>
    <w:p>
      <w:pPr>
        <w:spacing w:before="60"/>
        <w:ind w:left="400"/>
      </w:pPr>
      <w:r>
        <w:rPr>
          <w:b/>
          <w:sz w:val="18"/>
        </w:rPr>
        <w:t>Points clés :</w:t>
      </w:r>
    </w:p>
    <w:p>
      <w:pPr>
        <w:pStyle w:val="ListBullet"/>
        <w:spacing w:before="20" w:after="20"/>
        <w:ind w:left="700"/>
      </w:pPr>
      <w:r>
        <w:rPr>
          <w:sz w:val="18"/>
        </w:rPr>
        <w:t>38ème Assemblée Générale Ordinaire prévue le 3 juin 2026 à 10h30 GMT à Lomé</w:t>
      </w:r>
    </w:p>
    <w:p>
      <w:pPr>
        <w:pStyle w:val="ListBullet"/>
        <w:spacing w:before="20" w:after="20"/>
        <w:ind w:left="700"/>
      </w:pPr>
      <w:r>
        <w:rPr>
          <w:sz w:val="18"/>
        </w:rPr>
        <w:t>Approbation des comptes annuels et affectation du résultat à l'ordre du jour</w:t>
      </w:r>
    </w:p>
    <w:p>
      <w:pPr>
        <w:pStyle w:val="ListBullet"/>
        <w:spacing w:before="20" w:after="20"/>
        <w:ind w:left="700"/>
      </w:pPr>
      <w:r>
        <w:rPr>
          <w:sz w:val="18"/>
        </w:rPr>
        <w:t>Renouvellement des mandats d'administrateurs et nominations au conseil</w:t>
      </w:r>
    </w:p>
    <w:p>
      <w:pPr>
        <w:pStyle w:val="ListBullet"/>
        <w:spacing w:before="20" w:after="20"/>
        <w:ind w:left="700"/>
      </w:pPr>
      <w:r>
        <w:rPr>
          <w:sz w:val="18"/>
        </w:rPr>
        <w:t>Possibilité de participation par procuration avec formulaire à soumettre avant le 2 juin 2026</w:t>
      </w:r>
    </w:p>
    <w:p>
      <w:pPr>
        <w:pStyle w:val="ListBullet"/>
        <w:spacing w:before="20" w:after="20"/>
        <w:ind w:left="700"/>
      </w:pPr>
      <w:r>
        <w:rPr>
          <w:sz w:val="18"/>
        </w:rPr>
        <w:t>Nomination des commissaires aux comptes parmi les points à délibérer</w:t>
      </w:r>
    </w:p>
    <w:p>
      <w:pPr>
        <w:ind w:left="400"/>
      </w:pPr>
      <w:r>
        <w:rPr>
          <w:color w:val="B4B4B4"/>
          <w:sz w:val="14"/>
        </w:rPr>
        <w:t xml:space="preserve">· · · · · · · · · · · · · · · · · · · · · · · · · · · · · · </w:t>
      </w:r>
    </w:p>
    <w:p>
      <w:pPr>
        <w:spacing w:before="160"/>
      </w:pPr>
      <w:r>
        <w:rPr>
          <w:b/>
          <w:color w:val="0066CC"/>
          <w:sz w:val="20"/>
        </w:rPr>
        <w:t xml:space="preserve">[5] </w:t>
      </w:r>
      <w:r>
        <w:rPr>
          <w:b/>
          <w:sz w:val="20"/>
        </w:rPr>
        <w:t>20260511   calendrier de paiement des dividendes   exercice 2025</w:t>
      </w:r>
    </w:p>
    <w:p>
      <w:pPr>
        <w:spacing w:before="20"/>
        <w:ind w:left="400"/>
      </w:pPr>
      <w:r>
        <w:rPr>
          <w:color w:val="505050"/>
          <w:sz w:val="17"/>
        </w:rPr>
        <w:t xml:space="preserve">Date : 12/05/2026  |  Catégorie : dividende  |  Impact : </w:t>
      </w:r>
      <w:r>
        <w:rPr>
          <w:b/>
          <w:color w:val="008000"/>
          <w:sz w:val="17"/>
        </w:rPr>
        <w:t>🟢 POSITIF</w:t>
      </w:r>
    </w:p>
    <w:p>
      <w:pPr>
        <w:spacing w:before="40"/>
        <w:ind w:left="400"/>
      </w:pPr>
      <w:r>
        <w:rPr>
          <w:sz w:val="18"/>
        </w:rPr>
        <w:t>Calendrier officiel de paiement des dividendes pour l'exercice 2025 publié par la BRVM le 11 mai 2026. Le document détaille les dates de détachement et de paiement des dividendes pour 7 entreprises cotées. Les montants varient de 305,04 FCFA à 1740 FCFA par action.</w:t>
      </w:r>
    </w:p>
    <w:p>
      <w:pPr>
        <w:spacing w:before="60"/>
        <w:ind w:left="400"/>
      </w:pPr>
      <w:r>
        <w:rPr>
          <w:b/>
          <w:sz w:val="18"/>
        </w:rPr>
        <w:t>Points clés :</w:t>
      </w:r>
    </w:p>
    <w:p>
      <w:pPr>
        <w:pStyle w:val="ListBullet"/>
        <w:spacing w:before="20" w:after="20"/>
        <w:ind w:left="700"/>
      </w:pPr>
      <w:r>
        <w:rPr>
          <w:sz w:val="18"/>
        </w:rPr>
        <w:t>SONATEL SENEGAL verse le plus gros dividende avec 1740 FCFA par action</w:t>
      </w:r>
    </w:p>
    <w:p>
      <w:pPr>
        <w:pStyle w:val="ListBullet"/>
        <w:spacing w:before="20" w:after="20"/>
        <w:ind w:left="700"/>
      </w:pPr>
      <w:r>
        <w:rPr>
          <w:sz w:val="18"/>
        </w:rPr>
        <w:t>BOA CÔTE D'IVOIRE distribue 594,528 FCFA par action avec paiement le 6 mai 2026</w:t>
      </w:r>
    </w:p>
    <w:p>
      <w:pPr>
        <w:pStyle w:val="ListBullet"/>
        <w:spacing w:before="20" w:after="20"/>
        <w:ind w:left="700"/>
      </w:pPr>
      <w:r>
        <w:rPr>
          <w:sz w:val="18"/>
        </w:rPr>
        <w:t>ECOBANK CI verse un dividende brut de 888 FCFA soumis à l'IRVM</w:t>
      </w:r>
    </w:p>
    <w:p>
      <w:pPr>
        <w:pStyle w:val="ListBullet"/>
        <w:spacing w:before="20" w:after="20"/>
        <w:ind w:left="700"/>
      </w:pPr>
      <w:r>
        <w:rPr>
          <w:sz w:val="18"/>
        </w:rPr>
        <w:t>Les dates de paiement s'étalent du 23 avril au 3 juin 2026</w:t>
      </w:r>
    </w:p>
    <w:p>
      <w:pPr>
        <w:pStyle w:val="ListBullet"/>
        <w:spacing w:before="20" w:after="20"/>
        <w:ind w:left="700"/>
      </w:pPr>
      <w:r>
        <w:rPr>
          <w:sz w:val="18"/>
        </w:rPr>
        <w:t>Sept entreprises du groupe BOA et assimilées distribuent des dividendes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1157.38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1,337,143 titres</w:t>
            </w:r>
          </w:p>
        </w:tc>
        <w:tc>
          <w:tcPr>
            <w:tcW w:type="dxa" w:w="2268"/>
            <w:shd w:fill="FFF2CC" w:val="clear"/>
          </w:tcPr>
          <w:p>
            <w:r>
              <w:rPr>
                <w:b/>
                <w:color w:val="503200"/>
                <w:sz w:val="16"/>
              </w:rPr>
              <w:t xml:space="preserve">Cours actuel : </w:t>
            </w:r>
            <w:r>
              <w:rPr>
                <w:color w:val="000000"/>
                <w:sz w:val="17"/>
              </w:rPr>
              <w:t>64 FCFA</w:t>
            </w:r>
          </w:p>
          <w:p>
            <w:r>
              <w:rPr>
                <w:b/>
                <w:color w:val="503200"/>
                <w:sz w:val="16"/>
              </w:rPr>
              <w:t xml:space="preserve">Var. 100 jours : </w:t>
            </w:r>
            <w:r>
              <w:rPr>
                <w:b/>
                <w:color w:val="007800"/>
                <w:sz w:val="17"/>
              </w:rPr>
              <w:t>+100.00%</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37.76% (Élevée) — μ=40 FCFA, σ=15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β=2.4611 (Très agressif) — Cov=0.000089, Var(idx)=0.000036, ρ=0.376,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1,337,143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σ_j=3.94%/j (Modérée) — Vol. annualisée≈62.6%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2026-08-06</w:t>
            </w:r>
          </w:p>
        </w:tc>
        <w:tc>
          <w:tcPr>
            <w:tcW w:type="dxa" w:w="1440"/>
            <w:shd w:fill="FFDCE0" w:val="clear"/>
          </w:tcPr>
          <w:p>
            <w:r>
              <w:rPr>
                <w:sz w:val="17"/>
              </w:rPr>
              <w:t>55</w:t>
            </w:r>
          </w:p>
        </w:tc>
        <w:tc>
          <w:tcPr>
            <w:tcW w:type="dxa" w:w="1440"/>
            <w:shd w:fill="FFDCE0" w:val="clear"/>
          </w:tcPr>
          <w:p>
            <w:r>
              <w:rPr>
                <w:b/>
                <w:sz w:val="17"/>
              </w:rPr>
              <w:t>59</w:t>
            </w:r>
          </w:p>
        </w:tc>
        <w:tc>
          <w:tcPr>
            <w:tcW w:type="dxa" w:w="1440"/>
            <w:shd w:fill="FFDCE0" w:val="clear"/>
          </w:tcPr>
          <w:p>
            <w:r>
              <w:rPr>
                <w:sz w:val="17"/>
              </w:rPr>
              <w:t>64</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2026-08-10</w:t>
            </w:r>
          </w:p>
        </w:tc>
        <w:tc>
          <w:tcPr>
            <w:tcW w:type="dxa" w:w="1440"/>
            <w:shd w:fill="FFDCE0" w:val="clear"/>
          </w:tcPr>
          <w:p>
            <w:r>
              <w:rPr>
                <w:sz w:val="17"/>
              </w:rPr>
              <w:t>48</w:t>
            </w:r>
          </w:p>
        </w:tc>
        <w:tc>
          <w:tcPr>
            <w:tcW w:type="dxa" w:w="1440"/>
            <w:shd w:fill="FFDCE0" w:val="clear"/>
          </w:tcPr>
          <w:p>
            <w:r>
              <w:rPr>
                <w:b/>
                <w:sz w:val="17"/>
              </w:rPr>
              <w:t>55</w:t>
            </w:r>
          </w:p>
        </w:tc>
        <w:tc>
          <w:tcPr>
            <w:tcW w:type="dxa" w:w="1440"/>
            <w:shd w:fill="FFDCE0" w:val="clear"/>
          </w:tcPr>
          <w:p>
            <w:r>
              <w:rPr>
                <w:sz w:val="17"/>
              </w:rPr>
              <w:t>62</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2026-08-11</w:t>
            </w:r>
          </w:p>
        </w:tc>
        <w:tc>
          <w:tcPr>
            <w:tcW w:type="dxa" w:w="1440"/>
            <w:shd w:fill="FFDCE0" w:val="clear"/>
          </w:tcPr>
          <w:p>
            <w:r>
              <w:rPr>
                <w:sz w:val="17"/>
              </w:rPr>
              <w:t>43</w:t>
            </w:r>
          </w:p>
        </w:tc>
        <w:tc>
          <w:tcPr>
            <w:tcW w:type="dxa" w:w="1440"/>
            <w:shd w:fill="FFDCE0" w:val="clear"/>
          </w:tcPr>
          <w:p>
            <w:r>
              <w:rPr>
                <w:b/>
                <w:sz w:val="17"/>
              </w:rPr>
              <w:t>51</w:t>
            </w:r>
          </w:p>
        </w:tc>
        <w:tc>
          <w:tcPr>
            <w:tcW w:type="dxa" w:w="1440"/>
            <w:shd w:fill="FFDCE0" w:val="clear"/>
          </w:tcPr>
          <w:p>
            <w:r>
              <w:rPr>
                <w:sz w:val="17"/>
              </w:rPr>
              <w:t>58</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2026-08-12</w:t>
            </w:r>
          </w:p>
        </w:tc>
        <w:tc>
          <w:tcPr>
            <w:tcW w:type="dxa" w:w="1440"/>
            <w:shd w:fill="FFDCE0" w:val="clear"/>
          </w:tcPr>
          <w:p>
            <w:r>
              <w:rPr>
                <w:sz w:val="17"/>
              </w:rPr>
              <w:t>38</w:t>
            </w:r>
          </w:p>
        </w:tc>
        <w:tc>
          <w:tcPr>
            <w:tcW w:type="dxa" w:w="1440"/>
            <w:shd w:fill="FFDCE0" w:val="clear"/>
          </w:tcPr>
          <w:p>
            <w:r>
              <w:rPr>
                <w:b/>
                <w:sz w:val="17"/>
              </w:rPr>
              <w:t>47</w:t>
            </w:r>
          </w:p>
        </w:tc>
        <w:tc>
          <w:tcPr>
            <w:tcW w:type="dxa" w:w="1440"/>
            <w:shd w:fill="FFDCE0" w:val="clear"/>
          </w:tcPr>
          <w:p>
            <w:r>
              <w:rPr>
                <w:sz w:val="17"/>
              </w:rPr>
              <w:t>55</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2026-08-13</w:t>
            </w:r>
          </w:p>
        </w:tc>
        <w:tc>
          <w:tcPr>
            <w:tcW w:type="dxa" w:w="1440"/>
            <w:shd w:fill="FFDCE0" w:val="clear"/>
          </w:tcPr>
          <w:p>
            <w:r>
              <w:rPr>
                <w:sz w:val="17"/>
              </w:rPr>
              <w:t>35</w:t>
            </w:r>
          </w:p>
        </w:tc>
        <w:tc>
          <w:tcPr>
            <w:tcW w:type="dxa" w:w="1440"/>
            <w:shd w:fill="FFDCE0" w:val="clear"/>
          </w:tcPr>
          <w:p>
            <w:r>
              <w:rPr>
                <w:b/>
                <w:sz w:val="17"/>
              </w:rPr>
              <w:t>43</w:t>
            </w:r>
          </w:p>
        </w:tc>
        <w:tc>
          <w:tcPr>
            <w:tcW w:type="dxa" w:w="1440"/>
            <w:shd w:fill="FFDCE0" w:val="clear"/>
          </w:tcPr>
          <w:p>
            <w:r>
              <w:rPr>
                <w:sz w:val="17"/>
              </w:rPr>
              <w:t>52</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2026-08-14</w:t>
            </w:r>
          </w:p>
        </w:tc>
        <w:tc>
          <w:tcPr>
            <w:tcW w:type="dxa" w:w="1440"/>
            <w:shd w:fill="FFDCE0" w:val="clear"/>
          </w:tcPr>
          <w:p>
            <w:r>
              <w:rPr>
                <w:sz w:val="17"/>
              </w:rPr>
              <w:t>31</w:t>
            </w:r>
          </w:p>
        </w:tc>
        <w:tc>
          <w:tcPr>
            <w:tcW w:type="dxa" w:w="1440"/>
            <w:shd w:fill="FFDCE0" w:val="clear"/>
          </w:tcPr>
          <w:p>
            <w:r>
              <w:rPr>
                <w:b/>
                <w:sz w:val="17"/>
              </w:rPr>
              <w:t>40</w:t>
            </w:r>
          </w:p>
        </w:tc>
        <w:tc>
          <w:tcPr>
            <w:tcW w:type="dxa" w:w="1440"/>
            <w:shd w:fill="FFDCE0" w:val="clear"/>
          </w:tcPr>
          <w:p>
            <w:r>
              <w:rPr>
                <w:sz w:val="17"/>
              </w:rPr>
              <w:t>49</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2026-08-17</w:t>
            </w:r>
          </w:p>
        </w:tc>
        <w:tc>
          <w:tcPr>
            <w:tcW w:type="dxa" w:w="1440"/>
            <w:shd w:fill="FFDCE0" w:val="clear"/>
          </w:tcPr>
          <w:p>
            <w:r>
              <w:rPr>
                <w:sz w:val="17"/>
              </w:rPr>
              <w:t>28</w:t>
            </w:r>
          </w:p>
        </w:tc>
        <w:tc>
          <w:tcPr>
            <w:tcW w:type="dxa" w:w="1440"/>
            <w:shd w:fill="FFDCE0" w:val="clear"/>
          </w:tcPr>
          <w:p>
            <w:r>
              <w:rPr>
                <w:b/>
                <w:sz w:val="17"/>
              </w:rPr>
              <w:t>37</w:t>
            </w:r>
          </w:p>
        </w:tc>
        <w:tc>
          <w:tcPr>
            <w:tcW w:type="dxa" w:w="1440"/>
            <w:shd w:fill="FFDCE0" w:val="clear"/>
          </w:tcPr>
          <w:p>
            <w:r>
              <w:rPr>
                <w:sz w:val="17"/>
              </w:rPr>
              <w:t>46</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26</w:t>
            </w:r>
          </w:p>
        </w:tc>
        <w:tc>
          <w:tcPr>
            <w:tcW w:type="dxa" w:w="1440"/>
            <w:shd w:fill="FFDCE0" w:val="clear"/>
          </w:tcPr>
          <w:p>
            <w:r>
              <w:rPr>
                <w:b/>
                <w:sz w:val="17"/>
              </w:rPr>
              <w:t>34</w:t>
            </w:r>
          </w:p>
        </w:tc>
        <w:tc>
          <w:tcPr>
            <w:tcW w:type="dxa" w:w="1440"/>
            <w:shd w:fill="FFDCE0" w:val="clear"/>
          </w:tcPr>
          <w:p>
            <w:r>
              <w:rPr>
                <w:sz w:val="17"/>
              </w:rPr>
              <w:t>43</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23</w:t>
            </w:r>
          </w:p>
        </w:tc>
        <w:tc>
          <w:tcPr>
            <w:tcW w:type="dxa" w:w="1440"/>
            <w:shd w:fill="FFDCE0" w:val="clear"/>
          </w:tcPr>
          <w:p>
            <w:r>
              <w:rPr>
                <w:b/>
                <w:sz w:val="17"/>
              </w:rPr>
              <w:t>32</w:t>
            </w:r>
          </w:p>
        </w:tc>
        <w:tc>
          <w:tcPr>
            <w:tcW w:type="dxa" w:w="1440"/>
            <w:shd w:fill="FFDCE0" w:val="clear"/>
          </w:tcPr>
          <w:p>
            <w:r>
              <w:rPr>
                <w:sz w:val="17"/>
              </w:rPr>
              <w:t>40</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21</w:t>
            </w:r>
          </w:p>
        </w:tc>
        <w:tc>
          <w:tcPr>
            <w:tcW w:type="dxa" w:w="1440"/>
            <w:shd w:fill="FFDCE0" w:val="clear"/>
          </w:tcPr>
          <w:p>
            <w:r>
              <w:rPr>
                <w:b/>
                <w:sz w:val="17"/>
              </w:rPr>
              <w:t>30</w:t>
            </w:r>
          </w:p>
        </w:tc>
        <w:tc>
          <w:tcPr>
            <w:tcW w:type="dxa" w:w="1440"/>
            <w:shd w:fill="FFDCE0" w:val="clear"/>
          </w:tcPr>
          <w:p>
            <w:r>
              <w:rPr>
                <w:sz w:val="17"/>
              </w:rPr>
              <w:t>38</w:t>
            </w:r>
          </w:p>
        </w:tc>
        <w:tc>
          <w:tcPr>
            <w:tcW w:type="dxa" w:w="1440"/>
            <w:shd w:fill="FFDCE0" w:val="clear"/>
          </w:tcPr>
          <w:p>
            <w:r>
              <w:rPr>
                <w:b/>
                <w:color w:val="C00000"/>
                <w:sz w:val="17"/>
              </w:rPr>
              <w:t>-53.5%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d'ETIT s'établit à 1 157,38 milliards FCFA, ce qui en fait l'une des valeurs les plus lourdes et les plus liquides de la BRVM, représentant un poids considérable dans l'indice composite. Avec un BPA de 19 FCFA, le titre se négocie à un PER de 3,3x, un niveau extrêmement faible comparé à la moyenne du marché BRVM (8-12x), signalant une sous-évaluation manifeste du bénéfice par action. Le P/B de 0,72x confirme cette décote, le marché valorisant la société en dessous de sa valeur comptable, ce qui suggère une marge de sécurité importante pour l'investisseur. Enfin, l'EV/EBITDA de 4,9x, inférieur à 5x, indique que la valeur totale de l'entreprise reste très bon marché par rapport à sa capacité opérationnelle à générer des flux. Ces ratios, pris dans leur ensemble, dressent le portrait d'une action profondément sous-évaluée par le marché.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ETIT a enregistré une performance spectaculaire de +100,00%, doublant sa valeur, avec une dernière séance stable (+0,00%). Le cours a évolué dans une fourchette très large, oscillant entre un plus bas de 26 FCFA et un plus haut de 78 FCFA, illustrant une volatilité extrême. La moyenne du cours sur la période (40 FCFA) est nettement supérieure à la médiane (32 FCFA), ce qui, combiné à un skewness positif de 1,294, indique une distribution asymétrique avec des journées de forte hausse qui tirent la moyenne vers le haut. L'écart-type de 15 FCFA (CV=37,9%) confirme une dispersion élevée des prix. Le kurtosis de 0,019 (mésokurtique) suggère une absence de pics de volatilité extrêmes par rapport à une distribution normale. La volatilité annualisée de 62,6% classe le titre dans la catégorie des actifs à très haute volatilité, un paramètre crucial pour la gestion du risque.</w:t>
      </w:r>
    </w:p>
    <w:p>
      <w:pPr>
        <w:spacing w:after="120" w:line="276" w:lineRule="auto" w:before="240"/>
      </w:pPr>
      <w:r>
        <w:rPr>
          <w:b/>
          <w:color w:val="003366"/>
          <w:sz w:val="24"/>
        </w:rPr>
        <w:t>**PARTIE 2 : ANALYSE TECHNIQUE DÉTAILLÉE**</w:t>
      </w:r>
    </w:p>
    <w:p>
      <w:pPr>
        <w:spacing w:after="120" w:line="276" w:lineRule="auto"/>
      </w:pPr>
      <w:r>
        <w:t>**Moyennes Mobiles**: Le cours actuel de 64 FCFA se situe sous la MM20 (68,45) mais nettement au-dessus de la MM50 (49,28). Cette configuration, où le prix est au-dessus de la moyenne à long terme mais sous la moyenne à court terme, suggère une correction récente au sein d'une tendance haussière de fond. La décision d'achat est justifiée par la dynamique positive de la MM50 qui agit comme un support solide.</w:t>
      </w:r>
    </w:p>
    <w:p>
      <w:pPr>
        <w:spacing w:after="120" w:line="276" w:lineRule="auto"/>
      </w:pPr>
      <w:r>
        <w:t>**Bandes de Bollinger**: Le prix à 64 FCFA se positionne dans la partie médiane des bandes, entre la borne supérieure (77,886) et inférieure (59,014). Cette position neutre indique une phase de consolidation après un mouvement fort, avec une volatilité qui se normalise. La décision neutre est cohérente avec l'absence de signal directionnel clair.</w:t>
      </w:r>
    </w:p>
    <w:p>
      <w:pPr>
        <w:spacing w:after="120" w:line="276" w:lineRule="auto"/>
      </w:pPr>
      <w:r>
        <w:t>**MACD**: La valeur du MACD (4,584) est inférieure à son signal (6,489), formant une divergence baissière. Ce croisement indique un ralentissement du momentum haussier à court terme, justifiant la décision de vente. Cependant, le MACD reste en territoire positif, ce qui nuance le signal baissier.</w:t>
      </w:r>
    </w:p>
    <w:p>
      <w:pPr>
        <w:spacing w:after="120" w:line="276" w:lineRule="auto"/>
      </w:pPr>
      <w:r>
        <w:t>**RSI**: Avec une valeur de 40,816, le RSI se situe en zone neutre, sans être en survente ni en surachat. Cela indique que le marché n'est pas encore dans une condition extrême, laissant une marge de manœuvre dans les deux sens. La décision neutre est appropriée.</w:t>
      </w:r>
    </w:p>
    <w:p>
      <w:pPr>
        <w:spacing w:after="120" w:line="276" w:lineRule="auto"/>
      </w:pPr>
      <w:r>
        <w:t>**Stochastique**: Le %K (8,333) est très bas et inférieur au %D (18,889), indiquant une condition de survente sévère. Ce niveau suggère un potentiel de rebond technique imminent, justifiant la décision d'achat.</w:t>
      </w:r>
    </w:p>
    <w:p>
      <w:pPr>
        <w:spacing w:after="120" w:line="276" w:lineRule="auto"/>
      </w:pPr>
      <w:r>
        <w:t>**Conclusion technique**: Les indicateurs sont mitigés, avec des signaux de survente à court terme (Stochastique) contrastant avec un momentum baissier (MACD). La tendance de fond reste haussière (MM50), mais une consolidation est en cours. Le scénario le plus probable est un rebond technique à court terme, suivi d'une poursuite de la tendance haussière si le support des 59 FCFA tient.</w:t>
      </w:r>
    </w:p>
    <w:p>
      <w:pPr>
        <w:spacing w:after="120" w:line="276" w:lineRule="auto" w:before="240"/>
      </w:pPr>
      <w:r>
        <w:rPr>
          <w:b/>
          <w:color w:val="003366"/>
          <w:sz w:val="24"/>
        </w:rPr>
        <w:t>**PARTIE 3 : ANALYSE FONDAMENTALE (SECTION CRITIQUE)**</w:t>
      </w:r>
    </w:p>
    <w:p>
      <w:pPr>
        <w:spacing w:after="120" w:line="276" w:lineRule="auto"/>
      </w:pPr>
      <w:r>
        <w:t>En 2025, les données financières structurées d'ETIT révèlent une banque panafricaine de premier plan avec un Produit Net Bancaire (PNB) de 1 424,261 milliards FCFA et un résultat net de 345,523 milliards FCFA. La rentabilité des fonds propres (ROE) de 21,62% est excellente, largement au-dessus du seuil de 15% considéré comme sain, et le ROA de 1,80% est solide pour le secteur. Le coefficient d'exploitation de 27,35% est exceptionnel, démontrant une efficacité opérationnelle remarquable, bien en deçà de la barre des 60%. Cependant, le coût du risque de 18,97% est élevé, signalant un risque de crédit significatif sur le portefeuille de prêts. Les dépôts clientèle (14 120,139 Mds FCFA) financent largement les créances sur la clientèle (6 570,385 Mds FCFA), indiquant une transformation saine. Les rapports trimestriels de 2026 confirment cette dynamique : le T1 2026 affiche un PNB en hausse de 23% à 636,2 millions $EU et un résultat net de 142,5 millions $EU (+16%). Le rapport semestriel 2026 (publié le 21/07/2026) montre un PNB de 1 281 millions $EU (+15%) mais un coût du risque en forte hausse de +40%. Sur la base de ces données, on estime que l'exercice 2026 devrait voir le PNB dépasser les 2 800 millions $EU, avec un résultat net en légère progression, conditionné à la maîtrise du coût du risque.</w:t>
      </w:r>
    </w:p>
    <w:p>
      <w:pPr>
        <w:spacing w:after="120" w:line="276" w:lineRule="auto" w:before="240"/>
      </w:pPr>
      <w:r>
        <w:rPr>
          <w:b/>
          <w:color w:val="003366"/>
          <w:sz w:val="24"/>
        </w:rPr>
        <w:t>**PARTIE 4 : CONCLUSION D'INVESTISSEMENT**</w:t>
      </w:r>
    </w:p>
    <w:p>
      <w:pPr>
        <w:spacing w:after="120" w:line="276" w:lineRule="auto"/>
      </w:pPr>
      <w:r>
        <w:t>La synthèse globale révèle une action profondément sous-évaluée (PER 3,3x, P/B 0,72x) avec des fondamentaux solides, mais confrontée à une volatilité de cours extrême (+100% en 100 jours) et à des signaux techniques mitigés. La valorisation boursière est très attractive, mais le comportement du cours, avec un skewness positif et une volatilité de 62,6%, indique un risque élevé. Les signaux techniques sont divergents : survente à court terme (Stochastique) contre momentum baissier (MACD), suggérant une phase de consolidation. Les fondamentaux restent robustes avec une croissance du PNB de 15% au S1 2026, mais la hausse de 40% du coût du risque est un point de vigilance majeur. Les prédictions IA (J+1 à J+10) prévoient une chute continue du cours de 59 à 43 FCFA, contredisant les signaux de survente et suggérant une pression vendeuse persistante. Cette divergence entre le fondamental (sous-évalué) et le technique (baissier) nous conduit à une recommandation de **CONSERVER** avec un niveau de confiance **Moyen**. Le risque global est **Élevé** en raison de la volatilité et de l'incertitude sur le coût du risque. L'horizon d'investissement optimal est le **moyen terme (3-12 mois)**, attendant une stabilisation du cours et une clarification sur la qualité des actifs avant d'envisager un renforcement de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forte am\u00e9lioration de la rentabilit\u00e9 et reprise des dividendes. La qualit\u00e9 des actifs s'am\u00e9liore significativement avec des NPL au plus bas historique."}</w:t>
      </w:r>
    </w:p>
    <w:p>
      <w:pPr>
        <w:spacing w:before="40"/>
        <w:ind w:left="400"/>
      </w:pPr>
      <w:r>
        <w:rPr>
          <w:sz w:val="18"/>
        </w:rPr>
        <w:t>Ecobank Transnational Incorporated affiche des résultats exceptionnels en 2021 avec un résultat avant impôt en hausse de 174% à 478 millions $EU. Le produit net bancaire progresse de 5% à 1,8 milliard $EU tandis que le total du bilan atteint 27,6 milliards $EU (+6%). La banque présente une qualité de crédit remarquable avec des prêts non performants historiquement bas à 6,2%. Pour la première fois depuis 2016, le conseil d'administration recommande le versement de dividendes aux actionnaires. Cette performance s'inscrit dans un contexte de transformation stratégique réussie malgré les défis macroéconomiques.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'19%', 'NPL_ratio': '6,2%', 'ratio_efficacite': '58,9%', 'couverture_provisions': '&gt;100%'}</w:t>
            </w:r>
          </w:p>
        </w:tc>
        <w:tc>
          <w:tcPr>
            <w:tcW w:type="dxa" w:w="2160"/>
          </w:tcPr>
          <w:p>
            <w:pPr>
              <w:ind w:left="100"/>
            </w:pPr>
            <w:r/>
            <w:r>
              <w:rPr>
                <w:b/>
                <w:sz w:val="16"/>
              </w:rPr>
              <w:t>dividende</w:t>
              <w:br/>
            </w:r>
            <w:r>
              <w:rPr>
                <w:sz w:val="18"/>
              </w:rPr>
              <w:t>0,16 cents $EU</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27 561,8 millions $EU</w:t>
            </w:r>
          </w:p>
        </w:tc>
      </w:tr>
      <w:tr>
        <w:tc>
          <w:tcPr>
            <w:tcW w:type="dxa" w:w="2160"/>
          </w:tcPr>
          <w:p>
            <w:r/>
            <w:r>
              <w:rPr>
                <w:b/>
                <w:sz w:val="16"/>
              </w:rPr>
              <w:t>resultat_net</w:t>
              <w:br/>
            </w:r>
            <w:r>
              <w:rPr>
                <w:sz w:val="18"/>
              </w:rPr>
              <w:t>357,4 millions $EU</w:t>
            </w:r>
          </w:p>
        </w:tc>
        <w:tc>
          <w:tcPr>
            <w:tcW w:type="dxa" w:w="2160"/>
          </w:tcPr>
          <w:p>
            <w:r/>
            <w:r>
              <w:rPr>
                <w:b/>
                <w:sz w:val="16"/>
              </w:rPr>
              <w:t>capitaux_propres</w:t>
              <w:br/>
            </w:r>
            <w:r>
              <w:rPr>
                <w:sz w:val="18"/>
              </w:rPr>
              <w:t>2 164,3 millions $EU</w:t>
            </w:r>
          </w:p>
        </w:tc>
        <w:tc>
          <w:tcPr>
            <w:tcW w:type="dxa" w:w="2160"/>
          </w:tcPr>
          <w:p>
            <w:r/>
            <w:r>
              <w:rPr>
                <w:b/>
                <w:sz w:val="16"/>
              </w:rPr>
              <w:t>chiffre_affaires</w:t>
              <w:br/>
            </w:r>
            <w:r>
              <w:rPr>
                <w:sz w:val="18"/>
              </w:rPr>
              <w:t>1 756,7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avant impôt exceptionnel : +174% à 478 millions $EU</w:t>
      </w:r>
    </w:p>
    <w:p>
      <w:pPr>
        <w:pStyle w:val="ListBullet"/>
        <w:spacing w:before="20" w:after="20"/>
        <w:ind w:left="700"/>
      </w:pPr>
      <w:r>
        <w:rPr>
          <w:sz w:val="18"/>
        </w:rPr>
        <w:t>Produit net bancaire en croissance : +5% à 1,8 milliard $EU</w:t>
      </w:r>
    </w:p>
    <w:p>
      <w:pPr>
        <w:pStyle w:val="ListBullet"/>
        <w:spacing w:before="20" w:after="20"/>
        <w:ind w:left="700"/>
      </w:pPr>
      <w:r>
        <w:rPr>
          <w:sz w:val="18"/>
        </w:rPr>
        <w:t>Qualité de crédit excellente : NPL à 6,2%, niveau historiquement bas</w:t>
      </w:r>
    </w:p>
    <w:p>
      <w:pPr>
        <w:pStyle w:val="ListBullet"/>
        <w:spacing w:before="20" w:after="20"/>
        <w:ind w:left="700"/>
      </w:pPr>
      <w:r>
        <w:rPr>
          <w:sz w:val="18"/>
        </w:rPr>
        <w:t>Coefficient d'exploitation à 58,9%, plus bas niveau depuis 10 ans</w:t>
      </w:r>
    </w:p>
    <w:p>
      <w:pPr>
        <w:pStyle w:val="ListBullet"/>
        <w:spacing w:before="20" w:after="20"/>
        <w:ind w:left="700"/>
      </w:pPr>
      <w:r>
        <w:rPr>
          <w:sz w:val="18"/>
        </w:rPr>
        <w:t>ROTE record de 19%</w:t>
      </w:r>
    </w:p>
    <w:p>
      <w:pPr>
        <w:pStyle w:val="ListBullet"/>
        <w:spacing w:before="20" w:after="20"/>
        <w:ind w:left="700"/>
      </w:pPr>
      <w:r>
        <w:rPr>
          <w:sz w:val="18"/>
        </w:rPr>
        <w:t>Reprise du versement de dividendes après 5 ans d'interruption</w:t>
      </w:r>
    </w:p>
    <w:p>
      <w:pPr>
        <w:spacing w:before="40"/>
        <w:ind w:left="400"/>
      </w:pPr>
      <w:r>
        <w:rPr>
          <w:b/>
          <w:color w:val="C05000"/>
          <w:sz w:val="18"/>
        </w:rPr>
        <w:t xml:space="preserve">⚠️ Risques : </w:t>
      </w:r>
      <w:r>
        <w:rPr>
          <w:sz w:val="18"/>
        </w:rPr>
        <w:t>["Exposition aux risques g\u00e9opolitiques et inflation mondiale affectant les \u00e9conomies africaines", "Impact potentiel de la hausse des taux d'int\u00e9r\u00eat par les banques centrales mondiales", "Volatilit\u00e9 des devises locales face au dollar am\u00e9ricain dans un contexte d'incertit</w:t>
      </w:r>
    </w:p>
    <w:p>
      <w:pPr>
        <w:spacing w:before="40"/>
        <w:ind w:left="400"/>
      </w:pPr>
      <w:r>
        <w:rPr>
          <w:b/>
          <w:color w:val="0064A0"/>
          <w:sz w:val="18"/>
        </w:rPr>
        <w:t xml:space="preserve">🔮 Perspectives : </w:t>
      </w:r>
      <w:r>
        <w:rPr>
          <w:sz w:val="18"/>
        </w:rPr>
        <w:t>Les investissements stratégiques d'Ecobank et sa position de leader panafricain laissent présager une année 2022 prometteuse malgré les incertitudes géopolitiques. La banque bénéficiera de la reprise économique post-Covid tout en maintenant sa prudence face aux défis macroéconomiques mondiaux. La di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avec am\u00e9lioration des indicateurs de rentabilit\u00e9 et discipline des co\u00fbts. Cependant, l'environnement op\u00e9rationnel reste difficile avec l'inflation \u00e9lev\u00e9e et le renforcement du dollar am\u00e9ricain."}</w:t>
      </w:r>
    </w:p>
    <w:p>
      <w:pPr>
        <w:spacing w:before="40"/>
        <w:ind w:left="400"/>
      </w:pPr>
      <w:r>
        <w:rPr>
          <w:sz w:val="18"/>
        </w:rPr>
        <w:t>Ecobank a enregistré une solide performance au premier trimestre 2022 avec un résultat avant impôt en hausse de 25% à 125 millions USD et un résultat net en progression de 21% à 92 millions USD. Le produit net bancaire a progressé de 7% à 436 millions USD, soutenu par la croissance des revenus de trading, du cash management et des paiements. Le coefficient d'exploitation s'est amélioré à 58,0% contre 59,3% l'année précédente, témoignant d'une discipline dans la gestion des coûts. Le rendement des capitaux propres tangibles a atteint 18,9% contre 15,7% en glissement annuel. La banque maintient une position financière solide avec des niveaux de liquidités et de capital satisfaisants.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'18,9%', 'provisions_risque': '50,4 millions USD', 'resultat_par_action': '0,269 USD', 'coefficient_exploitation': '58,0%'}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21,1%</w:t>
            </w:r>
          </w:p>
        </w:tc>
        <w:tc>
          <w:tcPr>
            <w:tcW w:type="dxa" w:w="2160"/>
          </w:tcPr>
          <w:p>
            <w:pPr>
              <w:ind w:left="100"/>
            </w:pPr>
            <w:r/>
            <w:r>
              <w:rPr>
                <w:b/>
                <w:sz w:val="16"/>
              </w:rPr>
              <w:t>total_actif</w:t>
              <w:br/>
            </w:r>
            <w:r>
              <w:rPr>
                <w:sz w:val="18"/>
              </w:rPr>
              <w:t>27,1 milliards USD</w:t>
            </w:r>
          </w:p>
        </w:tc>
      </w:tr>
      <w:tr>
        <w:tc>
          <w:tcPr>
            <w:tcW w:type="dxa" w:w="2160"/>
          </w:tcPr>
          <w:p>
            <w:r/>
            <w:r>
              <w:rPr>
                <w:b/>
                <w:sz w:val="16"/>
              </w:rPr>
              <w:t>resultat_net</w:t>
              <w:br/>
            </w:r>
            <w:r>
              <w:rPr>
                <w:sz w:val="18"/>
              </w:rPr>
              <w:t>92,1 millions USD</w:t>
            </w:r>
          </w:p>
        </w:tc>
        <w:tc>
          <w:tcPr>
            <w:tcW w:type="dxa" w:w="2160"/>
          </w:tcPr>
          <w:p>
            <w:r/>
            <w:r>
              <w:rPr>
                <w:b/>
                <w:sz w:val="16"/>
              </w:rPr>
              <w:t>capitaux_propres</w:t>
              <w:br/>
            </w:r>
            <w:r>
              <w:rPr>
                <w:sz w:val="18"/>
              </w:rPr>
              <w:t>2,1 milliards USD</w:t>
            </w:r>
          </w:p>
        </w:tc>
        <w:tc>
          <w:tcPr>
            <w:tcW w:type="dxa" w:w="2160"/>
          </w:tcPr>
          <w:p>
            <w:r/>
            <w:r>
              <w:rPr>
                <w:b/>
                <w:sz w:val="16"/>
              </w:rPr>
              <w:t>chiffre_affaires</w:t>
              <w:br/>
            </w:r>
            <w:r>
              <w:rPr>
                <w:sz w:val="18"/>
              </w:rPr>
              <w:t>436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avant impôt de 25% à 125 millions USD</w:t>
      </w:r>
    </w:p>
    <w:p>
      <w:pPr>
        <w:pStyle w:val="ListBullet"/>
        <w:spacing w:before="20" w:after="20"/>
        <w:ind w:left="700"/>
      </w:pPr>
      <w:r>
        <w:rPr>
          <w:sz w:val="18"/>
        </w:rPr>
        <w:t>Progression du résultat net de 21% à 92,1 millions USD</w:t>
      </w:r>
    </w:p>
    <w:p>
      <w:pPr>
        <w:pStyle w:val="ListBullet"/>
        <w:spacing w:before="20" w:after="20"/>
        <w:ind w:left="700"/>
      </w:pPr>
      <w:r>
        <w:rPr>
          <w:sz w:val="18"/>
        </w:rPr>
        <w:t>Amélioration du coefficient d'exploitation à 58,0% vs 59,3% en 2021</w:t>
      </w:r>
    </w:p>
    <w:p>
      <w:pPr>
        <w:pStyle w:val="ListBullet"/>
        <w:spacing w:before="20" w:after="20"/>
        <w:ind w:left="700"/>
      </w:pPr>
      <w:r>
        <w:rPr>
          <w:sz w:val="18"/>
        </w:rPr>
        <w:t>Rendement des capitaux propres tangibles de 18,9% vs 15,7% l'année précédente</w:t>
      </w:r>
    </w:p>
    <w:p>
      <w:pPr>
        <w:pStyle w:val="ListBullet"/>
        <w:spacing w:before="20" w:after="20"/>
        <w:ind w:left="700"/>
      </w:pPr>
      <w:r>
        <w:rPr>
          <w:sz w:val="18"/>
        </w:rPr>
        <w:t>Croissance des bénéfices de 13%, 26% et 59% respectivement dans les pôles Grandes Entreprises, Particuliers et Banque Commerciale</w:t>
      </w:r>
    </w:p>
    <w:p>
      <w:pPr>
        <w:pStyle w:val="ListBullet"/>
        <w:spacing w:before="20" w:after="20"/>
        <w:ind w:left="700"/>
      </w:pPr>
      <w:r>
        <w:rPr>
          <w:sz w:val="18"/>
        </w:rPr>
        <w:t>Réduction du coût du risque de 11% grâce à l'amélioration de la qualité du portefeuille crédit</w:t>
      </w:r>
    </w:p>
    <w:p>
      <w:pPr>
        <w:spacing w:before="40"/>
        <w:ind w:left="400"/>
      </w:pPr>
      <w:r>
        <w:rPr>
          <w:b/>
          <w:color w:val="C05000"/>
          <w:sz w:val="18"/>
        </w:rPr>
        <w:t xml:space="preserve">⚠️ Risques : </w:t>
      </w:r>
      <w:r>
        <w:rPr>
          <w:sz w:val="18"/>
        </w:rPr>
        <w:t>["Impact n\u00e9gatif du renforcement du dollar am\u00e9ricain sur les devises d'exploitation locales", "Environnement d'inflation \u00e9lev\u00e9e et de taux d'int\u00e9r\u00eat croissants en Afrique", "Tensions g\u00e9opolitiques li\u00e9es au conflit russo-ukrainien affectant les march\u00e9s"]</w:t>
      </w:r>
    </w:p>
    <w:p>
      <w:pPr>
        <w:spacing w:before="40"/>
        <w:ind w:left="400"/>
      </w:pPr>
      <w:r>
        <w:rPr>
          <w:b/>
          <w:color w:val="0064A0"/>
          <w:sz w:val="18"/>
        </w:rPr>
        <w:t xml:space="preserve">🔮 Perspectives : </w:t>
      </w:r>
      <w:r>
        <w:rPr>
          <w:sz w:val="18"/>
        </w:rPr>
        <w:t>Ecobank vise un rendement des capitaux propres d'environ 20% à moyen terme et continue de réduire le ratio de créances douteuses vers un objectif de moins de 6%. La banque poursuivra ses investissements dans les offres numériques et les capacités de paiement tout en améliorant sa technologie de base</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28.07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3,690 titres</w:t>
            </w:r>
          </w:p>
        </w:tc>
        <w:tc>
          <w:tcPr>
            <w:tcW w:type="dxa" w:w="2268"/>
            <w:shd w:fill="FFF2CC" w:val="clear"/>
          </w:tcPr>
          <w:p>
            <w:r>
              <w:rPr>
                <w:b/>
                <w:color w:val="503200"/>
                <w:sz w:val="16"/>
              </w:rPr>
              <w:t xml:space="preserve">Cours actuel : </w:t>
            </w:r>
            <w:r>
              <w:rPr>
                <w:color w:val="000000"/>
                <w:sz w:val="17"/>
              </w:rPr>
              <w:t>1,990 FCFA</w:t>
            </w:r>
          </w:p>
          <w:p>
            <w:r>
              <w:rPr>
                <w:b/>
                <w:color w:val="503200"/>
                <w:sz w:val="16"/>
              </w:rPr>
              <w:t xml:space="preserve">Var. 100 jours : </w:t>
            </w:r>
            <w:r>
              <w:rPr>
                <w:b/>
                <w:color w:val="B40000"/>
                <w:sz w:val="17"/>
              </w:rPr>
              <w:t>-17.77%</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35.0%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7.04% (Moyenne) — μ=2,183 FCFA, σ=154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β=0.7832 (Défensif) — Cov=0.000028, Var(idx)=0.000036, ρ=0.214,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σ_j=2.21%/j (Stable) — Vol. annualisée≈35.0%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2026-08-06</w:t>
            </w:r>
          </w:p>
        </w:tc>
        <w:tc>
          <w:tcPr>
            <w:tcW w:type="dxa" w:w="1440"/>
            <w:shd w:fill="FAFAFA" w:val="clear"/>
          </w:tcPr>
          <w:p>
            <w:r>
              <w:rPr>
                <w:sz w:val="17"/>
              </w:rPr>
              <w:t>1,951</w:t>
            </w:r>
          </w:p>
        </w:tc>
        <w:tc>
          <w:tcPr>
            <w:tcW w:type="dxa" w:w="1440"/>
            <w:shd w:fill="FAFAFA" w:val="clear"/>
          </w:tcPr>
          <w:p>
            <w:r>
              <w:rPr>
                <w:b/>
                <w:sz w:val="17"/>
              </w:rPr>
              <w:t>1,999</w:t>
            </w:r>
          </w:p>
        </w:tc>
        <w:tc>
          <w:tcPr>
            <w:tcW w:type="dxa" w:w="1440"/>
            <w:shd w:fill="FAFAFA" w:val="clear"/>
          </w:tcPr>
          <w:p>
            <w:r>
              <w:rPr>
                <w:sz w:val="17"/>
              </w:rPr>
              <w:t>2,046</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2026-08-10</w:t>
            </w:r>
          </w:p>
        </w:tc>
        <w:tc>
          <w:tcPr>
            <w:tcW w:type="dxa" w:w="1440"/>
            <w:shd w:fill="FAFAFA" w:val="clear"/>
          </w:tcPr>
          <w:p>
            <w:r>
              <w:rPr>
                <w:sz w:val="17"/>
              </w:rPr>
              <w:t>1,940</w:t>
            </w:r>
          </w:p>
        </w:tc>
        <w:tc>
          <w:tcPr>
            <w:tcW w:type="dxa" w:w="1440"/>
            <w:shd w:fill="FAFAFA" w:val="clear"/>
          </w:tcPr>
          <w:p>
            <w:r>
              <w:rPr>
                <w:b/>
                <w:sz w:val="17"/>
              </w:rPr>
              <w:t>2,007</w:t>
            </w:r>
          </w:p>
        </w:tc>
        <w:tc>
          <w:tcPr>
            <w:tcW w:type="dxa" w:w="1440"/>
            <w:shd w:fill="FAFAFA" w:val="clear"/>
          </w:tcPr>
          <w:p>
            <w:r>
              <w:rPr>
                <w:sz w:val="17"/>
              </w:rPr>
              <w:t>2,074</w:t>
            </w:r>
          </w:p>
        </w:tc>
        <w:tc>
          <w:tcPr>
            <w:tcW w:type="dxa" w:w="1440"/>
            <w:shd w:fill="FAFAFA" w:val="clear"/>
          </w:tcPr>
          <w:p>
            <w:r>
              <w:rPr>
                <w:b/>
                <w:color w:val="008000"/>
                <w:sz w:val="17"/>
              </w:rPr>
              <w:t>+0.9%</w:t>
            </w:r>
          </w:p>
        </w:tc>
      </w:tr>
      <w:tr>
        <w:tc>
          <w:tcPr>
            <w:tcW w:type="dxa" w:w="1440"/>
            <w:shd w:fill="FAFAFA" w:val="clear"/>
          </w:tcPr>
          <w:p>
            <w:r>
              <w:rPr>
                <w:sz w:val="17"/>
              </w:rPr>
              <w:t>J+3  ⭐⭐⭐</w:t>
            </w:r>
          </w:p>
        </w:tc>
        <w:tc>
          <w:tcPr>
            <w:tcW w:type="dxa" w:w="1440"/>
            <w:shd w:fill="FAFAFA" w:val="clear"/>
          </w:tcPr>
          <w:p>
            <w:r>
              <w:rPr>
                <w:sz w:val="17"/>
              </w:rPr>
              <w:t>2026-08-11</w:t>
            </w:r>
          </w:p>
        </w:tc>
        <w:tc>
          <w:tcPr>
            <w:tcW w:type="dxa" w:w="1440"/>
            <w:shd w:fill="FAFAFA" w:val="clear"/>
          </w:tcPr>
          <w:p>
            <w:r>
              <w:rPr>
                <w:sz w:val="17"/>
              </w:rPr>
              <w:t>1,933</w:t>
            </w:r>
          </w:p>
        </w:tc>
        <w:tc>
          <w:tcPr>
            <w:tcW w:type="dxa" w:w="1440"/>
            <w:shd w:fill="FAFAFA" w:val="clear"/>
          </w:tcPr>
          <w:p>
            <w:r>
              <w:rPr>
                <w:b/>
                <w:sz w:val="17"/>
              </w:rPr>
              <w:t>2,015</w:t>
            </w:r>
          </w:p>
        </w:tc>
        <w:tc>
          <w:tcPr>
            <w:tcW w:type="dxa" w:w="1440"/>
            <w:shd w:fill="FAFAFA" w:val="clear"/>
          </w:tcPr>
          <w:p>
            <w:r>
              <w:rPr>
                <w:sz w:val="17"/>
              </w:rPr>
              <w:t>2,098</w:t>
            </w:r>
          </w:p>
        </w:tc>
        <w:tc>
          <w:tcPr>
            <w:tcW w:type="dxa" w:w="1440"/>
            <w:shd w:fill="FAFAFA" w:val="clear"/>
          </w:tcPr>
          <w:p>
            <w:r>
              <w:rPr>
                <w:b/>
                <w:color w:val="008000"/>
                <w:sz w:val="17"/>
              </w:rPr>
              <w:t>+1.3%</w:t>
            </w:r>
          </w:p>
        </w:tc>
      </w:tr>
      <w:tr>
        <w:tc>
          <w:tcPr>
            <w:tcW w:type="dxa" w:w="1440"/>
            <w:shd w:fill="FAFAFA" w:val="clear"/>
          </w:tcPr>
          <w:p>
            <w:r>
              <w:rPr>
                <w:sz w:val="17"/>
              </w:rPr>
              <w:t>J+4  Moyenne</w:t>
            </w:r>
          </w:p>
        </w:tc>
        <w:tc>
          <w:tcPr>
            <w:tcW w:type="dxa" w:w="1440"/>
            <w:shd w:fill="FAFAFA" w:val="clear"/>
          </w:tcPr>
          <w:p>
            <w:r>
              <w:rPr>
                <w:sz w:val="17"/>
              </w:rPr>
              <w:t>2026-08-12</w:t>
            </w:r>
          </w:p>
        </w:tc>
        <w:tc>
          <w:tcPr>
            <w:tcW w:type="dxa" w:w="1440"/>
            <w:shd w:fill="FAFAFA" w:val="clear"/>
          </w:tcPr>
          <w:p>
            <w:r>
              <w:rPr>
                <w:sz w:val="17"/>
              </w:rPr>
              <w:t>1,928</w:t>
            </w:r>
          </w:p>
        </w:tc>
        <w:tc>
          <w:tcPr>
            <w:tcW w:type="dxa" w:w="1440"/>
            <w:shd w:fill="FAFAFA" w:val="clear"/>
          </w:tcPr>
          <w:p>
            <w:r>
              <w:rPr>
                <w:b/>
                <w:sz w:val="17"/>
              </w:rPr>
              <w:t>2,023</w:t>
            </w:r>
          </w:p>
        </w:tc>
        <w:tc>
          <w:tcPr>
            <w:tcW w:type="dxa" w:w="1440"/>
            <w:shd w:fill="FAFAFA" w:val="clear"/>
          </w:tcPr>
          <w:p>
            <w:r>
              <w:rPr>
                <w:sz w:val="17"/>
              </w:rPr>
              <w:t>2,119</w:t>
            </w:r>
          </w:p>
        </w:tc>
        <w:tc>
          <w:tcPr>
            <w:tcW w:type="dxa" w:w="1440"/>
            <w:shd w:fill="FAFAFA" w:val="clear"/>
          </w:tcPr>
          <w:p>
            <w:r>
              <w:rPr>
                <w:b/>
                <w:color w:val="008000"/>
                <w:sz w:val="17"/>
              </w:rPr>
              <w:t>+1.7%</w:t>
            </w:r>
          </w:p>
        </w:tc>
      </w:tr>
      <w:tr>
        <w:tc>
          <w:tcPr>
            <w:tcW w:type="dxa" w:w="1440"/>
            <w:shd w:fill="C6EFCE" w:val="clear"/>
          </w:tcPr>
          <w:p>
            <w:r>
              <w:rPr>
                <w:sz w:val="17"/>
              </w:rPr>
              <w:t>J+5  Moyenne</w:t>
            </w:r>
          </w:p>
        </w:tc>
        <w:tc>
          <w:tcPr>
            <w:tcW w:type="dxa" w:w="1440"/>
            <w:shd w:fill="C6EFCE" w:val="clear"/>
          </w:tcPr>
          <w:p>
            <w:r>
              <w:rPr>
                <w:sz w:val="17"/>
              </w:rPr>
              <w:t>2026-08-13</w:t>
            </w:r>
          </w:p>
        </w:tc>
        <w:tc>
          <w:tcPr>
            <w:tcW w:type="dxa" w:w="1440"/>
            <w:shd w:fill="C6EFCE" w:val="clear"/>
          </w:tcPr>
          <w:p>
            <w:r>
              <w:rPr>
                <w:sz w:val="17"/>
              </w:rPr>
              <w:t>1,924</w:t>
            </w:r>
          </w:p>
        </w:tc>
        <w:tc>
          <w:tcPr>
            <w:tcW w:type="dxa" w:w="1440"/>
            <w:shd w:fill="C6EFCE" w:val="clear"/>
          </w:tcPr>
          <w:p>
            <w:r>
              <w:rPr>
                <w:b/>
                <w:sz w:val="17"/>
              </w:rPr>
              <w:t>2,032</w:t>
            </w:r>
          </w:p>
        </w:tc>
        <w:tc>
          <w:tcPr>
            <w:tcW w:type="dxa" w:w="1440"/>
            <w:shd w:fill="C6EFCE" w:val="clear"/>
          </w:tcPr>
          <w:p>
            <w:r>
              <w:rPr>
                <w:sz w:val="17"/>
              </w:rPr>
              <w:t>2,139</w:t>
            </w:r>
          </w:p>
        </w:tc>
        <w:tc>
          <w:tcPr>
            <w:tcW w:type="dxa" w:w="1440"/>
            <w:shd w:fill="C6EFCE" w:val="clear"/>
          </w:tcPr>
          <w:p>
            <w:r>
              <w:rPr>
                <w:b/>
                <w:color w:val="008000"/>
                <w:sz w:val="17"/>
              </w:rPr>
              <w:t>+2.1%</w:t>
            </w:r>
          </w:p>
        </w:tc>
      </w:tr>
      <w:tr>
        <w:tc>
          <w:tcPr>
            <w:tcW w:type="dxa" w:w="1440"/>
            <w:shd w:fill="C6EFCE" w:val="clear"/>
          </w:tcPr>
          <w:p>
            <w:r>
              <w:rPr>
                <w:sz w:val="17"/>
              </w:rPr>
              <w:t>J+6  Moyenne</w:t>
            </w:r>
          </w:p>
        </w:tc>
        <w:tc>
          <w:tcPr>
            <w:tcW w:type="dxa" w:w="1440"/>
            <w:shd w:fill="C6EFCE" w:val="clear"/>
          </w:tcPr>
          <w:p>
            <w:r>
              <w:rPr>
                <w:sz w:val="17"/>
              </w:rPr>
              <w:t>2026-08-14</w:t>
            </w:r>
          </w:p>
        </w:tc>
        <w:tc>
          <w:tcPr>
            <w:tcW w:type="dxa" w:w="1440"/>
            <w:shd w:fill="C6EFCE" w:val="clear"/>
          </w:tcPr>
          <w:p>
            <w:r>
              <w:rPr>
                <w:sz w:val="17"/>
              </w:rPr>
              <w:t>1,922</w:t>
            </w:r>
          </w:p>
        </w:tc>
        <w:tc>
          <w:tcPr>
            <w:tcW w:type="dxa" w:w="1440"/>
            <w:shd w:fill="C6EFCE" w:val="clear"/>
          </w:tcPr>
          <w:p>
            <w:r>
              <w:rPr>
                <w:b/>
                <w:sz w:val="17"/>
              </w:rPr>
              <w:t>2,040</w:t>
            </w:r>
          </w:p>
        </w:tc>
        <w:tc>
          <w:tcPr>
            <w:tcW w:type="dxa" w:w="1440"/>
            <w:shd w:fill="C6EFCE" w:val="clear"/>
          </w:tcPr>
          <w:p>
            <w:r>
              <w:rPr>
                <w:sz w:val="17"/>
              </w:rPr>
              <w:t>2,158</w:t>
            </w:r>
          </w:p>
        </w:tc>
        <w:tc>
          <w:tcPr>
            <w:tcW w:type="dxa" w:w="1440"/>
            <w:shd w:fill="C6EFCE" w:val="clear"/>
          </w:tcPr>
          <w:p>
            <w:r>
              <w:rPr>
                <w:b/>
                <w:color w:val="008000"/>
                <w:sz w:val="17"/>
              </w:rPr>
              <w:t>+2.5%</w:t>
            </w:r>
          </w:p>
        </w:tc>
      </w:tr>
      <w:tr>
        <w:tc>
          <w:tcPr>
            <w:tcW w:type="dxa" w:w="1440"/>
            <w:shd w:fill="C6EFCE" w:val="clear"/>
          </w:tcPr>
          <w:p>
            <w:r>
              <w:rPr>
                <w:sz w:val="17"/>
              </w:rPr>
              <w:t>J+7  Moyenne</w:t>
            </w:r>
          </w:p>
        </w:tc>
        <w:tc>
          <w:tcPr>
            <w:tcW w:type="dxa" w:w="1440"/>
            <w:shd w:fill="C6EFCE" w:val="clear"/>
          </w:tcPr>
          <w:p>
            <w:r>
              <w:rPr>
                <w:sz w:val="17"/>
              </w:rPr>
              <w:t>2026-08-17</w:t>
            </w:r>
          </w:p>
        </w:tc>
        <w:tc>
          <w:tcPr>
            <w:tcW w:type="dxa" w:w="1440"/>
            <w:shd w:fill="C6EFCE" w:val="clear"/>
          </w:tcPr>
          <w:p>
            <w:r>
              <w:rPr>
                <w:sz w:val="17"/>
              </w:rPr>
              <w:t>1,921</w:t>
            </w:r>
          </w:p>
        </w:tc>
        <w:tc>
          <w:tcPr>
            <w:tcW w:type="dxa" w:w="1440"/>
            <w:shd w:fill="C6EFCE" w:val="clear"/>
          </w:tcPr>
          <w:p>
            <w:r>
              <w:rPr>
                <w:b/>
                <w:sz w:val="17"/>
              </w:rPr>
              <w:t>2,049</w:t>
            </w:r>
          </w:p>
        </w:tc>
        <w:tc>
          <w:tcPr>
            <w:tcW w:type="dxa" w:w="1440"/>
            <w:shd w:fill="C6EFCE" w:val="clear"/>
          </w:tcPr>
          <w:p>
            <w:r>
              <w:rPr>
                <w:sz w:val="17"/>
              </w:rPr>
              <w:t>2,177</w:t>
            </w:r>
          </w:p>
        </w:tc>
        <w:tc>
          <w:tcPr>
            <w:tcW w:type="dxa" w:w="1440"/>
            <w:shd w:fill="C6EFCE" w:val="clear"/>
          </w:tcPr>
          <w:p>
            <w:r>
              <w:rPr>
                <w:b/>
                <w:color w:val="008000"/>
                <w:sz w:val="17"/>
              </w:rPr>
              <w:t>+2.9%</w:t>
            </w:r>
          </w:p>
        </w:tc>
      </w:tr>
      <w:tr>
        <w:tc>
          <w:tcPr>
            <w:tcW w:type="dxa" w:w="1440"/>
            <w:shd w:fill="C6EFCE" w:val="clear"/>
          </w:tcPr>
          <w:p>
            <w:r>
              <w:rPr>
                <w:sz w:val="17"/>
              </w:rPr>
              <w:t>J+8  Moyenne</w:t>
            </w:r>
          </w:p>
        </w:tc>
        <w:tc>
          <w:tcPr>
            <w:tcW w:type="dxa" w:w="1440"/>
            <w:shd w:fill="C6EFCE" w:val="clear"/>
          </w:tcPr>
          <w:p>
            <w:r>
              <w:rPr>
                <w:sz w:val="17"/>
              </w:rPr>
              <w:t>2026-08-18</w:t>
            </w:r>
          </w:p>
        </w:tc>
        <w:tc>
          <w:tcPr>
            <w:tcW w:type="dxa" w:w="1440"/>
            <w:shd w:fill="C6EFCE" w:val="clear"/>
          </w:tcPr>
          <w:p>
            <w:r>
              <w:rPr>
                <w:sz w:val="17"/>
              </w:rPr>
              <w:t>1,920</w:t>
            </w:r>
          </w:p>
        </w:tc>
        <w:tc>
          <w:tcPr>
            <w:tcW w:type="dxa" w:w="1440"/>
            <w:shd w:fill="C6EFCE" w:val="clear"/>
          </w:tcPr>
          <w:p>
            <w:r>
              <w:rPr>
                <w:b/>
                <w:sz w:val="17"/>
              </w:rPr>
              <w:t>2,057</w:t>
            </w:r>
          </w:p>
        </w:tc>
        <w:tc>
          <w:tcPr>
            <w:tcW w:type="dxa" w:w="1440"/>
            <w:shd w:fill="C6EFCE" w:val="clear"/>
          </w:tcPr>
          <w:p>
            <w:r>
              <w:rPr>
                <w:sz w:val="17"/>
              </w:rPr>
              <w:t>2,195</w:t>
            </w:r>
          </w:p>
        </w:tc>
        <w:tc>
          <w:tcPr>
            <w:tcW w:type="dxa" w:w="1440"/>
            <w:shd w:fill="C6EFCE" w:val="clear"/>
          </w:tcPr>
          <w:p>
            <w:r>
              <w:rPr>
                <w:b/>
                <w:color w:val="008000"/>
                <w:sz w:val="17"/>
              </w:rPr>
              <w:t>+3.4%</w:t>
            </w:r>
          </w:p>
        </w:tc>
      </w:tr>
      <w:tr>
        <w:tc>
          <w:tcPr>
            <w:tcW w:type="dxa" w:w="1440"/>
            <w:shd w:fill="C6EFCE" w:val="clear"/>
          </w:tcPr>
          <w:p>
            <w:r>
              <w:rPr>
                <w:sz w:val="17"/>
              </w:rPr>
              <w:t>J+9  Moyenne</w:t>
            </w:r>
          </w:p>
        </w:tc>
        <w:tc>
          <w:tcPr>
            <w:tcW w:type="dxa" w:w="1440"/>
            <w:shd w:fill="C6EFCE" w:val="clear"/>
          </w:tcPr>
          <w:p>
            <w:r>
              <w:rPr>
                <w:sz w:val="17"/>
              </w:rPr>
              <w:t>2026-08-19</w:t>
            </w:r>
          </w:p>
        </w:tc>
        <w:tc>
          <w:tcPr>
            <w:tcW w:type="dxa" w:w="1440"/>
            <w:shd w:fill="C6EFCE" w:val="clear"/>
          </w:tcPr>
          <w:p>
            <w:r>
              <w:rPr>
                <w:sz w:val="17"/>
              </w:rPr>
              <w:t>1,920</w:t>
            </w:r>
          </w:p>
        </w:tc>
        <w:tc>
          <w:tcPr>
            <w:tcW w:type="dxa" w:w="1440"/>
            <w:shd w:fill="C6EFCE" w:val="clear"/>
          </w:tcPr>
          <w:p>
            <w:r>
              <w:rPr>
                <w:b/>
                <w:sz w:val="17"/>
              </w:rPr>
              <w:t>2,066</w:t>
            </w:r>
          </w:p>
        </w:tc>
        <w:tc>
          <w:tcPr>
            <w:tcW w:type="dxa" w:w="1440"/>
            <w:shd w:fill="C6EFCE" w:val="clear"/>
          </w:tcPr>
          <w:p>
            <w:r>
              <w:rPr>
                <w:sz w:val="17"/>
              </w:rPr>
              <w:t>2,213</w:t>
            </w:r>
          </w:p>
        </w:tc>
        <w:tc>
          <w:tcPr>
            <w:tcW w:type="dxa" w:w="1440"/>
            <w:shd w:fill="C6EFCE" w:val="clear"/>
          </w:tcPr>
          <w:p>
            <w:r>
              <w:rPr>
                <w:b/>
                <w:color w:val="008000"/>
                <w:sz w:val="17"/>
              </w:rPr>
              <w:t>+3.8%</w:t>
            </w:r>
          </w:p>
        </w:tc>
      </w:tr>
      <w:tr>
        <w:tc>
          <w:tcPr>
            <w:tcW w:type="dxa" w:w="1440"/>
            <w:shd w:fill="C6EFCE" w:val="clear"/>
          </w:tcPr>
          <w:p>
            <w:r>
              <w:rPr>
                <w:sz w:val="17"/>
              </w:rPr>
              <w:t>J+10  Moyenne</w:t>
            </w:r>
          </w:p>
        </w:tc>
        <w:tc>
          <w:tcPr>
            <w:tcW w:type="dxa" w:w="1440"/>
            <w:shd w:fill="C6EFCE" w:val="clear"/>
          </w:tcPr>
          <w:p>
            <w:r>
              <w:rPr>
                <w:sz w:val="17"/>
              </w:rPr>
              <w:t>2026-08-20</w:t>
            </w:r>
          </w:p>
        </w:tc>
        <w:tc>
          <w:tcPr>
            <w:tcW w:type="dxa" w:w="1440"/>
            <w:shd w:fill="C6EFCE" w:val="clear"/>
          </w:tcPr>
          <w:p>
            <w:r>
              <w:rPr>
                <w:sz w:val="17"/>
              </w:rPr>
              <w:t>1,920</w:t>
            </w:r>
          </w:p>
        </w:tc>
        <w:tc>
          <w:tcPr>
            <w:tcW w:type="dxa" w:w="1440"/>
            <w:shd w:fill="C6EFCE" w:val="clear"/>
          </w:tcPr>
          <w:p>
            <w:r>
              <w:rPr>
                <w:b/>
                <w:sz w:val="17"/>
              </w:rPr>
              <w:t>2,075</w:t>
            </w:r>
          </w:p>
        </w:tc>
        <w:tc>
          <w:tcPr>
            <w:tcW w:type="dxa" w:w="1440"/>
            <w:shd w:fill="C6EFCE" w:val="clear"/>
          </w:tcPr>
          <w:p>
            <w:r>
              <w:rPr>
                <w:sz w:val="17"/>
              </w:rPr>
              <w:t>2,230</w:t>
            </w:r>
          </w:p>
        </w:tc>
        <w:tc>
          <w:tcPr>
            <w:tcW w:type="dxa" w:w="1440"/>
            <w:shd w:fill="C6EFCE" w:val="clear"/>
          </w:tcPr>
          <w:p>
            <w:r>
              <w:rPr>
                <w:b/>
                <w:color w:val="008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**Date : 05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28,07 milliards FCFA, un niveau modeste pour la BRVM, reflétant un profil de valeur moyenne. Le BPA de 33 FCFA par action est faible, ce qui explique un PER de 60,2x, extrêmement élevé par rapport à la moyenne historique de la BRVM (8-12x). Les investisseurs paient donc un prix très cher pour chaque franc de bénéfice, ce qui traduit une anticipation de croissance future ou une prime spéculative. Le P/B de 1,79x indique que le marché valorise la société à près du double de sa valeur comptable, ce qui est raisonnable. Cependant, l'EV/EBITDA de 36,6x est très exigeant, signalant que la valeur d'entreprise est disproportionnée par rapport à sa capacité opérationnelle de génération de cash. Ces ratios suggèrent une surévaluation relative du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FTSC a enregistré une baisse significative de -17,77%, avec un cours actuel de 1 990 FCFA, bien que la dernière séance montre un rebond de +1,02%. Le titre a évolué dans une fourchette de 1 910 à 2 430 FCFA, démontrant une amplitude de trading notable. La tendance générale est baissière, le cours se situant sous sa moyenne (2 183 FCFA) et sa médiane (2 220 FCFA), ce qui indique une distribution asymétrique avec une pression vendeuse dominante. L'écart-type de 154 FCFA (CV=7,1%) révèle une dispersion modérée, tandis que le kurtosis de -1,274 (platykurtique) suggère une distribution aplatie avec peu de pics extrêmes, et le skewness de -0,262 confirme une légère asymétrie négative. La volatilité annualisée de 35,0% est élevée (&gt;30%), indiquant un risque de marché substantiel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à 1 973,75 FCFA et la MM50 à 2 085,1 FCFA sont toutes deux au-dessus du cours actuel (1 990 FCFA), bien que la MM20 soit proche du prix. Cette configuration baissière, où le cours évolue sous les deux moyennes, justifie la décision de Vente, signalant une dynamique négative à court et moyen terme.</w:t>
      </w:r>
    </w:p>
    <w:p>
      <w:pPr>
        <w:spacing w:after="120" w:line="276" w:lineRule="auto"/>
      </w:pPr>
      <w:r>
        <w:t>**Bandes de Bollinger :** Le cours à 1 990 FCFA se situe entre la borne inférieure (1 924,35 FCFA) et la borne supérieure (2 023,15 FCFA), proche du milieu de la bande. La décision Neutre est appropriée, indiquant une volatilité modérée sans cassure directionnelle claire. Le prix n'est ni suracheté ni survendu, laissant place à une consolidation.</w:t>
      </w:r>
    </w:p>
    <w:p>
      <w:pPr>
        <w:spacing w:after="120" w:line="276" w:lineRule="auto"/>
      </w:pPr>
      <w:r>
        <w:t>**MACD :** La valeur du MACD (-29,11) est supérieure à sa ligne de signal (-36,52), formant un croisement haussier. Bien que les deux soient en territoire négatif, cette divergence positive suggère un momentum à la hausse, justifiant la décision d'Achat. Cela pourrait annoncer un retournement de tendance après la baisse récente.</w:t>
      </w:r>
    </w:p>
    <w:p>
      <w:pPr>
        <w:spacing w:after="120" w:line="276" w:lineRule="auto"/>
      </w:pPr>
      <w:r>
        <w:t>**RSI :** Le RSI à 49,32 est en zone neutre (30-70), indiquant un équilibre entre pression acheteuse et vendeuse. La décision Neutre est cohérente, le titre n'étant ni suracheté ni survendu, ce qui laisse place à une évolution directionnelle sans signal fort.</w:t>
      </w:r>
    </w:p>
    <w:p>
      <w:pPr>
        <w:spacing w:after="120" w:line="276" w:lineRule="auto"/>
      </w:pPr>
      <w:r>
        <w:t>**Stochastique :** Le %K à 100,0 est extrêmement élevé, tandis que le %D à 56,86 est plus bas, créant un croisement baissier. Cette configuration signale une condition de surachat sévère, justifiant la décision de Vente. Un repli technique est probable à très court terme.</w:t>
      </w:r>
    </w:p>
    <w:p>
      <w:pPr>
        <w:spacing w:after="120" w:line="276" w:lineRule="auto"/>
      </w:pPr>
      <w:r>
        <w:t>**Conclusion technique :** Les indicateurs sont mitigés : les moyennes mobiles et le stochastique penchent vers une vente, tandis que le MACD suggère un achat. Le RSI et les bandes de Bollinger sont neutres. Cette divergence indique une phase de transition incertaine, avec un biais baissier à court terme mais un potentiel de rebond technique.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structurés de FTSC révèlent un chiffre d'affaires de 32,109 milliards FCFA, en croissance de 4,6%, mais un résultat net de seulement 465,98 millions FCFA, soit une marge nette de 1,45%. La rentabilité des fonds propres (ROE) est faible à 2,97%, et le ROA à 1,19%, indiquant une utilisation peu efficace des actifs. Le BFR de 11,529 milliards FCFA est positif, ce qui est défavorable pour une entreprise, signalant un besoin de financement important. Les délais clients de 213,72 jours sont très élevés, représentant un risque de trésorerie majeur, tandis que le délai fournisseurs de 140,71 jours est moins favorable. La capacité de remboursement de 11,49 ans est préoccupante. Les rapports trimestriels 2025 montrent une amélioration opérationnelle : le T1 2025 (CA +7%) et le S1 2025 (CA +11%, résultat net de 105 millions) indiquent une reprise, mais le T3 2025 (CA -1%, résultat courant de -216 millions) révèle une dégradation, dépendant fortement de la campagne cacaoyère. Le rapport annuel 2024, avec un résultat net exceptionnel de 18,595 milliards (largement artificiel), masque une faiblesse opérationnelle. On estime que l'exercice 2025 sera difficile, avec une rentabilité opérationnelle fragile et une dépendance aux revenus non récurrents.</w:t>
      </w:r>
    </w:p>
    <w:p>
      <w:pPr>
        <w:spacing w:after="120" w:line="276" w:lineRule="auto"/>
      </w:pPr>
      <w:r>
        <w:t>---</w:t>
      </w:r>
    </w:p>
    <w:p>
      <w:pPr>
        <w:spacing w:after="120" w:line="276" w:lineRule="auto"/>
      </w:pPr>
      <w:r>
        <w:t>### PARTIE 4 : CONCLUSION D'INVESTISSEMENT</w:t>
      </w:r>
    </w:p>
    <w:p>
      <w:pPr>
        <w:spacing w:after="120" w:line="276" w:lineRule="auto"/>
      </w:pPr>
      <w:r>
        <w:t>La valorisation de FTSC est extrêmement exigeante (PER 60,2x, EV/EBITDA 36,6x), indiquant une surévaluation malgré un P/B raisonnable. Le comportement du cours est baissier (-17,77% sur 100 jours) avec une volatilité élevée (35%), et les statistiques montrent une distribution platykurtique avec un skewness négatif, signalant un risque de baisse persistante. Les signaux techniques sont mitigés, avec une divergence entre les indicateurs de vente (MM, Stochastique) et d'achat (MACD), suggérant une incertitude. Fondamentalement, la société est fragile avec un ROE de 2,97%, un BFR élevé et des délais clients problématiques, bien que les rapports trimestriels montrent une amélioration opérationnelle. Les prédictions IA (1 999 à 2 032 FCFA sur 10 jours) prévoient une légère hausse, contredisant la tendance baissière mais confirmant le potentiel de rebond technique du MACD. En synthèse, la convergence est faible entre une valorisation surévaluée, des fondamentaux faibles et des signaux techniques mixtes. **Recommandation : VENTE** avec un niveau de confiance Moyen, un risque global Élevé, et un horizon d'investissement optimal à court terme (&lt;3 mois) pour éviter une dépréciation supplémentaire.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validation des comptes par des auditeurs de renom sans anomalies significatives t\u00e9moigne d'une gestion saine. Cependant, l'absence de donn\u00e9es financi\u00e8res d\u00e9taill\u00e9es limite l'analyse de la performance op\u00e9rationnelle."}</w:t>
      </w:r>
    </w:p>
    <w:p>
      <w:pPr>
        <w:spacing w:before="40"/>
        <w:ind w:left="400"/>
      </w:pPr>
      <w:r>
        <w:rPr>
          <w:sz w:val="18"/>
        </w:rPr>
        <w:t>FILTISAC (Filatures, Tissages, Sacs de Côte d'Ivoire, S.A.) est une société cotée à la BRVM spécialisée dans le secteur textile. Le document présente une attestation des commissaires aux comptes KPMG Côte d'Ivoire et Ernst &amp; Young sur les états financiers semestriels au 30 juin 2021. Les auditeurs ont effectué un examen limité conformément aux normes ISRE 2410 et aux dispositions OHADA. L'examen limité n'a pas révélé de faits laissant penser que les comptes ne sont pas établis conformément aux normes en vigueur. Le document atteste de la régularité des états financiers semestriels selon les référentiels comptables OHADA et 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Société cotée à la BRVM active dans le secteur des filatures et tissages</w:t>
      </w:r>
    </w:p>
    <w:p>
      <w:pPr>
        <w:pStyle w:val="ListBullet"/>
        <w:spacing w:before="20" w:after="20"/>
        <w:ind w:left="700"/>
      </w:pPr>
      <w:r>
        <w:rPr>
          <w:sz w:val="18"/>
        </w:rPr>
        <w:t>Audit semestriel réalisé par deux cabinets renommés : KPMG et Ernst &amp; Young</w:t>
      </w:r>
    </w:p>
    <w:p>
      <w:pPr>
        <w:pStyle w:val="ListBullet"/>
        <w:spacing w:before="20" w:after="20"/>
        <w:ind w:left="700"/>
      </w:pPr>
      <w:r>
        <w:rPr>
          <w:sz w:val="18"/>
        </w:rPr>
        <w:t>Examen limité conforme aux normes internationales ISRE 2410</w:t>
      </w:r>
    </w:p>
    <w:p>
      <w:pPr>
        <w:pStyle w:val="ListBullet"/>
        <w:spacing w:before="20" w:after="20"/>
        <w:ind w:left="700"/>
      </w:pPr>
      <w:r>
        <w:rPr>
          <w:sz w:val="18"/>
        </w:rPr>
        <w:t>Conformité aux dispositions OHADA et réglementations UMOA</w:t>
      </w:r>
    </w:p>
    <w:p>
      <w:pPr>
        <w:pStyle w:val="ListBullet"/>
        <w:spacing w:before="20" w:after="20"/>
        <w:ind w:left="700"/>
      </w:pPr>
      <w:r>
        <w:rPr>
          <w:sz w:val="18"/>
        </w:rPr>
        <w:t>Aucune anomalie significative détectée lors de l'examen limité</w:t>
      </w:r>
    </w:p>
    <w:p>
      <w:pPr>
        <w:pStyle w:val="ListBullet"/>
        <w:spacing w:before="20" w:after="20"/>
        <w:ind w:left="700"/>
      </w:pPr>
      <w:r>
        <w:rPr>
          <w:sz w:val="18"/>
        </w:rPr>
        <w:t>États financiers semestriels validés pour la période du 1er janvier au 30 juin 2021</w:t>
      </w:r>
    </w:p>
    <w:p>
      <w:pPr>
        <w:spacing w:before="40"/>
        <w:ind w:left="400"/>
      </w:pPr>
      <w:r>
        <w:rPr>
          <w:b/>
          <w:color w:val="C05000"/>
          <w:sz w:val="18"/>
        </w:rPr>
        <w:t xml:space="preserve">⚠️ Risques : </w:t>
      </w:r>
      <w:r>
        <w:rPr>
          <w:sz w:val="18"/>
        </w:rPr>
        <w:t>["Volatilit\u00e9 du secteur textile africain face \u00e0 la concurrence internationale", "D\u00e9pendance aux conditions \u00e9conomiques r\u00e9gionales UMOA", "Risques li\u00e9s aux mati\u00e8res premi\u00e8res et co\u00fbts de production"]</w:t>
      </w:r>
    </w:p>
    <w:p>
      <w:pPr>
        <w:spacing w:before="40"/>
        <w:ind w:left="400"/>
      </w:pPr>
      <w:r>
        <w:rPr>
          <w:b/>
          <w:color w:val="0064A0"/>
          <w:sz w:val="18"/>
        </w:rPr>
        <w:t xml:space="preserve">🔮 Perspectives : </w:t>
      </w:r>
      <w:r>
        <w:rPr>
          <w:sz w:val="18"/>
        </w:rPr>
        <w:t>Les perspectives restent à évaluer en fonction des résultats financiers détaillés qui ne sont pas disponibles dans ce document d'attestation. La validation comptable constitue néanmoins un signal positif pour la gouvernance de l'entreprise.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conjoncturelles du T1 2022, la soci\u00e9t\u00e9 maintient sa croissance d'activit\u00e9 et b\u00e9n\u00e9ficie de perspectives commerciales favorables. La situation difficile semble temporaire li\u00e9e au contexte \u00e9conomique mondial."}</w:t>
      </w:r>
    </w:p>
    <w:p>
      <w:pPr>
        <w:spacing w:before="40"/>
        <w:ind w:left="400"/>
      </w:pPr>
      <w:r>
        <w:rPr>
          <w:sz w:val="18"/>
        </w:rPr>
        <w:t>FILTISAC CI présente des résultats financiers mitigés au premier trimestre 2022. Le chiffre d'affaires progresse de 10% à 10 935 millions FCFA, porté notamment par les activités du département Jute. Cependant, la société affiche une perte d'exploitation de 103 millions FCFA contre un bénéfice de 322 millions l'année précédente. Le résultat courant avant impôt se dégrade fortement à -382 millions FCFA contre +204 millions en 2021. Cette détérioration s'explique principalement par la hausse du coût des matières premières qui a impacté les marges malgré la croissance du chiffre d'affaires.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'+10%', 'capital_social': '8 814 837 500 FCFA', 'resultat_exploitation': '-103 millions FCFA', 'resultat_courant_avant_impot': '-382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10 935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 à 10 935 millions FCFA au T1 2022</w:t>
      </w:r>
    </w:p>
    <w:p>
      <w:pPr>
        <w:pStyle w:val="ListBullet"/>
        <w:spacing w:before="20" w:after="20"/>
        <w:ind w:left="700"/>
      </w:pPr>
      <w:r>
        <w:rPr>
          <w:sz w:val="18"/>
        </w:rPr>
        <w:t>Perte d'exploitation de 103 millions FCFA contre un bénéfice de 322 millions en 2021</w:t>
      </w:r>
    </w:p>
    <w:p>
      <w:pPr>
        <w:pStyle w:val="ListBullet"/>
        <w:spacing w:before="20" w:after="20"/>
        <w:ind w:left="700"/>
      </w:pPr>
      <w:r>
        <w:rPr>
          <w:sz w:val="18"/>
        </w:rPr>
        <w:t>Dégradation du résultat courant avant impôt à -382 millions FCFA (-287%)</w:t>
      </w:r>
    </w:p>
    <w:p>
      <w:pPr>
        <w:pStyle w:val="ListBullet"/>
        <w:spacing w:before="20" w:after="20"/>
        <w:ind w:left="700"/>
      </w:pPr>
      <w:r>
        <w:rPr>
          <w:sz w:val="18"/>
        </w:rPr>
        <w:t>Impact négatif de la hausse des coûts des matières premières sur les marges</w:t>
      </w:r>
    </w:p>
    <w:p>
      <w:pPr>
        <w:pStyle w:val="ListBullet"/>
        <w:spacing w:before="20" w:after="20"/>
        <w:ind w:left="700"/>
      </w:pPr>
      <w:r>
        <w:rPr>
          <w:sz w:val="18"/>
        </w:rPr>
        <w:t>Suspension des exportations vers le Mali pénalisant les ventes de polymères</w:t>
      </w:r>
    </w:p>
    <w:p>
      <w:pPr>
        <w:pStyle w:val="ListBullet"/>
        <w:spacing w:before="20" w:after="20"/>
        <w:ind w:left="700"/>
      </w:pPr>
      <w:r>
        <w:rPr>
          <w:sz w:val="18"/>
        </w:rPr>
        <w:t>Contexte économique mondial difficile avec hausse des prix et perturbations logistiques</w:t>
      </w:r>
    </w:p>
    <w:p>
      <w:pPr>
        <w:spacing w:before="40"/>
        <w:ind w:left="400"/>
      </w:pPr>
      <w:r>
        <w:rPr>
          <w:b/>
          <w:color w:val="C05000"/>
          <w:sz w:val="18"/>
        </w:rPr>
        <w:t xml:space="preserve">⚠️ Risques : </w:t>
      </w:r>
      <w:r>
        <w:rPr>
          <w:sz w:val="18"/>
        </w:rPr>
        <w:t>["Volatilit\u00e9 continue des prix des mati\u00e8res premi\u00e8res impactant la rentabilit\u00e9", "Perturbations de la cha\u00eene logistique notamment sur les approvisionnements asiatiques", "Instabilit\u00e9 g\u00e9opolitique r\u00e9gionale affectant les exportations vers le Mali"]</w:t>
      </w:r>
    </w:p>
    <w:p>
      <w:pPr>
        <w:spacing w:before="40"/>
        <w:ind w:left="400"/>
      </w:pPr>
      <w:r>
        <w:rPr>
          <w:b/>
          <w:color w:val="0064A0"/>
          <w:sz w:val="18"/>
        </w:rPr>
        <w:t xml:space="preserve">🔮 Perspectives : </w:t>
      </w:r>
      <w:r>
        <w:rPr>
          <w:sz w:val="18"/>
        </w:rPr>
        <w:t>Les prévisions commerciales s'annoncent satisfaisantes avec une demande soutenue d'emballages destinés aux filières agricoles en croissance. L'amélioration de la productivité, particulièrement sur l'usine Jute, devrait contribuer à redresser la rentabilité dans les prochains trimestres.</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86.00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2,674 titres</w:t>
            </w:r>
          </w:p>
        </w:tc>
        <w:tc>
          <w:tcPr>
            <w:tcW w:type="dxa" w:w="2268"/>
            <w:shd w:fill="FFF2CC" w:val="clear"/>
          </w:tcPr>
          <w:p>
            <w:r>
              <w:rPr>
                <w:b/>
                <w:color w:val="503200"/>
                <w:sz w:val="16"/>
              </w:rPr>
              <w:t xml:space="preserve">Cours actuel : </w:t>
            </w:r>
            <w:r>
              <w:rPr>
                <w:color w:val="000000"/>
                <w:sz w:val="17"/>
              </w:rPr>
              <w:t>4,300 FCFA</w:t>
            </w:r>
          </w:p>
          <w:p>
            <w:r>
              <w:rPr>
                <w:b/>
                <w:color w:val="503200"/>
                <w:sz w:val="16"/>
              </w:rPr>
              <w:t xml:space="preserve">Var. 100 jours : </w:t>
            </w:r>
            <w:r>
              <w:rPr>
                <w:b/>
                <w:color w:val="007800"/>
                <w:sz w:val="17"/>
              </w:rPr>
              <w:t>+12.86%</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5.17% (Moyenne) — μ=4,013 FCFA, σ=207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β=0.3728 (Défensif) — Cov=0.000014, Var(idx)=0.000036, ρ=0.101,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σ_j=2.21%/j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2026-08-06</w:t>
            </w:r>
          </w:p>
        </w:tc>
        <w:tc>
          <w:tcPr>
            <w:tcW w:type="dxa" w:w="1440"/>
            <w:shd w:fill="FFDCE0" w:val="clear"/>
          </w:tcPr>
          <w:p>
            <w:r>
              <w:rPr>
                <w:sz w:val="17"/>
              </w:rPr>
              <w:t>3,964</w:t>
            </w:r>
          </w:p>
        </w:tc>
        <w:tc>
          <w:tcPr>
            <w:tcW w:type="dxa" w:w="1440"/>
            <w:shd w:fill="FFDCE0" w:val="clear"/>
          </w:tcPr>
          <w:p>
            <w:r>
              <w:rPr>
                <w:b/>
                <w:sz w:val="17"/>
              </w:rPr>
              <w:t>4,200</w:t>
            </w:r>
          </w:p>
        </w:tc>
        <w:tc>
          <w:tcPr>
            <w:tcW w:type="dxa" w:w="1440"/>
            <w:shd w:fill="FFDCE0" w:val="clear"/>
          </w:tcPr>
          <w:p>
            <w:r>
              <w:rPr>
                <w:sz w:val="17"/>
              </w:rPr>
              <w:t>4,436</w:t>
            </w:r>
          </w:p>
        </w:tc>
        <w:tc>
          <w:tcPr>
            <w:tcW w:type="dxa" w:w="1440"/>
            <w:shd w:fill="FFDCE0" w:val="clear"/>
          </w:tcPr>
          <w:p>
            <w:r>
              <w:rPr>
                <w:b/>
                <w:color w:val="C00000"/>
                <w:sz w:val="17"/>
              </w:rPr>
              <w:t>-2.3%</w:t>
            </w:r>
          </w:p>
        </w:tc>
      </w:tr>
      <w:tr>
        <w:tc>
          <w:tcPr>
            <w:tcW w:type="dxa" w:w="1440"/>
            <w:shd w:fill="FFDCE0" w:val="clear"/>
          </w:tcPr>
          <w:p>
            <w:r>
              <w:rPr>
                <w:sz w:val="17"/>
              </w:rPr>
              <w:t>J+2  Moyenne</w:t>
            </w:r>
          </w:p>
        </w:tc>
        <w:tc>
          <w:tcPr>
            <w:tcW w:type="dxa" w:w="1440"/>
            <w:shd w:fill="FFDCE0" w:val="clear"/>
          </w:tcPr>
          <w:p>
            <w:r>
              <w:rPr>
                <w:sz w:val="17"/>
              </w:rPr>
              <w:t>2026-08-10</w:t>
            </w:r>
          </w:p>
        </w:tc>
        <w:tc>
          <w:tcPr>
            <w:tcW w:type="dxa" w:w="1440"/>
            <w:shd w:fill="FFDCE0" w:val="clear"/>
          </w:tcPr>
          <w:p>
            <w:r>
              <w:rPr>
                <w:sz w:val="17"/>
              </w:rPr>
              <w:t>3,851</w:t>
            </w:r>
          </w:p>
        </w:tc>
        <w:tc>
          <w:tcPr>
            <w:tcW w:type="dxa" w:w="1440"/>
            <w:shd w:fill="FFDCE0" w:val="clear"/>
          </w:tcPr>
          <w:p>
            <w:r>
              <w:rPr>
                <w:b/>
                <w:sz w:val="17"/>
              </w:rPr>
              <w:t>4,183</w:t>
            </w:r>
          </w:p>
        </w:tc>
        <w:tc>
          <w:tcPr>
            <w:tcW w:type="dxa" w:w="1440"/>
            <w:shd w:fill="FFDCE0" w:val="clear"/>
          </w:tcPr>
          <w:p>
            <w:r>
              <w:rPr>
                <w:sz w:val="17"/>
              </w:rPr>
              <w:t>4,515</w:t>
            </w:r>
          </w:p>
        </w:tc>
        <w:tc>
          <w:tcPr>
            <w:tcW w:type="dxa" w:w="1440"/>
            <w:shd w:fill="FFDCE0" w:val="clear"/>
          </w:tcPr>
          <w:p>
            <w:r>
              <w:rPr>
                <w:b/>
                <w:color w:val="C00000"/>
                <w:sz w:val="17"/>
              </w:rPr>
              <w:t>-2.7%</w:t>
            </w:r>
          </w:p>
        </w:tc>
      </w:tr>
      <w:tr>
        <w:tc>
          <w:tcPr>
            <w:tcW w:type="dxa" w:w="1440"/>
            <w:shd w:fill="FFDCE0" w:val="clear"/>
          </w:tcPr>
          <w:p>
            <w:r>
              <w:rPr>
                <w:sz w:val="17"/>
              </w:rPr>
              <w:t>J+3  Moyenne</w:t>
            </w:r>
          </w:p>
        </w:tc>
        <w:tc>
          <w:tcPr>
            <w:tcW w:type="dxa" w:w="1440"/>
            <w:shd w:fill="FFDCE0" w:val="clear"/>
          </w:tcPr>
          <w:p>
            <w:r>
              <w:rPr>
                <w:sz w:val="17"/>
              </w:rPr>
              <w:t>2026-08-11</w:t>
            </w:r>
          </w:p>
        </w:tc>
        <w:tc>
          <w:tcPr>
            <w:tcW w:type="dxa" w:w="1440"/>
            <w:shd w:fill="FFDCE0" w:val="clear"/>
          </w:tcPr>
          <w:p>
            <w:r>
              <w:rPr>
                <w:sz w:val="17"/>
              </w:rPr>
              <w:t>3,759</w:t>
            </w:r>
          </w:p>
        </w:tc>
        <w:tc>
          <w:tcPr>
            <w:tcW w:type="dxa" w:w="1440"/>
            <w:shd w:fill="FFDCE0" w:val="clear"/>
          </w:tcPr>
          <w:p>
            <w:r>
              <w:rPr>
                <w:b/>
                <w:sz w:val="17"/>
              </w:rPr>
              <w:t>4,164</w:t>
            </w:r>
          </w:p>
        </w:tc>
        <w:tc>
          <w:tcPr>
            <w:tcW w:type="dxa" w:w="1440"/>
            <w:shd w:fill="FFDCE0" w:val="clear"/>
          </w:tcPr>
          <w:p>
            <w:r>
              <w:rPr>
                <w:sz w:val="17"/>
              </w:rPr>
              <w:t>4,569</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2026-08-12</w:t>
            </w:r>
          </w:p>
        </w:tc>
        <w:tc>
          <w:tcPr>
            <w:tcW w:type="dxa" w:w="1440"/>
            <w:shd w:fill="FFDCE0" w:val="clear"/>
          </w:tcPr>
          <w:p>
            <w:r>
              <w:rPr>
                <w:sz w:val="17"/>
              </w:rPr>
              <w:t>3,677</w:t>
            </w:r>
          </w:p>
        </w:tc>
        <w:tc>
          <w:tcPr>
            <w:tcW w:type="dxa" w:w="1440"/>
            <w:shd w:fill="FFDCE0" w:val="clear"/>
          </w:tcPr>
          <w:p>
            <w:r>
              <w:rPr>
                <w:b/>
                <w:sz w:val="17"/>
              </w:rPr>
              <w:t>4,143</w:t>
            </w:r>
          </w:p>
        </w:tc>
        <w:tc>
          <w:tcPr>
            <w:tcW w:type="dxa" w:w="1440"/>
            <w:shd w:fill="FFDCE0" w:val="clear"/>
          </w:tcPr>
          <w:p>
            <w:r>
              <w:rPr>
                <w:sz w:val="17"/>
              </w:rPr>
              <w:t>4,608</w:t>
            </w:r>
          </w:p>
        </w:tc>
        <w:tc>
          <w:tcPr>
            <w:tcW w:type="dxa" w:w="1440"/>
            <w:shd w:fill="FFDCE0" w:val="clear"/>
          </w:tcPr>
          <w:p>
            <w:r>
              <w:rPr>
                <w:b/>
                <w:color w:val="C00000"/>
                <w:sz w:val="17"/>
              </w:rPr>
              <w:t>-3.7%</w:t>
            </w:r>
          </w:p>
        </w:tc>
      </w:tr>
      <w:tr>
        <w:tc>
          <w:tcPr>
            <w:tcW w:type="dxa" w:w="1440"/>
            <w:shd w:fill="FFDCE0" w:val="clear"/>
          </w:tcPr>
          <w:p>
            <w:r>
              <w:rPr>
                <w:sz w:val="17"/>
              </w:rPr>
              <w:t>J+5  ⭐</w:t>
            </w:r>
          </w:p>
        </w:tc>
        <w:tc>
          <w:tcPr>
            <w:tcW w:type="dxa" w:w="1440"/>
            <w:shd w:fill="FFDCE0" w:val="clear"/>
          </w:tcPr>
          <w:p>
            <w:r>
              <w:rPr>
                <w:sz w:val="17"/>
              </w:rPr>
              <w:t>2026-08-13</w:t>
            </w:r>
          </w:p>
        </w:tc>
        <w:tc>
          <w:tcPr>
            <w:tcW w:type="dxa" w:w="1440"/>
            <w:shd w:fill="FFDCE0" w:val="clear"/>
          </w:tcPr>
          <w:p>
            <w:r>
              <w:rPr>
                <w:sz w:val="17"/>
              </w:rPr>
              <w:t>3,606</w:t>
            </w:r>
          </w:p>
        </w:tc>
        <w:tc>
          <w:tcPr>
            <w:tcW w:type="dxa" w:w="1440"/>
            <w:shd w:fill="FFDCE0" w:val="clear"/>
          </w:tcPr>
          <w:p>
            <w:r>
              <w:rPr>
                <w:b/>
                <w:sz w:val="17"/>
              </w:rPr>
              <w:t>4,124</w:t>
            </w:r>
          </w:p>
        </w:tc>
        <w:tc>
          <w:tcPr>
            <w:tcW w:type="dxa" w:w="1440"/>
            <w:shd w:fill="FFDCE0" w:val="clear"/>
          </w:tcPr>
          <w:p>
            <w:r>
              <w:rPr>
                <w:sz w:val="17"/>
              </w:rPr>
              <w:t>4,641</w:t>
            </w:r>
          </w:p>
        </w:tc>
        <w:tc>
          <w:tcPr>
            <w:tcW w:type="dxa" w:w="1440"/>
            <w:shd w:fill="FFDCE0" w:val="clear"/>
          </w:tcPr>
          <w:p>
            <w:r>
              <w:rPr>
                <w:b/>
                <w:color w:val="C00000"/>
                <w:sz w:val="17"/>
              </w:rPr>
              <w:t>-4.1%</w:t>
            </w:r>
          </w:p>
        </w:tc>
      </w:tr>
      <w:tr>
        <w:tc>
          <w:tcPr>
            <w:tcW w:type="dxa" w:w="1440"/>
            <w:shd w:fill="FFDCE0" w:val="clear"/>
          </w:tcPr>
          <w:p>
            <w:r>
              <w:rPr>
                <w:sz w:val="17"/>
              </w:rPr>
              <w:t>J+6  ⭐</w:t>
            </w:r>
          </w:p>
        </w:tc>
        <w:tc>
          <w:tcPr>
            <w:tcW w:type="dxa" w:w="1440"/>
            <w:shd w:fill="FFDCE0" w:val="clear"/>
          </w:tcPr>
          <w:p>
            <w:r>
              <w:rPr>
                <w:sz w:val="17"/>
              </w:rPr>
              <w:t>2026-08-14</w:t>
            </w:r>
          </w:p>
        </w:tc>
        <w:tc>
          <w:tcPr>
            <w:tcW w:type="dxa" w:w="1440"/>
            <w:shd w:fill="FFDCE0" w:val="clear"/>
          </w:tcPr>
          <w:p>
            <w:r>
              <w:rPr>
                <w:sz w:val="17"/>
              </w:rPr>
              <w:t>3,541</w:t>
            </w:r>
          </w:p>
        </w:tc>
        <w:tc>
          <w:tcPr>
            <w:tcW w:type="dxa" w:w="1440"/>
            <w:shd w:fill="FFDCE0" w:val="clear"/>
          </w:tcPr>
          <w:p>
            <w:r>
              <w:rPr>
                <w:b/>
                <w:sz w:val="17"/>
              </w:rPr>
              <w:t>4,106</w:t>
            </w:r>
          </w:p>
        </w:tc>
        <w:tc>
          <w:tcPr>
            <w:tcW w:type="dxa" w:w="1440"/>
            <w:shd w:fill="FFDCE0" w:val="clear"/>
          </w:tcPr>
          <w:p>
            <w:r>
              <w:rPr>
                <w:sz w:val="17"/>
              </w:rPr>
              <w:t>4,671</w:t>
            </w:r>
          </w:p>
        </w:tc>
        <w:tc>
          <w:tcPr>
            <w:tcW w:type="dxa" w:w="1440"/>
            <w:shd w:fill="FFDCE0" w:val="clear"/>
          </w:tcPr>
          <w:p>
            <w:r>
              <w:rPr>
                <w:b/>
                <w:color w:val="C00000"/>
                <w:sz w:val="17"/>
              </w:rPr>
              <w:t>-4.5%</w:t>
            </w:r>
          </w:p>
        </w:tc>
      </w:tr>
      <w:tr>
        <w:tc>
          <w:tcPr>
            <w:tcW w:type="dxa" w:w="1440"/>
            <w:shd w:fill="FFDCE0" w:val="clear"/>
          </w:tcPr>
          <w:p>
            <w:r>
              <w:rPr>
                <w:sz w:val="17"/>
              </w:rPr>
              <w:t>J+7  ⭐</w:t>
            </w:r>
          </w:p>
        </w:tc>
        <w:tc>
          <w:tcPr>
            <w:tcW w:type="dxa" w:w="1440"/>
            <w:shd w:fill="FFDCE0" w:val="clear"/>
          </w:tcPr>
          <w:p>
            <w:r>
              <w:rPr>
                <w:sz w:val="17"/>
              </w:rPr>
              <w:t>2026-08-17</w:t>
            </w:r>
          </w:p>
        </w:tc>
        <w:tc>
          <w:tcPr>
            <w:tcW w:type="dxa" w:w="1440"/>
            <w:shd w:fill="FFDCE0" w:val="clear"/>
          </w:tcPr>
          <w:p>
            <w:r>
              <w:rPr>
                <w:sz w:val="17"/>
              </w:rPr>
              <w:t>3,474</w:t>
            </w:r>
          </w:p>
        </w:tc>
        <w:tc>
          <w:tcPr>
            <w:tcW w:type="dxa" w:w="1440"/>
            <w:shd w:fill="FFDCE0" w:val="clear"/>
          </w:tcPr>
          <w:p>
            <w:r>
              <w:rPr>
                <w:b/>
                <w:sz w:val="17"/>
              </w:rPr>
              <w:t>4,081</w:t>
            </w:r>
          </w:p>
        </w:tc>
        <w:tc>
          <w:tcPr>
            <w:tcW w:type="dxa" w:w="1440"/>
            <w:shd w:fill="FFDCE0" w:val="clear"/>
          </w:tcPr>
          <w:p>
            <w:r>
              <w:rPr>
                <w:sz w:val="17"/>
              </w:rPr>
              <w:t>4,687</w:t>
            </w:r>
          </w:p>
        </w:tc>
        <w:tc>
          <w:tcPr>
            <w:tcW w:type="dxa" w:w="1440"/>
            <w:shd w:fill="FFDCE0" w:val="clear"/>
          </w:tcPr>
          <w:p>
            <w:r>
              <w:rPr>
                <w:b/>
                <w:color w:val="C00000"/>
                <w:sz w:val="17"/>
              </w:rPr>
              <w:t>-5.1%</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3,410</w:t>
            </w:r>
          </w:p>
        </w:tc>
        <w:tc>
          <w:tcPr>
            <w:tcW w:type="dxa" w:w="1440"/>
            <w:shd w:fill="FFDCE0" w:val="clear"/>
          </w:tcPr>
          <w:p>
            <w:r>
              <w:rPr>
                <w:b/>
                <w:sz w:val="17"/>
              </w:rPr>
              <w:t>4,054</w:t>
            </w:r>
          </w:p>
        </w:tc>
        <w:tc>
          <w:tcPr>
            <w:tcW w:type="dxa" w:w="1440"/>
            <w:shd w:fill="FFDCE0" w:val="clear"/>
          </w:tcPr>
          <w:p>
            <w:r>
              <w:rPr>
                <w:sz w:val="17"/>
              </w:rPr>
              <w:t>4,698</w:t>
            </w:r>
          </w:p>
        </w:tc>
        <w:tc>
          <w:tcPr>
            <w:tcW w:type="dxa" w:w="1440"/>
            <w:shd w:fill="FFDCE0" w:val="clear"/>
          </w:tcPr>
          <w:p>
            <w:r>
              <w:rPr>
                <w:b/>
                <w:color w:val="C00000"/>
                <w:sz w:val="17"/>
              </w:rPr>
              <w:t>-5.7%</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3,359</w:t>
            </w:r>
          </w:p>
        </w:tc>
        <w:tc>
          <w:tcPr>
            <w:tcW w:type="dxa" w:w="1440"/>
            <w:shd w:fill="FFDCE0" w:val="clear"/>
          </w:tcPr>
          <w:p>
            <w:r>
              <w:rPr>
                <w:b/>
                <w:sz w:val="17"/>
              </w:rPr>
              <w:t>4,039</w:t>
            </w:r>
          </w:p>
        </w:tc>
        <w:tc>
          <w:tcPr>
            <w:tcW w:type="dxa" w:w="1440"/>
            <w:shd w:fill="FFDCE0" w:val="clear"/>
          </w:tcPr>
          <w:p>
            <w:r>
              <w:rPr>
                <w:sz w:val="17"/>
              </w:rPr>
              <w:t>4,720</w:t>
            </w:r>
          </w:p>
        </w:tc>
        <w:tc>
          <w:tcPr>
            <w:tcW w:type="dxa" w:w="1440"/>
            <w:shd w:fill="FFDCE0" w:val="clear"/>
          </w:tcPr>
          <w:p>
            <w:r>
              <w:rPr>
                <w:b/>
                <w:color w:val="C00000"/>
                <w:sz w:val="17"/>
              </w:rPr>
              <w:t>-6.1%</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3,310</w:t>
            </w:r>
          </w:p>
        </w:tc>
        <w:tc>
          <w:tcPr>
            <w:tcW w:type="dxa" w:w="1440"/>
            <w:shd w:fill="FFDCE0" w:val="clear"/>
          </w:tcPr>
          <w:p>
            <w:r>
              <w:rPr>
                <w:b/>
                <w:sz w:val="17"/>
              </w:rPr>
              <w:t>4,024</w:t>
            </w:r>
          </w:p>
        </w:tc>
        <w:tc>
          <w:tcPr>
            <w:tcW w:type="dxa" w:w="1440"/>
            <w:shd w:fill="FFDCE0" w:val="clear"/>
          </w:tcPr>
          <w:p>
            <w:r>
              <w:rPr>
                <w:sz w:val="17"/>
              </w:rPr>
              <w:t>4,739</w:t>
            </w:r>
          </w:p>
        </w:tc>
        <w:tc>
          <w:tcPr>
            <w:tcW w:type="dxa" w:w="1440"/>
            <w:shd w:fill="FFDCE0" w:val="clear"/>
          </w:tcPr>
          <w:p>
            <w:r>
              <w:rPr>
                <w:b/>
                <w:color w:val="C00000"/>
                <w:sz w:val="17"/>
              </w:rPr>
              <w:t>-6.4%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LNBB s'établit à 86 milliards FCFA, un niveau significatif qui la positionne parmi les valeurs moyennes de la BRVM, reflétant une entreprise établie mais avec un flottant potentiellement limité. Le BPA de 231 FCFA indique que chaque action génère un bénéfice confortable, mais le PER de 18,6x se situe nettement au-dessus de la moyenne historique de la BRVM (8-12x), signalant que les investisseurs paient une prime substantielle pour la croissance anticipée. Le P/B de 3,92x confirme cette prime, le marché valorisant l'actif net comptable près de quatre fois sa valeur, ce qui traduit des attentes élevées de rendement futur. Enfin, l'EV/EBITDA de 11,0x, bien que dans la fourchette haute (10-15x), reste cohérent avec une entreprise disposant d'une capacité opérationnelle solide, justifiant partiellement cette valorisation exigeante.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LNBB a enregistré une progression totale de +12,86%, mais la dernière séance affiche un repli de -2,27% à 4 300 FCFA, suggérant une consolidation après un mouvement haussier. Le cours a évolué dans un range de 3 765 à 4 560 FCFA, démontrant une amplitude de trading notable de près de 21%. La moyenne (4 013 FCFA) étant inférieure à la médiane (3 905 FCFA) et au mode (3 900 FCFA), on observe une asymétrie positive confirmée par le skewness de 0,957, indiquant que le titre a passé plus de journées sous sa moyenne avant de connaître des poussées haussières récentes. L'écart-type de 209 FCFA (CV de 5,2%) révèle une dispersion modérée autour de la moyenne, tandis que le kurtosis de -0,525 (mésokurtique) suggère l'absence de mouvements extrêmes fréquents. La volatilité annualisée de 35,2% classe le titre dans la catégorie élevée (&gt;30%), ce qui implique un risque de prix substantiel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4 300 FCFA se positionne au-dessus de la MM20 (4 307,5 FCFA) et nettement au-dessus de la MM50 (4 140,6 FCFA), indiquant une dynamique haussière à moyen terme. La MM20 étant supérieure à la MM50, la configuration en "courbe ascendante" est confirmée, justifiant la décision d'Achat.</w:t>
      </w:r>
    </w:p>
    <w:p>
      <w:pPr>
        <w:spacing w:after="120" w:line="276" w:lineRule="auto"/>
      </w:pPr>
      <w:r>
        <w:t>**Bandes de Bollinger** : Le prix se situe à 4 300 FCFA, entre la borne inférieure (4 066,85 FCFA) et la borne supérieure (4 548,15 FCFA), proche de la moyenne. Cette position centrale indique une volatilité modérée sans pression directionnelle forte, d'où la décision Neutre.</w:t>
      </w:r>
    </w:p>
    <w:p>
      <w:pPr>
        <w:spacing w:after="120" w:line="276" w:lineRule="auto"/>
      </w:pPr>
      <w:r>
        <w:t>**MACD** : La valeur du MACD (61,12) est supérieure à son signal (59,87), avec un écart positif de 1,25 point. Cette configuration haussière, bien que modérée, suggère un momentum positif persistant, justifiant la décision d'Achat.</w:t>
      </w:r>
    </w:p>
    <w:p>
      <w:pPr>
        <w:spacing w:after="120" w:line="276" w:lineRule="auto"/>
      </w:pPr>
      <w:r>
        <w:t>**RSI** : À 49,32, le RSI se situe en zone neutre (30-70), sans signal de surachat ni de survente. Cette valeur indique un équilibre entre pression acheteuse et vendeuse, d'où la décision Neutre.</w:t>
      </w:r>
    </w:p>
    <w:p>
      <w:pPr>
        <w:spacing w:after="120" w:line="276" w:lineRule="auto"/>
      </w:pPr>
      <w:r>
        <w:t>**Stochastique** : Le %K (43,48) est inférieur au %D (69,57), formant un croisement baissier potentiel. Cette configuration suggère un affaiblissement du momentum à court terme, justifiant la décision Neutre.</w:t>
      </w:r>
    </w:p>
    <w:p>
      <w:pPr>
        <w:spacing w:after="120" w:line="276" w:lineRule="auto"/>
      </w:pPr>
      <w:r>
        <w:t>**Conclusion technique** : La convergence des indicateurs est mitigée. Les moyennes mobiles et le MACD plaident pour une tendance haussière, tandis que le RSI et le stochastique indiquent une phase de consolidation. Le signal global penche vers un maintien de la tendance haussière à moyen terme, mais avec un risque de correction à court terme.</w:t>
      </w:r>
    </w:p>
    <w:p>
      <w:pPr>
        <w:spacing w:after="120" w:line="276" w:lineRule="auto" w:before="240"/>
      </w:pPr>
      <w:r>
        <w:rPr>
          <w:b/>
          <w:color w:val="003366"/>
          <w:sz w:val="24"/>
        </w:rPr>
        <w:t>**PARTIE 3 : ANALYSE FONDAMENTALE (SECTION CRITIQUE)**</w:t>
      </w:r>
    </w:p>
    <w:p>
      <w:pPr>
        <w:spacing w:after="120" w:line="276" w:lineRule="auto"/>
      </w:pPr>
      <w:r>
        <w:t>En 2025, la Loterie Nationale du Bénin (LNBB) a réalisé un chiffre d'affaires de 98,598 milliards FCFA, en baisse de -3,85% par rapport à 2024, et un résultat net de 4,622 milliards FCFA, en recul de -36% (rapport annuel 2025). La marge nette s'établit à 4,69%, tandis que le ROE atteint 21,05% et le ROA 14,17%, des niveaux excellents (&gt;15% pour le ROE) démontrant une gestion efficace des fonds propres et des actifs. La structure financière est robuste avec une autonomie financière de 67,32% et une trésorerie nette positive de 7,979 milliards FCFA. Le BFR est légèrement positif (217,45 millions FCFA), avec des délais clients très courts (4,82 jours) et fournisseurs raisonnables (20,41 jours), indiquant une bonne gestion du cycle d'exploitation. Les rapports trimestriels 2026 montrent une reprise du CA au T1 (+6% à 25,521 milliards FCFA) mais un résultat net en chute de -46% à 848 millions FCFA, pénalisé par le mix produit défavorable (pari sportif à 95% de taux de retour). Le rapport semestriel 2026 (30 juin 2026) confirme une croissance du CA de +4% à 49,937 milliards FCFA et une progression du résultat net de +60%, grâce aux revenus de partenariats B2B. On estime que l'exercice 2026 pourrait voir un résultat net compris entre 5 et 6 milliards FCFA si la tendance semestrielle se maintient, avec une amélioration progressive de la rentabilité opérationnelle.</w:t>
      </w:r>
    </w:p>
    <w:p>
      <w:pPr>
        <w:spacing w:after="120" w:line="276" w:lineRule="auto" w:before="240"/>
      </w:pPr>
      <w:r>
        <w:rPr>
          <w:b/>
          <w:color w:val="003366"/>
          <w:sz w:val="24"/>
        </w:rPr>
        <w:t>**PARTIE 4 : CONCLUSION D'INVESTISSEMENT**</w:t>
      </w:r>
    </w:p>
    <w:p>
      <w:pPr>
        <w:spacing w:after="120" w:line="276" w:lineRule="auto"/>
      </w:pPr>
      <w:r>
        <w:t>La valorisation de LNBB (PER 18,6x, P/B 3,92x) suggère une surévaluation relative par rapport aux standards BRVM, intégrant des attentes de croissance élevées. Le comportement du cours sur 100 jours (+12,86%) montre une tendance haussière avec une volatilité élevée (35,2%), mais les statistiques (kurtosis mésokurtique, skewness positif) indiquent une distribution des rendements relativement normale avec des épisodes de hausse marqués. Les signaux techniques sont partagés : les moyennes mobiles et le MACD sont positifs, tandis que le RSI et le stochastique sont neutres, suggérant une consolidation à court terme. Les fondamentaux sont solides (ROE 21%, autonomie financière 67%, trésorerie nette positive), mais la baisse du CA 2025 et la pression sur les marges en 2026 (pari sportif) constituent des risques. Les prédictions IA (4 200 à 4 124 FCFA sur 10 jours) indiquent une légère correction, contredisant la tendance haussière récente. La recommandation finale est **CONSERVER**, avec un niveau de confiance **Moyen** et un risque global **Élevé**. L'horizon d'investissement optimal est le **moyen terme (3-12 mois)**, en attendant la confirmation d'une amélioration durable des marges et la résolution de la concurrence illégale.</w:t>
      </w:r>
    </w:p>
    <w:p/>
    <w:p/>
    <w:p>
      <w:pPr>
        <w:pStyle w:val="Heading3"/>
      </w:pPr>
      <w:r>
        <w:rPr>
          <w:color w:val="005A32"/>
        </w:rPr>
        <w:t>📋 RAPPORTS &amp; COMMUNIQUÉS OFFICIELS</w:t>
      </w:r>
    </w:p>
    <w:p>
      <w:r>
        <w:rPr>
          <w:i/>
          <w:color w:val="646464"/>
          <w:sz w:val="18"/>
        </w:rPr>
        <w:t>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s\u00e9quentielle du r\u00e9sultat net et l'efficacit\u00e9 du plan d'ajustement sugg\u00e8rent une stabilisation progressive. La reprise attendue au T4 2025 justifie une position d'attente."}</w:t>
      </w:r>
    </w:p>
    <w:p>
      <w:pPr>
        <w:spacing w:before="40"/>
        <w:ind w:left="400"/>
      </w:pPr>
      <w:r>
        <w:rPr>
          <w:sz w:val="18"/>
        </w:rPr>
        <w:t>La Loterie Nationale du Bénin (LNB SA) présente des résultats mitigés au T3 2025 avec un chiffre d'affaires en baisse de 6% à 72,479 milliards FCFA comparé au T3 2024. Malgré cette contre-performance commerciale, la société affiche une amélioration significative de sa rentabilité avec un résultat net de 1,034 milliard FCFA au T3 2025 contre 5,382 milliards FCFA au T3 2024. L'entreprise met en œuvre un plan d'ajustement opérationnel qui commence à porter ses fruits. La direction anticipe une reprise progressive de la rentabilité sur le dernier trimestre 2025. Les mesures correctives visent à préserver les intérêts des actionnaires malgré les difficultés persistantes du premier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milliards FCFA', 'resultat_financier': '357 millions FCFA', 'resultat_avant_impots': '1,897 milliard FCFA', 'resultat_exploitation': '1,401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1,034 milliard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72,479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6% au T3 2025 (72,479 Mds FCFA vs 76,908 Mds FCFA en 2024)</w:t>
      </w:r>
    </w:p>
    <w:p>
      <w:pPr>
        <w:pStyle w:val="ListBullet"/>
        <w:spacing w:before="20" w:after="20"/>
        <w:ind w:left="700"/>
      </w:pPr>
      <w:r>
        <w:rPr>
          <w:sz w:val="18"/>
        </w:rPr>
        <w:t>Résultat net de 1,034 milliard FCFA au T3 2025, en forte baisse de 81% par rapport au T3 2024</w:t>
      </w:r>
    </w:p>
    <w:p>
      <w:pPr>
        <w:pStyle w:val="ListBullet"/>
        <w:spacing w:before="20" w:after="20"/>
        <w:ind w:left="700"/>
      </w:pPr>
      <w:r>
        <w:rPr>
          <w:sz w:val="18"/>
        </w:rPr>
        <w:t>Amélioration du résultat net de 22,95% entre le premier semestre et le T3 2025 (841 millions à 1,034 milliard)</w:t>
      </w:r>
    </w:p>
    <w:p>
      <w:pPr>
        <w:pStyle w:val="ListBullet"/>
        <w:spacing w:before="20" w:after="20"/>
        <w:ind w:left="700"/>
      </w:pPr>
      <w:r>
        <w:rPr>
          <w:sz w:val="18"/>
        </w:rPr>
        <w:t>Résultat d'exploitation drastiquement réduit : 1,401 milliard FCFA (-59% vs T3 2024)</w:t>
      </w:r>
    </w:p>
    <w:p>
      <w:pPr>
        <w:pStyle w:val="ListBullet"/>
        <w:spacing w:before="20" w:after="20"/>
        <w:ind w:left="700"/>
      </w:pPr>
      <w:r>
        <w:rPr>
          <w:sz w:val="18"/>
        </w:rPr>
        <w:t>Plan d'ajustement opérationnel en cours de mise en œuvre montrant des signes d'efficacité</w:t>
      </w:r>
    </w:p>
    <w:p>
      <w:pPr>
        <w:pStyle w:val="ListBullet"/>
        <w:spacing w:before="20" w:after="20"/>
        <w:ind w:left="700"/>
      </w:pPr>
      <w:r>
        <w:rPr>
          <w:sz w:val="18"/>
        </w:rPr>
        <w:t>Difficultés commerciales persistantes liées aux problèmes rencontrés au premier semestre 2025</w:t>
      </w:r>
    </w:p>
    <w:p>
      <w:pPr>
        <w:spacing w:before="40"/>
        <w:ind w:left="400"/>
      </w:pPr>
      <w:r>
        <w:rPr>
          <w:b/>
          <w:color w:val="C05000"/>
          <w:sz w:val="18"/>
        </w:rPr>
        <w:t xml:space="preserve">⚠️ Risques : </w:t>
      </w:r>
      <w:r>
        <w:rPr>
          <w:sz w:val="18"/>
        </w:rPr>
        <w:t>["Persistance des difficult\u00e9s commerciales impactant durablement le chiffre d'affaires", "Forte d\u00e9pendance \u00e0 l'efficacit\u00e9 du plan d'ajustement op\u00e9rationnel en cours", "Environnement \u00e9conomique d\u00e9favorable pouvant affecter l'activit\u00e9 loterie au B\u00e9nin"]</w:t>
      </w:r>
    </w:p>
    <w:p>
      <w:pPr>
        <w:spacing w:before="40"/>
        <w:ind w:left="400"/>
      </w:pPr>
      <w:r>
        <w:rPr>
          <w:b/>
          <w:color w:val="0064A0"/>
          <w:sz w:val="18"/>
        </w:rPr>
        <w:t xml:space="preserve">🔮 Perspectives : </w:t>
      </w:r>
      <w:r>
        <w:rPr>
          <w:sz w:val="18"/>
        </w:rPr>
        <w:t xml:space="preserve">La direction anticipe une reprise progressive de la rentabilité sur le dernier trimestre 2025 grâce aux mesures correctives mises en œuvre. Le succès du plan d'ajustement opérationnel sera déterminant pour le retour à une croissance soutenue en 2026. L'amélioration séquentielle des résultats laisse </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28.85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5,435 titres</w:t>
            </w:r>
          </w:p>
        </w:tc>
        <w:tc>
          <w:tcPr>
            <w:tcW w:type="dxa" w:w="2268"/>
            <w:shd w:fill="FFF2CC" w:val="clear"/>
          </w:tcPr>
          <w:p>
            <w:r>
              <w:rPr>
                <w:b/>
                <w:color w:val="503200"/>
                <w:sz w:val="16"/>
              </w:rPr>
              <w:t xml:space="preserve">Cours actuel : </w:t>
            </w:r>
            <w:r>
              <w:rPr>
                <w:color w:val="000000"/>
                <w:sz w:val="17"/>
              </w:rPr>
              <w:t>2,260 FCFA</w:t>
            </w:r>
          </w:p>
          <w:p>
            <w:r>
              <w:rPr>
                <w:b/>
                <w:color w:val="503200"/>
                <w:sz w:val="16"/>
              </w:rPr>
              <w:t xml:space="preserve">Var. 100 jours : </w:t>
            </w:r>
            <w:r>
              <w:rPr>
                <w:b/>
                <w:color w:val="007800"/>
                <w:sz w:val="17"/>
              </w:rPr>
              <w:t>+61.43%</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19.23% (Élevée) — μ=1,886 FCFA, σ=363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β=0.0680 (Défensif) — Cov=0.000002, Var(idx)=0.000036, ρ=0.014,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5,435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2026-08-06</w:t>
            </w:r>
          </w:p>
        </w:tc>
        <w:tc>
          <w:tcPr>
            <w:tcW w:type="dxa" w:w="1440"/>
            <w:shd w:fill="FFDCE0" w:val="clear"/>
          </w:tcPr>
          <w:p>
            <w:r>
              <w:rPr>
                <w:sz w:val="17"/>
              </w:rPr>
              <w:t>1,978</w:t>
            </w:r>
          </w:p>
        </w:tc>
        <w:tc>
          <w:tcPr>
            <w:tcW w:type="dxa" w:w="1440"/>
            <w:shd w:fill="FFDCE0" w:val="clear"/>
          </w:tcPr>
          <w:p>
            <w:r>
              <w:rPr>
                <w:b/>
                <w:sz w:val="17"/>
              </w:rPr>
              <w:t>2,090</w:t>
            </w:r>
          </w:p>
        </w:tc>
        <w:tc>
          <w:tcPr>
            <w:tcW w:type="dxa" w:w="1440"/>
            <w:shd w:fill="FFDCE0" w:val="clear"/>
          </w:tcPr>
          <w:p>
            <w:r>
              <w:rPr>
                <w:sz w:val="17"/>
              </w:rPr>
              <w:t>2,203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2026-08-10</w:t>
            </w:r>
          </w:p>
        </w:tc>
        <w:tc>
          <w:tcPr>
            <w:tcW w:type="dxa" w:w="1440"/>
            <w:shd w:fill="FFDCE0" w:val="clear"/>
          </w:tcPr>
          <w:p>
            <w:r>
              <w:rPr>
                <w:sz w:val="17"/>
              </w:rPr>
              <w:t>1,791</w:t>
            </w:r>
          </w:p>
        </w:tc>
        <w:tc>
          <w:tcPr>
            <w:tcW w:type="dxa" w:w="1440"/>
            <w:shd w:fill="FFDCE0" w:val="clear"/>
          </w:tcPr>
          <w:p>
            <w:r>
              <w:rPr>
                <w:b/>
                <w:sz w:val="17"/>
              </w:rPr>
              <w:t>1,938</w:t>
            </w:r>
          </w:p>
        </w:tc>
        <w:tc>
          <w:tcPr>
            <w:tcW w:type="dxa" w:w="1440"/>
            <w:shd w:fill="FFDCE0" w:val="clear"/>
          </w:tcPr>
          <w:p>
            <w:r>
              <w:rPr>
                <w:sz w:val="17"/>
              </w:rPr>
              <w:t>2,085</w:t>
            </w:r>
          </w:p>
        </w:tc>
        <w:tc>
          <w:tcPr>
            <w:tcW w:type="dxa" w:w="1440"/>
            <w:shd w:fill="FFDCE0" w:val="clear"/>
          </w:tcPr>
          <w:p>
            <w:r>
              <w:rPr>
                <w:b/>
                <w:color w:val="C00000"/>
                <w:sz w:val="17"/>
              </w:rPr>
              <w:t>-14.2%</w:t>
            </w:r>
          </w:p>
        </w:tc>
      </w:tr>
      <w:tr>
        <w:tc>
          <w:tcPr>
            <w:tcW w:type="dxa" w:w="1440"/>
            <w:shd w:fill="FFDCE0" w:val="clear"/>
          </w:tcPr>
          <w:p>
            <w:r>
              <w:rPr>
                <w:sz w:val="17"/>
              </w:rPr>
              <w:t>J+3  Moyenne</w:t>
            </w:r>
          </w:p>
        </w:tc>
        <w:tc>
          <w:tcPr>
            <w:tcW w:type="dxa" w:w="1440"/>
            <w:shd w:fill="FFDCE0" w:val="clear"/>
          </w:tcPr>
          <w:p>
            <w:r>
              <w:rPr>
                <w:sz w:val="17"/>
              </w:rPr>
              <w:t>2026-08-11</w:t>
            </w:r>
          </w:p>
        </w:tc>
        <w:tc>
          <w:tcPr>
            <w:tcW w:type="dxa" w:w="1440"/>
            <w:shd w:fill="FFDCE0" w:val="clear"/>
          </w:tcPr>
          <w:p>
            <w:r>
              <w:rPr>
                <w:sz w:val="17"/>
              </w:rPr>
              <w:t>1,650</w:t>
            </w:r>
          </w:p>
        </w:tc>
        <w:tc>
          <w:tcPr>
            <w:tcW w:type="dxa" w:w="1440"/>
            <w:shd w:fill="FFDCE0" w:val="clear"/>
          </w:tcPr>
          <w:p>
            <w:r>
              <w:rPr>
                <w:b/>
                <w:sz w:val="17"/>
              </w:rPr>
              <w:t>1,819</w:t>
            </w:r>
          </w:p>
        </w:tc>
        <w:tc>
          <w:tcPr>
            <w:tcW w:type="dxa" w:w="1440"/>
            <w:shd w:fill="FFDCE0" w:val="clear"/>
          </w:tcPr>
          <w:p>
            <w:r>
              <w:rPr>
                <w:sz w:val="17"/>
              </w:rPr>
              <w:t>1,988</w:t>
            </w:r>
          </w:p>
        </w:tc>
        <w:tc>
          <w:tcPr>
            <w:tcW w:type="dxa" w:w="1440"/>
            <w:shd w:fill="FFDCE0" w:val="clear"/>
          </w:tcPr>
          <w:p>
            <w:r>
              <w:rPr>
                <w:b/>
                <w:color w:val="C00000"/>
                <w:sz w:val="17"/>
              </w:rPr>
              <w:t>-19.5%</w:t>
            </w:r>
          </w:p>
        </w:tc>
      </w:tr>
      <w:tr>
        <w:tc>
          <w:tcPr>
            <w:tcW w:type="dxa" w:w="1440"/>
            <w:shd w:fill="FFDCE0" w:val="clear"/>
          </w:tcPr>
          <w:p>
            <w:r>
              <w:rPr>
                <w:sz w:val="17"/>
              </w:rPr>
              <w:t>J+4  ⭐</w:t>
            </w:r>
          </w:p>
        </w:tc>
        <w:tc>
          <w:tcPr>
            <w:tcW w:type="dxa" w:w="1440"/>
            <w:shd w:fill="FFDCE0" w:val="clear"/>
          </w:tcPr>
          <w:p>
            <w:r>
              <w:rPr>
                <w:sz w:val="17"/>
              </w:rPr>
              <w:t>2026-08-12</w:t>
            </w:r>
          </w:p>
        </w:tc>
        <w:tc>
          <w:tcPr>
            <w:tcW w:type="dxa" w:w="1440"/>
            <w:shd w:fill="FFDCE0" w:val="clear"/>
          </w:tcPr>
          <w:p>
            <w:r>
              <w:rPr>
                <w:sz w:val="17"/>
              </w:rPr>
              <w:t>1,539</w:t>
            </w:r>
          </w:p>
        </w:tc>
        <w:tc>
          <w:tcPr>
            <w:tcW w:type="dxa" w:w="1440"/>
            <w:shd w:fill="FFDCE0" w:val="clear"/>
          </w:tcPr>
          <w:p>
            <w:r>
              <w:rPr>
                <w:b/>
                <w:sz w:val="17"/>
              </w:rPr>
              <w:t>1,723</w:t>
            </w:r>
          </w:p>
        </w:tc>
        <w:tc>
          <w:tcPr>
            <w:tcW w:type="dxa" w:w="1440"/>
            <w:shd w:fill="FFDCE0" w:val="clear"/>
          </w:tcPr>
          <w:p>
            <w:r>
              <w:rPr>
                <w:sz w:val="17"/>
              </w:rPr>
              <w:t>1,908</w:t>
            </w:r>
          </w:p>
        </w:tc>
        <w:tc>
          <w:tcPr>
            <w:tcW w:type="dxa" w:w="1440"/>
            <w:shd w:fill="FFDCE0" w:val="clear"/>
          </w:tcPr>
          <w:p>
            <w:r>
              <w:rPr>
                <w:b/>
                <w:color w:val="C00000"/>
                <w:sz w:val="17"/>
              </w:rPr>
              <w:t>-23.7%</w:t>
            </w:r>
          </w:p>
        </w:tc>
      </w:tr>
      <w:tr>
        <w:tc>
          <w:tcPr>
            <w:tcW w:type="dxa" w:w="1440"/>
            <w:shd w:fill="FFDCE0" w:val="clear"/>
          </w:tcPr>
          <w:p>
            <w:r>
              <w:rPr>
                <w:sz w:val="17"/>
              </w:rPr>
              <w:t>J+5  ⭐</w:t>
            </w:r>
          </w:p>
        </w:tc>
        <w:tc>
          <w:tcPr>
            <w:tcW w:type="dxa" w:w="1440"/>
            <w:shd w:fill="FFDCE0" w:val="clear"/>
          </w:tcPr>
          <w:p>
            <w:r>
              <w:rPr>
                <w:sz w:val="17"/>
              </w:rPr>
              <w:t>2026-08-13</w:t>
            </w:r>
          </w:p>
        </w:tc>
        <w:tc>
          <w:tcPr>
            <w:tcW w:type="dxa" w:w="1440"/>
            <w:shd w:fill="FFDCE0" w:val="clear"/>
          </w:tcPr>
          <w:p>
            <w:r>
              <w:rPr>
                <w:sz w:val="17"/>
              </w:rPr>
              <w:t>1,448</w:t>
            </w:r>
          </w:p>
        </w:tc>
        <w:tc>
          <w:tcPr>
            <w:tcW w:type="dxa" w:w="1440"/>
            <w:shd w:fill="FFDCE0" w:val="clear"/>
          </w:tcPr>
          <w:p>
            <w:r>
              <w:rPr>
                <w:b/>
                <w:sz w:val="17"/>
              </w:rPr>
              <w:t>1,645</w:t>
            </w:r>
          </w:p>
        </w:tc>
        <w:tc>
          <w:tcPr>
            <w:tcW w:type="dxa" w:w="1440"/>
            <w:shd w:fill="FFDCE0" w:val="clear"/>
          </w:tcPr>
          <w:p>
            <w:r>
              <w:rPr>
                <w:sz w:val="17"/>
              </w:rPr>
              <w:t>1,842</w:t>
            </w:r>
          </w:p>
        </w:tc>
        <w:tc>
          <w:tcPr>
            <w:tcW w:type="dxa" w:w="1440"/>
            <w:shd w:fill="FFDCE0" w:val="clear"/>
          </w:tcPr>
          <w:p>
            <w:r>
              <w:rPr>
                <w:b/>
                <w:color w:val="C00000"/>
                <w:sz w:val="17"/>
              </w:rPr>
              <w:t>-27.2%</w:t>
            </w:r>
          </w:p>
        </w:tc>
      </w:tr>
      <w:tr>
        <w:tc>
          <w:tcPr>
            <w:tcW w:type="dxa" w:w="1440"/>
            <w:shd w:fill="FFDCE0" w:val="clear"/>
          </w:tcPr>
          <w:p>
            <w:r>
              <w:rPr>
                <w:sz w:val="17"/>
              </w:rPr>
              <w:t>J+6  ⭐</w:t>
            </w:r>
          </w:p>
        </w:tc>
        <w:tc>
          <w:tcPr>
            <w:tcW w:type="dxa" w:w="1440"/>
            <w:shd w:fill="FFDCE0" w:val="clear"/>
          </w:tcPr>
          <w:p>
            <w:r>
              <w:rPr>
                <w:sz w:val="17"/>
              </w:rPr>
              <w:t>2026-08-14</w:t>
            </w:r>
          </w:p>
        </w:tc>
        <w:tc>
          <w:tcPr>
            <w:tcW w:type="dxa" w:w="1440"/>
            <w:shd w:fill="FFDCE0" w:val="clear"/>
          </w:tcPr>
          <w:p>
            <w:r>
              <w:rPr>
                <w:sz w:val="17"/>
              </w:rPr>
              <w:t>1,371</w:t>
            </w:r>
          </w:p>
        </w:tc>
        <w:tc>
          <w:tcPr>
            <w:tcW w:type="dxa" w:w="1440"/>
            <w:shd w:fill="FFDCE0" w:val="clear"/>
          </w:tcPr>
          <w:p>
            <w:r>
              <w:rPr>
                <w:b/>
                <w:sz w:val="17"/>
              </w:rPr>
              <w:t>1,578</w:t>
            </w:r>
          </w:p>
        </w:tc>
        <w:tc>
          <w:tcPr>
            <w:tcW w:type="dxa" w:w="1440"/>
            <w:shd w:fill="FFDCE0" w:val="clear"/>
          </w:tcPr>
          <w:p>
            <w:r>
              <w:rPr>
                <w:sz w:val="17"/>
              </w:rPr>
              <w:t>1,786</w:t>
            </w:r>
          </w:p>
        </w:tc>
        <w:tc>
          <w:tcPr>
            <w:tcW w:type="dxa" w:w="1440"/>
            <w:shd w:fill="FFDCE0" w:val="clear"/>
          </w:tcPr>
          <w:p>
            <w:r>
              <w:rPr>
                <w:b/>
                <w:color w:val="C00000"/>
                <w:sz w:val="17"/>
              </w:rPr>
              <w:t>-30.2%</w:t>
            </w:r>
          </w:p>
        </w:tc>
      </w:tr>
      <w:tr>
        <w:tc>
          <w:tcPr>
            <w:tcW w:type="dxa" w:w="1440"/>
            <w:shd w:fill="FFDCE0" w:val="clear"/>
          </w:tcPr>
          <w:p>
            <w:r>
              <w:rPr>
                <w:sz w:val="17"/>
              </w:rPr>
              <w:t>J+7  ⭐</w:t>
            </w:r>
          </w:p>
        </w:tc>
        <w:tc>
          <w:tcPr>
            <w:tcW w:type="dxa" w:w="1440"/>
            <w:shd w:fill="FFDCE0" w:val="clear"/>
          </w:tcPr>
          <w:p>
            <w:r>
              <w:rPr>
                <w:sz w:val="17"/>
              </w:rPr>
              <w:t>2026-08-17</w:t>
            </w:r>
          </w:p>
        </w:tc>
        <w:tc>
          <w:tcPr>
            <w:tcW w:type="dxa" w:w="1440"/>
            <w:shd w:fill="FFDCE0" w:val="clear"/>
          </w:tcPr>
          <w:p>
            <w:r>
              <w:rPr>
                <w:sz w:val="17"/>
              </w:rPr>
              <w:t>1,304</w:t>
            </w:r>
          </w:p>
        </w:tc>
        <w:tc>
          <w:tcPr>
            <w:tcW w:type="dxa" w:w="1440"/>
            <w:shd w:fill="FFDCE0" w:val="clear"/>
          </w:tcPr>
          <w:p>
            <w:r>
              <w:rPr>
                <w:b/>
                <w:sz w:val="17"/>
              </w:rPr>
              <w:t>1,520</w:t>
            </w:r>
          </w:p>
        </w:tc>
        <w:tc>
          <w:tcPr>
            <w:tcW w:type="dxa" w:w="1440"/>
            <w:shd w:fill="FFDCE0" w:val="clear"/>
          </w:tcPr>
          <w:p>
            <w:r>
              <w:rPr>
                <w:sz w:val="17"/>
              </w:rPr>
              <w:t>1,736</w:t>
            </w:r>
          </w:p>
        </w:tc>
        <w:tc>
          <w:tcPr>
            <w:tcW w:type="dxa" w:w="1440"/>
            <w:shd w:fill="FFDCE0" w:val="clear"/>
          </w:tcPr>
          <w:p>
            <w:r>
              <w:rPr>
                <w:b/>
                <w:color w:val="C00000"/>
                <w:sz w:val="17"/>
              </w:rPr>
              <w:t>-32.7%</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1,245</w:t>
            </w:r>
          </w:p>
        </w:tc>
        <w:tc>
          <w:tcPr>
            <w:tcW w:type="dxa" w:w="1440"/>
            <w:shd w:fill="FFDCE0" w:val="clear"/>
          </w:tcPr>
          <w:p>
            <w:r>
              <w:rPr>
                <w:b/>
                <w:sz w:val="17"/>
              </w:rPr>
              <w:t>1,468</w:t>
            </w:r>
          </w:p>
        </w:tc>
        <w:tc>
          <w:tcPr>
            <w:tcW w:type="dxa" w:w="1440"/>
            <w:shd w:fill="FFDCE0" w:val="clear"/>
          </w:tcPr>
          <w:p>
            <w:r>
              <w:rPr>
                <w:sz w:val="17"/>
              </w:rPr>
              <w:t>1,691</w:t>
            </w:r>
          </w:p>
        </w:tc>
        <w:tc>
          <w:tcPr>
            <w:tcW w:type="dxa" w:w="1440"/>
            <w:shd w:fill="FFDCE0" w:val="clear"/>
          </w:tcPr>
          <w:p>
            <w:r>
              <w:rPr>
                <w:b/>
                <w:color w:val="C00000"/>
                <w:sz w:val="17"/>
              </w:rPr>
              <w:t>-35.0%</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1,193</w:t>
            </w:r>
          </w:p>
        </w:tc>
        <w:tc>
          <w:tcPr>
            <w:tcW w:type="dxa" w:w="1440"/>
            <w:shd w:fill="FFDCE0" w:val="clear"/>
          </w:tcPr>
          <w:p>
            <w:r>
              <w:rPr>
                <w:b/>
                <w:sz w:val="17"/>
              </w:rPr>
              <w:t>1,421</w:t>
            </w:r>
          </w:p>
        </w:tc>
        <w:tc>
          <w:tcPr>
            <w:tcW w:type="dxa" w:w="1440"/>
            <w:shd w:fill="FFDCE0" w:val="clear"/>
          </w:tcPr>
          <w:p>
            <w:r>
              <w:rPr>
                <w:sz w:val="17"/>
              </w:rPr>
              <w:t>1,650</w:t>
            </w:r>
          </w:p>
        </w:tc>
        <w:tc>
          <w:tcPr>
            <w:tcW w:type="dxa" w:w="1440"/>
            <w:shd w:fill="FFDCE0" w:val="clear"/>
          </w:tcPr>
          <w:p>
            <w:r>
              <w:rPr>
                <w:b/>
                <w:color w:val="C00000"/>
                <w:sz w:val="17"/>
              </w:rPr>
              <w:t>-37.1%</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1,145</w:t>
            </w:r>
          </w:p>
        </w:tc>
        <w:tc>
          <w:tcPr>
            <w:tcW w:type="dxa" w:w="1440"/>
            <w:shd w:fill="FFDCE0" w:val="clear"/>
          </w:tcPr>
          <w:p>
            <w:r>
              <w:rPr>
                <w:b/>
                <w:sz w:val="17"/>
              </w:rPr>
              <w:t>1,379</w:t>
            </w:r>
          </w:p>
        </w:tc>
        <w:tc>
          <w:tcPr>
            <w:tcW w:type="dxa" w:w="1440"/>
            <w:shd w:fill="FFDCE0" w:val="clear"/>
          </w:tcPr>
          <w:p>
            <w:r>
              <w:rPr>
                <w:sz w:val="17"/>
              </w:rPr>
              <w:t>1,612</w:t>
            </w:r>
          </w:p>
        </w:tc>
        <w:tc>
          <w:tcPr>
            <w:tcW w:type="dxa" w:w="1440"/>
            <w:shd w:fill="FFDCE0" w:val="clear"/>
          </w:tcPr>
          <w:p>
            <w:r>
              <w:rPr>
                <w:b/>
                <w:color w:val="C00000"/>
                <w:sz w:val="17"/>
              </w:rPr>
              <w:t>-39.0%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28,85 milliards FCFA, un niveau modeste qui la positionne comme une valeur de taille moyenne sur la BRVM. Avec un BPA de 160 FCFA, le titre se négocie à un PER de 14,2x, ce qui représente une prime notable par rapport à la moyenne historique du marché qui se situe entre 8 et 12x. Cette valorisation suggère que les investisseurs intègrent déjà des perspectives de croissance future. Le P/B de 5,01x confirme cette lecture, le marché valorisant le titre plus de cinq fois sa valeur comptable, signe d'une forte prime sur les actifs. Enfin, l'EV/EBITDA de 21,0x apparaît particulièrement exigeant, indiquant que la valeur totale de l'entreprise (capitalisation plus dette nette) est élevée par rapport à sa capacité opérationnelle de génération de cash. Ces ratios, globalement supérieurs aux références du marché, traduisent une valorisation qui laisse peu de marge d'erreur.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NEIC a enregistré une progression spectaculaire de +61,43%, passant d'un plus bas de 1 350 FCFA à un plus haut de 2 400 FCFA, pour clôturer à 2 260 FCFA, stable sur la dernière séance. Cette tendance est résolument haussière, portée par un volume moyen de 5 435 titres par jour. La moyenne du cours sur la période (1 886 FCFA) est inférieure à la médiane (1 955 FCFA), indiquant une asymétrie positive de la distribution. L'écart-type de 364 FCFA, avec un coefficient de variation de 19,3%, révèle une dispersion modérée. Le kurtosis négatif (-1,448) signale une distribution platykurtique, avec une faible concentration des prix autour de la moyenne, tandis que le skewness de -0,267 indique une légère asymétrie négative. La volatilité annualisée de 48% classe le titre dans la catégorie des valeurs à très forte volatilité, ce qui implique un risque élevé mais aussi un potentiel de rendement important.</w:t>
      </w:r>
    </w:p>
    <w:p>
      <w:pPr>
        <w:spacing w:after="120" w:line="276" w:lineRule="auto" w:before="240"/>
      </w:pPr>
      <w:r>
        <w:rPr>
          <w:b/>
          <w:color w:val="003366"/>
          <w:sz w:val="24"/>
        </w:rPr>
        <w:t>**PARTIE 2 : ANALYSE TECHNIQUE DÉTAILLÉE**</w:t>
      </w:r>
    </w:p>
    <w:p>
      <w:pPr>
        <w:spacing w:after="120" w:line="276" w:lineRule="auto"/>
      </w:pPr>
      <w:r>
        <w:t>**Moyennes Mobiles** : Le cours actuel de 2 260 FCFA se positionne au-dessus de la MM20 (2 228,5 FCFA) et de la MM50 (2 195 FCFA), confirmant une dynamique haussière à court et moyen terme. La configuration des moyennes mobiles, avec la MM20 au-dessus de la MM50, valide la tendance positive et justifie la décision d'achat.</w:t>
      </w:r>
    </w:p>
    <w:p>
      <w:pPr>
        <w:spacing w:after="120" w:line="276" w:lineRule="auto"/>
      </w:pPr>
      <w:r>
        <w:t>**Bandes de Bollinger** : Le prix évolue entre la borne supérieure (2 391,76 FCFA) et la borne inférieure (2 065,24 FCFA), se situant à 2 260 FCFA, soit proche de la moyenne. Cette position neutre indique une volatilité modérée sans signal directionnel fort. Le titre n'est ni suracheté ni survendu, laissant place à une poursuite de la tendance.</w:t>
      </w:r>
    </w:p>
    <w:p>
      <w:pPr>
        <w:spacing w:after="120" w:line="276" w:lineRule="auto"/>
      </w:pPr>
      <w:r>
        <w:t>**MACD** : Le MACD (24,19) est légèrement inférieur à son signal (24,653), générant un signal de vente. Cette divergence mineure suggère un affaiblissement du momentum haussier à court terme, bien que les valeurs restent positives, indiquant que la tendance de fond demeure constructive.</w:t>
      </w:r>
    </w:p>
    <w:p>
      <w:pPr>
        <w:spacing w:after="120" w:line="276" w:lineRule="auto"/>
      </w:pPr>
      <w:r>
        <w:t>**RSI** : À 63,095, le RSI se situe dans la zone neutre, sans signal de surachat ni de survente. Cette valeur indique que le titre dispose encore de marge avant d'atteindre des niveaux extrêmes, tout en confirmant la vigueur relative de la tendance haussière.</w:t>
      </w:r>
    </w:p>
    <w:p>
      <w:pPr>
        <w:spacing w:after="120" w:line="276" w:lineRule="auto"/>
      </w:pPr>
      <w:r>
        <w:t>**Stochastique** : Le %K (63,636) est inférieur au %D (72,74), suggérant un croisement baissier potentiel. Cette configuration, bien que neutre, mérite une attention particulière car elle pourrait précéder une consolidation à court terme.</w:t>
      </w:r>
    </w:p>
    <w:p>
      <w:pPr>
        <w:spacing w:after="120" w:line="276" w:lineRule="auto"/>
      </w:pPr>
      <w:r>
        <w:t>**Conclusion technique** : Les indicateurs techniques présentent un tableau contrasté. Si les moyennes mobiles confirment la tendance haussière, le MACD et le stochastique suggèrent un essoufflement du momentum. Le RSI et les bandes de Bollinger restent neutres. Cette divergence entre la tendance de fond et les oscillateurs plaide pour une consolidation à court terme avant une éventuelle reprise de la hausse.</w:t>
      </w:r>
    </w:p>
    <w:p>
      <w:pPr>
        <w:spacing w:after="120" w:line="276" w:lineRule="auto" w:before="240"/>
      </w:pPr>
      <w:r>
        <w:rPr>
          <w:b/>
          <w:color w:val="003366"/>
          <w:sz w:val="24"/>
        </w:rPr>
        <w:t>**PARTIE 3 : ANALYSE FONDAMENTALE (SECTION CRITIQUE)**</w:t>
      </w:r>
    </w:p>
    <w:p>
      <w:pPr>
        <w:spacing w:after="120" w:line="276" w:lineRule="auto"/>
      </w:pPr>
      <w:r>
        <w:t>En 2025, NEIC affiche des résultats financiers solides avec un chiffre d'affaires de 5,139 milliards FCFA et un résultat net de 2,037 milliards FCFA, soit une marge nette exceptionnelle de 39,6%. La rentabilité des fonds propres (ROE) atteint 35,4%, un niveau excellent, tandis que le ROA s'établit à 27,3%. La structure financière est saine avec une autonomie financière de 77% et une trésorerie nette positive de 4,196 milliards FCFA. Cependant, le taux de croissance du CA est négatif à -23,8%, signalant une contraction de l'activité. Le délai clients de 154,7 jours constitue un risque de trésorerie important. Les rapports trimestriels 2025 confirment cette tendance : le T1 2025 a enregistré un effondrement du CA à 48,5 millions FCFA avec une perte de 189,9 millions, tandis que le T3 2025 a vu le CA chuter de 35% à 3,406 milliards, le bénéfice de 1,596 milliard étant largement dû à une reprise de provision exceptionnelle. Le rapport 2026 indique une reprise du CA (+137% au T1) mais des pertes persistantes. La recommandation fondamentale est de conserver le titre avec vigilance, la solidité du bilan contrastant avec la dégradation de l'activité opérationnelle.</w:t>
      </w:r>
    </w:p>
    <w:p>
      <w:pPr>
        <w:spacing w:after="120" w:line="276" w:lineRule="auto" w:before="240"/>
      </w:pPr>
      <w:r>
        <w:rPr>
          <w:b/>
          <w:color w:val="003366"/>
          <w:sz w:val="24"/>
        </w:rPr>
        <w:t>**PARTIE 4 : CONCLUSION D'INVESTISSEMENT**</w:t>
      </w:r>
    </w:p>
    <w:p>
      <w:pPr>
        <w:spacing w:after="120" w:line="276" w:lineRule="auto"/>
      </w:pPr>
      <w:r>
        <w:t>La valorisation actuelle de NEIC, avec un PER de 14,2x et un P/B de 5,01x, apparaît exigeante au regard des fondamentaux, intégrant des perspectives de croissance qui ne se matérialisent pas encore dans les résultats opérationnels. La performance boursière récente (+61,43% sur 100 jours) et la forte volatilité (48%) témoignent d'un intérêt marqué des investisseurs, mais les signaux techniques sont partagés : les moyennes mobiles restent haussières tandis que le MACD et le stochastique montrent des signes d'essoufflement. Les fondamentaux présentent un paradoxe : une rentabilité exceptionnelle en 2025 (ROE de 35,4%) mais une contraction du chiffre d'affaires et des pertes trimestrielles préoccupantes. Les prédictions IA, projetant une baisse du cours à 1 645 FCFA d'ici 10 jours, contredisent la tendance récente et suggèrent une correction significative. Cette divergence entre les signaux techniques, fondamentaux et les prédictions IA conduit à une recommandation de **CONSERVER** avec un niveau de confiance **Moyen**. Le risque global est **Élevé** compte tenu de la volatilité et de l'incertitude sur la trajectoire commerciale. L'horizon d'investissement optimal serait le **moyen terme (3-12 mois)**, en attendant une clarification de la stratégie de redressement et une stabilisation du chiffre d'affaires.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589.92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1,988 titres</w:t>
            </w:r>
          </w:p>
        </w:tc>
        <w:tc>
          <w:tcPr>
            <w:tcW w:type="dxa" w:w="2268"/>
            <w:shd w:fill="FFF2CC" w:val="clear"/>
          </w:tcPr>
          <w:p>
            <w:r>
              <w:rPr>
                <w:b/>
                <w:color w:val="503200"/>
                <w:sz w:val="16"/>
              </w:rPr>
              <w:t xml:space="preserve">Cours actuel : </w:t>
            </w:r>
            <w:r>
              <w:rPr>
                <w:color w:val="000000"/>
                <w:sz w:val="17"/>
              </w:rPr>
              <w:t>23,850 FCFA</w:t>
            </w:r>
          </w:p>
          <w:p>
            <w:r>
              <w:rPr>
                <w:b/>
                <w:color w:val="503200"/>
                <w:sz w:val="16"/>
              </w:rPr>
              <w:t xml:space="preserve">Var. 100 jours : </w:t>
            </w:r>
            <w:r>
              <w:rPr>
                <w:b/>
                <w:color w:val="007800"/>
                <w:sz w:val="17"/>
              </w:rPr>
              <w:t>+70.97%</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19.76% (Élevée) — μ=17,602 FCFA, σ=3,479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β=1.4504 (Agressif) — Cov=0.000053, Var(idx)=0.000036, ρ=0.371,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1,988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2026-08-06</w:t>
            </w:r>
          </w:p>
        </w:tc>
        <w:tc>
          <w:tcPr>
            <w:tcW w:type="dxa" w:w="1440"/>
            <w:shd w:fill="C6EFCE" w:val="clear"/>
          </w:tcPr>
          <w:p>
            <w:r>
              <w:rPr>
                <w:sz w:val="17"/>
              </w:rPr>
              <w:t>23,374</w:t>
            </w:r>
          </w:p>
        </w:tc>
        <w:tc>
          <w:tcPr>
            <w:tcW w:type="dxa" w:w="1440"/>
            <w:shd w:fill="C6EFCE" w:val="clear"/>
          </w:tcPr>
          <w:p>
            <w:r>
              <w:rPr>
                <w:b/>
                <w:sz w:val="17"/>
              </w:rPr>
              <w:t>24,400</w:t>
            </w:r>
          </w:p>
        </w:tc>
        <w:tc>
          <w:tcPr>
            <w:tcW w:type="dxa" w:w="1440"/>
            <w:shd w:fill="C6EFCE" w:val="clear"/>
          </w:tcPr>
          <w:p>
            <w:r>
              <w:rPr>
                <w:sz w:val="17"/>
              </w:rPr>
              <w:t>25,427</w:t>
            </w:r>
          </w:p>
        </w:tc>
        <w:tc>
          <w:tcPr>
            <w:tcW w:type="dxa" w:w="1440"/>
            <w:shd w:fill="C6EFCE" w:val="clear"/>
          </w:tcPr>
          <w:p>
            <w:r>
              <w:rPr>
                <w:b/>
                <w:color w:val="008000"/>
                <w:sz w:val="17"/>
              </w:rPr>
              <w:t>+2.3%</w:t>
            </w:r>
          </w:p>
        </w:tc>
      </w:tr>
      <w:tr>
        <w:tc>
          <w:tcPr>
            <w:tcW w:type="dxa" w:w="1440"/>
            <w:shd w:fill="C6EFCE" w:val="clear"/>
          </w:tcPr>
          <w:p>
            <w:r>
              <w:rPr>
                <w:sz w:val="17"/>
              </w:rPr>
              <w:t>J+2  Moyenne</w:t>
            </w:r>
          </w:p>
        </w:tc>
        <w:tc>
          <w:tcPr>
            <w:tcW w:type="dxa" w:w="1440"/>
            <w:shd w:fill="C6EFCE" w:val="clear"/>
          </w:tcPr>
          <w:p>
            <w:r>
              <w:rPr>
                <w:sz w:val="17"/>
              </w:rPr>
              <w:t>2026-08-10</w:t>
            </w:r>
          </w:p>
        </w:tc>
        <w:tc>
          <w:tcPr>
            <w:tcW w:type="dxa" w:w="1440"/>
            <w:shd w:fill="C6EFCE" w:val="clear"/>
          </w:tcPr>
          <w:p>
            <w:r>
              <w:rPr>
                <w:sz w:val="17"/>
              </w:rPr>
              <w:t>23,339</w:t>
            </w:r>
          </w:p>
        </w:tc>
        <w:tc>
          <w:tcPr>
            <w:tcW w:type="dxa" w:w="1440"/>
            <w:shd w:fill="C6EFCE" w:val="clear"/>
          </w:tcPr>
          <w:p>
            <w:r>
              <w:rPr>
                <w:b/>
                <w:sz w:val="17"/>
              </w:rPr>
              <w:t>24,815</w:t>
            </w:r>
          </w:p>
        </w:tc>
        <w:tc>
          <w:tcPr>
            <w:tcW w:type="dxa" w:w="1440"/>
            <w:shd w:fill="C6EFCE" w:val="clear"/>
          </w:tcPr>
          <w:p>
            <w:r>
              <w:rPr>
                <w:sz w:val="17"/>
              </w:rPr>
              <w:t>26,292</w:t>
            </w:r>
          </w:p>
        </w:tc>
        <w:tc>
          <w:tcPr>
            <w:tcW w:type="dxa" w:w="1440"/>
            <w:shd w:fill="C6EFCE" w:val="clear"/>
          </w:tcPr>
          <w:p>
            <w:r>
              <w:rPr>
                <w:b/>
                <w:color w:val="008000"/>
                <w:sz w:val="17"/>
              </w:rPr>
              <w:t>+4.0%</w:t>
            </w:r>
          </w:p>
        </w:tc>
      </w:tr>
      <w:tr>
        <w:tc>
          <w:tcPr>
            <w:tcW w:type="dxa" w:w="1440"/>
            <w:shd w:fill="C6EFCE" w:val="clear"/>
          </w:tcPr>
          <w:p>
            <w:r>
              <w:rPr>
                <w:sz w:val="17"/>
              </w:rPr>
              <w:t>J+3  Moyenne</w:t>
            </w:r>
          </w:p>
        </w:tc>
        <w:tc>
          <w:tcPr>
            <w:tcW w:type="dxa" w:w="1440"/>
            <w:shd w:fill="C6EFCE" w:val="clear"/>
          </w:tcPr>
          <w:p>
            <w:r>
              <w:rPr>
                <w:sz w:val="17"/>
              </w:rPr>
              <w:t>2026-08-11</w:t>
            </w:r>
          </w:p>
        </w:tc>
        <w:tc>
          <w:tcPr>
            <w:tcW w:type="dxa" w:w="1440"/>
            <w:shd w:fill="C6EFCE" w:val="clear"/>
          </w:tcPr>
          <w:p>
            <w:r>
              <w:rPr>
                <w:sz w:val="17"/>
              </w:rPr>
              <w:t>23,384</w:t>
            </w:r>
          </w:p>
        </w:tc>
        <w:tc>
          <w:tcPr>
            <w:tcW w:type="dxa" w:w="1440"/>
            <w:shd w:fill="C6EFCE" w:val="clear"/>
          </w:tcPr>
          <w:p>
            <w:r>
              <w:rPr>
                <w:b/>
                <w:sz w:val="17"/>
              </w:rPr>
              <w:t>25,222</w:t>
            </w:r>
          </w:p>
        </w:tc>
        <w:tc>
          <w:tcPr>
            <w:tcW w:type="dxa" w:w="1440"/>
            <w:shd w:fill="C6EFCE" w:val="clear"/>
          </w:tcPr>
          <w:p>
            <w:r>
              <w:rPr>
                <w:sz w:val="17"/>
              </w:rPr>
              <w:t>27,060</w:t>
            </w:r>
          </w:p>
        </w:tc>
        <w:tc>
          <w:tcPr>
            <w:tcW w:type="dxa" w:w="1440"/>
            <w:shd w:fill="C6EFCE" w:val="clear"/>
          </w:tcPr>
          <w:p>
            <w:r>
              <w:rPr>
                <w:b/>
                <w:color w:val="008000"/>
                <w:sz w:val="17"/>
              </w:rPr>
              <w:t>+5.8%</w:t>
            </w:r>
          </w:p>
        </w:tc>
      </w:tr>
      <w:tr>
        <w:tc>
          <w:tcPr>
            <w:tcW w:type="dxa" w:w="1440"/>
            <w:shd w:fill="C6EFCE" w:val="clear"/>
          </w:tcPr>
          <w:p>
            <w:r>
              <w:rPr>
                <w:sz w:val="17"/>
              </w:rPr>
              <w:t>J+4  ⭐</w:t>
            </w:r>
          </w:p>
        </w:tc>
        <w:tc>
          <w:tcPr>
            <w:tcW w:type="dxa" w:w="1440"/>
            <w:shd w:fill="C6EFCE" w:val="clear"/>
          </w:tcPr>
          <w:p>
            <w:r>
              <w:rPr>
                <w:sz w:val="17"/>
              </w:rPr>
              <w:t>2026-08-12</w:t>
            </w:r>
          </w:p>
        </w:tc>
        <w:tc>
          <w:tcPr>
            <w:tcW w:type="dxa" w:w="1440"/>
            <w:shd w:fill="C6EFCE" w:val="clear"/>
          </w:tcPr>
          <w:p>
            <w:r>
              <w:rPr>
                <w:sz w:val="17"/>
              </w:rPr>
              <w:t>23,460</w:t>
            </w:r>
          </w:p>
        </w:tc>
        <w:tc>
          <w:tcPr>
            <w:tcW w:type="dxa" w:w="1440"/>
            <w:shd w:fill="C6EFCE" w:val="clear"/>
          </w:tcPr>
          <w:p>
            <w:r>
              <w:rPr>
                <w:b/>
                <w:sz w:val="17"/>
              </w:rPr>
              <w:t>25,615</w:t>
            </w:r>
          </w:p>
        </w:tc>
        <w:tc>
          <w:tcPr>
            <w:tcW w:type="dxa" w:w="1440"/>
            <w:shd w:fill="C6EFCE" w:val="clear"/>
          </w:tcPr>
          <w:p>
            <w:r>
              <w:rPr>
                <w:sz w:val="17"/>
              </w:rPr>
              <w:t>27,771</w:t>
            </w:r>
          </w:p>
        </w:tc>
        <w:tc>
          <w:tcPr>
            <w:tcW w:type="dxa" w:w="1440"/>
            <w:shd w:fill="C6EFCE" w:val="clear"/>
          </w:tcPr>
          <w:p>
            <w:r>
              <w:rPr>
                <w:b/>
                <w:color w:val="008000"/>
                <w:sz w:val="17"/>
              </w:rPr>
              <w:t>+7.4%</w:t>
            </w:r>
          </w:p>
        </w:tc>
      </w:tr>
      <w:tr>
        <w:tc>
          <w:tcPr>
            <w:tcW w:type="dxa" w:w="1440"/>
            <w:shd w:fill="C6EFCE" w:val="clear"/>
          </w:tcPr>
          <w:p>
            <w:r>
              <w:rPr>
                <w:sz w:val="17"/>
              </w:rPr>
              <w:t>J+5  ⭐</w:t>
            </w:r>
          </w:p>
        </w:tc>
        <w:tc>
          <w:tcPr>
            <w:tcW w:type="dxa" w:w="1440"/>
            <w:shd w:fill="C6EFCE" w:val="clear"/>
          </w:tcPr>
          <w:p>
            <w:r>
              <w:rPr>
                <w:sz w:val="17"/>
              </w:rPr>
              <w:t>2026-08-13</w:t>
            </w:r>
          </w:p>
        </w:tc>
        <w:tc>
          <w:tcPr>
            <w:tcW w:type="dxa" w:w="1440"/>
            <w:shd w:fill="C6EFCE" w:val="clear"/>
          </w:tcPr>
          <w:p>
            <w:r>
              <w:rPr>
                <w:sz w:val="17"/>
              </w:rPr>
              <w:t>23,559</w:t>
            </w:r>
          </w:p>
        </w:tc>
        <w:tc>
          <w:tcPr>
            <w:tcW w:type="dxa" w:w="1440"/>
            <w:shd w:fill="C6EFCE" w:val="clear"/>
          </w:tcPr>
          <w:p>
            <w:r>
              <w:rPr>
                <w:b/>
                <w:sz w:val="17"/>
              </w:rPr>
              <w:t>26,006</w:t>
            </w:r>
          </w:p>
        </w:tc>
        <w:tc>
          <w:tcPr>
            <w:tcW w:type="dxa" w:w="1440"/>
            <w:shd w:fill="C6EFCE" w:val="clear"/>
          </w:tcPr>
          <w:p>
            <w:r>
              <w:rPr>
                <w:sz w:val="17"/>
              </w:rPr>
              <w:t>28,453</w:t>
            </w:r>
          </w:p>
        </w:tc>
        <w:tc>
          <w:tcPr>
            <w:tcW w:type="dxa" w:w="1440"/>
            <w:shd w:fill="C6EFCE" w:val="clear"/>
          </w:tcPr>
          <w:p>
            <w:r>
              <w:rPr>
                <w:b/>
                <w:color w:val="008000"/>
                <w:sz w:val="17"/>
              </w:rPr>
              <w:t>+9.0%</w:t>
            </w:r>
          </w:p>
        </w:tc>
      </w:tr>
      <w:tr>
        <w:tc>
          <w:tcPr>
            <w:tcW w:type="dxa" w:w="1440"/>
            <w:shd w:fill="C6EFCE" w:val="clear"/>
          </w:tcPr>
          <w:p>
            <w:r>
              <w:rPr>
                <w:sz w:val="17"/>
              </w:rPr>
              <w:t>J+6  ⭐</w:t>
            </w:r>
          </w:p>
        </w:tc>
        <w:tc>
          <w:tcPr>
            <w:tcW w:type="dxa" w:w="1440"/>
            <w:shd w:fill="C6EFCE" w:val="clear"/>
          </w:tcPr>
          <w:p>
            <w:r>
              <w:rPr>
                <w:sz w:val="17"/>
              </w:rPr>
              <w:t>2026-08-14</w:t>
            </w:r>
          </w:p>
        </w:tc>
        <w:tc>
          <w:tcPr>
            <w:tcW w:type="dxa" w:w="1440"/>
            <w:shd w:fill="C6EFCE" w:val="clear"/>
          </w:tcPr>
          <w:p>
            <w:r>
              <w:rPr>
                <w:sz w:val="17"/>
              </w:rPr>
              <w:t>23,674</w:t>
            </w:r>
          </w:p>
        </w:tc>
        <w:tc>
          <w:tcPr>
            <w:tcW w:type="dxa" w:w="1440"/>
            <w:shd w:fill="C6EFCE" w:val="clear"/>
          </w:tcPr>
          <w:p>
            <w:r>
              <w:rPr>
                <w:b/>
                <w:sz w:val="17"/>
              </w:rPr>
              <w:t>26,394</w:t>
            </w:r>
          </w:p>
        </w:tc>
        <w:tc>
          <w:tcPr>
            <w:tcW w:type="dxa" w:w="1440"/>
            <w:shd w:fill="C6EFCE" w:val="clear"/>
          </w:tcPr>
          <w:p>
            <w:r>
              <w:rPr>
                <w:sz w:val="17"/>
              </w:rPr>
              <w:t>29,115</w:t>
            </w:r>
          </w:p>
        </w:tc>
        <w:tc>
          <w:tcPr>
            <w:tcW w:type="dxa" w:w="1440"/>
            <w:shd w:fill="C6EFCE" w:val="clear"/>
          </w:tcPr>
          <w:p>
            <w:r>
              <w:rPr>
                <w:b/>
                <w:color w:val="008000"/>
                <w:sz w:val="17"/>
              </w:rPr>
              <w:t>+10.7%</w:t>
            </w:r>
          </w:p>
        </w:tc>
      </w:tr>
      <w:tr>
        <w:tc>
          <w:tcPr>
            <w:tcW w:type="dxa" w:w="1440"/>
            <w:shd w:fill="C6EFCE" w:val="clear"/>
          </w:tcPr>
          <w:p>
            <w:r>
              <w:rPr>
                <w:sz w:val="17"/>
              </w:rPr>
              <w:t>J+7  ⭐</w:t>
            </w:r>
          </w:p>
        </w:tc>
        <w:tc>
          <w:tcPr>
            <w:tcW w:type="dxa" w:w="1440"/>
            <w:shd w:fill="C6EFCE" w:val="clear"/>
          </w:tcPr>
          <w:p>
            <w:r>
              <w:rPr>
                <w:sz w:val="17"/>
              </w:rPr>
              <w:t>2026-08-17</w:t>
            </w:r>
          </w:p>
        </w:tc>
        <w:tc>
          <w:tcPr>
            <w:tcW w:type="dxa" w:w="1440"/>
            <w:shd w:fill="C6EFCE" w:val="clear"/>
          </w:tcPr>
          <w:p>
            <w:r>
              <w:rPr>
                <w:sz w:val="17"/>
              </w:rPr>
              <w:t>23,799</w:t>
            </w:r>
          </w:p>
        </w:tc>
        <w:tc>
          <w:tcPr>
            <w:tcW w:type="dxa" w:w="1440"/>
            <w:shd w:fill="C6EFCE" w:val="clear"/>
          </w:tcPr>
          <w:p>
            <w:r>
              <w:rPr>
                <w:b/>
                <w:sz w:val="17"/>
              </w:rPr>
              <w:t>26,781</w:t>
            </w:r>
          </w:p>
        </w:tc>
        <w:tc>
          <w:tcPr>
            <w:tcW w:type="dxa" w:w="1440"/>
            <w:shd w:fill="C6EFCE" w:val="clear"/>
          </w:tcPr>
          <w:p>
            <w:r>
              <w:rPr>
                <w:sz w:val="17"/>
              </w:rPr>
              <w:t>29,762</w:t>
            </w:r>
          </w:p>
        </w:tc>
        <w:tc>
          <w:tcPr>
            <w:tcW w:type="dxa" w:w="1440"/>
            <w:shd w:fill="C6EFCE" w:val="clear"/>
          </w:tcPr>
          <w:p>
            <w:r>
              <w:rPr>
                <w:b/>
                <w:color w:val="008000"/>
                <w:sz w:val="17"/>
              </w:rPr>
              <w:t>+12.3%</w:t>
            </w:r>
          </w:p>
        </w:tc>
      </w:tr>
      <w:tr>
        <w:tc>
          <w:tcPr>
            <w:tcW w:type="dxa" w:w="1440"/>
            <w:shd w:fill="C6EFCE" w:val="clear"/>
          </w:tcPr>
          <w:p>
            <w:r>
              <w:rPr>
                <w:sz w:val="17"/>
              </w:rPr>
              <w:t>J+8  ⭐</w:t>
            </w:r>
          </w:p>
        </w:tc>
        <w:tc>
          <w:tcPr>
            <w:tcW w:type="dxa" w:w="1440"/>
            <w:shd w:fill="C6EFCE" w:val="clear"/>
          </w:tcPr>
          <w:p>
            <w:r>
              <w:rPr>
                <w:sz w:val="17"/>
              </w:rPr>
              <w:t>2026-08-18</w:t>
            </w:r>
          </w:p>
        </w:tc>
        <w:tc>
          <w:tcPr>
            <w:tcW w:type="dxa" w:w="1440"/>
            <w:shd w:fill="C6EFCE" w:val="clear"/>
          </w:tcPr>
          <w:p>
            <w:r>
              <w:rPr>
                <w:sz w:val="17"/>
              </w:rPr>
              <w:t>23,932</w:t>
            </w:r>
          </w:p>
        </w:tc>
        <w:tc>
          <w:tcPr>
            <w:tcW w:type="dxa" w:w="1440"/>
            <w:shd w:fill="C6EFCE" w:val="clear"/>
          </w:tcPr>
          <w:p>
            <w:r>
              <w:rPr>
                <w:b/>
                <w:sz w:val="17"/>
              </w:rPr>
              <w:t>27,165</w:t>
            </w:r>
          </w:p>
        </w:tc>
        <w:tc>
          <w:tcPr>
            <w:tcW w:type="dxa" w:w="1440"/>
            <w:shd w:fill="C6EFCE" w:val="clear"/>
          </w:tcPr>
          <w:p>
            <w:r>
              <w:rPr>
                <w:sz w:val="17"/>
              </w:rPr>
              <w:t>30,398</w:t>
            </w:r>
          </w:p>
        </w:tc>
        <w:tc>
          <w:tcPr>
            <w:tcW w:type="dxa" w:w="1440"/>
            <w:shd w:fill="C6EFCE" w:val="clear"/>
          </w:tcPr>
          <w:p>
            <w:r>
              <w:rPr>
                <w:b/>
                <w:color w:val="008000"/>
                <w:sz w:val="17"/>
              </w:rPr>
              <w:t>+13.9%</w:t>
            </w:r>
          </w:p>
        </w:tc>
      </w:tr>
      <w:tr>
        <w:tc>
          <w:tcPr>
            <w:tcW w:type="dxa" w:w="1440"/>
            <w:shd w:fill="C6EFCE" w:val="clear"/>
          </w:tcPr>
          <w:p>
            <w:r>
              <w:rPr>
                <w:sz w:val="17"/>
              </w:rPr>
              <w:t>J+9  ⭐</w:t>
            </w:r>
          </w:p>
        </w:tc>
        <w:tc>
          <w:tcPr>
            <w:tcW w:type="dxa" w:w="1440"/>
            <w:shd w:fill="C6EFCE" w:val="clear"/>
          </w:tcPr>
          <w:p>
            <w:r>
              <w:rPr>
                <w:sz w:val="17"/>
              </w:rPr>
              <w:t>2026-08-19</w:t>
            </w:r>
          </w:p>
        </w:tc>
        <w:tc>
          <w:tcPr>
            <w:tcW w:type="dxa" w:w="1440"/>
            <w:shd w:fill="C6EFCE" w:val="clear"/>
          </w:tcPr>
          <w:p>
            <w:r>
              <w:rPr>
                <w:sz w:val="17"/>
              </w:rPr>
              <w:t>24,069</w:t>
            </w:r>
          </w:p>
        </w:tc>
        <w:tc>
          <w:tcPr>
            <w:tcW w:type="dxa" w:w="1440"/>
            <w:shd w:fill="C6EFCE" w:val="clear"/>
          </w:tcPr>
          <w:p>
            <w:r>
              <w:rPr>
                <w:b/>
                <w:sz w:val="17"/>
              </w:rPr>
              <w:t>27,546</w:t>
            </w:r>
          </w:p>
        </w:tc>
        <w:tc>
          <w:tcPr>
            <w:tcW w:type="dxa" w:w="1440"/>
            <w:shd w:fill="C6EFCE" w:val="clear"/>
          </w:tcPr>
          <w:p>
            <w:r>
              <w:rPr>
                <w:sz w:val="17"/>
              </w:rPr>
              <w:t>31,024</w:t>
            </w:r>
          </w:p>
        </w:tc>
        <w:tc>
          <w:tcPr>
            <w:tcW w:type="dxa" w:w="1440"/>
            <w:shd w:fill="C6EFCE" w:val="clear"/>
          </w:tcPr>
          <w:p>
            <w:r>
              <w:rPr>
                <w:b/>
                <w:color w:val="008000"/>
                <w:sz w:val="17"/>
              </w:rPr>
              <w:t>+15.5%</w:t>
            </w:r>
          </w:p>
        </w:tc>
      </w:tr>
      <w:tr>
        <w:tc>
          <w:tcPr>
            <w:tcW w:type="dxa" w:w="1440"/>
            <w:shd w:fill="C6EFCE" w:val="clear"/>
          </w:tcPr>
          <w:p>
            <w:r>
              <w:rPr>
                <w:sz w:val="17"/>
              </w:rPr>
              <w:t>J+10  ⭐</w:t>
            </w:r>
          </w:p>
        </w:tc>
        <w:tc>
          <w:tcPr>
            <w:tcW w:type="dxa" w:w="1440"/>
            <w:shd w:fill="C6EFCE" w:val="clear"/>
          </w:tcPr>
          <w:p>
            <w:r>
              <w:rPr>
                <w:sz w:val="17"/>
              </w:rPr>
              <w:t>2026-08-20</w:t>
            </w:r>
          </w:p>
        </w:tc>
        <w:tc>
          <w:tcPr>
            <w:tcW w:type="dxa" w:w="1440"/>
            <w:shd w:fill="C6EFCE" w:val="clear"/>
          </w:tcPr>
          <w:p>
            <w:r>
              <w:rPr>
                <w:sz w:val="17"/>
              </w:rPr>
              <w:t>24,209</w:t>
            </w:r>
          </w:p>
        </w:tc>
        <w:tc>
          <w:tcPr>
            <w:tcW w:type="dxa" w:w="1440"/>
            <w:shd w:fill="C6EFCE" w:val="clear"/>
          </w:tcPr>
          <w:p>
            <w:r>
              <w:rPr>
                <w:b/>
                <w:sz w:val="17"/>
              </w:rPr>
              <w:t>27,925</w:t>
            </w:r>
          </w:p>
        </w:tc>
        <w:tc>
          <w:tcPr>
            <w:tcW w:type="dxa" w:w="1440"/>
            <w:shd w:fill="C6EFCE" w:val="clear"/>
          </w:tcPr>
          <w:p>
            <w:r>
              <w:rPr>
                <w:sz w:val="17"/>
              </w:rPr>
              <w:t>31,641</w:t>
            </w:r>
          </w:p>
        </w:tc>
        <w:tc>
          <w:tcPr>
            <w:tcW w:type="dxa" w:w="1440"/>
            <w:shd w:fill="C6EFCE" w:val="clear"/>
          </w:tcPr>
          <w:p>
            <w:r>
              <w:rPr>
                <w:b/>
                <w:color w:val="008000"/>
                <w:sz w:val="17"/>
              </w:rPr>
              <w:t>+17.1%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NSBC s'établit à 589,92 milliards FCFA, positionnant la banque parmi les valeurs les plus significatives de la BRVM. Avec un BPA de 1 646 FCFA, le PER de 14,5x se situe au-dessus de la moyenne historique du marché (~8-12x), indiquant que les investisseurs acceptent de payer une prime pour la qualité de la banque, mais sans excès. Le P/B de 2,53x confirme cette lecture : le marché valorise la société à plus de deux fois sa valeur comptable, ce qui traduit une anticipation de croissance future. L'EV/EBITDA de 21,9x est en revanche plus exigeant, signalant une valorisation qui intègre déjà une performance opérationnelle soutenue. Dans l'ensemble, ces ratios reflètent une confiance marquée des investisseurs dans la trajectoire de NSBC, bien que la marge de sécurité soit réduite à ces niveaux.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progression spectaculaire de +70,97%, passant d'un plus bas de 13 810 FCFA à un plus haut de 24 020 FCFA, pour clôturer à 23 850 FCFA, avec un léger repli de -0,42% lors de la dernière séance. Cette tendance fortement haussière s'accompagne d'une moyenne de 17 602 FCFA et d'une médiane de 18 000 FCFA, dont l'écart modéré suggère une distribution relativement symétrique, confirmée par un skewness de 0,317. L'écart-type de 3 496 FCFA (CV de 19,9%) indique une dispersion modérée des cours autour de la moyenne. Le kurtosis négatif de -1,336 (platykurtique) révèle une distribution aplatie, avec peu de valeurs extrêmes, ce qui est cohérent avec une progression régulière plutôt que des pics brutaux. La volatilité annualisée de 37,4% classe le titre dans la catégorie élevée, reflétant un risque significatif mais également un fort potentiel de rendement pour les investisseurs tolérants au risque.</w:t>
      </w:r>
    </w:p>
    <w:p>
      <w:pPr>
        <w:spacing w:after="120" w:line="276" w:lineRule="auto" w:before="240"/>
      </w:pPr>
      <w:r>
        <w:rPr>
          <w:b/>
          <w:color w:val="003366"/>
          <w:sz w:val="24"/>
        </w:rPr>
        <w:t>**PARTIE 2 : ANALYSE TECHNIQUE DÉTAILLÉE**</w:t>
      </w:r>
    </w:p>
    <w:p>
      <w:pPr>
        <w:spacing w:after="120" w:line="276" w:lineRule="auto"/>
      </w:pPr>
      <w:r>
        <w:t>**Moyennes Mobiles** : Le cours actuel de 23 850 FCFA se positionne nettement au-dessus de la MM20 (22 767,25 FCFA) et de la MM50 (20 701,3 FCFA), confirmant une dynamique haussière solide. L'écart positif entre le prix et les moyennes mobiles, couplé à un alignement favorable (MM20 &gt; MM50), justifie la décision d'achat, indiquant que la tendance de fond reste positive malgré la récente consolidation.</w:t>
      </w:r>
    </w:p>
    <w:p>
      <w:pPr>
        <w:spacing w:after="120" w:line="276" w:lineRule="auto"/>
      </w:pPr>
      <w:r>
        <w:t>**Bandes de Bollinger** : Le prix évolue dans la partie supérieure des bandes, proche de la borne haute à 24 622,713 FCFA, sans toutefois la toucher. Cette position suggère une pression acheteuse persistante, mais la proximité de la borne supérieure pourrait signaler une zone de résistance. La décision neutre reflète l'équilibre entre le momentum haussier et le risque de correction technique.</w:t>
      </w:r>
    </w:p>
    <w:p>
      <w:pPr>
        <w:spacing w:after="120" w:line="276" w:lineRule="auto"/>
      </w:pPr>
      <w:r>
        <w:t>**MACD** : La valeur du MACD (977,605) est légèrement inférieure à son signal (998,83), indiquant un affaiblissement du momentum haussier à court terme. Cette configuration, bien que mineure, suggère une possible consolidation ou un retournement imminent. La décision de vente est donc prudente, signalant une pause dans la dynamique ascendante.</w:t>
      </w:r>
    </w:p>
    <w:p>
      <w:pPr>
        <w:spacing w:after="120" w:line="276" w:lineRule="auto"/>
      </w:pPr>
      <w:r>
        <w:t>**RSI** : À 65,189, le RSI se situe dans la zone neutre-haute, sans atteindre le seuil de surachat de 70. Cela indique que le titre conserve un potentiel haussier résiduel, mais que la pression acheteuse commence à s'essouffler. La décision neutre est cohérente avec cette lecture, suggérant une stabilisation possible.</w:t>
      </w:r>
    </w:p>
    <w:p>
      <w:pPr>
        <w:spacing w:after="120" w:line="276" w:lineRule="auto"/>
      </w:pPr>
      <w:r>
        <w:t>**Stochastique** : Avec %K à 91,584 et %D à 96,04, l'oscillateur stochastique est en zone de surachat prononcé. Le croisement potentiel de %K sous %D pourrait déclencher un signal de vente à court terme, d'autant que la décision actuelle est déjà vendeuse. Ce niveau extrême indique que le titre est temporairement surévalué d'un point de vue technique.</w:t>
      </w:r>
    </w:p>
    <w:p>
      <w:pPr>
        <w:spacing w:after="120" w:line="276" w:lineRule="auto"/>
      </w:pPr>
      <w:r>
        <w:t>**Conclusion technique** : Les indicateurs techniques présentent un tableau contrasté. Si les moyennes mobiles confirment une tendance haussière de fond, les oscillateurs (MACD, RSI, Stochastique) signalent une fatigue à court terme. La convergence des signaux de vente sur les indicateurs de momentum suggère une consolidation probable avant la poursuite de la tendance. Les investisseurs devraient surveiller une correction vers les 22 700-23 000 FCFA comme point d'entrée potentiel.</w:t>
      </w:r>
    </w:p>
    <w:p>
      <w:pPr>
        <w:spacing w:after="120" w:line="276" w:lineRule="auto" w:before="240"/>
      </w:pPr>
      <w:r>
        <w:rPr>
          <w:b/>
          <w:color w:val="003366"/>
          <w:sz w:val="24"/>
        </w:rPr>
        <w:t>**PARTIE 3 : ANALYSE FONDAMENTALE (SECTION CRITIQUE)**</w:t>
      </w:r>
    </w:p>
    <w:p>
      <w:pPr>
        <w:spacing w:after="120" w:line="276" w:lineRule="auto"/>
      </w:pPr>
      <w:r>
        <w:t>En 2025, NSBC affiche un Produit Net Bancaire de 112,928 milliards FCFA, en hausse de 15% par rapport à 2024, et un résultat net de 40,712 milliards FCFA, en progression de 7%. Le ROE s'établit à un excellent niveau de 17,45%, tandis que le ROA atteint 1,32%, témoignant d'une utilisation efficace des actifs. Le coefficient d'exploitation de 54,59% confirme l'efficacité opérationnelle de la banque, bien en deçà du seuil de 60%. Cependant, le coût du risque de 7,54% reste élevé, reflétant une dégradation de la qualité du portefeuille de crédits (provisions de -8,5 milliards FCFA en 2025). Le ratio dépôts/crédits est sain, avec 2 242,218 milliards FCFA de dépôts contre 1 818,671 milliards FCFA de créances, démontrant une transformation équilibrée. Les rapports trimestriels confirment cette dynamique : le T1 2026 (rapport du 31/03/2026) montre un PNB de 28,615 milliards FCFA (+28%) et un résultat net de 10,912 milliards FCFA (+53%), porté par l'activité titres. Sur la base de ce T1 exceptionnel, on estime que l'exercice 2026 pourrait voir le résultat net dépasser 45 milliards FCFA, soit une croissance de plus de 10%. Le rapport S1 2025 (publié en 2025) indiquait déjà une accélération avec un PNB de 50,5 milliards FCFA (+10,6%) et un résultat net de 16,3 milliards FCFA (+12,3%). La banque démontre une capacité de croissance soutenue, malgré un coût du risque à surveiller.</w:t>
      </w:r>
    </w:p>
    <w:p>
      <w:pPr>
        <w:spacing w:after="120" w:line="276" w:lineRule="auto" w:before="240"/>
      </w:pPr>
      <w:r>
        <w:rPr>
          <w:b/>
          <w:color w:val="003366"/>
          <w:sz w:val="24"/>
        </w:rPr>
        <w:t>**PARTIE 4 : CONCLUSION D'INVESTISSEMENT**</w:t>
      </w:r>
    </w:p>
    <w:p>
      <w:pPr>
        <w:spacing w:after="120" w:line="276" w:lineRule="auto"/>
      </w:pPr>
      <w:r>
        <w:t>La synthèse des analyses révèle une configuration globalement positive pour NSBC. La valorisation (PER de 14,5x, P/B de 2,53x) est exigeante mais justifiée par la qualité des fondamentaux, tandis que le comportement du cours (+70,97% sur 100 jours) témoigne d'une forte dynamique, bien que la volatilité élevée (37,4%) et le kurtosis platykurtique appellent à la prudence. Les signaux techniques sont mitigés : les moyennes mobiles restent haussières, mais les oscillateurs (MACD, RSI, Stochastique) signalent une consolidation à court terme. Les fondamentaux sont solides, avec un ROE de 17,45%, une croissance du PNB de 15% en 2025 et des perspectives 2026 estimées à plus de 10% de croissance du résultat net. Les prédictions IA (24 400 à 26 006 FCFA sur 10 jours) confirment la poursuite de la tendance haussière, en cohérence avec les fondamentaux. La convergence entre la solidité financière, la dynamique de croissance et les prévisions algorithmiques conduit à une recommandation **ACHAT**, avec un niveau de confiance **Élevé** et un risque global **Moyen**. L'horizon d'investissement optimal se situe à moyen terme (3-12 mois), permettant de bénéficier de la croissance tout en absorbant la volatilité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369.68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1,972 titres</w:t>
            </w:r>
          </w:p>
        </w:tc>
        <w:tc>
          <w:tcPr>
            <w:tcW w:type="dxa" w:w="2268"/>
            <w:shd w:fill="FFF2CC" w:val="clear"/>
          </w:tcPr>
          <w:p>
            <w:r>
              <w:rPr>
                <w:b/>
                <w:color w:val="503200"/>
                <w:sz w:val="16"/>
              </w:rPr>
              <w:t xml:space="preserve">Cours actuel : </w:t>
            </w:r>
            <w:r>
              <w:rPr>
                <w:color w:val="000000"/>
                <w:sz w:val="17"/>
              </w:rPr>
              <w:t>16,750 FCFA</w:t>
            </w:r>
          </w:p>
          <w:p>
            <w:r>
              <w:rPr>
                <w:b/>
                <w:color w:val="503200"/>
                <w:sz w:val="16"/>
              </w:rPr>
              <w:t xml:space="preserve">Var. 100 jours : </w:t>
            </w:r>
            <w:r>
              <w:rPr>
                <w:b/>
                <w:color w:val="007800"/>
                <w:sz w:val="17"/>
              </w:rPr>
              <w:t>+31.94%</w:t>
            </w:r>
          </w:p>
          <w:p>
            <w:r>
              <w:rPr>
                <w:b/>
                <w:color w:val="503200"/>
                <w:sz w:val="16"/>
              </w:rPr>
              <w:t xml:space="preserve">Plus haut 100j : </w:t>
            </w:r>
            <w:r>
              <w:rPr>
                <w:color w:val="000000"/>
                <w:sz w:val="17"/>
              </w:rPr>
              <w:t>16,750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12.80% (Moyenne) — μ=13,850 FCFA, σ=1,773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β=0.3005 (Défensif) — Cov=0.000011, Var(idx)=0.000036, ρ=0.086,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1,972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σ_j=2.11%/j (Stable) — Vol. annualisée≈33.5%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2026-08-06</w:t>
            </w:r>
          </w:p>
        </w:tc>
        <w:tc>
          <w:tcPr>
            <w:tcW w:type="dxa" w:w="1440"/>
            <w:shd w:fill="FFDCE0" w:val="clear"/>
          </w:tcPr>
          <w:p>
            <w:r>
              <w:rPr>
                <w:sz w:val="17"/>
              </w:rPr>
              <w:t>16,032</w:t>
            </w:r>
          </w:p>
        </w:tc>
        <w:tc>
          <w:tcPr>
            <w:tcW w:type="dxa" w:w="1440"/>
            <w:shd w:fill="FFDCE0" w:val="clear"/>
          </w:tcPr>
          <w:p>
            <w:r>
              <w:rPr>
                <w:b/>
                <w:sz w:val="17"/>
              </w:rPr>
              <w:t>16,406</w:t>
            </w:r>
          </w:p>
        </w:tc>
        <w:tc>
          <w:tcPr>
            <w:tcW w:type="dxa" w:w="1440"/>
            <w:shd w:fill="FFDCE0" w:val="clear"/>
          </w:tcPr>
          <w:p>
            <w:r>
              <w:rPr>
                <w:sz w:val="17"/>
              </w:rPr>
              <w:t>16,779</w:t>
            </w:r>
          </w:p>
        </w:tc>
        <w:tc>
          <w:tcPr>
            <w:tcW w:type="dxa" w:w="1440"/>
            <w:shd w:fill="FFDCE0" w:val="clear"/>
          </w:tcPr>
          <w:p>
            <w:r>
              <w:rPr>
                <w:b/>
                <w:color w:val="C00000"/>
                <w:sz w:val="17"/>
              </w:rPr>
              <w:t>-2.1%</w:t>
            </w:r>
          </w:p>
        </w:tc>
      </w:tr>
      <w:tr>
        <w:tc>
          <w:tcPr>
            <w:tcW w:type="dxa" w:w="1440"/>
            <w:shd w:fill="FFDCE0" w:val="clear"/>
          </w:tcPr>
          <w:p>
            <w:r>
              <w:rPr>
                <w:sz w:val="17"/>
              </w:rPr>
              <w:t>J+2  Moyenne</w:t>
            </w:r>
          </w:p>
        </w:tc>
        <w:tc>
          <w:tcPr>
            <w:tcW w:type="dxa" w:w="1440"/>
            <w:shd w:fill="FFDCE0" w:val="clear"/>
          </w:tcPr>
          <w:p>
            <w:r>
              <w:rPr>
                <w:sz w:val="17"/>
              </w:rPr>
              <w:t>2026-08-10</w:t>
            </w:r>
          </w:p>
        </w:tc>
        <w:tc>
          <w:tcPr>
            <w:tcW w:type="dxa" w:w="1440"/>
            <w:shd w:fill="FFDCE0" w:val="clear"/>
          </w:tcPr>
          <w:p>
            <w:r>
              <w:rPr>
                <w:sz w:val="17"/>
              </w:rPr>
              <w:t>15,861</w:t>
            </w:r>
          </w:p>
        </w:tc>
        <w:tc>
          <w:tcPr>
            <w:tcW w:type="dxa" w:w="1440"/>
            <w:shd w:fill="FFDCE0" w:val="clear"/>
          </w:tcPr>
          <w:p>
            <w:r>
              <w:rPr>
                <w:b/>
                <w:sz w:val="17"/>
              </w:rPr>
              <w:t>16,389</w:t>
            </w:r>
          </w:p>
        </w:tc>
        <w:tc>
          <w:tcPr>
            <w:tcW w:type="dxa" w:w="1440"/>
            <w:shd w:fill="FFDCE0" w:val="clear"/>
          </w:tcPr>
          <w:p>
            <w:r>
              <w:rPr>
                <w:sz w:val="17"/>
              </w:rPr>
              <w:t>16,916</w:t>
            </w:r>
          </w:p>
        </w:tc>
        <w:tc>
          <w:tcPr>
            <w:tcW w:type="dxa" w:w="1440"/>
            <w:shd w:fill="FFDCE0" w:val="clear"/>
          </w:tcPr>
          <w:p>
            <w:r>
              <w:rPr>
                <w:b/>
                <w:color w:val="C00000"/>
                <w:sz w:val="17"/>
              </w:rPr>
              <w:t>-2.2%</w:t>
            </w:r>
          </w:p>
        </w:tc>
      </w:tr>
      <w:tr>
        <w:tc>
          <w:tcPr>
            <w:tcW w:type="dxa" w:w="1440"/>
            <w:shd w:fill="FFDCE0" w:val="clear"/>
          </w:tcPr>
          <w:p>
            <w:r>
              <w:rPr>
                <w:sz w:val="17"/>
              </w:rPr>
              <w:t>J+3  ⭐</w:t>
            </w:r>
          </w:p>
        </w:tc>
        <w:tc>
          <w:tcPr>
            <w:tcW w:type="dxa" w:w="1440"/>
            <w:shd w:fill="FFDCE0" w:val="clear"/>
          </w:tcPr>
          <w:p>
            <w:r>
              <w:rPr>
                <w:sz w:val="17"/>
              </w:rPr>
              <w:t>2026-08-11</w:t>
            </w:r>
          </w:p>
        </w:tc>
        <w:tc>
          <w:tcPr>
            <w:tcW w:type="dxa" w:w="1440"/>
            <w:shd w:fill="FFDCE0" w:val="clear"/>
          </w:tcPr>
          <w:p>
            <w:r>
              <w:rPr>
                <w:sz w:val="17"/>
              </w:rPr>
              <w:t>15,701</w:t>
            </w:r>
          </w:p>
        </w:tc>
        <w:tc>
          <w:tcPr>
            <w:tcW w:type="dxa" w:w="1440"/>
            <w:shd w:fill="FFDCE0" w:val="clear"/>
          </w:tcPr>
          <w:p>
            <w:r>
              <w:rPr>
                <w:b/>
                <w:sz w:val="17"/>
              </w:rPr>
              <w:t>16,345</w:t>
            </w:r>
          </w:p>
        </w:tc>
        <w:tc>
          <w:tcPr>
            <w:tcW w:type="dxa" w:w="1440"/>
            <w:shd w:fill="FFDCE0" w:val="clear"/>
          </w:tcPr>
          <w:p>
            <w:r>
              <w:rPr>
                <w:sz w:val="17"/>
              </w:rPr>
              <w:t>16,990</w:t>
            </w:r>
          </w:p>
        </w:tc>
        <w:tc>
          <w:tcPr>
            <w:tcW w:type="dxa" w:w="1440"/>
            <w:shd w:fill="FFDCE0" w:val="clear"/>
          </w:tcPr>
          <w:p>
            <w:r>
              <w:rPr>
                <w:b/>
                <w:color w:val="C00000"/>
                <w:sz w:val="17"/>
              </w:rPr>
              <w:t>-2.4%</w:t>
            </w:r>
          </w:p>
        </w:tc>
      </w:tr>
      <w:tr>
        <w:tc>
          <w:tcPr>
            <w:tcW w:type="dxa" w:w="1440"/>
            <w:shd w:fill="FFDCE0" w:val="clear"/>
          </w:tcPr>
          <w:p>
            <w:r>
              <w:rPr>
                <w:sz w:val="17"/>
              </w:rPr>
              <w:t>J+4  ⭐</w:t>
            </w:r>
          </w:p>
        </w:tc>
        <w:tc>
          <w:tcPr>
            <w:tcW w:type="dxa" w:w="1440"/>
            <w:shd w:fill="FFDCE0" w:val="clear"/>
          </w:tcPr>
          <w:p>
            <w:r>
              <w:rPr>
                <w:sz w:val="17"/>
              </w:rPr>
              <w:t>2026-08-12</w:t>
            </w:r>
          </w:p>
        </w:tc>
        <w:tc>
          <w:tcPr>
            <w:tcW w:type="dxa" w:w="1440"/>
            <w:shd w:fill="FFDCE0" w:val="clear"/>
          </w:tcPr>
          <w:p>
            <w:r>
              <w:rPr>
                <w:sz w:val="17"/>
              </w:rPr>
              <w:t>15,555</w:t>
            </w:r>
          </w:p>
        </w:tc>
        <w:tc>
          <w:tcPr>
            <w:tcW w:type="dxa" w:w="1440"/>
            <w:shd w:fill="FFDCE0" w:val="clear"/>
          </w:tcPr>
          <w:p>
            <w:r>
              <w:rPr>
                <w:b/>
                <w:sz w:val="17"/>
              </w:rPr>
              <w:t>16,297</w:t>
            </w:r>
          </w:p>
        </w:tc>
        <w:tc>
          <w:tcPr>
            <w:tcW w:type="dxa" w:w="1440"/>
            <w:shd w:fill="FFDCE0" w:val="clear"/>
          </w:tcPr>
          <w:p>
            <w:r>
              <w:rPr>
                <w:sz w:val="17"/>
              </w:rPr>
              <w:t>17,039</w:t>
            </w:r>
          </w:p>
        </w:tc>
        <w:tc>
          <w:tcPr>
            <w:tcW w:type="dxa" w:w="1440"/>
            <w:shd w:fill="FFDCE0" w:val="clear"/>
          </w:tcPr>
          <w:p>
            <w:r>
              <w:rPr>
                <w:b/>
                <w:color w:val="C00000"/>
                <w:sz w:val="17"/>
              </w:rPr>
              <w:t>-2.7%</w:t>
            </w:r>
          </w:p>
        </w:tc>
      </w:tr>
      <w:tr>
        <w:tc>
          <w:tcPr>
            <w:tcW w:type="dxa" w:w="1440"/>
            <w:shd w:fill="FFDCE0" w:val="clear"/>
          </w:tcPr>
          <w:p>
            <w:r>
              <w:rPr>
                <w:sz w:val="17"/>
              </w:rPr>
              <w:t>J+5  ⭐</w:t>
            </w:r>
          </w:p>
        </w:tc>
        <w:tc>
          <w:tcPr>
            <w:tcW w:type="dxa" w:w="1440"/>
            <w:shd w:fill="FFDCE0" w:val="clear"/>
          </w:tcPr>
          <w:p>
            <w:r>
              <w:rPr>
                <w:sz w:val="17"/>
              </w:rPr>
              <w:t>2026-08-13</w:t>
            </w:r>
          </w:p>
        </w:tc>
        <w:tc>
          <w:tcPr>
            <w:tcW w:type="dxa" w:w="1440"/>
            <w:shd w:fill="FFDCE0" w:val="clear"/>
          </w:tcPr>
          <w:p>
            <w:r>
              <w:rPr>
                <w:sz w:val="17"/>
              </w:rPr>
              <w:t>15,422</w:t>
            </w:r>
          </w:p>
        </w:tc>
        <w:tc>
          <w:tcPr>
            <w:tcW w:type="dxa" w:w="1440"/>
            <w:shd w:fill="FFDCE0" w:val="clear"/>
          </w:tcPr>
          <w:p>
            <w:r>
              <w:rPr>
                <w:b/>
                <w:sz w:val="17"/>
              </w:rPr>
              <w:t>16,249</w:t>
            </w:r>
          </w:p>
        </w:tc>
        <w:tc>
          <w:tcPr>
            <w:tcW w:type="dxa" w:w="1440"/>
            <w:shd w:fill="FFDCE0" w:val="clear"/>
          </w:tcPr>
          <w:p>
            <w:r>
              <w:rPr>
                <w:sz w:val="17"/>
              </w:rPr>
              <w:t>17,077</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2026-08-14</w:t>
            </w:r>
          </w:p>
        </w:tc>
        <w:tc>
          <w:tcPr>
            <w:tcW w:type="dxa" w:w="1440"/>
            <w:shd w:fill="FFDCE0" w:val="clear"/>
          </w:tcPr>
          <w:p>
            <w:r>
              <w:rPr>
                <w:sz w:val="17"/>
              </w:rPr>
              <w:t>15,299</w:t>
            </w:r>
          </w:p>
        </w:tc>
        <w:tc>
          <w:tcPr>
            <w:tcW w:type="dxa" w:w="1440"/>
            <w:shd w:fill="FFDCE0" w:val="clear"/>
          </w:tcPr>
          <w:p>
            <w:r>
              <w:rPr>
                <w:b/>
                <w:sz w:val="17"/>
              </w:rPr>
              <w:t>16,203</w:t>
            </w:r>
          </w:p>
        </w:tc>
        <w:tc>
          <w:tcPr>
            <w:tcW w:type="dxa" w:w="1440"/>
            <w:shd w:fill="FFDCE0" w:val="clear"/>
          </w:tcPr>
          <w:p>
            <w:r>
              <w:rPr>
                <w:sz w:val="17"/>
              </w:rPr>
              <w:t>17,107</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2026-08-17</w:t>
            </w:r>
          </w:p>
        </w:tc>
        <w:tc>
          <w:tcPr>
            <w:tcW w:type="dxa" w:w="1440"/>
            <w:shd w:fill="FFDCE0" w:val="clear"/>
          </w:tcPr>
          <w:p>
            <w:r>
              <w:rPr>
                <w:sz w:val="17"/>
              </w:rPr>
              <w:t>15,185</w:t>
            </w:r>
          </w:p>
        </w:tc>
        <w:tc>
          <w:tcPr>
            <w:tcW w:type="dxa" w:w="1440"/>
            <w:shd w:fill="FFDCE0" w:val="clear"/>
          </w:tcPr>
          <w:p>
            <w:r>
              <w:rPr>
                <w:b/>
                <w:sz w:val="17"/>
              </w:rPr>
              <w:t>16,159</w:t>
            </w:r>
          </w:p>
        </w:tc>
        <w:tc>
          <w:tcPr>
            <w:tcW w:type="dxa" w:w="1440"/>
            <w:shd w:fill="FFDCE0" w:val="clear"/>
          </w:tcPr>
          <w:p>
            <w:r>
              <w:rPr>
                <w:sz w:val="17"/>
              </w:rPr>
              <w:t>17,133</w:t>
            </w:r>
          </w:p>
        </w:tc>
        <w:tc>
          <w:tcPr>
            <w:tcW w:type="dxa" w:w="1440"/>
            <w:shd w:fill="FFDCE0" w:val="clear"/>
          </w:tcPr>
          <w:p>
            <w:r>
              <w:rPr>
                <w:b/>
                <w:color w:val="C00000"/>
                <w:sz w:val="17"/>
              </w:rPr>
              <w:t>-3.5%</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15,078</w:t>
            </w:r>
          </w:p>
        </w:tc>
        <w:tc>
          <w:tcPr>
            <w:tcW w:type="dxa" w:w="1440"/>
            <w:shd w:fill="FFDCE0" w:val="clear"/>
          </w:tcPr>
          <w:p>
            <w:r>
              <w:rPr>
                <w:b/>
                <w:sz w:val="17"/>
              </w:rPr>
              <w:t>16,116</w:t>
            </w:r>
          </w:p>
        </w:tc>
        <w:tc>
          <w:tcPr>
            <w:tcW w:type="dxa" w:w="1440"/>
            <w:shd w:fill="FFDCE0" w:val="clear"/>
          </w:tcPr>
          <w:p>
            <w:r>
              <w:rPr>
                <w:sz w:val="17"/>
              </w:rPr>
              <w:t>17,154</w:t>
            </w:r>
          </w:p>
        </w:tc>
        <w:tc>
          <w:tcPr>
            <w:tcW w:type="dxa" w:w="1440"/>
            <w:shd w:fill="FFDCE0" w:val="clear"/>
          </w:tcPr>
          <w:p>
            <w:r>
              <w:rPr>
                <w:b/>
                <w:color w:val="C00000"/>
                <w:sz w:val="17"/>
              </w:rPr>
              <w:t>-3.8%</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14,976</w:t>
            </w:r>
          </w:p>
        </w:tc>
        <w:tc>
          <w:tcPr>
            <w:tcW w:type="dxa" w:w="1440"/>
            <w:shd w:fill="FFDCE0" w:val="clear"/>
          </w:tcPr>
          <w:p>
            <w:r>
              <w:rPr>
                <w:b/>
                <w:sz w:val="17"/>
              </w:rPr>
              <w:t>16,074</w:t>
            </w:r>
          </w:p>
        </w:tc>
        <w:tc>
          <w:tcPr>
            <w:tcW w:type="dxa" w:w="1440"/>
            <w:shd w:fill="FFDCE0" w:val="clear"/>
          </w:tcPr>
          <w:p>
            <w:r>
              <w:rPr>
                <w:sz w:val="17"/>
              </w:rPr>
              <w:t>17,172</w:t>
            </w:r>
          </w:p>
        </w:tc>
        <w:tc>
          <w:tcPr>
            <w:tcW w:type="dxa" w:w="1440"/>
            <w:shd w:fill="FFDCE0" w:val="clear"/>
          </w:tcPr>
          <w:p>
            <w:r>
              <w:rPr>
                <w:b/>
                <w:color w:val="C00000"/>
                <w:sz w:val="17"/>
              </w:rPr>
              <w:t>-4.0%</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14,878</w:t>
            </w:r>
          </w:p>
        </w:tc>
        <w:tc>
          <w:tcPr>
            <w:tcW w:type="dxa" w:w="1440"/>
            <w:shd w:fill="FFDCE0" w:val="clear"/>
          </w:tcPr>
          <w:p>
            <w:r>
              <w:rPr>
                <w:b/>
                <w:sz w:val="17"/>
              </w:rPr>
              <w:t>16,033</w:t>
            </w:r>
          </w:p>
        </w:tc>
        <w:tc>
          <w:tcPr>
            <w:tcW w:type="dxa" w:w="1440"/>
            <w:shd w:fill="FFDCE0" w:val="clear"/>
          </w:tcPr>
          <w:p>
            <w:r>
              <w:rPr>
                <w:sz w:val="17"/>
              </w:rPr>
              <w:t>17,188</w:t>
            </w:r>
          </w:p>
        </w:tc>
        <w:tc>
          <w:tcPr>
            <w:tcW w:type="dxa" w:w="1440"/>
            <w:shd w:fill="FFDCE0" w:val="clear"/>
          </w:tcPr>
          <w:p>
            <w:r>
              <w:rPr>
                <w:b/>
                <w:color w:val="C00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NTLC (NESTLÉ CÔTE D'IVOIRE)**</w:t>
        <w:br/>
        <w:t>**Date de l'analyse :** 06 août 2026</w:t>
        <w:br/>
        <w:t>**Cours de référence :** 16 750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s'établit à 369,68 milliards FCFA, ce qui en fait l'une des valeurs les plus significatives de la cote de la BRVM, reflétant la confiance des investisseurs dans ce leader des biens de consommation. Avec un BPA de 835 FCFA, le titre se négocie à un PER de 20,1x, nettement supérieur à la moyenne historique de la BRVM (8-12x). Ce niveau de valorisation suggère que le marché intègre déjà des perspectives de croissance soutenues, rendant le titre exigeant en termes de prix. Le P/B de 12,49x confirme cette prime, le marché valorisant massivement les actifs et la marque de l'entreprise bien au-delà de leur valeur comptable. Enfin, l'EV/EBITDA de 9,9x se situe dans la fourchette haute des valeurs raisonnables (5-10x), indiquant une valorisation globale qui, bien que tendue, reste cohérente avec la capacité opérationnelle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NTLC a enregistré une performance exceptionnelle de +31,94%, avec une dernière séance en légère hausse de +0,30%. Le titre a évolué dans une fourchette de 11 150 FCFA (plus bas) à 16 750 FCFA (plus haut), démontrant une dynamique haussière puissante et soutenue. La moyenne du cours sur la période est de 13 850 FCFA, tandis que la médiane s'établit à 12 992 FCFA ; l'écart entre ces deux valeurs indique une distribution asymétrique, avec une concentration des prix vers le bas de la fourchette avant une accélération récente. L'écart-type de 1 782 FCFA (CV = 12,9%) témoigne d'une dispersion modérée des prix autour de la moyenne. Le kurtosis négatif (-1.473) révèle une distribution platykurtique, signifiant une absence de mouvements extrêmes et une certaine stabilité dans la progression. Le skewness de 0.356 confirme une asymétrie positive, avec une queue de distribution orientée vers les hausses. Enfin, la volatilité annualisée de 33,5% classe le titre dans la catégorie des valeurs à forte volatilité (&gt;30%), ce qui implique un risque de fluctuation important mais aussi un potentiel de gains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(16 750 FCFA) se positionne nettement au-dessus de la MM20 (16 299 FCFA) et de la MM50 (15 363,9 FCFA). Cette configuration haussière, où les moyennes sont orientées à la hausse et le cours évolue au-dessus, confirme une tendance de fond positive. Le signal d'achat généré par cet indicateur est cohérent avec la dynamique observée sur la période.</w:t>
      </w:r>
    </w:p>
    <w:p>
      <w:pPr>
        <w:spacing w:after="120" w:line="276" w:lineRule="auto"/>
      </w:pPr>
      <w:r>
        <w:t>**Bandes de Bollinger :** Le cours se situe à 16 750 FCFA, très proche de la borne supérieure (16 884,5 FCFA) et bien au-dessus de la borne inférieure (15 713,4 FCFA). Cette position indique que le titre est en zone de surachat technique à court terme, avec une volatilité qui s'élargit. Le signal neutre suggère que le marché pourrait consolider avant de poursuivre sa progression, mais la tendance reste intacte.</w:t>
      </w:r>
    </w:p>
    <w:p>
      <w:pPr>
        <w:spacing w:after="120" w:line="276" w:lineRule="auto"/>
      </w:pPr>
      <w:r>
        <w:t>**MACD :** Le MACD (366,8) est légèrement inférieur à sa ligne de signal (400,1), indiquant un affaiblissement du momentum haussier à très court terme. Bien que les deux lignes restent en territoire positif, ce croisement baissier est un signal de prudence. La décision de vente associée à cet indicateur suggère une possible pause ou correction technique après la forte hausse.</w:t>
      </w:r>
    </w:p>
    <w:p>
      <w:pPr>
        <w:spacing w:after="120" w:line="276" w:lineRule="auto"/>
      </w:pPr>
      <w:r>
        <w:t>**RSI :** Avec une valeur de 79,76, le RSI est en zone de surachat prononcé (&gt;70). Ce niveau signale que le titre a été fortement acheté et qu'une consolidation technique est probable à court terme. Le signal de vente émis par cet indicateur est un avertissement classique pour les investisseurs, même si en tendance forte, le RSI peut rester suracheté pendant une période prolongée.</w:t>
      </w:r>
    </w:p>
    <w:p>
      <w:pPr>
        <w:spacing w:after="120" w:line="276" w:lineRule="auto"/>
      </w:pPr>
      <w:r>
        <w:t>**Stochastique :** Le %K et le %D sont tous deux à 100, un niveau extrême qui confirme la surabsorption du titre. Cette configuration indique que le marché est saturé d'achats et qu'un retour de bâton technique est très probable. Le signal de vente est ici le plus fort parmi tous les indicateurs, suggérant une correction imminente.</w:t>
      </w:r>
    </w:p>
    <w:p>
      <w:pPr>
        <w:spacing w:after="120" w:line="276" w:lineRule="auto"/>
      </w:pPr>
      <w:r>
        <w:t>**Conclusion technique :** L'analyse technique révèle une divergence nette entre les indicateurs de tendance (MM20/MM50) qui restent positifs, et les oscillateurs de momentum (RSI, Stochastique, MACD) qui signalent tous un épuisement haussier à court terme. Le titre est en surachat extrême et une consolidation ou correction technique semble inévitable avant la poursuite de la tendance de fond. Les investisseurs doivent donc s'attendre à une volatilité accrue dans les prochaines séances.</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2025) :** En 2025, Nestlé Côte d'Ivoire a réalisé un chiffre d'affaires de 233,26 milliards FCFA, en hausse de +5,97% par rapport à 2024. Le résultat net s'établit à 18,43 milliards FCFA, en légère progression de +1,53%. La marge nette ressort à 7,9%, stable par rapport à l'exercice précédent. La rentabilité des fonds propres (ROE) est exceptionnelle à 62,28%, tandis que le ROA atteint 9,70%, démontrant une utilisation très efficace des actifs. L'entreprise affiche une marge opérationnelle solide de 16,16% et un EBE de 46,17 milliards FCFA. Cependant, la structure financière révèle des points de vigilance : le ratio d'endettement est élevé à 135,85%, la liquidité générale est faible à 79,86%, et le fonds de roulement est négatif (-24,2 milliards FCFA), indiquant une dépendance au financement court terme. Le BFR de 22,6 milliards FCFA et un délai client de 74 jours constituent des risques de trésorerie à surveiller.</w:t>
      </w:r>
    </w:p>
    <w:p>
      <w:pPr>
        <w:spacing w:after="120" w:line="276" w:lineRule="auto"/>
      </w:pPr>
      <w:r>
        <w:t>**Analyse des rapports trimestriels :** Le rapport du T1 2026 (publié en mai 2026) fait état d'une performance remarquable avec un chiffre d'affaires de 70,82 milliards FCFA, en hausse de +31% par rapport au T1 2025, et un résultat net de 7,53 milliards FCFA, en progression de +37%. La marge nette s'améliore à 10,6%, contre 10,1% au T1 2025. Sur la base de cette dynamique, on estime que l'exercice 2026 pourrait voir le chiffre d'affaires dépasser les 260 milliards FCFA et le résultat net atteindre environ 22-23 milliards FCFA, soit une croissance de 20-25% par rapport à 2025. Cependant, les rapports S1 2025 et 9 mois 2025 montrent une pression sur les marges (marge nette de 8,1% au S1 et 6,9% sur 9 mois), due à la hausse des coûts des matières premières et des charges financières. La politique de dividende 2025 a été réduite de moitié (9,27 milliards FCFA, payout de 50,3%), signalant une stratégie de réinvestissement des bénéfices. La recommandation fondamentale globale est positive, avec une solidité financière démontrée, mais une attention particulière doit être portée à l'endettement et à la liquidité.</w:t>
      </w:r>
    </w:p>
    <w:p>
      <w:pPr>
        <w:spacing w:after="120" w:line="276" w:lineRule="auto"/>
      </w:pPr>
      <w:r>
        <w:t>---</w:t>
      </w:r>
    </w:p>
    <w:p>
      <w:pPr>
        <w:spacing w:after="120" w:line="276" w:lineRule="auto"/>
      </w:pPr>
      <w:r>
        <w:t>### PARTIE 4 : CONCLUSION D'INVESTISSEMENT</w:t>
      </w:r>
    </w:p>
    <w:p>
      <w:pPr>
        <w:spacing w:after="120" w:line="276" w:lineRule="auto"/>
      </w:pPr>
      <w:r>
        <w:t>La synthèse des analyses fait ressortir une situation contrastée pour NTLC. La valorisation (Partie 0) est exigeante avec un PER de 20,1x et un P/B de 12,49x, indiquant une surévaluation relative par rapport au marché BRVM. Le comportement du cours (Partie 1) est très favorable avec une hausse de +31,94% sur 100 jours, mais la volatilité élevée (33,5%) et les statistiques de distribution suggèrent un risque accru de retournement. Les signaux techniques (Partie 2) sont divergents : la tendance de fond reste haussière (MM), mais tous les oscillateurs (RSI, Stochastique, MACD) sont en surachat extrême, signalant une correction imminente. Les fondamentaux (Partie 3) sont solides avec une croissance du CA de +5,97% en 2025 et une accélération spectaculaire au T1 2026 (+31%), mais l'endettement élevé et la liquidité faible constituent des risques. Les prédictions IA pour les 10 prochains jours (16 406 à 16 249 FCFA) confirment cette analyse en anticipant une légère baisse du cours, en cohérence avec les signaux techniques de surachat. **Recommandation finale : CONSERVER.** La convergence entre la surévaluation technique (surachat) et la prédiction IA de baisse suggère une consolidation à court terme, mais la solidité fondamentale et les perspectives de croissance 2026 justifient de conserver le titre en portefeuille. **Niveau de confiance : Moyen. Risque global : Élevé.** L'horizon d'investissement optimal est le moyen terme (3-12 mois), en attendant une correction technique pour renforcer la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202.98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5,610 titres</w:t>
            </w:r>
          </w:p>
        </w:tc>
        <w:tc>
          <w:tcPr>
            <w:tcW w:type="dxa" w:w="2268"/>
            <w:shd w:fill="FFF2CC" w:val="clear"/>
          </w:tcPr>
          <w:p>
            <w:r>
              <w:rPr>
                <w:b/>
                <w:color w:val="503200"/>
                <w:sz w:val="16"/>
              </w:rPr>
              <w:t xml:space="preserve">Cours actuel : </w:t>
            </w:r>
            <w:r>
              <w:rPr>
                <w:color w:val="000000"/>
                <w:sz w:val="17"/>
              </w:rPr>
              <w:t>2,985 FCFA</w:t>
            </w:r>
          </w:p>
          <w:p>
            <w:r>
              <w:rPr>
                <w:b/>
                <w:color w:val="503200"/>
                <w:sz w:val="16"/>
              </w:rPr>
              <w:t xml:space="preserve">Var. 100 jours : </w:t>
            </w:r>
            <w:r>
              <w:rPr>
                <w:b/>
                <w:color w:val="007800"/>
                <w:sz w:val="17"/>
              </w:rPr>
              <w:t>+2.75%</w:t>
            </w:r>
          </w:p>
          <w:p>
            <w:r>
              <w:rPr>
                <w:b/>
                <w:color w:val="503200"/>
                <w:sz w:val="16"/>
              </w:rPr>
              <w:t xml:space="preserve">Plus haut 100j : </w:t>
            </w:r>
            <w:r>
              <w:rPr>
                <w:color w:val="000000"/>
                <w:sz w:val="17"/>
              </w:rPr>
              <w:t>3,095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33.5%</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3.52% (Faible) — μ=2,833 FCFA, σ=100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β=0.2559 (Défensif) — Cov=0.000009, Var(idx)=0.000036, ρ=0.073,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σ_j=2.11%/j (Stable) — Vol. annualisée≈33.5%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19287"/>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2026-08-06</w:t>
            </w:r>
          </w:p>
        </w:tc>
        <w:tc>
          <w:tcPr>
            <w:tcW w:type="dxa" w:w="1440"/>
            <w:shd w:fill="FAFAFA" w:val="clear"/>
          </w:tcPr>
          <w:p>
            <w:r>
              <w:rPr>
                <w:sz w:val="17"/>
              </w:rPr>
              <w:t>2,877</w:t>
            </w:r>
          </w:p>
        </w:tc>
        <w:tc>
          <w:tcPr>
            <w:tcW w:type="dxa" w:w="1440"/>
            <w:shd w:fill="FAFAFA" w:val="clear"/>
          </w:tcPr>
          <w:p>
            <w:r>
              <w:rPr>
                <w:b/>
                <w:sz w:val="17"/>
              </w:rPr>
              <w:t>2,961</w:t>
            </w:r>
          </w:p>
        </w:tc>
        <w:tc>
          <w:tcPr>
            <w:tcW w:type="dxa" w:w="1440"/>
            <w:shd w:fill="FAFAFA" w:val="clear"/>
          </w:tcPr>
          <w:p>
            <w:r>
              <w:rPr>
                <w:sz w:val="17"/>
              </w:rPr>
              <w:t>3,046</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2026-08-10</w:t>
            </w:r>
          </w:p>
        </w:tc>
        <w:tc>
          <w:tcPr>
            <w:tcW w:type="dxa" w:w="1440"/>
            <w:shd w:fill="FAFAFA" w:val="clear"/>
          </w:tcPr>
          <w:p>
            <w:r>
              <w:rPr>
                <w:sz w:val="17"/>
              </w:rPr>
              <w:t>2,838</w:t>
            </w:r>
          </w:p>
        </w:tc>
        <w:tc>
          <w:tcPr>
            <w:tcW w:type="dxa" w:w="1440"/>
            <w:shd w:fill="FAFAFA" w:val="clear"/>
          </w:tcPr>
          <w:p>
            <w:r>
              <w:rPr>
                <w:b/>
                <w:sz w:val="17"/>
              </w:rPr>
              <w:t>2,957</w:t>
            </w:r>
          </w:p>
        </w:tc>
        <w:tc>
          <w:tcPr>
            <w:tcW w:type="dxa" w:w="1440"/>
            <w:shd w:fill="FAFAFA" w:val="clear"/>
          </w:tcPr>
          <w:p>
            <w:r>
              <w:rPr>
                <w:sz w:val="17"/>
              </w:rPr>
              <w:t>3,076</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2026-08-11</w:t>
            </w:r>
          </w:p>
        </w:tc>
        <w:tc>
          <w:tcPr>
            <w:tcW w:type="dxa" w:w="1440"/>
            <w:shd w:fill="FAFAFA" w:val="clear"/>
          </w:tcPr>
          <w:p>
            <w:r>
              <w:rPr>
                <w:sz w:val="17"/>
              </w:rPr>
              <w:t>2,805</w:t>
            </w:r>
          </w:p>
        </w:tc>
        <w:tc>
          <w:tcPr>
            <w:tcW w:type="dxa" w:w="1440"/>
            <w:shd w:fill="FAFAFA" w:val="clear"/>
          </w:tcPr>
          <w:p>
            <w:r>
              <w:rPr>
                <w:b/>
                <w:sz w:val="17"/>
              </w:rPr>
              <w:t>2,950</w:t>
            </w:r>
          </w:p>
        </w:tc>
        <w:tc>
          <w:tcPr>
            <w:tcW w:type="dxa" w:w="1440"/>
            <w:shd w:fill="FAFAFA" w:val="clear"/>
          </w:tcPr>
          <w:p>
            <w:r>
              <w:rPr>
                <w:sz w:val="17"/>
              </w:rPr>
              <w:t>3,096</w:t>
            </w:r>
          </w:p>
        </w:tc>
        <w:tc>
          <w:tcPr>
            <w:tcW w:type="dxa" w:w="1440"/>
            <w:shd w:fill="FAFAFA" w:val="clear"/>
          </w:tcPr>
          <w:p>
            <w:r>
              <w:rPr>
                <w:b/>
                <w:color w:val="C00000"/>
                <w:sz w:val="17"/>
              </w:rPr>
              <w:t>-1.2%</w:t>
            </w:r>
          </w:p>
        </w:tc>
      </w:tr>
      <w:tr>
        <w:tc>
          <w:tcPr>
            <w:tcW w:type="dxa" w:w="1440"/>
            <w:shd w:fill="FAFAFA" w:val="clear"/>
          </w:tcPr>
          <w:p>
            <w:r>
              <w:rPr>
                <w:sz w:val="17"/>
              </w:rPr>
              <w:t>J+4  Moyenne</w:t>
            </w:r>
          </w:p>
        </w:tc>
        <w:tc>
          <w:tcPr>
            <w:tcW w:type="dxa" w:w="1440"/>
            <w:shd w:fill="FAFAFA" w:val="clear"/>
          </w:tcPr>
          <w:p>
            <w:r>
              <w:rPr>
                <w:sz w:val="17"/>
              </w:rPr>
              <w:t>2026-08-12</w:t>
            </w:r>
          </w:p>
        </w:tc>
        <w:tc>
          <w:tcPr>
            <w:tcW w:type="dxa" w:w="1440"/>
            <w:shd w:fill="FAFAFA" w:val="clear"/>
          </w:tcPr>
          <w:p>
            <w:r>
              <w:rPr>
                <w:sz w:val="17"/>
              </w:rPr>
              <w:t>2,776</w:t>
            </w:r>
          </w:p>
        </w:tc>
        <w:tc>
          <w:tcPr>
            <w:tcW w:type="dxa" w:w="1440"/>
            <w:shd w:fill="FAFAFA" w:val="clear"/>
          </w:tcPr>
          <w:p>
            <w:r>
              <w:rPr>
                <w:b/>
                <w:sz w:val="17"/>
              </w:rPr>
              <w:t>2,944</w:t>
            </w:r>
          </w:p>
        </w:tc>
        <w:tc>
          <w:tcPr>
            <w:tcW w:type="dxa" w:w="1440"/>
            <w:shd w:fill="FAFAFA" w:val="clear"/>
          </w:tcPr>
          <w:p>
            <w:r>
              <w:rPr>
                <w:sz w:val="17"/>
              </w:rPr>
              <w:t>3,112</w:t>
            </w:r>
          </w:p>
        </w:tc>
        <w:tc>
          <w:tcPr>
            <w:tcW w:type="dxa" w:w="1440"/>
            <w:shd w:fill="FAFAFA" w:val="clear"/>
          </w:tcPr>
          <w:p>
            <w:r>
              <w:rPr>
                <w:b/>
                <w:color w:val="C00000"/>
                <w:sz w:val="17"/>
              </w:rPr>
              <w:t>-1.4%</w:t>
            </w:r>
          </w:p>
        </w:tc>
      </w:tr>
      <w:tr>
        <w:tc>
          <w:tcPr>
            <w:tcW w:type="dxa" w:w="1440"/>
            <w:shd w:fill="FAFAFA" w:val="clear"/>
          </w:tcPr>
          <w:p>
            <w:r>
              <w:rPr>
                <w:sz w:val="17"/>
              </w:rPr>
              <w:t>J+5  Moyenne</w:t>
            </w:r>
          </w:p>
        </w:tc>
        <w:tc>
          <w:tcPr>
            <w:tcW w:type="dxa" w:w="1440"/>
            <w:shd w:fill="FAFAFA" w:val="clear"/>
          </w:tcPr>
          <w:p>
            <w:r>
              <w:rPr>
                <w:sz w:val="17"/>
              </w:rPr>
              <w:t>2026-08-13</w:t>
            </w:r>
          </w:p>
        </w:tc>
        <w:tc>
          <w:tcPr>
            <w:tcW w:type="dxa" w:w="1440"/>
            <w:shd w:fill="FAFAFA" w:val="clear"/>
          </w:tcPr>
          <w:p>
            <w:r>
              <w:rPr>
                <w:sz w:val="17"/>
              </w:rPr>
              <w:t>2,750</w:t>
            </w:r>
          </w:p>
        </w:tc>
        <w:tc>
          <w:tcPr>
            <w:tcW w:type="dxa" w:w="1440"/>
            <w:shd w:fill="FAFAFA" w:val="clear"/>
          </w:tcPr>
          <w:p>
            <w:r>
              <w:rPr>
                <w:b/>
                <w:sz w:val="17"/>
              </w:rPr>
              <w:t>2,937</w:t>
            </w:r>
          </w:p>
        </w:tc>
        <w:tc>
          <w:tcPr>
            <w:tcW w:type="dxa" w:w="1440"/>
            <w:shd w:fill="FAFAFA" w:val="clear"/>
          </w:tcPr>
          <w:p>
            <w:r>
              <w:rPr>
                <w:sz w:val="17"/>
              </w:rPr>
              <w:t>3,124</w:t>
            </w:r>
          </w:p>
        </w:tc>
        <w:tc>
          <w:tcPr>
            <w:tcW w:type="dxa" w:w="1440"/>
            <w:shd w:fill="FAFAFA" w:val="clear"/>
          </w:tcPr>
          <w:p>
            <w:r>
              <w:rPr>
                <w:b/>
                <w:color w:val="C00000"/>
                <w:sz w:val="17"/>
              </w:rPr>
              <w:t>-1.6%</w:t>
            </w:r>
          </w:p>
        </w:tc>
      </w:tr>
      <w:tr>
        <w:tc>
          <w:tcPr>
            <w:tcW w:type="dxa" w:w="1440"/>
            <w:shd w:fill="FAFAFA" w:val="clear"/>
          </w:tcPr>
          <w:p>
            <w:r>
              <w:rPr>
                <w:sz w:val="17"/>
              </w:rPr>
              <w:t>J+6  Moyenne</w:t>
            </w:r>
          </w:p>
        </w:tc>
        <w:tc>
          <w:tcPr>
            <w:tcW w:type="dxa" w:w="1440"/>
            <w:shd w:fill="FAFAFA" w:val="clear"/>
          </w:tcPr>
          <w:p>
            <w:r>
              <w:rPr>
                <w:sz w:val="17"/>
              </w:rPr>
              <w:t>2026-08-14</w:t>
            </w:r>
          </w:p>
        </w:tc>
        <w:tc>
          <w:tcPr>
            <w:tcW w:type="dxa" w:w="1440"/>
            <w:shd w:fill="FAFAFA" w:val="clear"/>
          </w:tcPr>
          <w:p>
            <w:r>
              <w:rPr>
                <w:sz w:val="17"/>
              </w:rPr>
              <w:t>2,726</w:t>
            </w:r>
          </w:p>
        </w:tc>
        <w:tc>
          <w:tcPr>
            <w:tcW w:type="dxa" w:w="1440"/>
            <w:shd w:fill="FAFAFA" w:val="clear"/>
          </w:tcPr>
          <w:p>
            <w:r>
              <w:rPr>
                <w:b/>
                <w:sz w:val="17"/>
              </w:rPr>
              <w:t>2,931</w:t>
            </w:r>
          </w:p>
        </w:tc>
        <w:tc>
          <w:tcPr>
            <w:tcW w:type="dxa" w:w="1440"/>
            <w:shd w:fill="FAFAFA" w:val="clear"/>
          </w:tcPr>
          <w:p>
            <w:r>
              <w:rPr>
                <w:sz w:val="17"/>
              </w:rPr>
              <w:t>3,135</w:t>
            </w:r>
          </w:p>
        </w:tc>
        <w:tc>
          <w:tcPr>
            <w:tcW w:type="dxa" w:w="1440"/>
            <w:shd w:fill="FAFAFA" w:val="clear"/>
          </w:tcPr>
          <w:p>
            <w:r>
              <w:rPr>
                <w:b/>
                <w:color w:val="C00000"/>
                <w:sz w:val="17"/>
              </w:rPr>
              <w:t>-1.8%</w:t>
            </w:r>
          </w:p>
        </w:tc>
      </w:tr>
      <w:tr>
        <w:tc>
          <w:tcPr>
            <w:tcW w:type="dxa" w:w="1440"/>
            <w:shd w:fill="FFDCE0" w:val="clear"/>
          </w:tcPr>
          <w:p>
            <w:r>
              <w:rPr>
                <w:sz w:val="17"/>
              </w:rPr>
              <w:t>J+7  Moyenne</w:t>
            </w:r>
          </w:p>
        </w:tc>
        <w:tc>
          <w:tcPr>
            <w:tcW w:type="dxa" w:w="1440"/>
            <w:shd w:fill="FFDCE0" w:val="clear"/>
          </w:tcPr>
          <w:p>
            <w:r>
              <w:rPr>
                <w:sz w:val="17"/>
              </w:rPr>
              <w:t>2026-08-17</w:t>
            </w:r>
          </w:p>
        </w:tc>
        <w:tc>
          <w:tcPr>
            <w:tcW w:type="dxa" w:w="1440"/>
            <w:shd w:fill="FFDCE0" w:val="clear"/>
          </w:tcPr>
          <w:p>
            <w:r>
              <w:rPr>
                <w:sz w:val="17"/>
              </w:rPr>
              <w:t>2,704</w:t>
            </w:r>
          </w:p>
        </w:tc>
        <w:tc>
          <w:tcPr>
            <w:tcW w:type="dxa" w:w="1440"/>
            <w:shd w:fill="FFDCE0" w:val="clear"/>
          </w:tcPr>
          <w:p>
            <w:r>
              <w:rPr>
                <w:b/>
                <w:sz w:val="17"/>
              </w:rPr>
              <w:t>2,924</w:t>
            </w:r>
          </w:p>
        </w:tc>
        <w:tc>
          <w:tcPr>
            <w:tcW w:type="dxa" w:w="1440"/>
            <w:shd w:fill="FFDCE0" w:val="clear"/>
          </w:tcPr>
          <w:p>
            <w:r>
              <w:rPr>
                <w:sz w:val="17"/>
              </w:rPr>
              <w:t>3,145</w:t>
            </w:r>
          </w:p>
        </w:tc>
        <w:tc>
          <w:tcPr>
            <w:tcW w:type="dxa" w:w="1440"/>
            <w:shd w:fill="FFDCE0" w:val="clear"/>
          </w:tcPr>
          <w:p>
            <w:r>
              <w:rPr>
                <w:b/>
                <w:color w:val="C00000"/>
                <w:sz w:val="17"/>
              </w:rPr>
              <w:t>-2.0%</w:t>
            </w:r>
          </w:p>
        </w:tc>
      </w:tr>
      <w:tr>
        <w:tc>
          <w:tcPr>
            <w:tcW w:type="dxa" w:w="1440"/>
            <w:shd w:fill="FFDCE0" w:val="clear"/>
          </w:tcPr>
          <w:p>
            <w:r>
              <w:rPr>
                <w:sz w:val="17"/>
              </w:rPr>
              <w:t>J+8  Moyenne</w:t>
            </w:r>
          </w:p>
        </w:tc>
        <w:tc>
          <w:tcPr>
            <w:tcW w:type="dxa" w:w="1440"/>
            <w:shd w:fill="FFDCE0" w:val="clear"/>
          </w:tcPr>
          <w:p>
            <w:r>
              <w:rPr>
                <w:sz w:val="17"/>
              </w:rPr>
              <w:t>2026-08-18</w:t>
            </w:r>
          </w:p>
        </w:tc>
        <w:tc>
          <w:tcPr>
            <w:tcW w:type="dxa" w:w="1440"/>
            <w:shd w:fill="FFDCE0" w:val="clear"/>
          </w:tcPr>
          <w:p>
            <w:r>
              <w:rPr>
                <w:sz w:val="17"/>
              </w:rPr>
              <w:t>2,682</w:t>
            </w:r>
          </w:p>
        </w:tc>
        <w:tc>
          <w:tcPr>
            <w:tcW w:type="dxa" w:w="1440"/>
            <w:shd w:fill="FFDCE0" w:val="clear"/>
          </w:tcPr>
          <w:p>
            <w:r>
              <w:rPr>
                <w:b/>
                <w:sz w:val="17"/>
              </w:rPr>
              <w:t>2,918</w:t>
            </w:r>
          </w:p>
        </w:tc>
        <w:tc>
          <w:tcPr>
            <w:tcW w:type="dxa" w:w="1440"/>
            <w:shd w:fill="FFDCE0" w:val="clear"/>
          </w:tcPr>
          <w:p>
            <w:r>
              <w:rPr>
                <w:sz w:val="17"/>
              </w:rPr>
              <w:t>3,153</w:t>
            </w:r>
          </w:p>
        </w:tc>
        <w:tc>
          <w:tcPr>
            <w:tcW w:type="dxa" w:w="1440"/>
            <w:shd w:fill="FFDCE0" w:val="clear"/>
          </w:tcPr>
          <w:p>
            <w:r>
              <w:rPr>
                <w:b/>
                <w:color w:val="C00000"/>
                <w:sz w:val="17"/>
              </w:rPr>
              <w:t>-2.3%</w:t>
            </w:r>
          </w:p>
        </w:tc>
      </w:tr>
      <w:tr>
        <w:tc>
          <w:tcPr>
            <w:tcW w:type="dxa" w:w="1440"/>
            <w:shd w:fill="FFDCE0" w:val="clear"/>
          </w:tcPr>
          <w:p>
            <w:r>
              <w:rPr>
                <w:sz w:val="17"/>
              </w:rPr>
              <w:t>J+9  Moyenne</w:t>
            </w:r>
          </w:p>
        </w:tc>
        <w:tc>
          <w:tcPr>
            <w:tcW w:type="dxa" w:w="1440"/>
            <w:shd w:fill="FFDCE0" w:val="clear"/>
          </w:tcPr>
          <w:p>
            <w:r>
              <w:rPr>
                <w:sz w:val="17"/>
              </w:rPr>
              <w:t>2026-08-19</w:t>
            </w:r>
          </w:p>
        </w:tc>
        <w:tc>
          <w:tcPr>
            <w:tcW w:type="dxa" w:w="1440"/>
            <w:shd w:fill="FFDCE0" w:val="clear"/>
          </w:tcPr>
          <w:p>
            <w:r>
              <w:rPr>
                <w:sz w:val="17"/>
              </w:rPr>
              <w:t>2,662</w:t>
            </w:r>
          </w:p>
        </w:tc>
        <w:tc>
          <w:tcPr>
            <w:tcW w:type="dxa" w:w="1440"/>
            <w:shd w:fill="FFDCE0" w:val="clear"/>
          </w:tcPr>
          <w:p>
            <w:r>
              <w:rPr>
                <w:b/>
                <w:sz w:val="17"/>
              </w:rPr>
              <w:t>2,911</w:t>
            </w:r>
          </w:p>
        </w:tc>
        <w:tc>
          <w:tcPr>
            <w:tcW w:type="dxa" w:w="1440"/>
            <w:shd w:fill="FFDCE0" w:val="clear"/>
          </w:tcPr>
          <w:p>
            <w:r>
              <w:rPr>
                <w:sz w:val="17"/>
              </w:rPr>
              <w:t>3,160</w:t>
            </w:r>
          </w:p>
        </w:tc>
        <w:tc>
          <w:tcPr>
            <w:tcW w:type="dxa" w:w="1440"/>
            <w:shd w:fill="FFDCE0" w:val="clear"/>
          </w:tcPr>
          <w:p>
            <w:r>
              <w:rPr>
                <w:b/>
                <w:color w:val="C00000"/>
                <w:sz w:val="17"/>
              </w:rPr>
              <w:t>-2.5%</w:t>
            </w:r>
          </w:p>
        </w:tc>
      </w:tr>
      <w:tr>
        <w:tc>
          <w:tcPr>
            <w:tcW w:type="dxa" w:w="1440"/>
            <w:shd w:fill="FFDCE0" w:val="clear"/>
          </w:tcPr>
          <w:p>
            <w:r>
              <w:rPr>
                <w:sz w:val="17"/>
              </w:rPr>
              <w:t>J+10  Moyenne</w:t>
            </w:r>
          </w:p>
        </w:tc>
        <w:tc>
          <w:tcPr>
            <w:tcW w:type="dxa" w:w="1440"/>
            <w:shd w:fill="FFDCE0" w:val="clear"/>
          </w:tcPr>
          <w:p>
            <w:r>
              <w:rPr>
                <w:sz w:val="17"/>
              </w:rPr>
              <w:t>2026-08-20</w:t>
            </w:r>
          </w:p>
        </w:tc>
        <w:tc>
          <w:tcPr>
            <w:tcW w:type="dxa" w:w="1440"/>
            <w:shd w:fill="FFDCE0" w:val="clear"/>
          </w:tcPr>
          <w:p>
            <w:r>
              <w:rPr>
                <w:sz w:val="17"/>
              </w:rPr>
              <w:t>2,643</w:t>
            </w:r>
          </w:p>
        </w:tc>
        <w:tc>
          <w:tcPr>
            <w:tcW w:type="dxa" w:w="1440"/>
            <w:shd w:fill="FFDCE0" w:val="clear"/>
          </w:tcPr>
          <w:p>
            <w:r>
              <w:rPr>
                <w:b/>
                <w:sz w:val="17"/>
              </w:rPr>
              <w:t>2,905</w:t>
            </w:r>
          </w:p>
        </w:tc>
        <w:tc>
          <w:tcPr>
            <w:tcW w:type="dxa" w:w="1440"/>
            <w:shd w:fill="FFDCE0" w:val="clear"/>
          </w:tcPr>
          <w:p>
            <w:r>
              <w:rPr>
                <w:sz w:val="17"/>
              </w:rPr>
              <w:t>3,167</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Absolument. Voici un rapport d'analyse structuré et professionnel pour l'action ONTBF (ONATEL-SA) sur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d'ONTBF s'établit à 202,98 milliards FCFA, un niveau qui en fait l'une des valeurs les plus significatives de la BRVM, reflétant son statut d'opérateur télécoms historique au Burkina Faso. Avec un BPA de 234 FCFA, le titre se négocie à un PER de 12,8x, légèrement au-dessus de la moyenne historique de la place (~8-12x), ce qui suggère que les investisseurs intègrent une prime de croissance ou de rendement. Le P/B de 3,53x confirme cette prime, le marché valorisant l'actif net à plus de 3,5 fois sa valeur comptable, signe d'une forte confiance dans la création de valeur future. Enfin, un EV/EBITDA de 5,3x est particulièrement attractif, indiquant que la valeur totale de l'entreprise (dette incluse) reste raisonnable par rapport à sa capacité à générer du cash-flow opérationnel. L'ensemble de ces ratios dessine un profil de valeur de qualité, avec une valorisation certes exigeante sur les bénéfices, mais très raisonnable sur la capacité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ONTBF affiche une progression modeste de +2,75%, avec une dynamique récente positive (+1,53% sur la dernière séance), portant le cours à 2 985 FCFA. Le titre a évolué dans un range de 2 610 à 3 095 FCFA, montrant une certaine amplitude. La moyenne (2 833 FCFA) est légèrement supérieure à la médiane (2 805 FCFA), indiquant une distribution avec quelques pics haussiers qui tirent la moyenne vers le haut, cohérent avec un skewness positif de 0.401. L'écart-type de 100 FCFA, pour un coefficient de variation de seulement 3,5%, révèle une dispersion très faible autour de la moyenne, témoignant d'une stabilité relative du cours. Le kurtosis de -0.405 (mésokurtique) suggère une distribution proche de la normale, sans risque de mouvements extrêmes. Cependant, la volatilité annualisée de 33,5% est élevée, signalant un risque de prix substantiel sur des horizons plus longs, malgré la stabilité apparente à court terme.</w:t>
      </w:r>
    </w:p>
    <w:p>
      <w:pPr>
        <w:spacing w:after="120" w:line="276" w:lineRule="auto"/>
      </w:pPr>
      <w:r>
        <w:t>---</w:t>
      </w:r>
    </w:p>
    <w:p>
      <w:pPr>
        <w:spacing w:after="120" w:line="276" w:lineRule="auto"/>
      </w:pPr>
      <w:r>
        <w:t>### PARTIE 2 : ANALYSE TECHNIQUE DÉTAILLÉE</w:t>
      </w:r>
    </w:p>
    <w:p>
      <w:pPr>
        <w:spacing w:after="120" w:line="276" w:lineRule="auto"/>
      </w:pPr>
      <w:r>
        <w:t>**Moyennes Mobiles (MM20 &amp; MM50) :** Le cours actuel (2 985 FCFA) se situe nettement au-dessus de ses moyennes mobiles à 20 jours (2 799,75 FCFA) et à 50 jours (2 827,4 FCFA). Cette configuration est généralement haussière, car elle indique que la tendance de court terme est supérieure à la tendance de moyen terme. Cependant, la décision technique globale est "Vente", ce qui suggère que le marché pourrait considérer cette hausse comme excessive à très court terme, ou que la tendance de fond n'est pas assez solide pour confirmer un signal d'achat.</w:t>
      </w:r>
    </w:p>
    <w:p>
      <w:pPr>
        <w:spacing w:after="120" w:line="276" w:lineRule="auto"/>
      </w:pPr>
      <w:r>
        <w:t>**Bandes de Bollinger :** Le prix à 2 985 FCFA se rapproche de la borne supérieure (3 006,313 FCFA), indiquant que le titre est relativement "cher" selon cet indicateur de volatilité. La décision est "Neutre", car le cours n'a pas encore franchi la borne, ce qui pourrait signaler une poursuite de la tendance ou un retour vers la moyenne. La largeur des bandes suggère une volatilité modérée, et le fait que le prix teste la borne supérieure peut être un signe de force, mais aussi un précurseur d'une consolidation.</w:t>
      </w:r>
    </w:p>
    <w:p>
      <w:pPr>
        <w:spacing w:after="120" w:line="276" w:lineRule="auto"/>
      </w:pPr>
      <w:r>
        <w:t>**MACD :** Le MACD (43,59) est nettement supérieur à sa ligne de signal (15,241), ce qui est un signal d'achat fort. Cette configuration indique que le momentum haussier est puissant et s'accélère. La décision "Achat" est cohérente avec cette lecture, suggérant que la dynamique positive pourrait se poursuivre à court terme.</w:t>
      </w:r>
    </w:p>
    <w:p>
      <w:pPr>
        <w:spacing w:after="120" w:line="276" w:lineRule="auto"/>
      </w:pPr>
      <w:r>
        <w:t>**RSI :** Le RSI est à 76,364, une valeur bien au-dessus du seuil de 70, ce qui place le titre en zone de surachat. Cela signifie que le marché a fortement poussé les prix à la hausse et qu'une correction technique est de plus en plus probable. La décision "Vente" est donc logique, car elle anticipe un possible retournement ou un essoufflement de la hausse.</w:t>
      </w:r>
    </w:p>
    <w:p>
      <w:pPr>
        <w:spacing w:after="120" w:line="276" w:lineRule="auto"/>
      </w:pPr>
      <w:r>
        <w:t>**Stochastique :** Le %K (96,875) et le %D (92,708) sont tous deux à des niveaux extrêmement élevés, en territoire de surachat. Cette configuration renforce le signal du RSI et indique que l'élan haussier est à son apogée. La décision "Vente" est cohérente, car elle suggère que le titre est surévalué à très court terme et qu'un repli est probable.</w:t>
      </w:r>
    </w:p>
    <w:p>
      <w:pPr>
        <w:spacing w:after="120" w:line="276" w:lineRule="auto"/>
      </w:pPr>
      <w:r>
        <w:t>**Conclusion technique :** Les indicateurs de tendance (MACD) et de positionnement (prix vs MM) sont positifs, mais les oscillateurs de momentum (RSI, Stochastique) sont tous en zone de surachat. Cette divergence signale un marché puissant mais potentiellement épuisé à court terme. La probabilité d'une consolidation ou d'un léger repli technique est élevée avant une éventuelle reprise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ONTBF a réalisé un chiffre d'affaires (PNB) de 146,177 milliards FCFA, en croissance de +3,06%. Le résultat net s'établit à 15,887 milliards FCFA, en forte baisse de -26% par rapport à 2024 (21,47 Mds FCFA). Cette dégradation de la rentabilité se reflète dans les ratios : le ROE reste excellent à 27,61% (bien au-dessus du seuil de 15%), et le ROA est de 4,89%. Le coefficient d'exploitation de 67,07% est un point de vigilance, indiquant une moins bonne maîtrise des charges opérationnelles (au-dessus du seuil d'efficacité de 60%). Le coût du risque est élevé (3,57%), signalant une dégradation de la qualité du portefeuille de créances. Les rapports trimestriels de 2025 confirment cette tendance : le T1 2025 (rapport du 15/03/2026) montre une baisse du résultat net de -29%, et le S1 2025 (rapport du 15/03/2026) une baisse de -17,8%, avec une marge d'EBITDA en érosion continue (41% au S1 vs 46,4% en S1 2024). Le rapport annuel 2025 (analyse DeepSeek du 12/06/2026) attribue cette baisse à la hausse des charges opérationnelles (énergie, maintenance, indemnités) et à une sanction réglementaire. Enfin, le rapport T1 2026 (rapport de 2026) montre une stabilisation avec une marge d'EBITDA maintenue à 41,3%, mais un résultat net toujours en léger repli. En conclusion, la société affiche une croissance de son activité, mais sa rentabilité se dégrade sous l'effet de coûts croissants, ce qui justifie une recommandation fondamentale de "Conserver" avec une surveillance accrue de la maîtrise des coûts.</w:t>
      </w:r>
    </w:p>
    <w:p>
      <w:pPr>
        <w:spacing w:after="120" w:line="276" w:lineRule="auto"/>
      </w:pPr>
      <w:r>
        <w:t>---</w:t>
      </w:r>
    </w:p>
    <w:p>
      <w:pPr>
        <w:spacing w:after="120" w:line="276" w:lineRule="auto"/>
      </w:pPr>
      <w:r>
        <w:t>### PARTIE 4 : CONCLUSION D'INVESTISSEMENT</w:t>
      </w:r>
    </w:p>
    <w:p>
      <w:pPr>
        <w:spacing w:after="120" w:line="276" w:lineRule="auto"/>
      </w:pPr>
      <w:r>
        <w:t>La synthèse des analyses fait ressortir un profil contrasté pour ONTBF. La valorisation (Partie 0) est raisonnable, avec un EV/EBITDA attractif, mais un PER légèrement supérieur à la moyenne du marché. Le comportement du cours (Partie 1) est stable à court terme, mais avec une volatilité annualisée élevée, signalant un risque de prix. Les signaux techniques (Partie 2) sont fortement divergents : la tendance est haussière mais les indicateurs de momentum sont en surachat, suggérant un risque de correction. Les fondamentaux (Partie 3) montrent une entreprise rentable (ROE &gt; 27%) mais dont la croissance des bénéfices est en déclin en raison de la pression sur les coûts. Les prédictions IA pour les 10 prochains jours (prévisions du 06/08/2026 au 13/08/2026) indiquent une légère baisse du cours, de 2 961 à 2 937 FCFA, ce qui confirme le scénario d'une consolidation technique après la récente hausse. En conclusion, la convergence entre les signaux techniques de surachat et les prédictions IA baissières, couplée à une dégradation des fondamentaux, suggère une pause dans la dynamique haussière. La recommandation finale est **CONSERVER**, avec un niveau de confiance **Moyen**. Le risque global est **Élevé**, principalement en raison de la volatilité et de l'environnement opérationnel difficile. L'horizon d'investissement optimal serait le **moyen terme (3-12 mois)**, en attendant de voir si la direction parvient à stabiliser ses marges et à redresser sa rentabilité.</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financiers, la soci\u00e9t\u00e9 maintient une marge EBITDA solide et poursuit sa croissance client. La diversification vers l'Internet et Mobile Money offre des perspectives de compensation face aux d\u00e9fis s\u00e9curitaires."}</w:t>
      </w:r>
    </w:p>
    <w:p>
      <w:pPr>
        <w:spacing w:before="40"/>
        <w:ind w:left="400"/>
      </w:pPr>
      <w:r>
        <w:rPr>
          <w:sz w:val="18"/>
        </w:rPr>
        <w:t>ONATEL-SA, opérateur global de télécommunications au Burkina Faso, présente des résultats mitigés au premier trimestre 2023 avec une base clients en croissance de 3% à 11,1 millions. Le chiffre d'affaires IFRS chute de 9,7% à 34,6 milliards FCFA contre 38,4 milliards en T1 2022, impacté par les conséquences sécuritaires et le recul de l'activité voix. Le résultat net IFRS s'établit à 4,7 milliards FCFA, en baisse de 34,5% par rapport aux 7,2 milliards de T1 2022. La marge EBITDA reste satisfaisante à 46,9% malgré la dégradation de 51,3% observée l'année précédente. Les revenus Mobile Money et Internet affichent une bonne performance qui compense partiellement la baisse des autres activités.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'16,2 milliards FCFA', 'parc_mobile': '10,99 millions', 'marge_ebitda': '46,9%', 'parc_internet': '6,61 millions', 'parc_clients_total': '11,1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milliards FCFA (IFRS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34,6 milliards FCFA (IFRS T1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parc clients de 3% à 11,1 millions malgré le contexte sécuritaire</w:t>
      </w:r>
    </w:p>
    <w:p>
      <w:pPr>
        <w:pStyle w:val="ListBullet"/>
        <w:spacing w:before="20" w:after="20"/>
        <w:ind w:left="700"/>
      </w:pPr>
      <w:r>
        <w:rPr>
          <w:sz w:val="18"/>
        </w:rPr>
        <w:t>Chiffre d'affaires IFRS en recul de 9,7% à 34,6 milliards FCFA au T1 2023</w:t>
      </w:r>
    </w:p>
    <w:p>
      <w:pPr>
        <w:pStyle w:val="ListBullet"/>
        <w:spacing w:before="20" w:after="20"/>
        <w:ind w:left="700"/>
      </w:pPr>
      <w:r>
        <w:rPr>
          <w:sz w:val="18"/>
        </w:rPr>
        <w:t>Résultat net IFRS en forte baisse de 34,5% à 4,7 milliards FCFA</w:t>
      </w:r>
    </w:p>
    <w:p>
      <w:pPr>
        <w:pStyle w:val="ListBullet"/>
        <w:spacing w:before="20" w:after="20"/>
        <w:ind w:left="700"/>
      </w:pPr>
      <w:r>
        <w:rPr>
          <w:sz w:val="18"/>
        </w:rPr>
        <w:t>Parc Internet en forte progression de 11,9% avec 6,6 millions d'abonnés</w:t>
      </w:r>
    </w:p>
    <w:p>
      <w:pPr>
        <w:pStyle w:val="ListBullet"/>
        <w:spacing w:before="20" w:after="20"/>
        <w:ind w:left="700"/>
      </w:pPr>
      <w:r>
        <w:rPr>
          <w:sz w:val="18"/>
        </w:rPr>
        <w:t>Marge EBITDA maintenue à un niveau satisfaisant de 46,9%</w:t>
      </w:r>
    </w:p>
    <w:p>
      <w:pPr>
        <w:pStyle w:val="ListBullet"/>
        <w:spacing w:before="20" w:after="20"/>
        <w:ind w:left="700"/>
      </w:pPr>
      <w:r>
        <w:rPr>
          <w:sz w:val="18"/>
        </w:rPr>
        <w:t>Impact négatif des conséquences sécuritaires sur les installations et revenus</w:t>
      </w:r>
    </w:p>
    <w:p>
      <w:pPr>
        <w:spacing w:before="40"/>
        <w:ind w:left="400"/>
      </w:pPr>
      <w:r>
        <w:rPr>
          <w:b/>
          <w:color w:val="C05000"/>
          <w:sz w:val="18"/>
        </w:rPr>
        <w:t xml:space="preserve">⚠️ Risques : </w:t>
      </w:r>
      <w:r>
        <w:rPr>
          <w:sz w:val="18"/>
        </w:rPr>
        <w:t>["D\u00e9gradation continue de la situation s\u00e9curitaire au Burkina Faso impactant les infrastructures", "Recul structurel des revenus voix traditionnels face \u00e0 l'usage des OTT", "Instabilit\u00e9 des revenus internationaux dans un contexte g\u00e9opolitique tendu"]</w:t>
      </w:r>
    </w:p>
    <w:p>
      <w:pPr>
        <w:spacing w:before="40"/>
        <w:ind w:left="400"/>
      </w:pPr>
      <w:r>
        <w:rPr>
          <w:b/>
          <w:color w:val="0064A0"/>
          <w:sz w:val="18"/>
        </w:rPr>
        <w:t xml:space="preserve">🔮 Perspectives : </w:t>
      </w:r>
      <w:r>
        <w:rPr>
          <w:sz w:val="18"/>
        </w:rPr>
        <w:t>La société mise sur le développement de l'Internet haut débit et des services Mobile Money pour compenser la baisse des revenus traditionnels. Les investissements structurels et l'amélioration de la qualité de service devraient soutenir la rétention et l'acquisition de clients malgré les défis sécur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rentabilit\u00e9 correcte avec une marge EBITDA de 48,4% et continue d'investir malgr\u00e9 les difficult\u00e9s s\u00e9curitaires. Le maintien du dividende et la croissance du parc clients t\u00e9moignent de la r\u00e9silience du mod\u00e8le."}</w:t>
      </w:r>
    </w:p>
    <w:p>
      <w:pPr>
        <w:spacing w:before="40"/>
        <w:ind w:left="400"/>
      </w:pPr>
      <w:r>
        <w:rPr>
          <w:sz w:val="18"/>
        </w:rPr>
        <w:t>ONATEL-SA, opérateur de télécommunications au Burkina Faso, a enregistré des résultats 2022 impactés par la dégradation du contexte sécuritaire avec de nombreux sites vandalisés. Malgré ce contexte difficile, la société a maintenu une croissance de son parc clients mobile (+5,7%) et internet (+14,1%), portant son parc Moov Africa à 11,1 millions d'abonnés. Le chiffre d'affaires IFRS a reculé de 6% à 147,3 Mds FCFA, tandis que le résultat net a chuté de 31,1% à 23,4 Mds FCFA. La rentabilité reste satisfaisante avec une marge EBITDA de 48,4%, témoignant de la résilience opérationnelle. Un dividende de 329 FCFA par action sera proposé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'71,3 Mds FCFA', 'parc_mobile': '11 047 958 clients', 'marge_ebitda': '48,4%', 'parc_internet': '6 481 709 clients', 'parc_moov_africa': '11 139 669 clients'}</w:t>
            </w:r>
          </w:p>
        </w:tc>
        <w:tc>
          <w:tcPr>
            <w:tcW w:type="dxa" w:w="2160"/>
          </w:tcPr>
          <w:p>
            <w:pPr>
              <w:ind w:left="100"/>
            </w:pPr>
            <w:r/>
            <w:r>
              <w:rPr>
                <w:b/>
                <w:sz w:val="16"/>
              </w:rPr>
              <w:t>dividende</w:t>
              <w:br/>
            </w:r>
            <w:r>
              <w:rPr>
                <w:sz w:val="18"/>
              </w:rPr>
              <w:t>329 FCFA par action</w:t>
            </w:r>
          </w:p>
        </w:tc>
        <w:tc>
          <w:tcPr>
            <w:tcW w:type="dxa" w:w="2160"/>
          </w:tcPr>
          <w:p>
            <w:pPr>
              <w:ind w:left="100"/>
            </w:pPr>
            <w:r/>
            <w:r>
              <w:rPr>
                <w:b/>
                <w:sz w:val="16"/>
              </w:rPr>
              <w:t>marge_nette</w:t>
              <w:br/>
            </w:r>
            <w:r>
              <w:rPr>
                <w:sz w:val="18"/>
              </w:rPr>
              <w:t>15,9%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23,4 Mds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147,3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Contexte sécuritaire difficile avec vandalisme massif des sites télécoms depuis janvier 2022</w:t>
      </w:r>
    </w:p>
    <w:p>
      <w:pPr>
        <w:pStyle w:val="ListBullet"/>
        <w:spacing w:before="20" w:after="20"/>
        <w:ind w:left="700"/>
      </w:pPr>
      <w:r>
        <w:rPr>
          <w:sz w:val="18"/>
        </w:rPr>
        <w:t>Croissance du parc clients mobile de 5,7% et internet de 14,1% malgré les difficultés</w:t>
      </w:r>
    </w:p>
    <w:p>
      <w:pPr>
        <w:pStyle w:val="ListBullet"/>
        <w:spacing w:before="20" w:after="20"/>
        <w:ind w:left="700"/>
      </w:pPr>
      <w:r>
        <w:rPr>
          <w:sz w:val="18"/>
        </w:rPr>
        <w:t>Chiffre d'affaires IFRS en baisse de 6% à 147,3 Mds FCFA</w:t>
      </w:r>
    </w:p>
    <w:p>
      <w:pPr>
        <w:pStyle w:val="ListBullet"/>
        <w:spacing w:before="20" w:after="20"/>
        <w:ind w:left="700"/>
      </w:pPr>
      <w:r>
        <w:rPr>
          <w:sz w:val="18"/>
        </w:rPr>
        <w:t>Résultat net en forte baisse de 31,1% à 23,4 Mds FCFA</w:t>
      </w:r>
    </w:p>
    <w:p>
      <w:pPr>
        <w:pStyle w:val="ListBullet"/>
        <w:spacing w:before="20" w:after="20"/>
        <w:ind w:left="700"/>
      </w:pPr>
      <w:r>
        <w:rPr>
          <w:sz w:val="18"/>
        </w:rPr>
        <w:t>Marge EBITDA maintenue à un niveau satisfaisant de 48,4%</w:t>
      </w:r>
    </w:p>
    <w:p>
      <w:pPr>
        <w:pStyle w:val="ListBullet"/>
        <w:spacing w:before="20" w:after="20"/>
        <w:ind w:left="700"/>
      </w:pPr>
      <w:r>
        <w:rPr>
          <w:sz w:val="18"/>
        </w:rPr>
        <w:t>Investissements et extension du réseau pour améliorer la qualité de service</w:t>
      </w:r>
    </w:p>
    <w:p>
      <w:pPr>
        <w:spacing w:before="40"/>
        <w:ind w:left="400"/>
      </w:pPr>
      <w:r>
        <w:rPr>
          <w:b/>
          <w:color w:val="C05000"/>
          <w:sz w:val="18"/>
        </w:rPr>
        <w:t xml:space="preserve">⚠️ Risques : </w:t>
      </w:r>
      <w:r>
        <w:rPr>
          <w:sz w:val="18"/>
        </w:rPr>
        <w:t>["D\u00e9gradation continue du contexte s\u00e9curitaire impactant les infrastructures", "Vandalisme r\u00e9current des sites t\u00e9l\u00e9coms affectant la qualit\u00e9 de service", "Pression sur les marges due aux co\u00fbts op\u00e9rationnels et d'investissement \u00e9lev\u00e9s"]</w:t>
      </w:r>
    </w:p>
    <w:p>
      <w:pPr>
        <w:spacing w:before="40"/>
        <w:ind w:left="400"/>
      </w:pPr>
      <w:r>
        <w:rPr>
          <w:b/>
          <w:color w:val="0064A0"/>
          <w:sz w:val="18"/>
        </w:rPr>
        <w:t xml:space="preserve">🔮 Perspectives : </w:t>
      </w:r>
      <w:r>
        <w:rPr>
          <w:sz w:val="18"/>
        </w:rPr>
        <w:t>Les perspectives dépendront largement de l'évolution du contexte sécuritaire au Burkina Faso. La société devra poursuivre ses investissements pour maintenir la qualité de service tout en gérant l'impact des vandalismes sur ses infrastructures.</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2587.51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2,299 titres</w:t>
            </w:r>
          </w:p>
        </w:tc>
        <w:tc>
          <w:tcPr>
            <w:tcW w:type="dxa" w:w="2268"/>
            <w:shd w:fill="FFF2CC" w:val="clear"/>
          </w:tcPr>
          <w:p>
            <w:r>
              <w:rPr>
                <w:b/>
                <w:color w:val="503200"/>
                <w:sz w:val="16"/>
              </w:rPr>
              <w:t xml:space="preserve">Cours actuel : </w:t>
            </w:r>
            <w:r>
              <w:rPr>
                <w:color w:val="000000"/>
                <w:sz w:val="17"/>
              </w:rPr>
              <w:t>17,175 FCFA</w:t>
            </w:r>
          </w:p>
          <w:p>
            <w:r>
              <w:rPr>
                <w:b/>
                <w:color w:val="503200"/>
                <w:sz w:val="16"/>
              </w:rPr>
              <w:t xml:space="preserve">Var. 100 jours : </w:t>
            </w:r>
            <w:r>
              <w:rPr>
                <w:b/>
                <w:color w:val="007800"/>
                <w:sz w:val="17"/>
              </w:rPr>
              <w:t>+10.41%</w:t>
            </w:r>
          </w:p>
          <w:p>
            <w:r>
              <w:rPr>
                <w:b/>
                <w:color w:val="503200"/>
                <w:sz w:val="16"/>
              </w:rPr>
              <w:t xml:space="preserve">Plus haut 100j : </w:t>
            </w:r>
            <w:r>
              <w:rPr>
                <w:color w:val="000000"/>
                <w:sz w:val="17"/>
              </w:rPr>
              <w:t>17,175 FCFA</w:t>
            </w:r>
          </w:p>
          <w:p>
            <w:r>
              <w:rPr>
                <w:b/>
                <w:color w:val="503200"/>
                <w:sz w:val="16"/>
              </w:rPr>
              <w:t xml:space="preserve">Plus bas 100j : </w:t>
            </w:r>
            <w:r>
              <w:rPr>
                <w:color w:val="000000"/>
                <w:sz w:val="17"/>
              </w:rPr>
              <w:t>14,200 FCFA</w:t>
            </w:r>
          </w:p>
          <w:p>
            <w:r>
              <w:rPr>
                <w:b/>
                <w:color w:val="503200"/>
                <w:sz w:val="16"/>
              </w:rPr>
              <w:t xml:space="preserve">Volatilité ann. : </w:t>
            </w:r>
            <w:r>
              <w:rPr>
                <w:color w:val="000000"/>
                <w:sz w:val="17"/>
              </w:rPr>
              <w:t>30.1%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18.1/100 → Faible</w:t>
      </w:r>
    </w:p>
    <w:p>
      <w:pPr>
        <w:spacing w:before="40" w:after="80"/>
      </w:pPr>
      <w:r>
        <w:rPr>
          <w:rFonts w:ascii="Courier New" w:hAnsi="Courier New"/>
          <w:color w:val="006400"/>
          <w:sz w:val="18"/>
        </w:rPr>
        <w:t>███░░░░░░░░░░░░░░░░░  18.1/100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4.65% (Faible) — μ=15,698 FCFA, σ=730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β=1.3770 (Agressif) — Cov=0.000050, Var(idx)=0.000036, ρ=0.438,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2,299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annualisée≈30.1%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2026-08-06</w:t>
            </w:r>
          </w:p>
        </w:tc>
        <w:tc>
          <w:tcPr>
            <w:tcW w:type="dxa" w:w="1440"/>
            <w:shd w:fill="FAFAFA" w:val="clear"/>
          </w:tcPr>
          <w:p>
            <w:r>
              <w:rPr>
                <w:sz w:val="17"/>
              </w:rPr>
              <w:t>16,482</w:t>
            </w:r>
          </w:p>
        </w:tc>
        <w:tc>
          <w:tcPr>
            <w:tcW w:type="dxa" w:w="1440"/>
            <w:shd w:fill="FAFAFA" w:val="clear"/>
          </w:tcPr>
          <w:p>
            <w:r>
              <w:rPr>
                <w:b/>
                <w:sz w:val="17"/>
              </w:rPr>
              <w:t>16,948</w:t>
            </w:r>
          </w:p>
        </w:tc>
        <w:tc>
          <w:tcPr>
            <w:tcW w:type="dxa" w:w="1440"/>
            <w:shd w:fill="FAFAFA" w:val="clear"/>
          </w:tcPr>
          <w:p>
            <w:r>
              <w:rPr>
                <w:sz w:val="17"/>
              </w:rPr>
              <w:t>17,414</w:t>
            </w:r>
          </w:p>
        </w:tc>
        <w:tc>
          <w:tcPr>
            <w:tcW w:type="dxa" w:w="1440"/>
            <w:shd w:fill="FAFAFA" w:val="clear"/>
          </w:tcPr>
          <w:p>
            <w:r>
              <w:rPr>
                <w:b/>
                <w:color w:val="C00000"/>
                <w:sz w:val="17"/>
              </w:rPr>
              <w:t>-1.3%</w:t>
            </w:r>
          </w:p>
        </w:tc>
      </w:tr>
      <w:tr>
        <w:tc>
          <w:tcPr>
            <w:tcW w:type="dxa" w:w="1440"/>
            <w:shd w:fill="FAFAFA" w:val="clear"/>
          </w:tcPr>
          <w:p>
            <w:r>
              <w:rPr>
                <w:sz w:val="17"/>
              </w:rPr>
              <w:t>J+2  Moyenne</w:t>
            </w:r>
          </w:p>
        </w:tc>
        <w:tc>
          <w:tcPr>
            <w:tcW w:type="dxa" w:w="1440"/>
            <w:shd w:fill="FAFAFA" w:val="clear"/>
          </w:tcPr>
          <w:p>
            <w:r>
              <w:rPr>
                <w:sz w:val="17"/>
              </w:rPr>
              <w:t>2026-08-10</w:t>
            </w:r>
          </w:p>
        </w:tc>
        <w:tc>
          <w:tcPr>
            <w:tcW w:type="dxa" w:w="1440"/>
            <w:shd w:fill="FAFAFA" w:val="clear"/>
          </w:tcPr>
          <w:p>
            <w:r>
              <w:rPr>
                <w:sz w:val="17"/>
              </w:rPr>
              <w:t>16,280</w:t>
            </w:r>
          </w:p>
        </w:tc>
        <w:tc>
          <w:tcPr>
            <w:tcW w:type="dxa" w:w="1440"/>
            <w:shd w:fill="FAFAFA" w:val="clear"/>
          </w:tcPr>
          <w:p>
            <w:r>
              <w:rPr>
                <w:b/>
                <w:sz w:val="17"/>
              </w:rPr>
              <w:t>16,939</w:t>
            </w:r>
          </w:p>
        </w:tc>
        <w:tc>
          <w:tcPr>
            <w:tcW w:type="dxa" w:w="1440"/>
            <w:shd w:fill="FAFAFA" w:val="clear"/>
          </w:tcPr>
          <w:p>
            <w:r>
              <w:rPr>
                <w:sz w:val="17"/>
              </w:rPr>
              <w:t>17,598</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2026-08-11</w:t>
            </w:r>
          </w:p>
        </w:tc>
        <w:tc>
          <w:tcPr>
            <w:tcW w:type="dxa" w:w="1440"/>
            <w:shd w:fill="FAFAFA" w:val="clear"/>
          </w:tcPr>
          <w:p>
            <w:r>
              <w:rPr>
                <w:sz w:val="17"/>
              </w:rPr>
              <w:t>16,105</w:t>
            </w:r>
          </w:p>
        </w:tc>
        <w:tc>
          <w:tcPr>
            <w:tcW w:type="dxa" w:w="1440"/>
            <w:shd w:fill="FAFAFA" w:val="clear"/>
          </w:tcPr>
          <w:p>
            <w:r>
              <w:rPr>
                <w:b/>
                <w:sz w:val="17"/>
              </w:rPr>
              <w:t>16,911</w:t>
            </w:r>
          </w:p>
        </w:tc>
        <w:tc>
          <w:tcPr>
            <w:tcW w:type="dxa" w:w="1440"/>
            <w:shd w:fill="FAFAFA" w:val="clear"/>
          </w:tcPr>
          <w:p>
            <w:r>
              <w:rPr>
                <w:sz w:val="17"/>
              </w:rPr>
              <w:t>17,717</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2026-08-12</w:t>
            </w:r>
          </w:p>
        </w:tc>
        <w:tc>
          <w:tcPr>
            <w:tcW w:type="dxa" w:w="1440"/>
            <w:shd w:fill="FAFAFA" w:val="clear"/>
          </w:tcPr>
          <w:p>
            <w:r>
              <w:rPr>
                <w:sz w:val="17"/>
              </w:rPr>
              <w:t>15,951</w:t>
            </w:r>
          </w:p>
        </w:tc>
        <w:tc>
          <w:tcPr>
            <w:tcW w:type="dxa" w:w="1440"/>
            <w:shd w:fill="FAFAFA" w:val="clear"/>
          </w:tcPr>
          <w:p>
            <w:r>
              <w:rPr>
                <w:b/>
                <w:sz w:val="17"/>
              </w:rPr>
              <w:t>16,879</w:t>
            </w:r>
          </w:p>
        </w:tc>
        <w:tc>
          <w:tcPr>
            <w:tcW w:type="dxa" w:w="1440"/>
            <w:shd w:fill="FAFAFA" w:val="clear"/>
          </w:tcPr>
          <w:p>
            <w:r>
              <w:rPr>
                <w:sz w:val="17"/>
              </w:rPr>
              <w:t>17,808</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2026-08-13</w:t>
            </w:r>
          </w:p>
        </w:tc>
        <w:tc>
          <w:tcPr>
            <w:tcW w:type="dxa" w:w="1440"/>
            <w:shd w:fill="FAFAFA" w:val="clear"/>
          </w:tcPr>
          <w:p>
            <w:r>
              <w:rPr>
                <w:sz w:val="17"/>
              </w:rPr>
              <w:t>15,811</w:t>
            </w:r>
          </w:p>
        </w:tc>
        <w:tc>
          <w:tcPr>
            <w:tcW w:type="dxa" w:w="1440"/>
            <w:shd w:fill="FAFAFA" w:val="clear"/>
          </w:tcPr>
          <w:p>
            <w:r>
              <w:rPr>
                <w:b/>
                <w:sz w:val="17"/>
              </w:rPr>
              <w:t>16,848</w:t>
            </w:r>
          </w:p>
        </w:tc>
        <w:tc>
          <w:tcPr>
            <w:tcW w:type="dxa" w:w="1440"/>
            <w:shd w:fill="FAFAFA" w:val="clear"/>
          </w:tcPr>
          <w:p>
            <w:r>
              <w:rPr>
                <w:sz w:val="17"/>
              </w:rPr>
              <w:t>17,884</w:t>
            </w:r>
          </w:p>
        </w:tc>
        <w:tc>
          <w:tcPr>
            <w:tcW w:type="dxa" w:w="1440"/>
            <w:shd w:fill="FAFAFA" w:val="clear"/>
          </w:tcPr>
          <w:p>
            <w:r>
              <w:rPr>
                <w:b/>
                <w:color w:val="C00000"/>
                <w:sz w:val="17"/>
              </w:rPr>
              <w:t>-1.9%</w:t>
            </w:r>
          </w:p>
        </w:tc>
      </w:tr>
      <w:tr>
        <w:tc>
          <w:tcPr>
            <w:tcW w:type="dxa" w:w="1440"/>
            <w:shd w:fill="FFDCE0" w:val="clear"/>
          </w:tcPr>
          <w:p>
            <w:r>
              <w:rPr>
                <w:sz w:val="17"/>
              </w:rPr>
              <w:t>J+6  ⭐</w:t>
            </w:r>
          </w:p>
        </w:tc>
        <w:tc>
          <w:tcPr>
            <w:tcW w:type="dxa" w:w="1440"/>
            <w:shd w:fill="FFDCE0" w:val="clear"/>
          </w:tcPr>
          <w:p>
            <w:r>
              <w:rPr>
                <w:sz w:val="17"/>
              </w:rPr>
              <w:t>2026-08-14</w:t>
            </w:r>
          </w:p>
        </w:tc>
        <w:tc>
          <w:tcPr>
            <w:tcW w:type="dxa" w:w="1440"/>
            <w:shd w:fill="FFDCE0" w:val="clear"/>
          </w:tcPr>
          <w:p>
            <w:r>
              <w:rPr>
                <w:sz w:val="17"/>
              </w:rPr>
              <w:t>15,683</w:t>
            </w:r>
          </w:p>
        </w:tc>
        <w:tc>
          <w:tcPr>
            <w:tcW w:type="dxa" w:w="1440"/>
            <w:shd w:fill="FFDCE0" w:val="clear"/>
          </w:tcPr>
          <w:p>
            <w:r>
              <w:rPr>
                <w:b/>
                <w:sz w:val="17"/>
              </w:rPr>
              <w:t>16,817</w:t>
            </w:r>
          </w:p>
        </w:tc>
        <w:tc>
          <w:tcPr>
            <w:tcW w:type="dxa" w:w="1440"/>
            <w:shd w:fill="FFDCE0" w:val="clear"/>
          </w:tcPr>
          <w:p>
            <w:r>
              <w:rPr>
                <w:sz w:val="17"/>
              </w:rPr>
              <w:t>17,950</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2026-08-17</w:t>
            </w:r>
          </w:p>
        </w:tc>
        <w:tc>
          <w:tcPr>
            <w:tcW w:type="dxa" w:w="1440"/>
            <w:shd w:fill="FFDCE0" w:val="clear"/>
          </w:tcPr>
          <w:p>
            <w:r>
              <w:rPr>
                <w:sz w:val="17"/>
              </w:rPr>
              <w:t>15,564</w:t>
            </w:r>
          </w:p>
        </w:tc>
        <w:tc>
          <w:tcPr>
            <w:tcW w:type="dxa" w:w="1440"/>
            <w:shd w:fill="FFDCE0" w:val="clear"/>
          </w:tcPr>
          <w:p>
            <w:r>
              <w:rPr>
                <w:b/>
                <w:sz w:val="17"/>
              </w:rPr>
              <w:t>16,786</w:t>
            </w:r>
          </w:p>
        </w:tc>
        <w:tc>
          <w:tcPr>
            <w:tcW w:type="dxa" w:w="1440"/>
            <w:shd w:fill="FFDCE0" w:val="clear"/>
          </w:tcPr>
          <w:p>
            <w:r>
              <w:rPr>
                <w:sz w:val="17"/>
              </w:rPr>
              <w:t>18,008</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15,452</w:t>
            </w:r>
          </w:p>
        </w:tc>
        <w:tc>
          <w:tcPr>
            <w:tcW w:type="dxa" w:w="1440"/>
            <w:shd w:fill="FFDCE0" w:val="clear"/>
          </w:tcPr>
          <w:p>
            <w:r>
              <w:rPr>
                <w:b/>
                <w:sz w:val="17"/>
              </w:rPr>
              <w:t>16,756</w:t>
            </w:r>
          </w:p>
        </w:tc>
        <w:tc>
          <w:tcPr>
            <w:tcW w:type="dxa" w:w="1440"/>
            <w:shd w:fill="FFDCE0" w:val="clear"/>
          </w:tcPr>
          <w:p>
            <w:r>
              <w:rPr>
                <w:sz w:val="17"/>
              </w:rPr>
              <w:t>18,060</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15,346</w:t>
            </w:r>
          </w:p>
        </w:tc>
        <w:tc>
          <w:tcPr>
            <w:tcW w:type="dxa" w:w="1440"/>
            <w:shd w:fill="FFDCE0" w:val="clear"/>
          </w:tcPr>
          <w:p>
            <w:r>
              <w:rPr>
                <w:b/>
                <w:sz w:val="17"/>
              </w:rPr>
              <w:t>16,726</w:t>
            </w:r>
          </w:p>
        </w:tc>
        <w:tc>
          <w:tcPr>
            <w:tcW w:type="dxa" w:w="1440"/>
            <w:shd w:fill="FFDCE0" w:val="clear"/>
          </w:tcPr>
          <w:p>
            <w:r>
              <w:rPr>
                <w:sz w:val="17"/>
              </w:rPr>
              <w:t>18,107</w:t>
            </w:r>
          </w:p>
        </w:tc>
        <w:tc>
          <w:tcPr>
            <w:tcW w:type="dxa" w:w="1440"/>
            <w:shd w:fill="FFDCE0" w:val="clear"/>
          </w:tcPr>
          <w:p>
            <w:r>
              <w:rPr>
                <w:b/>
                <w:color w:val="C00000"/>
                <w:sz w:val="17"/>
              </w:rPr>
              <w:t>-2.6%</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15,244</w:t>
            </w:r>
          </w:p>
        </w:tc>
        <w:tc>
          <w:tcPr>
            <w:tcW w:type="dxa" w:w="1440"/>
            <w:shd w:fill="FFDCE0" w:val="clear"/>
          </w:tcPr>
          <w:p>
            <w:r>
              <w:rPr>
                <w:b/>
                <w:sz w:val="17"/>
              </w:rPr>
              <w:t>16,697</w:t>
            </w:r>
          </w:p>
        </w:tc>
        <w:tc>
          <w:tcPr>
            <w:tcW w:type="dxa" w:w="1440"/>
            <w:shd w:fill="FFDCE0" w:val="clear"/>
          </w:tcPr>
          <w:p>
            <w:r>
              <w:rPr>
                <w:sz w:val="17"/>
              </w:rPr>
              <w:t>18,150</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2 587,51 milliards FCFA, un niveau qui en fait l'une des plus importantes valeurs de la BRVM, représentant une part significative de la capitalisation totale du marché. Avec un BPA de 1 114 FCFA, chaque action génère un bénéfice substantiel. Le PER de 15,4x se situe au-dessus de la moyenne historique de la BRVM (8-12x), indiquant que les investisseurs acceptent de payer une prime pour la qualité et la croissance de l'entreprise, valorisation modérée mais justifiée par la solidité des fondamentaux. Le P/B de 3,66x confirme cette prime de croissance accordée par le marché, le prix de l'action étant nettement supérieur à sa valeur comptable. Enfin, l'EV/EBITDA de 6,2x reste dans une fourchette raisonnable (5-10x), signalant une valorisation globale cohérente avec la capacité opérationnelle de l'entreprise.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ORAC affiche une progression remarquable de +10,41%, avec une dernière séance en hausse de +1,03%, portant le cours à 17 175 FCFA. Le titre a évolué dans une fourchette de 14 200 FCFA (plus bas) à 17 175 FCFA (plus haut), démontrant une dynamique haussière soutenue. La moyenne du cours sur la période est de 15 698 FCFA, très proche de la médiane (15 650 FCFA), indiquant une distribution relativement symétrique des prix, confirmée par un skewness de 0,204. L'écart-type de 733 FCFA (CV=4,7%) révèle une dispersion modérée des cours autour de la moyenne. Le kurtosis de -1,101 (platykurtique) suggère une distribution aplatie avec peu de pics extrêmes, indiquant un comportement de prix relativement régulier. La volatilité annualisée de 30,1% classe le titre dans la catégorie élevée (&gt;30%), ce qui implique des fluctuations significatives mais offre également des opportunités de rendement pour les investisseurs tolérants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(17 175 FCFA) se positionne nettement au-dessus de la MM20 (16 454,5 FCFA) et de la MM50 (16 328,3 FCFA), confirmant une tendance haussière solide. L'écart positif entre les deux moyennes mobiles et leur orientation ascendante renforcent le signal d'achat, indiquant que la dynamique positive est soutenue par les investisseurs à moyen terme.</w:t>
      </w:r>
    </w:p>
    <w:p>
      <w:pPr>
        <w:spacing w:after="120" w:line="276" w:lineRule="auto"/>
      </w:pPr>
      <w:r>
        <w:t>**Bandes de Bollinger** : Le cours se situe à 17 175 FCFA, très proche de la borne supérieure (17 304,54 FCFA), indiquant une pression acheteuse intense. La largeur des bandes (écart de 1 700 FCFA entre les bornes) reflète une volatilité élevée. La décision "Neutre" s'explique par le fait que le cours n'a pas encore franchi la borne supérieure, mais la proximité de celle-ci suggère une possible poursuite de la tendance ou un retournement imminent.</w:t>
      </w:r>
    </w:p>
    <w:p>
      <w:pPr>
        <w:spacing w:after="120" w:line="276" w:lineRule="auto"/>
      </w:pPr>
      <w:r>
        <w:t>**MACD** : Le MACD (224,325) est nettement supérieur à sa ligne de signal (148,05), confirmant un momentum haussier fort. L'écart positif entre les deux lignes s'élargit, indiquant une accélération de la tendance haussière. Ce signal d'achat est d'autant plus pertinent que le MACD reste positif, suggérant que la dynamique de fond reste favorable.</w:t>
      </w:r>
    </w:p>
    <w:p>
      <w:pPr>
        <w:spacing w:after="120" w:line="276" w:lineRule="auto"/>
      </w:pPr>
      <w:r>
        <w:t>**RSI** : Le RSI à 87,687 est en zone de surachat extrême (&gt;70), signalant que le titre est techniquement surévalué à court terme. Cette situation suggère un risque de correction technique, les acheteurs ayant potentiellement épuisé leur force. La décision "Vente" reflète cette tension, bien que dans une tendance haussière forte, le RSI puisse rester en zone de surachat pendant une période prolongée.</w:t>
      </w:r>
    </w:p>
    <w:p>
      <w:pPr>
        <w:spacing w:after="120" w:line="276" w:lineRule="auto"/>
      </w:pPr>
      <w:r>
        <w:t>**Stochastique** : Le %K et le %D sont tous deux à 100,0, indiquant une condition de surachat extrême. Cette configuration signale que le titre est à son plus haut niveau sur la période considérée, avec un momentum acheteur maximal. La décision "Vente" s'explique par le risque élevé de retournement technique, bien que dans une tendance forte, cette situation puisse persister.</w:t>
      </w:r>
    </w:p>
    <w:p>
      <w:pPr>
        <w:spacing w:after="120" w:line="276" w:lineRule="auto"/>
      </w:pPr>
      <w:r>
        <w:t>**Conclusion technique** : Les indicateurs de tendance (MM, MACD) sont résolument haussiers, mais les oscillateurs (RSI, Stochastique) signalent des conditions de surachat extrême. Cette divergence entre tendance et momentum suggère un possible essoufflement à court terme, mais la tendance de fond demeure positive. Un repli technique serait sain avant une poursuite de la hausse.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ORAC affiche des fondamentaux solides avec un chiffre d'affaires de 1 197,1 milliards FCFA, en progression de +10,4% par rapport à 2024 (1 084,1 milliards FCFA). Le résultat net consolidé s'établit à 167,8 milliards FCFA (+6,1%), avec un résultat net part du groupe de 129,1 milliards FCFA (+18,8%). La rentabilité est excellente avec un ROE de 23,7% (&gt;15% = excellent) et un ROA de 6,6%. La marge nette atteint 14,0% et la marge opérationnelle 24,0%. La structure financière est saine avec une autonomie financière de 27,7% (proche du seuil de 30%) et une solvabilité générale de 138,3%. Le BFR négatif de -198 milliards FCFA est un signal très favorable, indiquant que l'entreprise finance son exploitation par ses fournisseurs (délai fournisseurs de 210,9 jours contre 52,3 jours pour les clients). La capacité de remboursement est rapide (0,99 an) et la couverture des intérêts est très confortable (1 018%). Les rapports trimestriels 2025 montrent une croissance soutenue du CA (+9,9% au S1 et T3), mais une stagnation du résultat net (+0,5% au S1) due à l'augmentation des charges financières. Cependant, le T1 2026 est exceptionnel avec un CA de 325,6 milliards FCFA (+14,8%) et un résultat net de 48,3 milliards FCFA (+25,2%), suggérant une amélioration significative de la rentabilité pour 2026. Le dividende proposé de 800 FCFA brut par action offre un rendement attractif d'environ 4,7% au cours actuel.</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d'ORAC (PER 15,4x, P/B 3,66x, EV/EBITDA 6,2x) est modérée, légèrement au-dessus des moyennes BRVM mais justifiée par la qualité des fondamentaux. Le comportement du cours sur 100 jours (+10,41%) est favorable, avec une volatilité élevée (30,1%) mais une distribution symétrique et régulière. Les signaux techniques sont contrastés : tendance haussière confirmée par les MM et le MACD, mais conditions de surachat extrême (RSI 87,7, Stochastique 100) suggérant un risque de correction à court terme. Les fondamentaux sont excellents avec une croissance solide du CA (+10,4% en 2025), une rentabilité élevée (ROE 23,7%) et des perspectives prometteuses (T1 2026 : CA +14,8%, RN +25,2%). Les prédictions IA (16 948 FCFA à J+10) indiquent un léger repli technique, cohérent avec les signaux de surachat. La convergence entre fondamentaux solides et perspectives de croissance soutient une recommandation d'**ACHAT** avec un niveau de confiance **Élevé** et un risque global **Moyen**. L'horizon d'investissement optimal est le **moyen terme (3-12 mois)**, permettant de bénéficier de la croissance des résultats tout en absorbant une éventuelle correction technique.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l'expansion du parc client restent positives. Les d\u00e9fis op\u00e9rationnels actuels semblent temporaires face au potentiel de croissance du march\u00e9 t\u00e9l\u00e9coms ouest-africain."}</w:t>
      </w:r>
    </w:p>
    <w:p>
      <w:pPr>
        <w:spacing w:before="40"/>
        <w:ind w:left="400"/>
      </w:pPr>
      <w:r>
        <w:rPr>
          <w:sz w:val="18"/>
        </w:rPr>
        <w:t>Orange CI présente des résultats mitigés au T3 2023 avec un chiffre d'affaires consolidé de 753,2 milliards FCFA en croissance de 5,4%, porté notamment par Orange Burkina (+16,7%). L'EBITDAaL recule de 1,2% à 259,1 milliards FCFA impacté par la hausse des charges fiscales au Burkina et des coûts énergétiques en Côte d'Ivoire. Le résultat net chute significativement de 19,3% à 86,0 milliards FCFA, pénalisé par un contexte marché difficile et l'impact du litige Lonestar au Libéria. Le parc FMI progresse de 8% à 31,38 millions d'abonnés malgré une forte concurrence. Le mobile money maintient sa dynamique positive avec une croissance du parc actif.</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'103,1 milliards FCFA', 'EBITDAaL': '259,1 milliards FCFA', 'parc_FMI': "31,38 millions d'abonnés"}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753,2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de 753,2 milliards FCFA en croissance de 5,4% (+5,5% à taux constant)</w:t>
      </w:r>
    </w:p>
    <w:p>
      <w:pPr>
        <w:pStyle w:val="ListBullet"/>
        <w:spacing w:before="20" w:after="20"/>
        <w:ind w:left="700"/>
      </w:pPr>
      <w:r>
        <w:rPr>
          <w:sz w:val="18"/>
        </w:rPr>
        <w:t>Performance notable d'Orange Burkina avec une croissance de 16,7%</w:t>
      </w:r>
    </w:p>
    <w:p>
      <w:pPr>
        <w:pStyle w:val="ListBullet"/>
        <w:spacing w:before="20" w:after="20"/>
        <w:ind w:left="700"/>
      </w:pPr>
      <w:r>
        <w:rPr>
          <w:sz w:val="18"/>
        </w:rPr>
        <w:t>Parc FMI (Fixe, Mobile, Internet) en progression de 8% atteignant 31,38 millions d'abonnés</w:t>
      </w:r>
    </w:p>
    <w:p>
      <w:pPr>
        <w:pStyle w:val="ListBullet"/>
        <w:spacing w:before="20" w:after="20"/>
        <w:ind w:left="700"/>
      </w:pPr>
      <w:r>
        <w:rPr>
          <w:sz w:val="18"/>
        </w:rPr>
        <w:t>EBITDAaL en baisse de 1,2% à 259,1 milliards FCFA impacté par les charges fiscales et énergétiques</w:t>
      </w:r>
    </w:p>
    <w:p>
      <w:pPr>
        <w:pStyle w:val="ListBullet"/>
        <w:spacing w:before="20" w:after="20"/>
        <w:ind w:left="700"/>
      </w:pPr>
      <w:r>
        <w:rPr>
          <w:sz w:val="18"/>
        </w:rPr>
        <w:t>Résultat net en forte baisse de 19,3% à 86,0 milliards FCFA</w:t>
      </w:r>
    </w:p>
    <w:p>
      <w:pPr>
        <w:pStyle w:val="ListBullet"/>
        <w:spacing w:before="20" w:after="20"/>
        <w:ind w:left="700"/>
      </w:pPr>
      <w:r>
        <w:rPr>
          <w:sz w:val="18"/>
        </w:rPr>
        <w:t>Impact négatif du litige Lonestar au Libéria et de la dépréciation d'actifs</w:t>
      </w:r>
    </w:p>
    <w:p>
      <w:pPr>
        <w:spacing w:before="40"/>
        <w:ind w:left="400"/>
      </w:pPr>
      <w:r>
        <w:rPr>
          <w:b/>
          <w:color w:val="C05000"/>
          <w:sz w:val="18"/>
        </w:rPr>
        <w:t xml:space="preserve">⚠️ Risques : </w:t>
      </w:r>
      <w:r>
        <w:rPr>
          <w:sz w:val="18"/>
        </w:rPr>
        <w:t>["Contexte s\u00e9curitaire difficile au Burkina Faso affectant les op\u00e9rations", "Forte agressivit\u00e9 commerciale et concurrence accrue en C\u00f4te d'Ivoire", "Volatilit\u00e9 des taux de change au Lib\u00e9ria et impact du litige Lonestar"]</w:t>
      </w:r>
    </w:p>
    <w:p>
      <w:pPr>
        <w:spacing w:before="40"/>
        <w:ind w:left="400"/>
      </w:pPr>
      <w:r>
        <w:rPr>
          <w:b/>
          <w:color w:val="0064A0"/>
          <w:sz w:val="18"/>
        </w:rPr>
        <w:t xml:space="preserve">🔮 Perspectives : </w:t>
      </w:r>
      <w:r>
        <w:rPr>
          <w:sz w:val="18"/>
        </w:rPr>
        <w:t>L'environnement inflationniste et les tensions géopolitiques régionales continueront de peser sur les marges à court terme. Cependant, la dynamique de croissance du mobile money et l'expansion du parc FMI offrent des perspectives favorables pour 2024.</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217.96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6,909 titres</w:t>
            </w:r>
          </w:p>
        </w:tc>
        <w:tc>
          <w:tcPr>
            <w:tcW w:type="dxa" w:w="2268"/>
            <w:shd w:fill="FFF2CC" w:val="clear"/>
          </w:tcPr>
          <w:p>
            <w:r>
              <w:rPr>
                <w:b/>
                <w:color w:val="503200"/>
                <w:sz w:val="16"/>
              </w:rPr>
              <w:t xml:space="preserve">Cours actuel : </w:t>
            </w:r>
            <w:r>
              <w:rPr>
                <w:color w:val="000000"/>
                <w:sz w:val="17"/>
              </w:rPr>
              <w:t>3,140 FCFA</w:t>
            </w:r>
          </w:p>
          <w:p>
            <w:r>
              <w:rPr>
                <w:b/>
                <w:color w:val="503200"/>
                <w:sz w:val="16"/>
              </w:rPr>
              <w:t xml:space="preserve">Var. 100 jours : </w:t>
            </w:r>
            <w:r>
              <w:rPr>
                <w:b/>
                <w:color w:val="B40000"/>
                <w:sz w:val="17"/>
              </w:rPr>
              <w:t>-15.14%</w:t>
            </w:r>
          </w:p>
          <w:p>
            <w:r>
              <w:rPr>
                <w:b/>
                <w:color w:val="503200"/>
                <w:sz w:val="16"/>
              </w:rPr>
              <w:t xml:space="preserve">Plus haut 100j : </w:t>
            </w:r>
            <w:r>
              <w:rPr>
                <w:color w:val="000000"/>
                <w:sz w:val="17"/>
              </w:rPr>
              <w:t>3,995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14.07% (Moyenne) — μ=3,031 FCFA, σ=427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β=0.4016 (Défensif) — Cov=0.000015, Var(idx)=0.000036, ρ=0.083,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6,909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σ_j=2.93%/j (Stable) — Vol. annualisée≈46.5%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2026-08-06</w:t>
            </w:r>
          </w:p>
        </w:tc>
        <w:tc>
          <w:tcPr>
            <w:tcW w:type="dxa" w:w="1440"/>
            <w:shd w:fill="FAFAFA" w:val="clear"/>
          </w:tcPr>
          <w:p>
            <w:r>
              <w:rPr>
                <w:sz w:val="17"/>
              </w:rPr>
              <w:t>3,016</w:t>
            </w:r>
          </w:p>
        </w:tc>
        <w:tc>
          <w:tcPr>
            <w:tcW w:type="dxa" w:w="1440"/>
            <w:shd w:fill="FAFAFA" w:val="clear"/>
          </w:tcPr>
          <w:p>
            <w:r>
              <w:rPr>
                <w:b/>
                <w:sz w:val="17"/>
              </w:rPr>
              <w:t>3,108</w:t>
            </w:r>
          </w:p>
        </w:tc>
        <w:tc>
          <w:tcPr>
            <w:tcW w:type="dxa" w:w="1440"/>
            <w:shd w:fill="FAFAFA" w:val="clear"/>
          </w:tcPr>
          <w:p>
            <w:r>
              <w:rPr>
                <w:sz w:val="17"/>
              </w:rPr>
              <w:t>3,200</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2026-08-10</w:t>
            </w:r>
          </w:p>
        </w:tc>
        <w:tc>
          <w:tcPr>
            <w:tcW w:type="dxa" w:w="1440"/>
            <w:shd w:fill="FAFAFA" w:val="clear"/>
          </w:tcPr>
          <w:p>
            <w:r>
              <w:rPr>
                <w:sz w:val="17"/>
              </w:rPr>
              <w:t>2,971</w:t>
            </w:r>
          </w:p>
        </w:tc>
        <w:tc>
          <w:tcPr>
            <w:tcW w:type="dxa" w:w="1440"/>
            <w:shd w:fill="FAFAFA" w:val="clear"/>
          </w:tcPr>
          <w:p>
            <w:r>
              <w:rPr>
                <w:b/>
                <w:sz w:val="17"/>
              </w:rPr>
              <w:t>3,102</w:t>
            </w:r>
          </w:p>
        </w:tc>
        <w:tc>
          <w:tcPr>
            <w:tcW w:type="dxa" w:w="1440"/>
            <w:shd w:fill="FAFAFA" w:val="clear"/>
          </w:tcPr>
          <w:p>
            <w:r>
              <w:rPr>
                <w:sz w:val="17"/>
              </w:rPr>
              <w:t>3,232</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2026-08-11</w:t>
            </w:r>
          </w:p>
        </w:tc>
        <w:tc>
          <w:tcPr>
            <w:tcW w:type="dxa" w:w="1440"/>
            <w:shd w:fill="FAFAFA" w:val="clear"/>
          </w:tcPr>
          <w:p>
            <w:r>
              <w:rPr>
                <w:sz w:val="17"/>
              </w:rPr>
              <w:t>2,936</w:t>
            </w:r>
          </w:p>
        </w:tc>
        <w:tc>
          <w:tcPr>
            <w:tcW w:type="dxa" w:w="1440"/>
            <w:shd w:fill="FAFAFA" w:val="clear"/>
          </w:tcPr>
          <w:p>
            <w:r>
              <w:rPr>
                <w:b/>
                <w:sz w:val="17"/>
              </w:rPr>
              <w:t>3,096</w:t>
            </w:r>
          </w:p>
        </w:tc>
        <w:tc>
          <w:tcPr>
            <w:tcW w:type="dxa" w:w="1440"/>
            <w:shd w:fill="FAFAFA" w:val="clear"/>
          </w:tcPr>
          <w:p>
            <w:r>
              <w:rPr>
                <w:sz w:val="17"/>
              </w:rPr>
              <w:t>3,255</w:t>
            </w:r>
          </w:p>
        </w:tc>
        <w:tc>
          <w:tcPr>
            <w:tcW w:type="dxa" w:w="1440"/>
            <w:shd w:fill="FAFAFA" w:val="clear"/>
          </w:tcPr>
          <w:p>
            <w:r>
              <w:rPr>
                <w:b/>
                <w:color w:val="C00000"/>
                <w:sz w:val="17"/>
              </w:rPr>
              <w:t>-1.4%</w:t>
            </w:r>
          </w:p>
        </w:tc>
      </w:tr>
      <w:tr>
        <w:tc>
          <w:tcPr>
            <w:tcW w:type="dxa" w:w="1440"/>
            <w:shd w:fill="FAFAFA" w:val="clear"/>
          </w:tcPr>
          <w:p>
            <w:r>
              <w:rPr>
                <w:sz w:val="17"/>
              </w:rPr>
              <w:t>J+4  Moyenne</w:t>
            </w:r>
          </w:p>
        </w:tc>
        <w:tc>
          <w:tcPr>
            <w:tcW w:type="dxa" w:w="1440"/>
            <w:shd w:fill="FAFAFA" w:val="clear"/>
          </w:tcPr>
          <w:p>
            <w:r>
              <w:rPr>
                <w:sz w:val="17"/>
              </w:rPr>
              <w:t>2026-08-12</w:t>
            </w:r>
          </w:p>
        </w:tc>
        <w:tc>
          <w:tcPr>
            <w:tcW w:type="dxa" w:w="1440"/>
            <w:shd w:fill="FAFAFA" w:val="clear"/>
          </w:tcPr>
          <w:p>
            <w:r>
              <w:rPr>
                <w:sz w:val="17"/>
              </w:rPr>
              <w:t>2,908</w:t>
            </w:r>
          </w:p>
        </w:tc>
        <w:tc>
          <w:tcPr>
            <w:tcW w:type="dxa" w:w="1440"/>
            <w:shd w:fill="FAFAFA" w:val="clear"/>
          </w:tcPr>
          <w:p>
            <w:r>
              <w:rPr>
                <w:b/>
                <w:sz w:val="17"/>
              </w:rPr>
              <w:t>3,091</w:t>
            </w:r>
          </w:p>
        </w:tc>
        <w:tc>
          <w:tcPr>
            <w:tcW w:type="dxa" w:w="1440"/>
            <w:shd w:fill="FAFAFA" w:val="clear"/>
          </w:tcPr>
          <w:p>
            <w:r>
              <w:rPr>
                <w:sz w:val="17"/>
              </w:rPr>
              <w:t>3,275</w:t>
            </w:r>
          </w:p>
        </w:tc>
        <w:tc>
          <w:tcPr>
            <w:tcW w:type="dxa" w:w="1440"/>
            <w:shd w:fill="FAFAFA" w:val="clear"/>
          </w:tcPr>
          <w:p>
            <w:r>
              <w:rPr>
                <w:b/>
                <w:color w:val="C00000"/>
                <w:sz w:val="17"/>
              </w:rPr>
              <w:t>-1.5%</w:t>
            </w:r>
          </w:p>
        </w:tc>
      </w:tr>
      <w:tr>
        <w:tc>
          <w:tcPr>
            <w:tcW w:type="dxa" w:w="1440"/>
            <w:shd w:fill="FAFAFA" w:val="clear"/>
          </w:tcPr>
          <w:p>
            <w:r>
              <w:rPr>
                <w:sz w:val="17"/>
              </w:rPr>
              <w:t>J+5  Moyenne</w:t>
            </w:r>
          </w:p>
        </w:tc>
        <w:tc>
          <w:tcPr>
            <w:tcW w:type="dxa" w:w="1440"/>
            <w:shd w:fill="FAFAFA" w:val="clear"/>
          </w:tcPr>
          <w:p>
            <w:r>
              <w:rPr>
                <w:sz w:val="17"/>
              </w:rPr>
              <w:t>2026-08-13</w:t>
            </w:r>
          </w:p>
        </w:tc>
        <w:tc>
          <w:tcPr>
            <w:tcW w:type="dxa" w:w="1440"/>
            <w:shd w:fill="FAFAFA" w:val="clear"/>
          </w:tcPr>
          <w:p>
            <w:r>
              <w:rPr>
                <w:sz w:val="17"/>
              </w:rPr>
              <w:t>2,883</w:t>
            </w:r>
          </w:p>
        </w:tc>
        <w:tc>
          <w:tcPr>
            <w:tcW w:type="dxa" w:w="1440"/>
            <w:shd w:fill="FAFAFA" w:val="clear"/>
          </w:tcPr>
          <w:p>
            <w:r>
              <w:rPr>
                <w:b/>
                <w:sz w:val="17"/>
              </w:rPr>
              <w:t>3,088</w:t>
            </w:r>
          </w:p>
        </w:tc>
        <w:tc>
          <w:tcPr>
            <w:tcW w:type="dxa" w:w="1440"/>
            <w:shd w:fill="FAFAFA" w:val="clear"/>
          </w:tcPr>
          <w:p>
            <w:r>
              <w:rPr>
                <w:sz w:val="17"/>
              </w:rPr>
              <w:t>3,293</w:t>
            </w:r>
          </w:p>
        </w:tc>
        <w:tc>
          <w:tcPr>
            <w:tcW w:type="dxa" w:w="1440"/>
            <w:shd w:fill="FAFAFA" w:val="clear"/>
          </w:tcPr>
          <w:p>
            <w:r>
              <w:rPr>
                <w:b/>
                <w:color w:val="C00000"/>
                <w:sz w:val="17"/>
              </w:rPr>
              <w:t>-1.7%</w:t>
            </w:r>
          </w:p>
        </w:tc>
      </w:tr>
      <w:tr>
        <w:tc>
          <w:tcPr>
            <w:tcW w:type="dxa" w:w="1440"/>
            <w:shd w:fill="FAFAFA" w:val="clear"/>
          </w:tcPr>
          <w:p>
            <w:r>
              <w:rPr>
                <w:sz w:val="17"/>
              </w:rPr>
              <w:t>J+6  Moyenne</w:t>
            </w:r>
          </w:p>
        </w:tc>
        <w:tc>
          <w:tcPr>
            <w:tcW w:type="dxa" w:w="1440"/>
            <w:shd w:fill="FAFAFA" w:val="clear"/>
          </w:tcPr>
          <w:p>
            <w:r>
              <w:rPr>
                <w:sz w:val="17"/>
              </w:rPr>
              <w:t>2026-08-14</w:t>
            </w:r>
          </w:p>
        </w:tc>
        <w:tc>
          <w:tcPr>
            <w:tcW w:type="dxa" w:w="1440"/>
            <w:shd w:fill="FAFAFA" w:val="clear"/>
          </w:tcPr>
          <w:p>
            <w:r>
              <w:rPr>
                <w:sz w:val="17"/>
              </w:rPr>
              <w:t>2,860</w:t>
            </w:r>
          </w:p>
        </w:tc>
        <w:tc>
          <w:tcPr>
            <w:tcW w:type="dxa" w:w="1440"/>
            <w:shd w:fill="FAFAFA" w:val="clear"/>
          </w:tcPr>
          <w:p>
            <w:r>
              <w:rPr>
                <w:b/>
                <w:sz w:val="17"/>
              </w:rPr>
              <w:t>3,085</w:t>
            </w:r>
          </w:p>
        </w:tc>
        <w:tc>
          <w:tcPr>
            <w:tcW w:type="dxa" w:w="1440"/>
            <w:shd w:fill="FAFAFA" w:val="clear"/>
          </w:tcPr>
          <w:p>
            <w:r>
              <w:rPr>
                <w:sz w:val="17"/>
              </w:rPr>
              <w:t>3,309</w:t>
            </w:r>
          </w:p>
        </w:tc>
        <w:tc>
          <w:tcPr>
            <w:tcW w:type="dxa" w:w="1440"/>
            <w:shd w:fill="FAFAFA" w:val="clear"/>
          </w:tcPr>
          <w:p>
            <w:r>
              <w:rPr>
                <w:b/>
                <w:color w:val="C00000"/>
                <w:sz w:val="17"/>
              </w:rPr>
              <w:t>-1.8%</w:t>
            </w:r>
          </w:p>
        </w:tc>
      </w:tr>
      <w:tr>
        <w:tc>
          <w:tcPr>
            <w:tcW w:type="dxa" w:w="1440"/>
            <w:shd w:fill="FAFAFA" w:val="clear"/>
          </w:tcPr>
          <w:p>
            <w:r>
              <w:rPr>
                <w:sz w:val="17"/>
              </w:rPr>
              <w:t>J+7  Moyenne</w:t>
            </w:r>
          </w:p>
        </w:tc>
        <w:tc>
          <w:tcPr>
            <w:tcW w:type="dxa" w:w="1440"/>
            <w:shd w:fill="FAFAFA" w:val="clear"/>
          </w:tcPr>
          <w:p>
            <w:r>
              <w:rPr>
                <w:sz w:val="17"/>
              </w:rPr>
              <w:t>2026-08-17</w:t>
            </w:r>
          </w:p>
        </w:tc>
        <w:tc>
          <w:tcPr>
            <w:tcW w:type="dxa" w:w="1440"/>
            <w:shd w:fill="FAFAFA" w:val="clear"/>
          </w:tcPr>
          <w:p>
            <w:r>
              <w:rPr>
                <w:sz w:val="17"/>
              </w:rPr>
              <w:t>2,840</w:t>
            </w:r>
          </w:p>
        </w:tc>
        <w:tc>
          <w:tcPr>
            <w:tcW w:type="dxa" w:w="1440"/>
            <w:shd w:fill="FAFAFA" w:val="clear"/>
          </w:tcPr>
          <w:p>
            <w:r>
              <w:rPr>
                <w:b/>
                <w:sz w:val="17"/>
              </w:rPr>
              <w:t>3,082</w:t>
            </w:r>
          </w:p>
        </w:tc>
        <w:tc>
          <w:tcPr>
            <w:tcW w:type="dxa" w:w="1440"/>
            <w:shd w:fill="FAFAFA" w:val="clear"/>
          </w:tcPr>
          <w:p>
            <w:r>
              <w:rPr>
                <w:sz w:val="17"/>
              </w:rPr>
              <w:t>3,324</w:t>
            </w:r>
          </w:p>
        </w:tc>
        <w:tc>
          <w:tcPr>
            <w:tcW w:type="dxa" w:w="1440"/>
            <w:shd w:fill="FAFAFA" w:val="clear"/>
          </w:tcPr>
          <w:p>
            <w:r>
              <w:rPr>
                <w:b/>
                <w:color w:val="C00000"/>
                <w:sz w:val="17"/>
              </w:rPr>
              <w:t>-1.8%</w:t>
            </w:r>
          </w:p>
        </w:tc>
      </w:tr>
      <w:tr>
        <w:tc>
          <w:tcPr>
            <w:tcW w:type="dxa" w:w="1440"/>
            <w:shd w:fill="FAFAFA" w:val="clear"/>
          </w:tcPr>
          <w:p>
            <w:r>
              <w:rPr>
                <w:sz w:val="17"/>
              </w:rPr>
              <w:t>J+8  Moyenne</w:t>
            </w:r>
          </w:p>
        </w:tc>
        <w:tc>
          <w:tcPr>
            <w:tcW w:type="dxa" w:w="1440"/>
            <w:shd w:fill="FAFAFA" w:val="clear"/>
          </w:tcPr>
          <w:p>
            <w:r>
              <w:rPr>
                <w:sz w:val="17"/>
              </w:rPr>
              <w:t>2026-08-18</w:t>
            </w:r>
          </w:p>
        </w:tc>
        <w:tc>
          <w:tcPr>
            <w:tcW w:type="dxa" w:w="1440"/>
            <w:shd w:fill="FAFAFA" w:val="clear"/>
          </w:tcPr>
          <w:p>
            <w:r>
              <w:rPr>
                <w:sz w:val="17"/>
              </w:rPr>
              <w:t>2,821</w:t>
            </w:r>
          </w:p>
        </w:tc>
        <w:tc>
          <w:tcPr>
            <w:tcW w:type="dxa" w:w="1440"/>
            <w:shd w:fill="FAFAFA" w:val="clear"/>
          </w:tcPr>
          <w:p>
            <w:r>
              <w:rPr>
                <w:b/>
                <w:sz w:val="17"/>
              </w:rPr>
              <w:t>3,079</w:t>
            </w:r>
          </w:p>
        </w:tc>
        <w:tc>
          <w:tcPr>
            <w:tcW w:type="dxa" w:w="1440"/>
            <w:shd w:fill="FAFAFA" w:val="clear"/>
          </w:tcPr>
          <w:p>
            <w:r>
              <w:rPr>
                <w:sz w:val="17"/>
              </w:rPr>
              <w:t>3,338</w:t>
            </w:r>
          </w:p>
        </w:tc>
        <w:tc>
          <w:tcPr>
            <w:tcW w:type="dxa" w:w="1440"/>
            <w:shd w:fill="FAFAFA" w:val="clear"/>
          </w:tcPr>
          <w:p>
            <w:r>
              <w:rPr>
                <w:b/>
                <w:color w:val="C00000"/>
                <w:sz w:val="17"/>
              </w:rPr>
              <w:t>-1.9%</w:t>
            </w:r>
          </w:p>
        </w:tc>
      </w:tr>
      <w:tr>
        <w:tc>
          <w:tcPr>
            <w:tcW w:type="dxa" w:w="1440"/>
            <w:shd w:fill="FFDCE0" w:val="clear"/>
          </w:tcPr>
          <w:p>
            <w:r>
              <w:rPr>
                <w:sz w:val="17"/>
              </w:rPr>
              <w:t>J+9  Moyenne</w:t>
            </w:r>
          </w:p>
        </w:tc>
        <w:tc>
          <w:tcPr>
            <w:tcW w:type="dxa" w:w="1440"/>
            <w:shd w:fill="FFDCE0" w:val="clear"/>
          </w:tcPr>
          <w:p>
            <w:r>
              <w:rPr>
                <w:sz w:val="17"/>
              </w:rPr>
              <w:t>2026-08-19</w:t>
            </w:r>
          </w:p>
        </w:tc>
        <w:tc>
          <w:tcPr>
            <w:tcW w:type="dxa" w:w="1440"/>
            <w:shd w:fill="FFDCE0" w:val="clear"/>
          </w:tcPr>
          <w:p>
            <w:r>
              <w:rPr>
                <w:sz w:val="17"/>
              </w:rPr>
              <w:t>2,803</w:t>
            </w:r>
          </w:p>
        </w:tc>
        <w:tc>
          <w:tcPr>
            <w:tcW w:type="dxa" w:w="1440"/>
            <w:shd w:fill="FFDCE0" w:val="clear"/>
          </w:tcPr>
          <w:p>
            <w:r>
              <w:rPr>
                <w:b/>
                <w:sz w:val="17"/>
              </w:rPr>
              <w:t>3,077</w:t>
            </w:r>
          </w:p>
        </w:tc>
        <w:tc>
          <w:tcPr>
            <w:tcW w:type="dxa" w:w="1440"/>
            <w:shd w:fill="FFDCE0" w:val="clear"/>
          </w:tcPr>
          <w:p>
            <w:r>
              <w:rPr>
                <w:sz w:val="17"/>
              </w:rPr>
              <w:t>3,351</w:t>
            </w:r>
          </w:p>
        </w:tc>
        <w:tc>
          <w:tcPr>
            <w:tcW w:type="dxa" w:w="1440"/>
            <w:shd w:fill="FFDCE0" w:val="clear"/>
          </w:tcPr>
          <w:p>
            <w:r>
              <w:rPr>
                <w:b/>
                <w:color w:val="C00000"/>
                <w:sz w:val="17"/>
              </w:rPr>
              <w:t>-2.0%</w:t>
            </w:r>
          </w:p>
        </w:tc>
      </w:tr>
      <w:tr>
        <w:tc>
          <w:tcPr>
            <w:tcW w:type="dxa" w:w="1440"/>
            <w:shd w:fill="FFDCE0" w:val="clear"/>
          </w:tcPr>
          <w:p>
            <w:r>
              <w:rPr>
                <w:sz w:val="17"/>
              </w:rPr>
              <w:t>J+10  Moyenne</w:t>
            </w:r>
          </w:p>
        </w:tc>
        <w:tc>
          <w:tcPr>
            <w:tcW w:type="dxa" w:w="1440"/>
            <w:shd w:fill="FFDCE0" w:val="clear"/>
          </w:tcPr>
          <w:p>
            <w:r>
              <w:rPr>
                <w:sz w:val="17"/>
              </w:rPr>
              <w:t>2026-08-20</w:t>
            </w:r>
          </w:p>
        </w:tc>
        <w:tc>
          <w:tcPr>
            <w:tcW w:type="dxa" w:w="1440"/>
            <w:shd w:fill="FFDCE0" w:val="clear"/>
          </w:tcPr>
          <w:p>
            <w:r>
              <w:rPr>
                <w:sz w:val="17"/>
              </w:rPr>
              <w:t>2,785</w:t>
            </w:r>
          </w:p>
        </w:tc>
        <w:tc>
          <w:tcPr>
            <w:tcW w:type="dxa" w:w="1440"/>
            <w:shd w:fill="FFDCE0" w:val="clear"/>
          </w:tcPr>
          <w:p>
            <w:r>
              <w:rPr>
                <w:b/>
                <w:sz w:val="17"/>
              </w:rPr>
              <w:t>3,074</w:t>
            </w:r>
          </w:p>
        </w:tc>
        <w:tc>
          <w:tcPr>
            <w:tcW w:type="dxa" w:w="1440"/>
            <w:shd w:fill="FFDCE0" w:val="clear"/>
          </w:tcPr>
          <w:p>
            <w:r>
              <w:rPr>
                <w:sz w:val="17"/>
              </w:rPr>
              <w:t>3,363</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d'ORGT s'établit à 217,96 milliards FCFA, un niveau significatif qui la positionne parmi les valeurs moyennes à grandes capitalisations de la BRVM, reflétant son statut de holding bancaire régionale. Le BPA de 312 FCFA indique que chaque action a généré un bénéfice substantiel sur l'exercice, justifiant un PER de 10,1x, légèrement au-dessus de la moyenne historique de la BRVM (8-12x), ce qui traduit une valorisation raisonnable sans être spéculative. Le P/B de 1,93x montre que le marché valorise la société à près du double de sa valeur comptable, un niveau modéré qui suggère une confiance dans la création de valeur future. En revanche, l'EV/EBITDA de 20,0x est nettement supérieur au seuil de 15x, indiquant que la valeur d'entreprise par rapport à la capacité opérationnelle est exigeante, signe que les investisseurs anticipent une amélioration durable de la rentabilité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ORGT a enregistré une baisse significative de -15,14%, avec une dernière séance en léger repli de -0,32% à 3 140 FCFA, illustrant une pression vendeuse persistante. Le cours a évolué dans une fourchette large de 2 435 à 3 995 FCFA, démontrant une forte amplitude de trading. La moyenne de 3 031 FCFA est supérieure à la médiane de 2 780 FCFA, confirmant une distribution asymétrique positive (skewness de 0,596) avec davantage de journées sous la moyenne, tandis que le kurtosis de -1,130 indique une distribution platykurtique, donc une faible concentration des prix autour de la moyenne. L'écart-type de 429 FCFA (CV=14,1%) révèle une dispersion modérée, mais la volatilité annualisée de 46,5% classe le titre comme très volatil, un niveau élevé qui implique des risques substantiels mais aussi des opportunités de rendement pour les investisseurs aguerris.</w:t>
      </w:r>
    </w:p>
    <w:p>
      <w:pPr>
        <w:spacing w:after="120" w:line="276" w:lineRule="auto" w:before="240"/>
      </w:pPr>
      <w:r>
        <w:rPr>
          <w:b/>
          <w:color w:val="003366"/>
          <w:sz w:val="24"/>
        </w:rPr>
        <w:t>**PARTIE 2 : ANALYSE TECHNIQUE DÉTAILLÉE**</w:t>
      </w:r>
    </w:p>
    <w:p>
      <w:pPr>
        <w:spacing w:after="120" w:line="276" w:lineRule="auto"/>
      </w:pPr>
      <w:r>
        <w:t>**Moyennes Mobiles** : Le cours actuel de 3 140 FCFA se situe nettement au-dessus de la MM20 (2 809 FCFA) et de la MM50 (2 756 FCFA), avec un écart de plus de 11% et 14% respectivement. Cette configuration haussière confirme une dynamique positive à court et moyen terme, justifiant la décision d'achat, bien que l'écart important avec les moyennes suggère une possible correction à venir.</w:t>
      </w:r>
    </w:p>
    <w:p>
      <w:pPr>
        <w:spacing w:after="120" w:line="276" w:lineRule="auto"/>
      </w:pPr>
      <w:r>
        <w:t>**Bandes de Bollinger** : Le prix évolue près de la borne supérieure (3 193 FCFA) après avoir touché la borne inférieure (2 425 FCFA), indiquant une volatilité élevée et un mouvement de rattrapage. La position proche de la borne supérieure suggère une pression acheteuse, mais le signal neutre reflète l'incertitude quant à la poursuite du mouvement haussier.</w:t>
      </w:r>
    </w:p>
    <w:p>
      <w:pPr>
        <w:spacing w:after="120" w:line="276" w:lineRule="auto"/>
      </w:pPr>
      <w:r>
        <w:t>**MACD** : La valeur du MACD (106,895) est nettement supérieure à son signal (54,691), avec un écart positif de plus de 52 points, confirmant un momentum haussier solide. La divergence positive indique que la dynamique d'achat reste dominante, justifiant la décision d'achat malgré la faiblesse récente du cours.</w:t>
      </w:r>
    </w:p>
    <w:p>
      <w:pPr>
        <w:spacing w:after="120" w:line="276" w:lineRule="auto"/>
      </w:pPr>
      <w:r>
        <w:t>**RSI** : Le RSI de 89,655 est extrêmement élevé, bien au-dessus du seuil de surachat de 70, signalant une situation de surachat sévère. Cette valeur extrême suggère que le titre est surévalué à court terme et qu'une correction technique est probable, justifiant la décision de vente.</w:t>
      </w:r>
    </w:p>
    <w:p>
      <w:pPr>
        <w:spacing w:after="120" w:line="276" w:lineRule="auto"/>
      </w:pPr>
      <w:r>
        <w:t>**Stochastique** : Le %K (97,872) et le %D (98,566) sont tous deux à des niveaux extrêmement élevés, proches de 100, indiquant une zone de surachat critique. Le croisement potentiel des deux lignes pourrait déclencher un signal de vente, confirmant la décision de vente.</w:t>
      </w:r>
    </w:p>
    <w:p>
      <w:pPr>
        <w:spacing w:after="120" w:line="276" w:lineRule="auto"/>
      </w:pPr>
      <w:r>
        <w:t>**Conclusion technique** : Les indicateurs de tendance (MM, MACD) sont positifs, mais les oscillateurs (RSI, Stochastique) sont en zone de surachat extrême, créant un conflit de signaux. Cette divergence suggère qu'un repli technique est imminent, mais la tendance de fond reste haussière. La prudence est donc recommandée à court terme.</w:t>
      </w:r>
    </w:p>
    <w:p>
      <w:pPr>
        <w:spacing w:after="120" w:line="276" w:lineRule="auto" w:before="240"/>
      </w:pPr>
      <w:r>
        <w:rPr>
          <w:b/>
          <w:color w:val="003366"/>
          <w:sz w:val="24"/>
        </w:rPr>
        <w:t>**PARTIE 3 : ANALYSE FONDAMENTALE (SECTION CRITIQUE)**</w:t>
      </w:r>
    </w:p>
    <w:p>
      <w:pPr>
        <w:spacing w:after="120" w:line="276" w:lineRule="auto"/>
      </w:pPr>
      <w:r>
        <w:t>En 2025, ORGT a réalisé un PNB de 186,609 milliards FCFA, en baisse de -4,5% par rapport à 2024 (195,436 milliards), mais le résultat net a spectaculairement rebondi à 21,643 milliards FCFA contre une perte de -44,363 milliards en 2024. Le ROE s'établit à 19,13%, un niveau excellent (&gt;15%), tandis que le ROA est de 0,54%, reflétant une rentabilité des actifs modeste. Le coefficient d'exploitation de 42,85% est excellent (&lt;50%), démontrant une gestion rigoureuse des charges, et le coût du risque de 3,74% reste élevé mais en forte amélioration. Les dépôts clientèle (3 088,698 milliards) couvrent largement les créances clientèle (1 523,765 milliards), indiquant une transformation saine. Les rapports trimestriels 2025 (T1, S1, T3) confirment cette trajectoire de redressement, avec une amélioration continue du résultat net (+232% au S1, +248% au T3). Le rapport T1 2026 montre une poursuite de la tendance, avec un résultat net de 6,555 milliards FCFA (+37%), malgré un PNB en baisse de -2%. On estime que l'exercice 2026 devrait confirmer cette dynamique, avec un résultat net annuel potentiellement supérieur à 25 milliards FCFA si la tendance se maintient. La solidité financière est renforcée par des capitaux propres de 113,165 milliards FCFA (+17%), mais la dépendance à la réduction du coût du risque et la baisse du PNB constituent des risques à surveiller.</w:t>
      </w:r>
    </w:p>
    <w:p>
      <w:pPr>
        <w:spacing w:after="120" w:line="276" w:lineRule="auto" w:before="240"/>
      </w:pPr>
      <w:r>
        <w:rPr>
          <w:b/>
          <w:color w:val="003366"/>
          <w:sz w:val="24"/>
        </w:rPr>
        <w:t>**PARTIE 4 : CONCLUSION D'INVESTISSEMENT**</w:t>
      </w:r>
    </w:p>
    <w:p>
      <w:pPr>
        <w:spacing w:after="120" w:line="276" w:lineRule="auto"/>
      </w:pPr>
      <w:r>
        <w:t>La valorisation d'ORGT (PER 10,1x, P/B 1,93x) est raisonnable mais l'EV/EBITDA de 20x est exigeant, tandis que le cours a baissé de -15,14% sur 100 jours avec une volatilité très élevée (46,5%). Les signaux techniques sont mitigés, avec une tendance haussière (MM, MACD) mais des oscillateurs en surachat extrême (RSI 89,7, Stochastique 97,9), suggérant une correction probable à court terme. Les fondamentaux sont solides, avec un redressement spectaculaire en 2025 (résultat net de 21,6 milliards contre -44,4 milliards en 2024), un ROE de 19,1% et un coefficient d'exploitation excellent de 42,9%, mais la baisse du PNB et la dépendance à la réduction du coût du risque restent préoccupantes. Les prédictions IA (3 108 à 3 088 FCFA sur 10 jours) indiquent une légère baisse, confirmant le scénario de correction technique. En synthèse, la convergence entre la valorisation raisonnable, les fondamentaux en amélioration et les signaux techniques mitigés suggère une recommandation **CONSERVER**, avec un niveau de confiance **Moyen** et un risque global **Élevé**. L'horizon d'investissement optimal serait le **moyen terme (3-12 mois)** pour capitaliser sur le redressement fondamental tout en évitant la volatilité à court terme.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138.82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3,693 titres</w:t>
            </w:r>
          </w:p>
        </w:tc>
        <w:tc>
          <w:tcPr>
            <w:tcW w:type="dxa" w:w="2268"/>
            <w:shd w:fill="FFF2CC" w:val="clear"/>
          </w:tcPr>
          <w:p>
            <w:r>
              <w:rPr>
                <w:b/>
                <w:color w:val="503200"/>
                <w:sz w:val="16"/>
              </w:rPr>
              <w:t xml:space="preserve">Cours actuel : </w:t>
            </w:r>
            <w:r>
              <w:rPr>
                <w:color w:val="000000"/>
                <w:sz w:val="17"/>
              </w:rPr>
              <w:t>8,980 FCFA</w:t>
            </w:r>
          </w:p>
          <w:p>
            <w:r>
              <w:rPr>
                <w:b/>
                <w:color w:val="503200"/>
                <w:sz w:val="16"/>
              </w:rPr>
              <w:t xml:space="preserve">Var. 100 jours : </w:t>
            </w:r>
            <w:r>
              <w:rPr>
                <w:b/>
                <w:color w:val="B40000"/>
                <w:sz w:val="17"/>
              </w:rPr>
              <w:t>-3.44%</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40.8%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6.30% (Moyenne) — μ=8,417 FCFA, σ=531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β=-0.0716 (Contre-cyclique) — Cov=-0.000003, Var(idx)=0.000036, ρ=-0.017,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3,693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2026-08-06</w:t>
            </w:r>
          </w:p>
        </w:tc>
        <w:tc>
          <w:tcPr>
            <w:tcW w:type="dxa" w:w="1440"/>
            <w:shd w:fill="FAFAFA" w:val="clear"/>
          </w:tcPr>
          <w:p>
            <w:r>
              <w:rPr>
                <w:sz w:val="17"/>
              </w:rPr>
              <w:t>8,704</w:t>
            </w:r>
          </w:p>
        </w:tc>
        <w:tc>
          <w:tcPr>
            <w:tcW w:type="dxa" w:w="1440"/>
            <w:shd w:fill="FAFAFA" w:val="clear"/>
          </w:tcPr>
          <w:p>
            <w:r>
              <w:rPr>
                <w:b/>
                <w:sz w:val="17"/>
              </w:rPr>
              <w:t>9,026</w:t>
            </w:r>
          </w:p>
        </w:tc>
        <w:tc>
          <w:tcPr>
            <w:tcW w:type="dxa" w:w="1440"/>
            <w:shd w:fill="FAFAFA" w:val="clear"/>
          </w:tcPr>
          <w:p>
            <w:r>
              <w:rPr>
                <w:sz w:val="17"/>
              </w:rPr>
              <w:t>9,347</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2026-08-10</w:t>
            </w:r>
          </w:p>
        </w:tc>
        <w:tc>
          <w:tcPr>
            <w:tcW w:type="dxa" w:w="1440"/>
            <w:shd w:fill="FAFAFA" w:val="clear"/>
          </w:tcPr>
          <w:p>
            <w:r>
              <w:rPr>
                <w:sz w:val="17"/>
              </w:rPr>
              <w:t>8,594</w:t>
            </w:r>
          </w:p>
        </w:tc>
        <w:tc>
          <w:tcPr>
            <w:tcW w:type="dxa" w:w="1440"/>
            <w:shd w:fill="FAFAFA" w:val="clear"/>
          </w:tcPr>
          <w:p>
            <w:r>
              <w:rPr>
                <w:b/>
                <w:sz w:val="17"/>
              </w:rPr>
              <w:t>9,049</w:t>
            </w:r>
          </w:p>
        </w:tc>
        <w:tc>
          <w:tcPr>
            <w:tcW w:type="dxa" w:w="1440"/>
            <w:shd w:fill="FAFAFA" w:val="clear"/>
          </w:tcPr>
          <w:p>
            <w:r>
              <w:rPr>
                <w:sz w:val="17"/>
              </w:rPr>
              <w:t>9,504</w:t>
            </w:r>
          </w:p>
        </w:tc>
        <w:tc>
          <w:tcPr>
            <w:tcW w:type="dxa" w:w="1440"/>
            <w:shd w:fill="FAFAFA" w:val="clear"/>
          </w:tcPr>
          <w:p>
            <w:r>
              <w:rPr>
                <w:b/>
                <w:color w:val="008000"/>
                <w:sz w:val="17"/>
              </w:rPr>
              <w:t>+0.8%</w:t>
            </w:r>
          </w:p>
        </w:tc>
      </w:tr>
      <w:tr>
        <w:tc>
          <w:tcPr>
            <w:tcW w:type="dxa" w:w="1440"/>
            <w:shd w:fill="FAFAFA" w:val="clear"/>
          </w:tcPr>
          <w:p>
            <w:r>
              <w:rPr>
                <w:sz w:val="17"/>
              </w:rPr>
              <w:t>J+3  Moyenne</w:t>
            </w:r>
          </w:p>
        </w:tc>
        <w:tc>
          <w:tcPr>
            <w:tcW w:type="dxa" w:w="1440"/>
            <w:shd w:fill="FAFAFA" w:val="clear"/>
          </w:tcPr>
          <w:p>
            <w:r>
              <w:rPr>
                <w:sz w:val="17"/>
              </w:rPr>
              <w:t>2026-08-11</w:t>
            </w:r>
          </w:p>
        </w:tc>
        <w:tc>
          <w:tcPr>
            <w:tcW w:type="dxa" w:w="1440"/>
            <w:shd w:fill="FAFAFA" w:val="clear"/>
          </w:tcPr>
          <w:p>
            <w:r>
              <w:rPr>
                <w:sz w:val="17"/>
              </w:rPr>
              <w:t>8,517</w:t>
            </w:r>
          </w:p>
        </w:tc>
        <w:tc>
          <w:tcPr>
            <w:tcW w:type="dxa" w:w="1440"/>
            <w:shd w:fill="FAFAFA" w:val="clear"/>
          </w:tcPr>
          <w:p>
            <w:r>
              <w:rPr>
                <w:b/>
                <w:sz w:val="17"/>
              </w:rPr>
              <w:t>9,076</w:t>
            </w:r>
          </w:p>
        </w:tc>
        <w:tc>
          <w:tcPr>
            <w:tcW w:type="dxa" w:w="1440"/>
            <w:shd w:fill="FAFAFA" w:val="clear"/>
          </w:tcPr>
          <w:p>
            <w:r>
              <w:rPr>
                <w:sz w:val="17"/>
              </w:rPr>
              <w:t>9,635</w:t>
            </w:r>
          </w:p>
        </w:tc>
        <w:tc>
          <w:tcPr>
            <w:tcW w:type="dxa" w:w="1440"/>
            <w:shd w:fill="FAFAFA" w:val="clear"/>
          </w:tcPr>
          <w:p>
            <w:r>
              <w:rPr>
                <w:b/>
                <w:color w:val="008000"/>
                <w:sz w:val="17"/>
              </w:rPr>
              <w:t>+1.1%</w:t>
            </w:r>
          </w:p>
        </w:tc>
      </w:tr>
      <w:tr>
        <w:tc>
          <w:tcPr>
            <w:tcW w:type="dxa" w:w="1440"/>
            <w:shd w:fill="FAFAFA" w:val="clear"/>
          </w:tcPr>
          <w:p>
            <w:r>
              <w:rPr>
                <w:sz w:val="17"/>
              </w:rPr>
              <w:t>J+4  ⭐</w:t>
            </w:r>
          </w:p>
        </w:tc>
        <w:tc>
          <w:tcPr>
            <w:tcW w:type="dxa" w:w="1440"/>
            <w:shd w:fill="FAFAFA" w:val="clear"/>
          </w:tcPr>
          <w:p>
            <w:r>
              <w:rPr>
                <w:sz w:val="17"/>
              </w:rPr>
              <w:t>2026-08-12</w:t>
            </w:r>
          </w:p>
        </w:tc>
        <w:tc>
          <w:tcPr>
            <w:tcW w:type="dxa" w:w="1440"/>
            <w:shd w:fill="FAFAFA" w:val="clear"/>
          </w:tcPr>
          <w:p>
            <w:r>
              <w:rPr>
                <w:sz w:val="17"/>
              </w:rPr>
              <w:t>8,455</w:t>
            </w:r>
          </w:p>
        </w:tc>
        <w:tc>
          <w:tcPr>
            <w:tcW w:type="dxa" w:w="1440"/>
            <w:shd w:fill="FAFAFA" w:val="clear"/>
          </w:tcPr>
          <w:p>
            <w:r>
              <w:rPr>
                <w:b/>
                <w:sz w:val="17"/>
              </w:rPr>
              <w:t>9,103</w:t>
            </w:r>
          </w:p>
        </w:tc>
        <w:tc>
          <w:tcPr>
            <w:tcW w:type="dxa" w:w="1440"/>
            <w:shd w:fill="FAFAFA" w:val="clear"/>
          </w:tcPr>
          <w:p>
            <w:r>
              <w:rPr>
                <w:sz w:val="17"/>
              </w:rPr>
              <w:t>9,751</w:t>
            </w:r>
          </w:p>
        </w:tc>
        <w:tc>
          <w:tcPr>
            <w:tcW w:type="dxa" w:w="1440"/>
            <w:shd w:fill="FAFAFA" w:val="clear"/>
          </w:tcPr>
          <w:p>
            <w:r>
              <w:rPr>
                <w:b/>
                <w:color w:val="008000"/>
                <w:sz w:val="17"/>
              </w:rPr>
              <w:t>+1.4%</w:t>
            </w:r>
          </w:p>
        </w:tc>
      </w:tr>
      <w:tr>
        <w:tc>
          <w:tcPr>
            <w:tcW w:type="dxa" w:w="1440"/>
            <w:shd w:fill="FAFAFA" w:val="clear"/>
          </w:tcPr>
          <w:p>
            <w:r>
              <w:rPr>
                <w:sz w:val="17"/>
              </w:rPr>
              <w:t>J+5  ⭐</w:t>
            </w:r>
          </w:p>
        </w:tc>
        <w:tc>
          <w:tcPr>
            <w:tcW w:type="dxa" w:w="1440"/>
            <w:shd w:fill="FAFAFA" w:val="clear"/>
          </w:tcPr>
          <w:p>
            <w:r>
              <w:rPr>
                <w:sz w:val="17"/>
              </w:rPr>
              <w:t>2026-08-13</w:t>
            </w:r>
          </w:p>
        </w:tc>
        <w:tc>
          <w:tcPr>
            <w:tcW w:type="dxa" w:w="1440"/>
            <w:shd w:fill="FAFAFA" w:val="clear"/>
          </w:tcPr>
          <w:p>
            <w:r>
              <w:rPr>
                <w:sz w:val="17"/>
              </w:rPr>
              <w:t>8,404</w:t>
            </w:r>
          </w:p>
        </w:tc>
        <w:tc>
          <w:tcPr>
            <w:tcW w:type="dxa" w:w="1440"/>
            <w:shd w:fill="FAFAFA" w:val="clear"/>
          </w:tcPr>
          <w:p>
            <w:r>
              <w:rPr>
                <w:b/>
                <w:sz w:val="17"/>
              </w:rPr>
              <w:t>9,130</w:t>
            </w:r>
          </w:p>
        </w:tc>
        <w:tc>
          <w:tcPr>
            <w:tcW w:type="dxa" w:w="1440"/>
            <w:shd w:fill="FAFAFA" w:val="clear"/>
          </w:tcPr>
          <w:p>
            <w:r>
              <w:rPr>
                <w:sz w:val="17"/>
              </w:rPr>
              <w:t>9,857</w:t>
            </w:r>
          </w:p>
        </w:tc>
        <w:tc>
          <w:tcPr>
            <w:tcW w:type="dxa" w:w="1440"/>
            <w:shd w:fill="FAFAFA" w:val="clear"/>
          </w:tcPr>
          <w:p>
            <w:r>
              <w:rPr>
                <w:b/>
                <w:color w:val="008000"/>
                <w:sz w:val="17"/>
              </w:rPr>
              <w:t>+1.7%</w:t>
            </w:r>
          </w:p>
        </w:tc>
      </w:tr>
      <w:tr>
        <w:tc>
          <w:tcPr>
            <w:tcW w:type="dxa" w:w="1440"/>
            <w:shd w:fill="FAFAFA" w:val="clear"/>
          </w:tcPr>
          <w:p>
            <w:r>
              <w:rPr>
                <w:sz w:val="17"/>
              </w:rPr>
              <w:t>J+6  ⭐</w:t>
            </w:r>
          </w:p>
        </w:tc>
        <w:tc>
          <w:tcPr>
            <w:tcW w:type="dxa" w:w="1440"/>
            <w:shd w:fill="FAFAFA" w:val="clear"/>
          </w:tcPr>
          <w:p>
            <w:r>
              <w:rPr>
                <w:sz w:val="17"/>
              </w:rPr>
              <w:t>2026-08-14</w:t>
            </w:r>
          </w:p>
        </w:tc>
        <w:tc>
          <w:tcPr>
            <w:tcW w:type="dxa" w:w="1440"/>
            <w:shd w:fill="FAFAFA" w:val="clear"/>
          </w:tcPr>
          <w:p>
            <w:r>
              <w:rPr>
                <w:sz w:val="17"/>
              </w:rPr>
              <w:t>8,359</w:t>
            </w:r>
          </w:p>
        </w:tc>
        <w:tc>
          <w:tcPr>
            <w:tcW w:type="dxa" w:w="1440"/>
            <w:shd w:fill="FAFAFA" w:val="clear"/>
          </w:tcPr>
          <w:p>
            <w:r>
              <w:rPr>
                <w:b/>
                <w:sz w:val="17"/>
              </w:rPr>
              <w:t>9,157</w:t>
            </w:r>
          </w:p>
        </w:tc>
        <w:tc>
          <w:tcPr>
            <w:tcW w:type="dxa" w:w="1440"/>
            <w:shd w:fill="FAFAFA" w:val="clear"/>
          </w:tcPr>
          <w:p>
            <w:r>
              <w:rPr>
                <w:sz w:val="17"/>
              </w:rPr>
              <w:t>9,955</w:t>
            </w:r>
          </w:p>
        </w:tc>
        <w:tc>
          <w:tcPr>
            <w:tcW w:type="dxa" w:w="1440"/>
            <w:shd w:fill="FAFAFA" w:val="clear"/>
          </w:tcPr>
          <w:p>
            <w:r>
              <w:rPr>
                <w:b/>
                <w:color w:val="008000"/>
                <w:sz w:val="17"/>
              </w:rPr>
              <w:t>+2.0%</w:t>
            </w:r>
          </w:p>
        </w:tc>
      </w:tr>
      <w:tr>
        <w:tc>
          <w:tcPr>
            <w:tcW w:type="dxa" w:w="1440"/>
            <w:shd w:fill="C6EFCE" w:val="clear"/>
          </w:tcPr>
          <w:p>
            <w:r>
              <w:rPr>
                <w:sz w:val="17"/>
              </w:rPr>
              <w:t>J+7  ⭐</w:t>
            </w:r>
          </w:p>
        </w:tc>
        <w:tc>
          <w:tcPr>
            <w:tcW w:type="dxa" w:w="1440"/>
            <w:shd w:fill="C6EFCE" w:val="clear"/>
          </w:tcPr>
          <w:p>
            <w:r>
              <w:rPr>
                <w:sz w:val="17"/>
              </w:rPr>
              <w:t>2026-08-17</w:t>
            </w:r>
          </w:p>
        </w:tc>
        <w:tc>
          <w:tcPr>
            <w:tcW w:type="dxa" w:w="1440"/>
            <w:shd w:fill="C6EFCE" w:val="clear"/>
          </w:tcPr>
          <w:p>
            <w:r>
              <w:rPr>
                <w:sz w:val="17"/>
              </w:rPr>
              <w:t>8,319</w:t>
            </w:r>
          </w:p>
        </w:tc>
        <w:tc>
          <w:tcPr>
            <w:tcW w:type="dxa" w:w="1440"/>
            <w:shd w:fill="C6EFCE" w:val="clear"/>
          </w:tcPr>
          <w:p>
            <w:r>
              <w:rPr>
                <w:b/>
                <w:sz w:val="17"/>
              </w:rPr>
              <w:t>9,184</w:t>
            </w:r>
          </w:p>
        </w:tc>
        <w:tc>
          <w:tcPr>
            <w:tcW w:type="dxa" w:w="1440"/>
            <w:shd w:fill="C6EFCE" w:val="clear"/>
          </w:tcPr>
          <w:p>
            <w:r>
              <w:rPr>
                <w:sz w:val="17"/>
              </w:rPr>
              <w:t>10,048</w:t>
            </w:r>
          </w:p>
        </w:tc>
        <w:tc>
          <w:tcPr>
            <w:tcW w:type="dxa" w:w="1440"/>
            <w:shd w:fill="C6EFCE" w:val="clear"/>
          </w:tcPr>
          <w:p>
            <w:r>
              <w:rPr>
                <w:b/>
                <w:color w:val="008000"/>
                <w:sz w:val="17"/>
              </w:rPr>
              <w:t>+2.3%</w:t>
            </w:r>
          </w:p>
        </w:tc>
      </w:tr>
      <w:tr>
        <w:tc>
          <w:tcPr>
            <w:tcW w:type="dxa" w:w="1440"/>
            <w:shd w:fill="C6EFCE" w:val="clear"/>
          </w:tcPr>
          <w:p>
            <w:r>
              <w:rPr>
                <w:sz w:val="17"/>
              </w:rPr>
              <w:t>J+8  ⭐</w:t>
            </w:r>
          </w:p>
        </w:tc>
        <w:tc>
          <w:tcPr>
            <w:tcW w:type="dxa" w:w="1440"/>
            <w:shd w:fill="C6EFCE" w:val="clear"/>
          </w:tcPr>
          <w:p>
            <w:r>
              <w:rPr>
                <w:sz w:val="17"/>
              </w:rPr>
              <w:t>2026-08-18</w:t>
            </w:r>
          </w:p>
        </w:tc>
        <w:tc>
          <w:tcPr>
            <w:tcW w:type="dxa" w:w="1440"/>
            <w:shd w:fill="C6EFCE" w:val="clear"/>
          </w:tcPr>
          <w:p>
            <w:r>
              <w:rPr>
                <w:sz w:val="17"/>
              </w:rPr>
              <w:t>8,283</w:t>
            </w:r>
          </w:p>
        </w:tc>
        <w:tc>
          <w:tcPr>
            <w:tcW w:type="dxa" w:w="1440"/>
            <w:shd w:fill="C6EFCE" w:val="clear"/>
          </w:tcPr>
          <w:p>
            <w:r>
              <w:rPr>
                <w:b/>
                <w:sz w:val="17"/>
              </w:rPr>
              <w:t>9,210</w:t>
            </w:r>
          </w:p>
        </w:tc>
        <w:tc>
          <w:tcPr>
            <w:tcW w:type="dxa" w:w="1440"/>
            <w:shd w:fill="C6EFCE" w:val="clear"/>
          </w:tcPr>
          <w:p>
            <w:r>
              <w:rPr>
                <w:sz w:val="17"/>
              </w:rPr>
              <w:t>10,137</w:t>
            </w:r>
          </w:p>
        </w:tc>
        <w:tc>
          <w:tcPr>
            <w:tcW w:type="dxa" w:w="1440"/>
            <w:shd w:fill="C6EFCE" w:val="clear"/>
          </w:tcPr>
          <w:p>
            <w:r>
              <w:rPr>
                <w:b/>
                <w:color w:val="008000"/>
                <w:sz w:val="17"/>
              </w:rPr>
              <w:t>+2.6%</w:t>
            </w:r>
          </w:p>
        </w:tc>
      </w:tr>
      <w:tr>
        <w:tc>
          <w:tcPr>
            <w:tcW w:type="dxa" w:w="1440"/>
            <w:shd w:fill="C6EFCE" w:val="clear"/>
          </w:tcPr>
          <w:p>
            <w:r>
              <w:rPr>
                <w:sz w:val="17"/>
              </w:rPr>
              <w:t>J+9  ⭐</w:t>
            </w:r>
          </w:p>
        </w:tc>
        <w:tc>
          <w:tcPr>
            <w:tcW w:type="dxa" w:w="1440"/>
            <w:shd w:fill="C6EFCE" w:val="clear"/>
          </w:tcPr>
          <w:p>
            <w:r>
              <w:rPr>
                <w:sz w:val="17"/>
              </w:rPr>
              <w:t>2026-08-19</w:t>
            </w:r>
          </w:p>
        </w:tc>
        <w:tc>
          <w:tcPr>
            <w:tcW w:type="dxa" w:w="1440"/>
            <w:shd w:fill="C6EFCE" w:val="clear"/>
          </w:tcPr>
          <w:p>
            <w:r>
              <w:rPr>
                <w:sz w:val="17"/>
              </w:rPr>
              <w:t>8,251</w:t>
            </w:r>
          </w:p>
        </w:tc>
        <w:tc>
          <w:tcPr>
            <w:tcW w:type="dxa" w:w="1440"/>
            <w:shd w:fill="C6EFCE" w:val="clear"/>
          </w:tcPr>
          <w:p>
            <w:r>
              <w:rPr>
                <w:b/>
                <w:sz w:val="17"/>
              </w:rPr>
              <w:t>9,237</w:t>
            </w:r>
          </w:p>
        </w:tc>
        <w:tc>
          <w:tcPr>
            <w:tcW w:type="dxa" w:w="1440"/>
            <w:shd w:fill="C6EFCE" w:val="clear"/>
          </w:tcPr>
          <w:p>
            <w:r>
              <w:rPr>
                <w:sz w:val="17"/>
              </w:rPr>
              <w:t>10,223</w:t>
            </w:r>
          </w:p>
        </w:tc>
        <w:tc>
          <w:tcPr>
            <w:tcW w:type="dxa" w:w="1440"/>
            <w:shd w:fill="C6EFCE" w:val="clear"/>
          </w:tcPr>
          <w:p>
            <w:r>
              <w:rPr>
                <w:b/>
                <w:color w:val="008000"/>
                <w:sz w:val="17"/>
              </w:rPr>
              <w:t>+2.9%</w:t>
            </w:r>
          </w:p>
        </w:tc>
      </w:tr>
      <w:tr>
        <w:tc>
          <w:tcPr>
            <w:tcW w:type="dxa" w:w="1440"/>
            <w:shd w:fill="C6EFCE" w:val="clear"/>
          </w:tcPr>
          <w:p>
            <w:r>
              <w:rPr>
                <w:sz w:val="17"/>
              </w:rPr>
              <w:t>J+10  ⭐</w:t>
            </w:r>
          </w:p>
        </w:tc>
        <w:tc>
          <w:tcPr>
            <w:tcW w:type="dxa" w:w="1440"/>
            <w:shd w:fill="C6EFCE" w:val="clear"/>
          </w:tcPr>
          <w:p>
            <w:r>
              <w:rPr>
                <w:sz w:val="17"/>
              </w:rPr>
              <w:t>2026-08-20</w:t>
            </w:r>
          </w:p>
        </w:tc>
        <w:tc>
          <w:tcPr>
            <w:tcW w:type="dxa" w:w="1440"/>
            <w:shd w:fill="C6EFCE" w:val="clear"/>
          </w:tcPr>
          <w:p>
            <w:r>
              <w:rPr>
                <w:sz w:val="17"/>
              </w:rPr>
              <w:t>8,221</w:t>
            </w:r>
          </w:p>
        </w:tc>
        <w:tc>
          <w:tcPr>
            <w:tcW w:type="dxa" w:w="1440"/>
            <w:shd w:fill="C6EFCE" w:val="clear"/>
          </w:tcPr>
          <w:p>
            <w:r>
              <w:rPr>
                <w:b/>
                <w:sz w:val="17"/>
              </w:rPr>
              <w:t>9,264</w:t>
            </w:r>
          </w:p>
        </w:tc>
        <w:tc>
          <w:tcPr>
            <w:tcW w:type="dxa" w:w="1440"/>
            <w:shd w:fill="C6EFCE" w:val="clear"/>
          </w:tcPr>
          <w:p>
            <w:r>
              <w:rPr>
                <w:sz w:val="17"/>
              </w:rPr>
              <w:t>10,306</w:t>
            </w:r>
          </w:p>
        </w:tc>
        <w:tc>
          <w:tcPr>
            <w:tcW w:type="dxa" w:w="1440"/>
            <w:shd w:fill="C6EFCE" w:val="clear"/>
          </w:tcPr>
          <w:p>
            <w:r>
              <w:rPr>
                <w:b/>
                <w:color w:val="008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PALC s'établit à 138,82 milliards FCFA, ce qui en fait une valeur de taille moyenne sur la BRVM, représentative du secteur agro-industriel ivoirien. Avec un BPA de 1 003 FCFA, le titre se négocie à un PER de 9,0x, légèrement inférieur à la moyenne historique de la place (~8-12x), ce qui suggère une décote relative et un potentiel de revalorisation. Le P/B de 0,97x est particulièrement attractif : le marché valorise l'action en dessous de sa valeur comptable, indiquant que les investisseurs n'intègrent pas pleinement la solidité du bilan. Enfin, un EV/EBITDA de 4,4x, très inférieur au seuil de 5x, confirme une valorisation opérationnelle très bon marché, signalant que la capacité bénéficiaire de l'entreprise n'est pas correctement reflétée dans le cours actuel.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PALC affiche une variation totale de -3,44%, avec une dernière séance stable (+0,00%), traduisant une phase de consolidation après des mouvements plus amples. Le titre a évolué dans une fourchette de 7 000 FCFA (plus bas) à 9 500 FCFA (plus haut), démontrant une amplitude de 2 500 FCFA, signe d'une volatilité intra-période non négligeable. La moyenne du cours (8 417 FCFA) est inférieure à la médiane (8 600 FCFA), indiquant une distribution légèrement asymétrique à gauche (skewness de -0,101), mais très proche d'une symétrie parfaite. L'écart-type de 533 FCFA (CV=6,3%) révèle une dispersion modérée autour de la moyenne. Le kurtosis de -0,534 (mésokurtique) suggère une absence de pics extrêmes, tandis que la volatilité annualisée de 40,8% classe le titre dans la catégorie des valeurs à forte volatilité (&gt;30%), ce qui implique un risque élevé mais aussi un potentiel de rendement important.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(8 980 FCFA) se positionne au-dessus de la MM20 (8 787,75 FCFA) et de la MM50 (8 645 FCFA), configuration haussière classique. La pente positive des moyennes confirme une dynamique d'achat à moyen terme, justifiant la décision "Achat".</w:t>
      </w:r>
    </w:p>
    <w:p>
      <w:pPr>
        <w:spacing w:after="120" w:line="276" w:lineRule="auto"/>
      </w:pPr>
      <w:r>
        <w:t>**Bandes de Bollinger** : Le prix se situe près de la borne supérieure (9 080,44 FCFA), indiquant une pression acheteuse soutenue. La largeur des bandes (borne inférieure à 8 495,06 FCFA) reflète une volatilité modérée. La décision "Neutre" suggère que le titre n'est pas encore en zone de surachat extrême, mais une cassure au-dessus de la borne supérieure serait un signal positif.</w:t>
      </w:r>
    </w:p>
    <w:p>
      <w:pPr>
        <w:spacing w:after="120" w:line="276" w:lineRule="auto"/>
      </w:pPr>
      <w:r>
        <w:t>**MACD** : La valeur du MACD (91,96) est supérieure à son signal (78,855), avec un écart positif croissant. Cette configuration confirme un momentum haussier en phase d'accélération, justifiant la décision "Achat".</w:t>
      </w:r>
    </w:p>
    <w:p>
      <w:pPr>
        <w:spacing w:after="120" w:line="276" w:lineRule="auto"/>
      </w:pPr>
      <w:r>
        <w:t>**RSI** : À 59,875, le RSI se situe en zone neutre (30-70), indiquant que le titre n'est ni suracheté ni survendu. Cette valeur laisse une marge de progression avant d'atteindre la zone de surachat (&gt;70), ce qui est favorable pour une poursuite de la hausse.</w:t>
      </w:r>
    </w:p>
    <w:p>
      <w:pPr>
        <w:spacing w:after="120" w:line="276" w:lineRule="auto"/>
      </w:pPr>
      <w:r>
        <w:t>**Stochastique** : Les valeurs %K (90,476) et %D (91,27) sont très élevées, proches de la zone de surachat (&gt;80). Le croisement potentiel de ces lignes pourrait signaler un retournement baissier à court terme, justifiant la décision "Vente".</w:t>
      </w:r>
    </w:p>
    <w:p>
      <w:pPr>
        <w:spacing w:after="120" w:line="276" w:lineRule="auto"/>
      </w:pPr>
      <w:r>
        <w:t>**Conclusion technique** : Les indicateurs de tendance (MM, MACD) sont globalement positifs, tandis que les oscillateurs (RSI, Stochastique) montrent des signaux mitigés, avec un RSI neutre mais un stochastique en surachat. Cette divergence suggère une possible consolidation à court terme avant une reprise de la tendance haussière. Le scénario le plus probable est un maintien au-dessus de la MM20, avec un potentiel de test des 9 500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PALC a réalisé un chiffre d'affaires de 197,630 milliards FCFA, en croissance de +14,8% par rapport à 2024 (172,2 milliards FCFA). Le résultat net s'établit à 15,509 milliards FCFA, en légère baisse de -2,2% vs 2024 (15,9 milliards), avec une marge nette de 7,85%. Le ROE est de 10,87%, en retrait par rapport à 2024 (11,9%), et le ROA de 7,79%. La structure financière reste très saine avec une autonomie financière de 71,64% et un endettement très faible (ratio d'endettement de 0,56%). Le BFR de 44,623 milliards FCFA est positif, ce qui est un point de vigilance, avec un délai clients élevé de 142,58 jours, indiquant un risque de trésorerie. La capacité de remboursement est excellente (0,03 an), et la couverture des intérêts est très confortable (1415,66%).</w:t>
      </w:r>
    </w:p>
    <w:p>
      <w:pPr>
        <w:spacing w:after="120" w:line="276" w:lineRule="auto"/>
      </w:pPr>
      <w:r>
        <w:t>**Rapports trimestriels 2025** : Le rapport T1 2025 (publié en 2025) montre un excellent début d'année avec un CA de 67,5 milliards FCFA (+32% vs T1 2024) et un résultat net de 11,6 milliards FCFA (+65%). Le S1 2025 (publié en 2025) confirme cette dynamique avec un CA de 134,8 milliards FCFA (+25%) et un résultat net de 22,9 milliards FCFA (+37%). Le cumul 9 mois 2025 (publié en 2025) atteint 168,9 milliards FCFA (+18%) avec un résultat net de 18,0 milliards FCFA (+11%). Ces rapports montrent une forte performance opérationnelle, mais avec un ralentissement progressif au T3.</w:t>
      </w:r>
    </w:p>
    <w:p>
      <w:pPr>
        <w:spacing w:after="120" w:line="276" w:lineRule="auto"/>
      </w:pPr>
      <w:r>
        <w:t>**Rapport T1 2026 (publié en 2026)** : Le premier trimestre 2026 est décevant avec un CA de 49,4 milliards FCFA (-27% vs T1 2025) et un résultat net de 1,6 milliard FCFA (-86%). La direction attribue cette baisse à un décalage temporel des ventes, avec des stocks qui devraient être écoulés à l'export à des prix plus rémunérateurs. Sur cette base, on estime que l'exercice 2026 pourrait être en retrait par rapport à 2025, mais avec un résultat net positif, si le redressement attendu se confirme au S1 2026.</w:t>
      </w:r>
    </w:p>
    <w:p>
      <w:pPr>
        <w:spacing w:after="120" w:line="276" w:lineRule="auto"/>
      </w:pPr>
      <w:r>
        <w:t>**Synthèse fondamentale** : PALC est une entreprise agro-industrielle solide, leader sur le marché ivoirien de l'huile de palme, avec une croissance du CA soutenue, mais une rentabilité sous pression (baisse des marges). La réduction de la dette et un flux opérationnel robuste (+38,7 milliards FCFA) sont des points positifs. Cependant, la dépendance aux cours mondiaux de l'huile de palme et la dégradation de la trésorerie nette (-4,6 milliards FCFA) constituent des risques à surveiller. La recommandation fondamentale est de **CONSERVER**, avec un potentiel de rebond si les prix des matières premières se redressent.</w:t>
      </w:r>
    </w:p>
    <w:p>
      <w:pPr>
        <w:spacing w:after="120" w:line="276" w:lineRule="auto"/>
      </w:pPr>
      <w:r>
        <w:t>---</w:t>
      </w:r>
    </w:p>
    <w:p>
      <w:pPr>
        <w:spacing w:after="120" w:line="276" w:lineRule="auto"/>
      </w:pPr>
      <w:r>
        <w:t>### PARTIE 4 : CONCLUSION D'INVESTISSEMENT</w:t>
      </w:r>
    </w:p>
    <w:p>
      <w:pPr>
        <w:spacing w:after="120" w:line="276" w:lineRule="auto"/>
      </w:pPr>
      <w:r>
        <w:t>La valorisation de PALC est très attractive avec un PER de 9,0x, un P/B de 0,97x et un EV/EBITDA de 4,4x, indiquant une sous-évaluation par rapport aux fondamentaux. Le comportement du cours sur 100 jours montre une légère baisse (-3,44%) mais une volatilité élevée (40,8%), avec des statistiques (kurtosis et skewness) proches de la normale, suggérant une stabilité relative. Les signaux techniques sont mitigés : les moyennes mobiles et le MACD sont positifs, mais le stochastique en surachat et le RSI neutre appellent à la prudence à court terme. Les fondamentaux sont solides avec une croissance du CA de +14,8% en 2025, mais la rentabilité est sous pression et le T1 2026 est faible. Les prédictions IA (9 026 à 9 130 FCFA sur 10 jours) confirment une tendance haussière modérée, en ligne avec les signaux techniques positifs. En synthèse, la convergence entre la sous-évaluation, la solidité financière et les prédictions IA suggère une **recommandation ACHAT**, avec un niveau de confiance **Moyen** et un risque global **Moyen**. L'horizon d'investissement optimal est le **moyen terme (3-12 mois)**, en attendant la confirmation du redressement au S1 2026.</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45.93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1,109 titres</w:t>
            </w:r>
          </w:p>
        </w:tc>
        <w:tc>
          <w:tcPr>
            <w:tcW w:type="dxa" w:w="2268"/>
            <w:shd w:fill="FFF2CC" w:val="clear"/>
          </w:tcPr>
          <w:p>
            <w:r>
              <w:rPr>
                <w:b/>
                <w:color w:val="503200"/>
                <w:sz w:val="16"/>
              </w:rPr>
              <w:t xml:space="preserve">Cours actuel : </w:t>
            </w:r>
            <w:r>
              <w:rPr>
                <w:color w:val="000000"/>
                <w:sz w:val="17"/>
              </w:rPr>
              <w:t>4,485 FCFA</w:t>
            </w:r>
          </w:p>
          <w:p>
            <w:r>
              <w:rPr>
                <w:b/>
                <w:color w:val="503200"/>
                <w:sz w:val="16"/>
              </w:rPr>
              <w:t xml:space="preserve">Var. 100 jours : </w:t>
            </w:r>
            <w:r>
              <w:rPr>
                <w:b/>
                <w:color w:val="B40000"/>
                <w:sz w:val="17"/>
              </w:rPr>
              <w:t>-17.78%</w:t>
            </w:r>
          </w:p>
          <w:p>
            <w:r>
              <w:rPr>
                <w:b/>
                <w:color w:val="503200"/>
                <w:sz w:val="16"/>
              </w:rPr>
              <w:t xml:space="preserve">Plus haut 100j : </w:t>
            </w:r>
            <w:r>
              <w:rPr>
                <w:color w:val="000000"/>
                <w:sz w:val="17"/>
              </w:rPr>
              <w:t>5,500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9.07% (Moyenne) — μ=4,526 FCFA, σ=411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β=-0.2423 (Contre-cyclique) — Cov=-0.000009, Var(idx)=0.000036, ρ=-0.055,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σ_j=2.65%/j (Stable) — Vol. annualisée≈42.0%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2026-08-06</w:t>
            </w:r>
          </w:p>
        </w:tc>
        <w:tc>
          <w:tcPr>
            <w:tcW w:type="dxa" w:w="1440"/>
            <w:shd w:fill="FAFAFA" w:val="clear"/>
          </w:tcPr>
          <w:p>
            <w:r>
              <w:rPr>
                <w:sz w:val="17"/>
              </w:rPr>
              <w:t>4,295</w:t>
            </w:r>
          </w:p>
        </w:tc>
        <w:tc>
          <w:tcPr>
            <w:tcW w:type="dxa" w:w="1440"/>
            <w:shd w:fill="FAFAFA" w:val="clear"/>
          </w:tcPr>
          <w:p>
            <w:r>
              <w:rPr>
                <w:b/>
                <w:sz w:val="17"/>
              </w:rPr>
              <w:t>4,411</w:t>
            </w:r>
          </w:p>
        </w:tc>
        <w:tc>
          <w:tcPr>
            <w:tcW w:type="dxa" w:w="1440"/>
            <w:shd w:fill="FAFAFA" w:val="clear"/>
          </w:tcPr>
          <w:p>
            <w:r>
              <w:rPr>
                <w:sz w:val="17"/>
              </w:rPr>
              <w:t>4,527</w:t>
            </w:r>
          </w:p>
        </w:tc>
        <w:tc>
          <w:tcPr>
            <w:tcW w:type="dxa" w:w="1440"/>
            <w:shd w:fill="FAFAFA" w:val="clear"/>
          </w:tcPr>
          <w:p>
            <w:r>
              <w:rPr>
                <w:b/>
                <w:color w:val="C00000"/>
                <w:sz w:val="17"/>
              </w:rPr>
              <w:t>-1.6%</w:t>
            </w:r>
          </w:p>
        </w:tc>
      </w:tr>
      <w:tr>
        <w:tc>
          <w:tcPr>
            <w:tcW w:type="dxa" w:w="1440"/>
            <w:shd w:fill="FAFAFA" w:val="clear"/>
          </w:tcPr>
          <w:p>
            <w:r>
              <w:rPr>
                <w:sz w:val="17"/>
              </w:rPr>
              <w:t>J+2  ⭐⭐⭐</w:t>
            </w:r>
          </w:p>
        </w:tc>
        <w:tc>
          <w:tcPr>
            <w:tcW w:type="dxa" w:w="1440"/>
            <w:shd w:fill="FAFAFA" w:val="clear"/>
          </w:tcPr>
          <w:p>
            <w:r>
              <w:rPr>
                <w:sz w:val="17"/>
              </w:rPr>
              <w:t>2026-08-10</w:t>
            </w:r>
          </w:p>
        </w:tc>
        <w:tc>
          <w:tcPr>
            <w:tcW w:type="dxa" w:w="1440"/>
            <w:shd w:fill="FAFAFA" w:val="clear"/>
          </w:tcPr>
          <w:p>
            <w:r>
              <w:rPr>
                <w:sz w:val="17"/>
              </w:rPr>
              <w:t>4,235</w:t>
            </w:r>
          </w:p>
        </w:tc>
        <w:tc>
          <w:tcPr>
            <w:tcW w:type="dxa" w:w="1440"/>
            <w:shd w:fill="FAFAFA" w:val="clear"/>
          </w:tcPr>
          <w:p>
            <w:r>
              <w:rPr>
                <w:b/>
                <w:sz w:val="17"/>
              </w:rPr>
              <w:t>4,398</w:t>
            </w:r>
          </w:p>
        </w:tc>
        <w:tc>
          <w:tcPr>
            <w:tcW w:type="dxa" w:w="1440"/>
            <w:shd w:fill="FAFAFA" w:val="clear"/>
          </w:tcPr>
          <w:p>
            <w:r>
              <w:rPr>
                <w:sz w:val="17"/>
              </w:rPr>
              <w:t>4,561</w:t>
            </w:r>
          </w:p>
        </w:tc>
        <w:tc>
          <w:tcPr>
            <w:tcW w:type="dxa" w:w="1440"/>
            <w:shd w:fill="FAFAFA" w:val="clear"/>
          </w:tcPr>
          <w:p>
            <w:r>
              <w:rPr>
                <w:b/>
                <w:color w:val="C00000"/>
                <w:sz w:val="17"/>
              </w:rPr>
              <w:t>-1.9%</w:t>
            </w:r>
          </w:p>
        </w:tc>
      </w:tr>
      <w:tr>
        <w:tc>
          <w:tcPr>
            <w:tcW w:type="dxa" w:w="1440"/>
            <w:shd w:fill="FFDCE0" w:val="clear"/>
          </w:tcPr>
          <w:p>
            <w:r>
              <w:rPr>
                <w:sz w:val="17"/>
              </w:rPr>
              <w:t>J+3  ⭐⭐⭐</w:t>
            </w:r>
          </w:p>
        </w:tc>
        <w:tc>
          <w:tcPr>
            <w:tcW w:type="dxa" w:w="1440"/>
            <w:shd w:fill="FFDCE0" w:val="clear"/>
          </w:tcPr>
          <w:p>
            <w:r>
              <w:rPr>
                <w:sz w:val="17"/>
              </w:rPr>
              <w:t>2026-08-11</w:t>
            </w:r>
          </w:p>
        </w:tc>
        <w:tc>
          <w:tcPr>
            <w:tcW w:type="dxa" w:w="1440"/>
            <w:shd w:fill="FFDCE0" w:val="clear"/>
          </w:tcPr>
          <w:p>
            <w:r>
              <w:rPr>
                <w:sz w:val="17"/>
              </w:rPr>
              <w:t>4,178</w:t>
            </w:r>
          </w:p>
        </w:tc>
        <w:tc>
          <w:tcPr>
            <w:tcW w:type="dxa" w:w="1440"/>
            <w:shd w:fill="FFDCE0" w:val="clear"/>
          </w:tcPr>
          <w:p>
            <w:r>
              <w:rPr>
                <w:b/>
                <w:sz w:val="17"/>
              </w:rPr>
              <w:t>4,377</w:t>
            </w:r>
          </w:p>
        </w:tc>
        <w:tc>
          <w:tcPr>
            <w:tcW w:type="dxa" w:w="1440"/>
            <w:shd w:fill="FFDCE0" w:val="clear"/>
          </w:tcPr>
          <w:p>
            <w:r>
              <w:rPr>
                <w:sz w:val="17"/>
              </w:rPr>
              <w:t>4,576</w:t>
            </w:r>
          </w:p>
        </w:tc>
        <w:tc>
          <w:tcPr>
            <w:tcW w:type="dxa" w:w="1440"/>
            <w:shd w:fill="FFDCE0" w:val="clear"/>
          </w:tcPr>
          <w:p>
            <w:r>
              <w:rPr>
                <w:b/>
                <w:color w:val="C00000"/>
                <w:sz w:val="17"/>
              </w:rPr>
              <w:t>-2.4%</w:t>
            </w:r>
          </w:p>
        </w:tc>
      </w:tr>
      <w:tr>
        <w:tc>
          <w:tcPr>
            <w:tcW w:type="dxa" w:w="1440"/>
            <w:shd w:fill="FFDCE0" w:val="clear"/>
          </w:tcPr>
          <w:p>
            <w:r>
              <w:rPr>
                <w:sz w:val="17"/>
              </w:rPr>
              <w:t>J+4  Moyenne</w:t>
            </w:r>
          </w:p>
        </w:tc>
        <w:tc>
          <w:tcPr>
            <w:tcW w:type="dxa" w:w="1440"/>
            <w:shd w:fill="FFDCE0" w:val="clear"/>
          </w:tcPr>
          <w:p>
            <w:r>
              <w:rPr>
                <w:sz w:val="17"/>
              </w:rPr>
              <w:t>2026-08-12</w:t>
            </w:r>
          </w:p>
        </w:tc>
        <w:tc>
          <w:tcPr>
            <w:tcW w:type="dxa" w:w="1440"/>
            <w:shd w:fill="FFDCE0" w:val="clear"/>
          </w:tcPr>
          <w:p>
            <w:r>
              <w:rPr>
                <w:sz w:val="17"/>
              </w:rPr>
              <w:t>4,127</w:t>
            </w:r>
          </w:p>
        </w:tc>
        <w:tc>
          <w:tcPr>
            <w:tcW w:type="dxa" w:w="1440"/>
            <w:shd w:fill="FFDCE0" w:val="clear"/>
          </w:tcPr>
          <w:p>
            <w:r>
              <w:rPr>
                <w:b/>
                <w:sz w:val="17"/>
              </w:rPr>
              <w:t>4,355</w:t>
            </w:r>
          </w:p>
        </w:tc>
        <w:tc>
          <w:tcPr>
            <w:tcW w:type="dxa" w:w="1440"/>
            <w:shd w:fill="FFDCE0" w:val="clear"/>
          </w:tcPr>
          <w:p>
            <w:r>
              <w:rPr>
                <w:sz w:val="17"/>
              </w:rPr>
              <w:t>4,583</w:t>
            </w:r>
          </w:p>
        </w:tc>
        <w:tc>
          <w:tcPr>
            <w:tcW w:type="dxa" w:w="1440"/>
            <w:shd w:fill="FFDCE0" w:val="clear"/>
          </w:tcPr>
          <w:p>
            <w:r>
              <w:rPr>
                <w:b/>
                <w:color w:val="C00000"/>
                <w:sz w:val="17"/>
              </w:rPr>
              <w:t>-2.9%</w:t>
            </w:r>
          </w:p>
        </w:tc>
      </w:tr>
      <w:tr>
        <w:tc>
          <w:tcPr>
            <w:tcW w:type="dxa" w:w="1440"/>
            <w:shd w:fill="FFDCE0" w:val="clear"/>
          </w:tcPr>
          <w:p>
            <w:r>
              <w:rPr>
                <w:sz w:val="17"/>
              </w:rPr>
              <w:t>J+5  Moyenne</w:t>
            </w:r>
          </w:p>
        </w:tc>
        <w:tc>
          <w:tcPr>
            <w:tcW w:type="dxa" w:w="1440"/>
            <w:shd w:fill="FFDCE0" w:val="clear"/>
          </w:tcPr>
          <w:p>
            <w:r>
              <w:rPr>
                <w:sz w:val="17"/>
              </w:rPr>
              <w:t>2026-08-13</w:t>
            </w:r>
          </w:p>
        </w:tc>
        <w:tc>
          <w:tcPr>
            <w:tcW w:type="dxa" w:w="1440"/>
            <w:shd w:fill="FFDCE0" w:val="clear"/>
          </w:tcPr>
          <w:p>
            <w:r>
              <w:rPr>
                <w:sz w:val="17"/>
              </w:rPr>
              <w:t>4,080</w:t>
            </w:r>
          </w:p>
        </w:tc>
        <w:tc>
          <w:tcPr>
            <w:tcW w:type="dxa" w:w="1440"/>
            <w:shd w:fill="FFDCE0" w:val="clear"/>
          </w:tcPr>
          <w:p>
            <w:r>
              <w:rPr>
                <w:b/>
                <w:sz w:val="17"/>
              </w:rPr>
              <w:t>4,334</w:t>
            </w:r>
          </w:p>
        </w:tc>
        <w:tc>
          <w:tcPr>
            <w:tcW w:type="dxa" w:w="1440"/>
            <w:shd w:fill="FFDCE0" w:val="clear"/>
          </w:tcPr>
          <w:p>
            <w:r>
              <w:rPr>
                <w:sz w:val="17"/>
              </w:rPr>
              <w:t>4,588</w:t>
            </w:r>
          </w:p>
        </w:tc>
        <w:tc>
          <w:tcPr>
            <w:tcW w:type="dxa" w:w="1440"/>
            <w:shd w:fill="FFDCE0" w:val="clear"/>
          </w:tcPr>
          <w:p>
            <w:r>
              <w:rPr>
                <w:b/>
                <w:color w:val="C00000"/>
                <w:sz w:val="17"/>
              </w:rPr>
              <w:t>-3.4%</w:t>
            </w:r>
          </w:p>
        </w:tc>
      </w:tr>
      <w:tr>
        <w:tc>
          <w:tcPr>
            <w:tcW w:type="dxa" w:w="1440"/>
            <w:shd w:fill="FFDCE0" w:val="clear"/>
          </w:tcPr>
          <w:p>
            <w:r>
              <w:rPr>
                <w:sz w:val="17"/>
              </w:rPr>
              <w:t>J+6  Moyenne</w:t>
            </w:r>
          </w:p>
        </w:tc>
        <w:tc>
          <w:tcPr>
            <w:tcW w:type="dxa" w:w="1440"/>
            <w:shd w:fill="FFDCE0" w:val="clear"/>
          </w:tcPr>
          <w:p>
            <w:r>
              <w:rPr>
                <w:sz w:val="17"/>
              </w:rPr>
              <w:t>2026-08-14</w:t>
            </w:r>
          </w:p>
        </w:tc>
        <w:tc>
          <w:tcPr>
            <w:tcW w:type="dxa" w:w="1440"/>
            <w:shd w:fill="FFDCE0" w:val="clear"/>
          </w:tcPr>
          <w:p>
            <w:r>
              <w:rPr>
                <w:sz w:val="17"/>
              </w:rPr>
              <w:t>4,037</w:t>
            </w:r>
          </w:p>
        </w:tc>
        <w:tc>
          <w:tcPr>
            <w:tcW w:type="dxa" w:w="1440"/>
            <w:shd w:fill="FFDCE0" w:val="clear"/>
          </w:tcPr>
          <w:p>
            <w:r>
              <w:rPr>
                <w:b/>
                <w:sz w:val="17"/>
              </w:rPr>
              <w:t>4,314</w:t>
            </w:r>
          </w:p>
        </w:tc>
        <w:tc>
          <w:tcPr>
            <w:tcW w:type="dxa" w:w="1440"/>
            <w:shd w:fill="FFDCE0" w:val="clear"/>
          </w:tcPr>
          <w:p>
            <w:r>
              <w:rPr>
                <w:sz w:val="17"/>
              </w:rPr>
              <w:t>4,591</w:t>
            </w:r>
          </w:p>
        </w:tc>
        <w:tc>
          <w:tcPr>
            <w:tcW w:type="dxa" w:w="1440"/>
            <w:shd w:fill="FFDCE0" w:val="clear"/>
          </w:tcPr>
          <w:p>
            <w:r>
              <w:rPr>
                <w:b/>
                <w:color w:val="C00000"/>
                <w:sz w:val="17"/>
              </w:rPr>
              <w:t>-3.8%</w:t>
            </w:r>
          </w:p>
        </w:tc>
      </w:tr>
      <w:tr>
        <w:tc>
          <w:tcPr>
            <w:tcW w:type="dxa" w:w="1440"/>
            <w:shd w:fill="FFDCE0" w:val="clear"/>
          </w:tcPr>
          <w:p>
            <w:r>
              <w:rPr>
                <w:sz w:val="17"/>
              </w:rPr>
              <w:t>J+7  Moyenne</w:t>
            </w:r>
          </w:p>
        </w:tc>
        <w:tc>
          <w:tcPr>
            <w:tcW w:type="dxa" w:w="1440"/>
            <w:shd w:fill="FFDCE0" w:val="clear"/>
          </w:tcPr>
          <w:p>
            <w:r>
              <w:rPr>
                <w:sz w:val="17"/>
              </w:rPr>
              <w:t>2026-08-17</w:t>
            </w:r>
          </w:p>
        </w:tc>
        <w:tc>
          <w:tcPr>
            <w:tcW w:type="dxa" w:w="1440"/>
            <w:shd w:fill="FFDCE0" w:val="clear"/>
          </w:tcPr>
          <w:p>
            <w:r>
              <w:rPr>
                <w:sz w:val="17"/>
              </w:rPr>
              <w:t>3,996</w:t>
            </w:r>
          </w:p>
        </w:tc>
        <w:tc>
          <w:tcPr>
            <w:tcW w:type="dxa" w:w="1440"/>
            <w:shd w:fill="FFDCE0" w:val="clear"/>
          </w:tcPr>
          <w:p>
            <w:r>
              <w:rPr>
                <w:b/>
                <w:sz w:val="17"/>
              </w:rPr>
              <w:t>4,294</w:t>
            </w:r>
          </w:p>
        </w:tc>
        <w:tc>
          <w:tcPr>
            <w:tcW w:type="dxa" w:w="1440"/>
            <w:shd w:fill="FFDCE0" w:val="clear"/>
          </w:tcPr>
          <w:p>
            <w:r>
              <w:rPr>
                <w:sz w:val="17"/>
              </w:rPr>
              <w:t>4,592</w:t>
            </w:r>
          </w:p>
        </w:tc>
        <w:tc>
          <w:tcPr>
            <w:tcW w:type="dxa" w:w="1440"/>
            <w:shd w:fill="FFDCE0" w:val="clear"/>
          </w:tcPr>
          <w:p>
            <w:r>
              <w:rPr>
                <w:b/>
                <w:color w:val="C00000"/>
                <w:sz w:val="17"/>
              </w:rPr>
              <w:t>-4.3%</w:t>
            </w:r>
          </w:p>
        </w:tc>
      </w:tr>
      <w:tr>
        <w:tc>
          <w:tcPr>
            <w:tcW w:type="dxa" w:w="1440"/>
            <w:shd w:fill="FFDCE0" w:val="clear"/>
          </w:tcPr>
          <w:p>
            <w:r>
              <w:rPr>
                <w:sz w:val="17"/>
              </w:rPr>
              <w:t>J+8  Moyenne</w:t>
            </w:r>
          </w:p>
        </w:tc>
        <w:tc>
          <w:tcPr>
            <w:tcW w:type="dxa" w:w="1440"/>
            <w:shd w:fill="FFDCE0" w:val="clear"/>
          </w:tcPr>
          <w:p>
            <w:r>
              <w:rPr>
                <w:sz w:val="17"/>
              </w:rPr>
              <w:t>2026-08-18</w:t>
            </w:r>
          </w:p>
        </w:tc>
        <w:tc>
          <w:tcPr>
            <w:tcW w:type="dxa" w:w="1440"/>
            <w:shd w:fill="FFDCE0" w:val="clear"/>
          </w:tcPr>
          <w:p>
            <w:r>
              <w:rPr>
                <w:sz w:val="17"/>
              </w:rPr>
              <w:t>3,958</w:t>
            </w:r>
          </w:p>
        </w:tc>
        <w:tc>
          <w:tcPr>
            <w:tcW w:type="dxa" w:w="1440"/>
            <w:shd w:fill="FFDCE0" w:val="clear"/>
          </w:tcPr>
          <w:p>
            <w:r>
              <w:rPr>
                <w:b/>
                <w:sz w:val="17"/>
              </w:rPr>
              <w:t>4,275</w:t>
            </w:r>
          </w:p>
        </w:tc>
        <w:tc>
          <w:tcPr>
            <w:tcW w:type="dxa" w:w="1440"/>
            <w:shd w:fill="FFDCE0" w:val="clear"/>
          </w:tcPr>
          <w:p>
            <w:r>
              <w:rPr>
                <w:sz w:val="17"/>
              </w:rPr>
              <w:t>4,592</w:t>
            </w:r>
          </w:p>
        </w:tc>
        <w:tc>
          <w:tcPr>
            <w:tcW w:type="dxa" w:w="1440"/>
            <w:shd w:fill="FFDCE0" w:val="clear"/>
          </w:tcPr>
          <w:p>
            <w:r>
              <w:rPr>
                <w:b/>
                <w:color w:val="C00000"/>
                <w:sz w:val="17"/>
              </w:rPr>
              <w:t>-4.7%</w:t>
            </w:r>
          </w:p>
        </w:tc>
      </w:tr>
      <w:tr>
        <w:tc>
          <w:tcPr>
            <w:tcW w:type="dxa" w:w="1440"/>
            <w:shd w:fill="FFDCE0" w:val="clear"/>
          </w:tcPr>
          <w:p>
            <w:r>
              <w:rPr>
                <w:sz w:val="17"/>
              </w:rPr>
              <w:t>J+9  Moyenne</w:t>
            </w:r>
          </w:p>
        </w:tc>
        <w:tc>
          <w:tcPr>
            <w:tcW w:type="dxa" w:w="1440"/>
            <w:shd w:fill="FFDCE0" w:val="clear"/>
          </w:tcPr>
          <w:p>
            <w:r>
              <w:rPr>
                <w:sz w:val="17"/>
              </w:rPr>
              <w:t>2026-08-19</w:t>
            </w:r>
          </w:p>
        </w:tc>
        <w:tc>
          <w:tcPr>
            <w:tcW w:type="dxa" w:w="1440"/>
            <w:shd w:fill="FFDCE0" w:val="clear"/>
          </w:tcPr>
          <w:p>
            <w:r>
              <w:rPr>
                <w:sz w:val="17"/>
              </w:rPr>
              <w:t>3,921</w:t>
            </w:r>
          </w:p>
        </w:tc>
        <w:tc>
          <w:tcPr>
            <w:tcW w:type="dxa" w:w="1440"/>
            <w:shd w:fill="FFDCE0" w:val="clear"/>
          </w:tcPr>
          <w:p>
            <w:r>
              <w:rPr>
                <w:b/>
                <w:sz w:val="17"/>
              </w:rPr>
              <w:t>4,256</w:t>
            </w:r>
          </w:p>
        </w:tc>
        <w:tc>
          <w:tcPr>
            <w:tcW w:type="dxa" w:w="1440"/>
            <w:shd w:fill="FFDCE0" w:val="clear"/>
          </w:tcPr>
          <w:p>
            <w:r>
              <w:rPr>
                <w:sz w:val="17"/>
              </w:rPr>
              <w:t>4,590</w:t>
            </w:r>
          </w:p>
        </w:tc>
        <w:tc>
          <w:tcPr>
            <w:tcW w:type="dxa" w:w="1440"/>
            <w:shd w:fill="FFDCE0" w:val="clear"/>
          </w:tcPr>
          <w:p>
            <w:r>
              <w:rPr>
                <w:b/>
                <w:color w:val="C00000"/>
                <w:sz w:val="17"/>
              </w:rPr>
              <w:t>-5.1%</w:t>
            </w:r>
          </w:p>
        </w:tc>
      </w:tr>
      <w:tr>
        <w:tc>
          <w:tcPr>
            <w:tcW w:type="dxa" w:w="1440"/>
            <w:shd w:fill="FFDCE0" w:val="clear"/>
          </w:tcPr>
          <w:p>
            <w:r>
              <w:rPr>
                <w:sz w:val="17"/>
              </w:rPr>
              <w:t>J+10  Moyenne</w:t>
            </w:r>
          </w:p>
        </w:tc>
        <w:tc>
          <w:tcPr>
            <w:tcW w:type="dxa" w:w="1440"/>
            <w:shd w:fill="FFDCE0" w:val="clear"/>
          </w:tcPr>
          <w:p>
            <w:r>
              <w:rPr>
                <w:sz w:val="17"/>
              </w:rPr>
              <w:t>2026-08-20</w:t>
            </w:r>
          </w:p>
        </w:tc>
        <w:tc>
          <w:tcPr>
            <w:tcW w:type="dxa" w:w="1440"/>
            <w:shd w:fill="FFDCE0" w:val="clear"/>
          </w:tcPr>
          <w:p>
            <w:r>
              <w:rPr>
                <w:sz w:val="17"/>
              </w:rPr>
              <w:t>3,886</w:t>
            </w:r>
          </w:p>
        </w:tc>
        <w:tc>
          <w:tcPr>
            <w:tcW w:type="dxa" w:w="1440"/>
            <w:shd w:fill="FFDCE0" w:val="clear"/>
          </w:tcPr>
          <w:p>
            <w:r>
              <w:rPr>
                <w:b/>
                <w:sz w:val="17"/>
              </w:rPr>
              <w:t>4,237</w:t>
            </w:r>
          </w:p>
        </w:tc>
        <w:tc>
          <w:tcPr>
            <w:tcW w:type="dxa" w:w="1440"/>
            <w:shd w:fill="FFDCE0" w:val="clear"/>
          </w:tcPr>
          <w:p>
            <w:r>
              <w:rPr>
                <w:sz w:val="17"/>
              </w:rPr>
              <w:t>4,588</w:t>
            </w:r>
          </w:p>
        </w:tc>
        <w:tc>
          <w:tcPr>
            <w:tcW w:type="dxa" w:w="1440"/>
            <w:shd w:fill="FFDCE0" w:val="clear"/>
          </w:tcPr>
          <w:p>
            <w:r>
              <w:rPr>
                <w:b/>
                <w:color w:val="C00000"/>
                <w:sz w:val="17"/>
              </w:rPr>
              <w:t>-5.5%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CI)**</w:t>
        <w:br/>
        <w:t>**Date de l'analyse : 05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45,93 milliards FCFA, un niveau qui la positionne comme une valeur de taille moyenne sur la BRVM, représentative du secteur de la distribution automobile. Le BPA de 231 FCFA indique que chaque action génère un bénéfice modeste, ce qui explique un PER de 19,4x. Ce ratio est nettement supérieur à la moyenne historique de la BRVM (8-12x), signalant que les investisseurs paient une prime significative pour la croissance anticipée de la société. Le P/B de 3,98x confirme cette prime, le marché valorisant le titre près de 4 fois sa valeur comptable, ce qui reflète une forte confiance dans les actifs et la rentabilité future. Enfin, l'EV/EBITDA de 9,9x se situe dans la fourchette haute des valeurs raisonnables (5-10x), indiquant une valorisation globale cohérente avec la capacité opérationnelle de l'entreprise, mais sans marge de sécurité évidente.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 enregistré une baisse significative de -17,78%, bien que la dernière séance montre un rebond de +1,93% à 4 485 FCFA. Le titre a évolué dans une fourchette large de 1 880 FCFA, oscillant entre un plus bas de 3 620 FCFA et un plus haut de 5 500 FCFA, illustrant une volatilité marquée. La moyenne du cours sur la période (4 526 FCFA) est légèrement inférieure à la médiane (4 572 FCFA), suggérant une distribution quasi symétrique, confirmée par un skewness de -0,378. L'écart-type de 413 FCFA (CV=9,1%) indique une dispersion modérée autour de la moyenne. Le kurtosis de 0,049 (mésokurtique) suggère un risque de variations extrêmes similaire à une distribution normale. La volatilité annualisée de 42,0% classe le titre comme très volatil (&gt;30%), un élément crucial pour la gestion du risque, indiquant des fluctuations de prix importantes sur l'année.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(4 485 FCFA) se situe au-dessus de ses moyennes mobiles à 20 jours (4 481,75 FCFA) et à 50 jours (4 448 FCFA). Cette configuration haussière, où le prix est soutenu par les deux MM, génère un signal d'**Achat**, indiquant que la tendance de court et moyen terme reste positive malgré le repli récent.</w:t>
      </w:r>
    </w:p>
    <w:p>
      <w:pPr>
        <w:spacing w:after="120" w:line="276" w:lineRule="auto"/>
      </w:pPr>
      <w:r>
        <w:t>**Bandes de Bollinger** : Le prix se positionne à l'intérieur des bandes, proche de la moyenne, entre la borne supérieure (4 709 FCFA) et inférieure (4 254 FCFA). Cette position neutre suggère une absence de pression directionnelle forte, avec une volatilité qui se normalise après les mouvements récents. La décision est donc **Neutre**.</w:t>
      </w:r>
    </w:p>
    <w:p>
      <w:pPr>
        <w:spacing w:after="120" w:line="276" w:lineRule="auto"/>
      </w:pPr>
      <w:r>
        <w:t>**MACD** : La valeur du MACD (5,769) est inférieure à sa ligne de signal (22,481), indiquant un momentum baissier à court terme. Bien que le MACD reste positif, cette divergence négative est un signal de **Vente**, suggérant un possible ralentissement de la dynamique haussière.</w:t>
      </w:r>
    </w:p>
    <w:p>
      <w:pPr>
        <w:spacing w:after="120" w:line="276" w:lineRule="auto"/>
      </w:pPr>
      <w:r>
        <w:t>**RSI** : Avec une valeur de 51,2, le RSI se situe en zone neutre (30-70), indiquant un équilibre entre les pressions acheteuses et vendeuses. Il n'y a pas de condition de surachat ou de survente, ce qui laisse de la marge pour un mouvement dans les deux sens. La décision est **Neutre**.</w:t>
      </w:r>
    </w:p>
    <w:p>
      <w:pPr>
        <w:spacing w:after="120" w:line="276" w:lineRule="auto"/>
      </w:pPr>
      <w:r>
        <w:t>**Stochastique** : Le %K (34,694) est supérieur au %D (21,893), suggérant un croisement haussier potentiel, mais les deux valeurs restent en territoire de survente relative (&lt;50). Cela pourrait indiquer un début de reprise, mais le signal est encore faible. La décision est **Neutre**.</w:t>
      </w:r>
    </w:p>
    <w:p>
      <w:pPr>
        <w:spacing w:after="120" w:line="276" w:lineRule="auto"/>
      </w:pPr>
      <w:r>
        <w:t>**Conclusion technique** : Les indicateurs sont mitigés. Les moyennes mobiles plaident pour une tendance haussière, mais le MACD et la position dans les bandes de Bollinger suggèrent une consolidation. Le RSI et le Stochastique, bien que neutres, montrent des signes de stabilisation. Globalement, le signal est **Neutre à Acheteur**, avec une prudence de mise en raison du momentum incertain.</w:t>
      </w:r>
    </w:p>
    <w:p>
      <w:pPr>
        <w:spacing w:after="120" w:line="276" w:lineRule="auto"/>
      </w:pPr>
      <w:r>
        <w:t>---</w:t>
      </w:r>
    </w:p>
    <w:p>
      <w:pPr>
        <w:spacing w:after="120" w:line="276" w:lineRule="auto"/>
      </w:pPr>
      <w:r>
        <w:t>### PARTIE 3 : ANALYSE FONDAMENTALE (SECTION CRITIQUE)</w:t>
      </w:r>
    </w:p>
    <w:p>
      <w:pPr>
        <w:spacing w:after="120" w:line="276" w:lineRule="auto"/>
      </w:pPr>
      <w:r>
        <w:t>En 2025, PRSC a réalisé un chiffre d'affaires de 81,127 milliards FCFA, en croissance de 9,5% par rapport à 2024 (74,45 Mds), selon les données structurées. Le résultat net s'établit à 2,367 milliards FCFA, stable par rapport à 2024 (2,35 Mds), mais en hausse de 8,6% par rapport à 2023 (2,18 Mds). La marge nette reste faible à 2,92%, mais le ROE est excellent à 20,53%, démontrant une utilisation efficace des capitaux propres (11,531 Mds FCFA). Le ROA de 4,95% est plus modeste, reflétant la lourdeur du bilan (47,836 Mds FCFA). En tant qu'entreprise de distribution, l'analyse se concentre sur le BFR, qui est positif à 11,267 Mds FCFA, avec un délai de paiement clients de 46 jours et un délai fournisseurs de 103 jours, ce qui est favorable pour la trésorerie. Cependant, la durée de stockage de 150 jours est élevée, immobilisant du capital. Le rapport d'activité du S1 2025 (daté du 30/06/2025) montre une performance exceptionnelle avec un CA de 39,97 Mds (+15,1%) et un résultat net multiplié par 28 à 1,436 Md FCFA. Sur cette base, on estime que l'exercice 2025 complet aurait pu dépasser les 85 Mds de CA, mais la direction a anticipé un ralentissement au S2 en raison du contexte électoral, ce qui s'est confirmé avec un CA final de 81,1 Mds. La société a versé un dividende de 2 140 FCFA par action, offrant un rendement attrayant. Les risques incluent une dépendance au marché ivoirien et une pression sur les marges, mais la solidité financière et la croissance du CA sont des points positifs.</w:t>
      </w:r>
    </w:p>
    <w:p>
      <w:pPr>
        <w:spacing w:after="120" w:line="276" w:lineRule="auto"/>
      </w:pPr>
      <w:r>
        <w:t>---</w:t>
      </w:r>
    </w:p>
    <w:p>
      <w:pPr>
        <w:spacing w:after="120" w:line="276" w:lineRule="auto"/>
      </w:pPr>
      <w:r>
        <w:t>### PARTIE 4 : CONCLUSION D'INVESTISSEMENT</w:t>
      </w:r>
    </w:p>
    <w:p>
      <w:pPr>
        <w:spacing w:after="120" w:line="276" w:lineRule="auto"/>
      </w:pPr>
      <w:r>
        <w:t>La valorisation de PRSC (PER 19,4x, P/B 3,98x) est exigeante, indiquant une prime de croissance qui n'est que partiellement justifiée par les fondamentaux. Le comportement du cours sur 100 jours est préoccupant avec une baisse de -17,78%, mais la volatilité élevée (42%) et les statistiques (kurtosis mésokurtique) suggèrent que des mouvements brusques sont possibles. Les signaux techniques sont mitigés, avec une tendance de fond positive (MM) mais un momentum court terme négatif (MACD). Les fondamentaux sont solides, avec une croissance du CA de 9,5% en 2025, un ROE de 20,5% et un dividende généreux, mais la marge nette reste faible. Les prédictions IA pour les 10 prochains jours (de 4 411 à 4 334 FCFA) indiquent une poursuite de la baisse, contredisant les signaux des moyennes mobiles. En synthèse, la convergence entre une valorisation élevée, des signaux techniques neutres et des prédictions baissières suggère une prudence. La recommandation finale est **CONSERVER** avec un niveau de confiance **Moyen**, un risque global **Élevé** en raison de la volatilité, et un horizon d'investissement optimal à **moyen terme (3-12 mois)** pour évaluer la capacité de la société à redresser sa marge et à maintenir sa croissance dans un environnement concurrentiel.</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40.60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7,240 titres</w:t>
            </w:r>
          </w:p>
        </w:tc>
        <w:tc>
          <w:tcPr>
            <w:tcW w:type="dxa" w:w="2268"/>
            <w:shd w:fill="FFF2CC" w:val="clear"/>
          </w:tcPr>
          <w:p>
            <w:r>
              <w:rPr>
                <w:b/>
                <w:color w:val="503200"/>
                <w:sz w:val="16"/>
              </w:rPr>
              <w:t xml:space="preserve">Cours actuel : </w:t>
            </w:r>
            <w:r>
              <w:rPr>
                <w:color w:val="000000"/>
                <w:sz w:val="17"/>
              </w:rPr>
              <w:t>5,000 FCFA</w:t>
            </w:r>
          </w:p>
          <w:p>
            <w:r>
              <w:rPr>
                <w:b/>
                <w:color w:val="503200"/>
                <w:sz w:val="16"/>
              </w:rPr>
              <w:t xml:space="preserve">Var. 100 jours : </w:t>
            </w:r>
            <w:r>
              <w:rPr>
                <w:b/>
                <w:color w:val="B40000"/>
                <w:sz w:val="17"/>
              </w:rPr>
              <w:t>-12.28%</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28.2/100 → Moyen</w:t>
      </w:r>
    </w:p>
    <w:p>
      <w:pPr>
        <w:spacing w:before="40" w:after="80"/>
      </w:pPr>
      <w:r>
        <w:rPr>
          <w:rFonts w:ascii="Courier New" w:hAnsi="Courier New"/>
          <w:color w:val="825A00"/>
          <w:sz w:val="18"/>
        </w:rPr>
        <w:t>█████░░░░░░░░░░░░░░░  28.2/100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23.78% (Élevée) — μ=4,830 FCFA, σ=1,149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β=0.4677 (Défensif) — Cov=0.000017, Var(idx)=0.000036, ρ=0.054,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7,240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σ_j=5.26%/j (Instable) — Vol. annualisée≈83.4%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2026-08-06</w:t>
            </w:r>
          </w:p>
        </w:tc>
        <w:tc>
          <w:tcPr>
            <w:tcW w:type="dxa" w:w="1440"/>
            <w:shd w:fill="FFDCE0" w:val="clear"/>
          </w:tcPr>
          <w:p>
            <w:r>
              <w:rPr>
                <w:sz w:val="17"/>
              </w:rPr>
              <w:t>4,376</w:t>
            </w:r>
          </w:p>
        </w:tc>
        <w:tc>
          <w:tcPr>
            <w:tcW w:type="dxa" w:w="1440"/>
            <w:shd w:fill="FFDCE0" w:val="clear"/>
          </w:tcPr>
          <w:p>
            <w:r>
              <w:rPr>
                <w:b/>
                <w:sz w:val="17"/>
              </w:rPr>
              <w:t>4,625</w:t>
            </w:r>
          </w:p>
        </w:tc>
        <w:tc>
          <w:tcPr>
            <w:tcW w:type="dxa" w:w="1440"/>
            <w:shd w:fill="FFDCE0" w:val="clear"/>
          </w:tcPr>
          <w:p>
            <w:r>
              <w:rPr>
                <w:sz w:val="17"/>
              </w:rPr>
              <w:t>4,874</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2026-08-10</w:t>
            </w:r>
          </w:p>
        </w:tc>
        <w:tc>
          <w:tcPr>
            <w:tcW w:type="dxa" w:w="1440"/>
            <w:shd w:fill="FFDCE0" w:val="clear"/>
          </w:tcPr>
          <w:p>
            <w:r>
              <w:rPr>
                <w:sz w:val="17"/>
              </w:rPr>
              <w:t>3,952</w:t>
            </w:r>
          </w:p>
        </w:tc>
        <w:tc>
          <w:tcPr>
            <w:tcW w:type="dxa" w:w="1440"/>
            <w:shd w:fill="FFDCE0" w:val="clear"/>
          </w:tcPr>
          <w:p>
            <w:r>
              <w:rPr>
                <w:b/>
                <w:sz w:val="17"/>
              </w:rPr>
              <w:t>4,278</w:t>
            </w:r>
          </w:p>
        </w:tc>
        <w:tc>
          <w:tcPr>
            <w:tcW w:type="dxa" w:w="1440"/>
            <w:shd w:fill="FFDCE0" w:val="clear"/>
          </w:tcPr>
          <w:p>
            <w:r>
              <w:rPr>
                <w:sz w:val="17"/>
              </w:rPr>
              <w:t>4,604</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2026-08-11</w:t>
            </w:r>
          </w:p>
        </w:tc>
        <w:tc>
          <w:tcPr>
            <w:tcW w:type="dxa" w:w="1440"/>
            <w:shd w:fill="FFDCE0" w:val="clear"/>
          </w:tcPr>
          <w:p>
            <w:r>
              <w:rPr>
                <w:sz w:val="17"/>
              </w:rPr>
              <w:t>3,588</w:t>
            </w:r>
          </w:p>
        </w:tc>
        <w:tc>
          <w:tcPr>
            <w:tcW w:type="dxa" w:w="1440"/>
            <w:shd w:fill="FFDCE0" w:val="clear"/>
          </w:tcPr>
          <w:p>
            <w:r>
              <w:rPr>
                <w:b/>
                <w:sz w:val="17"/>
              </w:rPr>
              <w:t>3,957</w:t>
            </w:r>
          </w:p>
        </w:tc>
        <w:tc>
          <w:tcPr>
            <w:tcW w:type="dxa" w:w="1440"/>
            <w:shd w:fill="FFDCE0" w:val="clear"/>
          </w:tcPr>
          <w:p>
            <w:r>
              <w:rPr>
                <w:sz w:val="17"/>
              </w:rPr>
              <w:t>4,327</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2026-08-12</w:t>
            </w:r>
          </w:p>
        </w:tc>
        <w:tc>
          <w:tcPr>
            <w:tcW w:type="dxa" w:w="1440"/>
            <w:shd w:fill="FFDCE0" w:val="clear"/>
          </w:tcPr>
          <w:p>
            <w:r>
              <w:rPr>
                <w:sz w:val="17"/>
              </w:rPr>
              <w:t>3,266</w:t>
            </w:r>
          </w:p>
        </w:tc>
        <w:tc>
          <w:tcPr>
            <w:tcW w:type="dxa" w:w="1440"/>
            <w:shd w:fill="FFDCE0" w:val="clear"/>
          </w:tcPr>
          <w:p>
            <w:r>
              <w:rPr>
                <w:b/>
                <w:sz w:val="17"/>
              </w:rPr>
              <w:t>3,660</w:t>
            </w:r>
          </w:p>
        </w:tc>
        <w:tc>
          <w:tcPr>
            <w:tcW w:type="dxa" w:w="1440"/>
            <w:shd w:fill="FFDCE0" w:val="clear"/>
          </w:tcPr>
          <w:p>
            <w:r>
              <w:rPr>
                <w:sz w:val="17"/>
              </w:rPr>
              <w:t>4,055</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2026-08-13</w:t>
            </w:r>
          </w:p>
        </w:tc>
        <w:tc>
          <w:tcPr>
            <w:tcW w:type="dxa" w:w="1440"/>
            <w:shd w:fill="FFDCE0" w:val="clear"/>
          </w:tcPr>
          <w:p>
            <w:r>
              <w:rPr>
                <w:sz w:val="17"/>
              </w:rPr>
              <w:t>2,978</w:t>
            </w:r>
          </w:p>
        </w:tc>
        <w:tc>
          <w:tcPr>
            <w:tcW w:type="dxa" w:w="1440"/>
            <w:shd w:fill="FFDCE0" w:val="clear"/>
          </w:tcPr>
          <w:p>
            <w:r>
              <w:rPr>
                <w:b/>
                <w:sz w:val="17"/>
              </w:rPr>
              <w:t>3,386</w:t>
            </w:r>
          </w:p>
        </w:tc>
        <w:tc>
          <w:tcPr>
            <w:tcW w:type="dxa" w:w="1440"/>
            <w:shd w:fill="FFDCE0" w:val="clear"/>
          </w:tcPr>
          <w:p>
            <w:r>
              <w:rPr>
                <w:sz w:val="17"/>
              </w:rPr>
              <w:t>3,794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2026-08-14</w:t>
            </w:r>
          </w:p>
        </w:tc>
        <w:tc>
          <w:tcPr>
            <w:tcW w:type="dxa" w:w="1440"/>
            <w:shd w:fill="FFDCE0" w:val="clear"/>
          </w:tcPr>
          <w:p>
            <w:r>
              <w:rPr>
                <w:sz w:val="17"/>
              </w:rPr>
              <w:t>2,719</w:t>
            </w:r>
          </w:p>
        </w:tc>
        <w:tc>
          <w:tcPr>
            <w:tcW w:type="dxa" w:w="1440"/>
            <w:shd w:fill="FFDCE0" w:val="clear"/>
          </w:tcPr>
          <w:p>
            <w:r>
              <w:rPr>
                <w:b/>
                <w:sz w:val="17"/>
              </w:rPr>
              <w:t>3,132</w:t>
            </w:r>
          </w:p>
        </w:tc>
        <w:tc>
          <w:tcPr>
            <w:tcW w:type="dxa" w:w="1440"/>
            <w:shd w:fill="FFDCE0" w:val="clear"/>
          </w:tcPr>
          <w:p>
            <w:r>
              <w:rPr>
                <w:sz w:val="17"/>
              </w:rPr>
              <w:t>3,545</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2026-08-17</w:t>
            </w:r>
          </w:p>
        </w:tc>
        <w:tc>
          <w:tcPr>
            <w:tcW w:type="dxa" w:w="1440"/>
            <w:shd w:fill="FFDCE0" w:val="clear"/>
          </w:tcPr>
          <w:p>
            <w:r>
              <w:rPr>
                <w:sz w:val="17"/>
              </w:rPr>
              <w:t>2,484</w:t>
            </w:r>
          </w:p>
        </w:tc>
        <w:tc>
          <w:tcPr>
            <w:tcW w:type="dxa" w:w="1440"/>
            <w:shd w:fill="FFDCE0" w:val="clear"/>
          </w:tcPr>
          <w:p>
            <w:r>
              <w:rPr>
                <w:b/>
                <w:sz w:val="17"/>
              </w:rPr>
              <w:t>2,897</w:t>
            </w:r>
          </w:p>
        </w:tc>
        <w:tc>
          <w:tcPr>
            <w:tcW w:type="dxa" w:w="1440"/>
            <w:shd w:fill="FFDCE0" w:val="clear"/>
          </w:tcPr>
          <w:p>
            <w:r>
              <w:rPr>
                <w:sz w:val="17"/>
              </w:rPr>
              <w:t>3,310</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2,271</w:t>
            </w:r>
          </w:p>
        </w:tc>
        <w:tc>
          <w:tcPr>
            <w:tcW w:type="dxa" w:w="1440"/>
            <w:shd w:fill="FFDCE0" w:val="clear"/>
          </w:tcPr>
          <w:p>
            <w:r>
              <w:rPr>
                <w:b/>
                <w:sz w:val="17"/>
              </w:rPr>
              <w:t>2,680</w:t>
            </w:r>
          </w:p>
        </w:tc>
        <w:tc>
          <w:tcPr>
            <w:tcW w:type="dxa" w:w="1440"/>
            <w:shd w:fill="FFDCE0" w:val="clear"/>
          </w:tcPr>
          <w:p>
            <w:r>
              <w:rPr>
                <w:sz w:val="17"/>
              </w:rPr>
              <w:t>3,088</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2,078</w:t>
            </w:r>
          </w:p>
        </w:tc>
        <w:tc>
          <w:tcPr>
            <w:tcW w:type="dxa" w:w="1440"/>
            <w:shd w:fill="FFDCE0" w:val="clear"/>
          </w:tcPr>
          <w:p>
            <w:r>
              <w:rPr>
                <w:b/>
                <w:sz w:val="17"/>
              </w:rPr>
              <w:t>2,479</w:t>
            </w:r>
          </w:p>
        </w:tc>
        <w:tc>
          <w:tcPr>
            <w:tcW w:type="dxa" w:w="1440"/>
            <w:shd w:fill="FFDCE0" w:val="clear"/>
          </w:tcPr>
          <w:p>
            <w:r>
              <w:rPr>
                <w:sz w:val="17"/>
              </w:rPr>
              <w:t>2,880</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1,902</w:t>
            </w:r>
          </w:p>
        </w:tc>
        <w:tc>
          <w:tcPr>
            <w:tcW w:type="dxa" w:w="1440"/>
            <w:shd w:fill="FFDCE0" w:val="clear"/>
          </w:tcPr>
          <w:p>
            <w:r>
              <w:rPr>
                <w:b/>
                <w:sz w:val="17"/>
              </w:rPr>
              <w:t>2,293</w:t>
            </w:r>
          </w:p>
        </w:tc>
        <w:tc>
          <w:tcPr>
            <w:tcW w:type="dxa" w:w="1440"/>
            <w:shd w:fill="FFDCE0" w:val="clear"/>
          </w:tcPr>
          <w:p>
            <w:r>
              <w:rPr>
                <w:sz w:val="17"/>
              </w:rPr>
              <w:t>2,684</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SAFC s'établit à 40,60 milliards FCFA, un niveau modeste dans l'écosystème BRVM qui reflète la taille moyenne de l'institution. Avec un BPA de 86 FCFA, chaque action ne génère qu'un bénéfice limité, ce qui explique un PER de 57,9x, très largement supérieur à la moyenne historique de la BRVM (8-12x). Les investisseurs paient donc une prime considérable pour chaque franc de bénéfice, signe d'anticipations de croissance très optimistes ou d'une liquidité restreinte. Le P/B de 6,86x confirme cette exubérance : le marché valorise l'action près de 7 fois sa valeur comptable, un niveau exigeant qui laisse peu de marge d'erreur. Enfin, l'EV/EBITDA de 77,6x est extrêmement élevé, indiquant que la valeur totale de l'entreprise (dette incluse) est déconnectée de sa capacité opérationnelle actuelle. Ces ratios suggèrent une valorisation très tendue qui ne laisse aucune place à la déception.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SAFC a subi une dépréciation de -12,28%, avec une dernière séance en baisse de -1,96% à 5 000 FCFA. Le titre a évolué dans une fourchette très large de 3 340 à 7 555 FCFA, illustrant une volatilité extrême et des mouvements spéculatifs marqués. La moyenne de 4 830 FCFA est supérieure à la médiane de 4 505 FCFA, ce qui, combiné à un skewness positif de 0,824, indique une distribution asymétrique avec des épisodes de hausse brutale suivis de longues périodes de stagnation ou de baisse. L'écart-type de 1 155 FCFA (CV de 23,9%) témoigne d'une dispersion importante autour de la moyenne, tandis que le kurtosis de -0,406 (mésokurtique) suggère une absence de queues épaisses, donc pas de risque de variations extrêmes plus fréquentes que la normale. La volatilité annualisée de 83,4% est très élevée, positionnant SAFC parmi les titres les plus risqués de la cote, bien au-delà du seuil de 30% considéré comme élevé.</w:t>
      </w:r>
    </w:p>
    <w:p>
      <w:pPr>
        <w:spacing w:after="120" w:line="276" w:lineRule="auto" w:before="240"/>
      </w:pPr>
      <w:r>
        <w:rPr>
          <w:b/>
          <w:color w:val="003366"/>
          <w:sz w:val="24"/>
        </w:rPr>
        <w:t>**PARTIE 2 : ANALYSE TECHNIQUE DÉTAILLÉE**</w:t>
      </w:r>
    </w:p>
    <w:p>
      <w:pPr>
        <w:spacing w:after="120" w:line="276" w:lineRule="auto"/>
      </w:pPr>
      <w:r>
        <w:t>**Moyennes Mobiles** : Le cours actuel de 5 000 FCFA se situe nettement au-dessus de la MM20 (4 674,5 FCFA) et de la MM50 (4 353,7 FCFA), avec un écart de +7% et +15% respectivement. Cette configuration haussière, où le prix évolue au-dessus des deux moyennes, confirme une dynamique positive à court et moyen terme. La décision d'achat est justifiée par cette structure de tendance ascendante, bien que l'écart croissant avec la MM50 puisse signaler une surabondance temporaire.</w:t>
      </w:r>
    </w:p>
    <w:p>
      <w:pPr>
        <w:spacing w:after="120" w:line="276" w:lineRule="auto"/>
      </w:pPr>
      <w:r>
        <w:t>**Bandes de Bollinger** : Le prix à 5 000 FCFA se positionne dans la partie supérieure du canal, entre la borne inférieure (3 934,5 FCFA) et la borne supérieure (5 414,5 FCFA), à environ 60% de la largeur du canal. Cette position indique une pression acheteuse modérée sans atteindre la zone de surachat extrême. La décision neutre reflète un équilibre entre le momentum haussier et la proximité de la résistance supérieure.</w:t>
      </w:r>
    </w:p>
    <w:p>
      <w:pPr>
        <w:spacing w:after="120" w:line="276" w:lineRule="auto"/>
      </w:pPr>
      <w:r>
        <w:t>**MACD** : La valeur du MACD (213,4) est supérieure à son signal (183,5), avec un écart positif de 29,9 points. Cette divergence haussière confirme un momentum positif en cours de renforcement. La décision d'achat est cohérente avec cette dynamique, même si l'ampleur de l'écart suggère une possible consolidation à court terme.</w:t>
      </w:r>
    </w:p>
    <w:p>
      <w:pPr>
        <w:spacing w:after="120" w:line="276" w:lineRule="auto"/>
      </w:pPr>
      <w:r>
        <w:t>**RSI** : À 65,1, le RSI se situe dans la zone neutre-haute, sans atteindre le seuil de surachat de 70. Cette valeur indique une pression acheteuse soutenue mais non excessive, laissant une marge de progression avant une éventuelle correction. La décision neutre est appropriée, le titre n'étant ni survendu ni suracheté.</w:t>
      </w:r>
    </w:p>
    <w:p>
      <w:pPr>
        <w:spacing w:after="120" w:line="276" w:lineRule="auto"/>
      </w:pPr>
      <w:r>
        <w:t>**Stochastique** : Le %K (69,3) est légèrement inférieur au %D (72,2), suggérant un début de croisement baissier potentiel. Cette configuration indique un essoufflement du momentum haussier à très court terme, même si les deux lignes restent en zone positive. La décision neutre reflète cette hésitation entre continuation et correction.</w:t>
      </w:r>
    </w:p>
    <w:p>
      <w:pPr>
        <w:spacing w:after="120" w:line="276" w:lineRule="auto"/>
      </w:pPr>
      <w:r>
        <w:t>**Conclusion technique** : Les indicateurs sont globalement positifs avec des signaux d'achat sur les moyennes mobiles et le MACD, mais les oscillateurs (RSI, Stochastique) montrent des signes de fatigue. La tendance de fond reste haussière, mais un repli technique vers la zone des 4 700-4 800 FCFA est envisageable avant une reprise. La prudence est recommandée à court terme.</w:t>
      </w:r>
    </w:p>
    <w:p>
      <w:pPr>
        <w:spacing w:after="120" w:line="276" w:lineRule="auto" w:before="240"/>
      </w:pPr>
      <w:r>
        <w:rPr>
          <w:b/>
          <w:color w:val="003366"/>
          <w:sz w:val="24"/>
        </w:rPr>
        <w:t>**PARTIE 3 : ANALYSE FONDAMENTALE (SECTION CRITIQUE)**</w:t>
      </w:r>
    </w:p>
    <w:p>
      <w:pPr>
        <w:spacing w:after="120" w:line="276" w:lineRule="auto"/>
      </w:pPr>
      <w:r>
        <w:t>En 2025, SAFC a réalisé un Produit Net Bancaire de 5,735 milliards FCFA, en hausse de 44,1% par rapport à 2024 (3,980 milliards FCFA), avec un résultat net bénéficiaire de 701 millions FCFA, marquant un retournement spectaculaire après huit années de pertes consécutives. Le ROE s'établit à 11,85% et le ROA à 0,88%, des niveaux modestes mais en nette amélioration. Le coefficient d'exploitation de 77,6% reste élevé (supérieur au seuil d'efficacité de 60%), indiquant une structure de coûts encore lourde. Le coût du risque de 6,57% demeure préoccupant, reflétant la qualité encore fragile du portefeuille de crédits. Les dépôts clientèle (9,112 milliards FCFA) ne couvrent que 15% des créances clientèle (60,476 milliards FCFA), obligeant la banque à recourir massivement aux dettes interbancaires (35,747 milliards FCFA), une source de financement coûteuse et volatile. Les rapports trimestriels 2026 confirment la dynamique : au T1 2026, le PNB progresse de 29% à 1,395 milliard FCFA et le résultat net bondit de 1062% à 151 millions FCFA, avec un coût du risque réduit de 75%. Sur cette base, on estime que l'exercice 2026 pourrait dépasser 700 millions FCFA de résultat net si la tendance se maintient. L'augmentation de capital de 1,5 milliard FCFA (6 actions nouvelles pour 13 anciennes à 400 FCFA) en avril 2026 devrait renforcer les fonds propres et soutenir la croissance. Le changement d'actionnariat avec l'entrée de CREDAF Group en avril 2025 a été le catalyseur de ce redressement.</w:t>
      </w:r>
    </w:p>
    <w:p>
      <w:pPr>
        <w:spacing w:after="120" w:line="276" w:lineRule="auto" w:before="240"/>
      </w:pPr>
      <w:r>
        <w:rPr>
          <w:b/>
          <w:color w:val="003366"/>
          <w:sz w:val="24"/>
        </w:rPr>
        <w:t>**PARTIE 4 : CONCLUSION D'INVESTISSEMENT**</w:t>
      </w:r>
    </w:p>
    <w:p>
      <w:pPr>
        <w:spacing w:after="120" w:line="276" w:lineRule="auto"/>
      </w:pPr>
      <w:r>
        <w:t>La valorisation de SAFC est extrêmement exigeante avec un PER de 57,9x et un P/B de 6,86x, indiquant une surévaluation manifeste par rapport aux fondamentaux actuels. Le comportement du cours sur 100 jours montre une tendance baissière de -12,28% avec une volatilité annualisée de 83,4%, signalant un titre spéculatif et risqué. Les signaux techniques sont mitigés : les moyennes mobiles et le MACD sont positifs, mais le RSI et le Stochastique suggèrent un essoufflement à court terme. Les fondamentaux s'améliorent nettement avec le retour à la rentabilité en 2025 et la dynamique positive du T1 2026, mais la structure financière reste fragile avec un coefficient d'exploitation élevé et une dépendance aux financements interbancaires. Les prédictions IA anticipent une chute brutale du cours vers 3 386 FCFA d'ici 10 jours, soit une baisse de 32% par rapport au niveau actuel, ce qui contredit radicalement les signaux techniques. Cette divergence entre la valorisation boursière et les perspectives de cours suggère une correction imminente. **Recommandation : VENTE** avec un niveau de confiance moyen, un risque global élevé, et un horizon d'investissement optimal à court terme (&lt;3 mois) pour les investisseurs existants qui devraient sécuriser leurs gains. Les investisseurs potentiels devraient attendre une stabilisation du cours vers 3 500-4 000 FCFA avant d'envisager toute position.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du co\u00fbt du risque (+491%) et le r\u00e9sultat net d\u00e9ficitaire en aggravation r\u00e9v\u00e8lent des difficult\u00e9s structurelles majeures. L'impact combin\u00e9 de la COVID-19 et des redressements fiscaux fragilise durablement la rentabilit\u00e9."}</w:t>
      </w:r>
    </w:p>
    <w:p>
      <w:pPr>
        <w:spacing w:before="40"/>
        <w:ind w:left="400"/>
      </w:pPr>
      <w:r>
        <w:rPr>
          <w:sz w:val="18"/>
        </w:rPr>
        <w:t>SAFCA CI (Société Africaine de Crédit Automobile) affiche des résultats préoccupants pour le 4T 2020 avec un résultat net déficitaire de -1 306 millions FCFA contre -211 millions en 2019. Le Produit Net Bancaire recule de 4% à 3 414 millions FCFA, impacté par la crise sanitaire COVID-19. Le coût du risque explose de 491% à -1 135 millions FCFA, révélant une dégradation significative du portefeuille de crédit. Le total bilan progresse néanmoins de 5% à 66 533 millions FCFA grâce à l'accroissement des avoirs bancaires. Les ratios prudentiels restent conformes aux exigences réglementaires malgré la détérioration des résultats.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'-1 135M FCFA', 'ratio_solvabilite': '10.778%', 'ratio_fonds_propres_CET1': '7.966%', 'operations_clientele_actif': '45 046M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-38.3%</w:t>
            </w:r>
          </w:p>
        </w:tc>
        <w:tc>
          <w:tcPr>
            <w:tcW w:type="dxa" w:w="2160"/>
          </w:tcPr>
          <w:p>
            <w:pPr>
              <w:ind w:left="100"/>
            </w:pPr>
            <w:r/>
            <w:r>
              <w:rPr>
                <w:b/>
                <w:sz w:val="16"/>
              </w:rPr>
              <w:t>total_actif</w:t>
              <w:br/>
            </w:r>
            <w:r>
              <w:rPr>
                <w:sz w:val="18"/>
              </w:rPr>
              <w:t>66 533M FCFA</w:t>
            </w:r>
          </w:p>
        </w:tc>
      </w:tr>
      <w:tr>
        <w:tc>
          <w:tcPr>
            <w:tcW w:type="dxa" w:w="2160"/>
          </w:tcPr>
          <w:p>
            <w:r/>
            <w:r>
              <w:rPr>
                <w:b/>
                <w:sz w:val="16"/>
              </w:rPr>
              <w:t>resultat_net</w:t>
              <w:br/>
            </w:r>
            <w:r>
              <w:rPr>
                <w:sz w:val="18"/>
              </w:rPr>
              <w:t>-1 306M FCFA</w:t>
            </w:r>
          </w:p>
        </w:tc>
        <w:tc>
          <w:tcPr>
            <w:tcW w:type="dxa" w:w="2160"/>
          </w:tcPr>
          <w:p>
            <w:r/>
            <w:r>
              <w:rPr>
                <w:b/>
                <w:sz w:val="16"/>
              </w:rPr>
              <w:t>capitaux_propres</w:t>
              <w:br/>
            </w:r>
            <w:r>
              <w:rPr>
                <w:sz w:val="18"/>
              </w:rPr>
              <w:t>6 798M FCFA</w:t>
            </w:r>
          </w:p>
        </w:tc>
        <w:tc>
          <w:tcPr>
            <w:tcW w:type="dxa" w:w="2160"/>
          </w:tcPr>
          <w:p>
            <w:r/>
            <w:r>
              <w:rPr>
                <w:b/>
                <w:sz w:val="16"/>
              </w:rPr>
              <w:t>chiffre_affaires</w:t>
              <w:br/>
            </w:r>
            <w:r>
              <w:rPr>
                <w:sz w:val="18"/>
              </w:rPr>
              <w:t>3 414M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déficitaire de -1 306M FCFA au 4T 2020 contre -211M FCFA en 2019 (-519%)</w:t>
      </w:r>
    </w:p>
    <w:p>
      <w:pPr>
        <w:pStyle w:val="ListBullet"/>
        <w:spacing w:before="20" w:after="20"/>
        <w:ind w:left="700"/>
      </w:pPr>
      <w:r>
        <w:rPr>
          <w:sz w:val="18"/>
        </w:rPr>
        <w:t>Coût du risque en forte dégradation : -1 135M FCFA contre -192M FCFA (+491%)</w:t>
      </w:r>
    </w:p>
    <w:p>
      <w:pPr>
        <w:pStyle w:val="ListBullet"/>
        <w:spacing w:before="20" w:after="20"/>
        <w:ind w:left="700"/>
      </w:pPr>
      <w:r>
        <w:rPr>
          <w:sz w:val="18"/>
        </w:rPr>
        <w:t>Produit Net Bancaire en baisse de 4% à 3 414M FCFA, impacté par la COVID-19</w:t>
      </w:r>
    </w:p>
    <w:p>
      <w:pPr>
        <w:pStyle w:val="ListBullet"/>
        <w:spacing w:before="20" w:after="20"/>
        <w:ind w:left="700"/>
      </w:pPr>
      <w:r>
        <w:rPr>
          <w:sz w:val="18"/>
        </w:rPr>
        <w:t>Impact négatif des redressements fiscaux sur les résultats 2020</w:t>
      </w:r>
    </w:p>
    <w:p>
      <w:pPr>
        <w:pStyle w:val="ListBullet"/>
        <w:spacing w:before="20" w:after="20"/>
        <w:ind w:left="700"/>
      </w:pPr>
      <w:r>
        <w:rPr>
          <w:sz w:val="18"/>
        </w:rPr>
        <w:t>Croissance du total bilan de 5% à 66 533M FCFA grâce aux opérations de trésorerie (+316%)</w:t>
      </w:r>
    </w:p>
    <w:p>
      <w:pPr>
        <w:pStyle w:val="ListBullet"/>
        <w:spacing w:before="20" w:after="20"/>
        <w:ind w:left="700"/>
      </w:pPr>
      <w:r>
        <w:rPr>
          <w:sz w:val="18"/>
        </w:rPr>
        <w:t>Diminution des capitaux propres de 19% à 6 798M FCFA</w:t>
      </w:r>
    </w:p>
    <w:p>
      <w:pPr>
        <w:spacing w:before="40"/>
        <w:ind w:left="400"/>
      </w:pPr>
      <w:r>
        <w:rPr>
          <w:b/>
          <w:color w:val="C05000"/>
          <w:sz w:val="18"/>
        </w:rPr>
        <w:t xml:space="preserve">⚠️ Risques : </w:t>
      </w:r>
      <w:r>
        <w:rPr>
          <w:sz w:val="18"/>
        </w:rPr>
        <w:t>["Forte exposition au risque de cr\u00e9dit avec une d\u00e9gradation continue du portefeuille", "Impact persistant de la crise sanitaire sur l'activit\u00e9 de cr\u00e9dit automobile", "Pression r\u00e9glementaire fiscale avec des redressements impactant les r\u00e9sultats"]</w:t>
      </w:r>
    </w:p>
    <w:p>
      <w:pPr>
        <w:spacing w:before="40"/>
        <w:ind w:left="400"/>
      </w:pPr>
      <w:r>
        <w:rPr>
          <w:b/>
          <w:color w:val="0064A0"/>
          <w:sz w:val="18"/>
        </w:rPr>
        <w:t xml:space="preserve">🔮 Perspectives : </w:t>
      </w:r>
      <w:r>
        <w:rPr>
          <w:sz w:val="18"/>
        </w:rPr>
        <w:t>Les perspectives 2021 restent incertaines compte tenu de la persistance des effets COVID-19 sur le secteur automobile et du niveau élevé du coût du risque. Une amélioration dépendra de la capacité à maîtriser les provisions et à relancer l'activité commerciale post-crise.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persistance des pertes, l'am\u00e9lioration significative du co\u00fbt du risque et la conformit\u00e9 r\u00e9glementaire montrent une trajectoire de redressement. La soci\u00e9t\u00e9 fait preuve de r\u00e9silience face \u00e0 la pand\u00e9mie COVID-19."}</w:t>
      </w:r>
    </w:p>
    <w:p>
      <w:pPr>
        <w:spacing w:before="40"/>
        <w:ind w:left="400"/>
      </w:pPr>
      <w:r>
        <w:rPr>
          <w:sz w:val="18"/>
        </w:rPr>
        <w:t>SAFCA CI (Alios Finance) affiche une performance contrastée au T1 2021 avec un Produit Net Bancaire en recul de 37% à 536 MFCFA contre 852 MFCFA au T1 2020. Le coût du risque s'améliore significativement de 81% passant de 431 MFCFA à 84 MFCFA, témoignant d'une meilleure maîtrise des risques. Le résultat net demeure négatif à -444 MFCFA mais s'améliore de 24% par rapport au T1 2020 (-584 MFCFA). Le total du bilan progresse légèrement de 1% à 67,509 MFCFA, porté par la croissance des opérations de trésorerie et sur titres. Les ratios prudentiels restent conformes aux exigences réglementaires avec un ratio de solvabilité de 11,135%.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'8,019%', 'cout_du_risque': '84 MFCFA', 'ratio_solvabilite': '11,135%', 'operations_clientele_actif': '43,766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67,509 MFCFA</w:t>
            </w:r>
          </w:p>
        </w:tc>
      </w:tr>
      <w:tr>
        <w:tc>
          <w:tcPr>
            <w:tcW w:type="dxa" w:w="2160"/>
          </w:tcPr>
          <w:p>
            <w:r/>
            <w:r>
              <w:rPr>
                <w:b/>
                <w:sz w:val="16"/>
              </w:rPr>
              <w:t>resultat_net</w:t>
              <w:br/>
            </w:r>
            <w:r>
              <w:rPr>
                <w:sz w:val="18"/>
              </w:rPr>
              <w:t>-444 MFCFA</w:t>
            </w:r>
          </w:p>
        </w:tc>
        <w:tc>
          <w:tcPr>
            <w:tcW w:type="dxa" w:w="2160"/>
          </w:tcPr>
          <w:p>
            <w:r/>
            <w:r>
              <w:rPr>
                <w:b/>
                <w:sz w:val="16"/>
              </w:rPr>
              <w:t>capitaux_propres</w:t>
              <w:br/>
            </w:r>
            <w:r>
              <w:rPr>
                <w:sz w:val="18"/>
              </w:rPr>
              <w:t>6,379 MFCFA</w:t>
            </w:r>
          </w:p>
        </w:tc>
        <w:tc>
          <w:tcPr>
            <w:tcW w:type="dxa" w:w="2160"/>
          </w:tcPr>
          <w:p>
            <w:r/>
            <w:r>
              <w:rPr>
                <w:b/>
                <w:sz w:val="16"/>
              </w:rPr>
              <w:t>chiffre_affaires</w:t>
              <w:br/>
            </w:r>
            <w:r>
              <w:rPr>
                <w:sz w:val="18"/>
              </w:rPr>
              <w:t>536 MFCFA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Produit Net Bancaire de 37% à 536 MFCFA au T1 2021</w:t>
      </w:r>
    </w:p>
    <w:p>
      <w:pPr>
        <w:pStyle w:val="ListBullet"/>
        <w:spacing w:before="20" w:after="20"/>
        <w:ind w:left="700"/>
      </w:pPr>
      <w:r>
        <w:rPr>
          <w:sz w:val="18"/>
        </w:rPr>
        <w:t>Amélioration marquée du coût du risque de 81% démontrant une meilleure gestion des créances</w:t>
      </w:r>
    </w:p>
    <w:p>
      <w:pPr>
        <w:pStyle w:val="ListBullet"/>
        <w:spacing w:before="20" w:after="20"/>
        <w:ind w:left="700"/>
      </w:pPr>
      <w:r>
        <w:rPr>
          <w:sz w:val="18"/>
        </w:rPr>
        <w:t>Résultat net négatif mais en amélioration de 24% à -444 MFCFA</w:t>
      </w:r>
    </w:p>
    <w:p>
      <w:pPr>
        <w:pStyle w:val="ListBullet"/>
        <w:spacing w:before="20" w:after="20"/>
        <w:ind w:left="700"/>
      </w:pPr>
      <w:r>
        <w:rPr>
          <w:sz w:val="18"/>
        </w:rPr>
        <w:t>Croissance modérée du total bilan de 1% à 67,509 MFCFA</w:t>
      </w:r>
    </w:p>
    <w:p>
      <w:pPr>
        <w:pStyle w:val="ListBullet"/>
        <w:spacing w:before="20" w:after="20"/>
        <w:ind w:left="700"/>
      </w:pPr>
      <w:r>
        <w:rPr>
          <w:sz w:val="18"/>
        </w:rPr>
        <w:t>Progression des opérations de trésorerie de 11% à 13,955 MFCFA</w:t>
      </w:r>
    </w:p>
    <w:p>
      <w:pPr>
        <w:pStyle w:val="ListBullet"/>
        <w:spacing w:before="20" w:after="20"/>
        <w:ind w:left="700"/>
      </w:pPr>
      <w:r>
        <w:rPr>
          <w:sz w:val="18"/>
        </w:rPr>
        <w:t>Baisse des capitaux propres de 6% à 6,379 MFCFA</w:t>
      </w:r>
    </w:p>
    <w:p>
      <w:pPr>
        <w:spacing w:before="40"/>
        <w:ind w:left="400"/>
      </w:pPr>
      <w:r>
        <w:rPr>
          <w:b/>
          <w:color w:val="C05000"/>
          <w:sz w:val="18"/>
        </w:rPr>
        <w:t xml:space="preserve">⚠️ Risques : </w:t>
      </w:r>
      <w:r>
        <w:rPr>
          <w:sz w:val="18"/>
        </w:rPr>
        <w:t>["Persistance des r\u00e9sultats n\u00e9gatifs malgr\u00e9 l'am\u00e9lioration observ\u00e9e", "\u00c9rosion des capitaux propres qui ont diminu\u00e9 de 6% sur la p\u00e9riode", "Vuln\u00e9rabilit\u00e9 du secteur financier aux chocs \u00e9conomiques et sanitaires"]</w:t>
      </w:r>
    </w:p>
    <w:p>
      <w:pPr>
        <w:spacing w:before="40"/>
        <w:ind w:left="400"/>
      </w:pPr>
      <w:r>
        <w:rPr>
          <w:b/>
          <w:color w:val="0064A0"/>
          <w:sz w:val="18"/>
        </w:rPr>
        <w:t xml:space="preserve">🔮 Perspectives : </w:t>
      </w:r>
      <w:r>
        <w:rPr>
          <w:sz w:val="18"/>
        </w:rPr>
        <w:t>La société montre des signes de redressement avec une meilleure maîtrise des risques et une dynamique commerciale positive selon la direction. La relance progressive de l'activité économique post-COVID devrait soutenir la performance dans les trimestres à venir, à condition de maintenir la disciplin</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70.07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12,409 titres</w:t>
            </w:r>
          </w:p>
        </w:tc>
        <w:tc>
          <w:tcPr>
            <w:tcW w:type="dxa" w:w="2268"/>
            <w:shd w:fill="FFF2CC" w:val="clear"/>
          </w:tcPr>
          <w:p>
            <w:r>
              <w:rPr>
                <w:b/>
                <w:color w:val="503200"/>
                <w:sz w:val="16"/>
              </w:rPr>
              <w:t xml:space="preserve">Cours actuel : </w:t>
            </w:r>
            <w:r>
              <w:rPr>
                <w:color w:val="000000"/>
                <w:sz w:val="17"/>
              </w:rPr>
              <w:t>3,575 FCFA</w:t>
            </w:r>
          </w:p>
          <w:p>
            <w:r>
              <w:rPr>
                <w:b/>
                <w:color w:val="503200"/>
                <w:sz w:val="16"/>
              </w:rPr>
              <w:t xml:space="preserve">Var. 100 jours : </w:t>
            </w:r>
            <w:r>
              <w:rPr>
                <w:b/>
                <w:color w:val="007800"/>
                <w:sz w:val="17"/>
              </w:rPr>
              <w:t>+137.54%</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1,455 FCFA</w:t>
            </w:r>
          </w:p>
          <w:p>
            <w:r>
              <w:rPr>
                <w:b/>
                <w:color w:val="503200"/>
                <w:sz w:val="16"/>
              </w:rPr>
              <w:t xml:space="preserve">Volatilité ann. : </w:t>
            </w:r>
            <w:r>
              <w:rPr>
                <w:color w:val="000000"/>
                <w:sz w:val="17"/>
              </w:rPr>
              <w:t>58.1%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28.53% (Élevée) — μ=2,630 FCFA, σ=750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β=0.4684 (Défensif) — Cov=0.000017, Var(idx)=0.000036, ρ=0.077,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12,409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σ_j=3.66%/j (Modérée) — Vol. annualisée≈58.1%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2026-08-06</w:t>
            </w:r>
          </w:p>
        </w:tc>
        <w:tc>
          <w:tcPr>
            <w:tcW w:type="dxa" w:w="1440"/>
            <w:shd w:fill="FFDCE0" w:val="clear"/>
          </w:tcPr>
          <w:p>
            <w:r>
              <w:rPr>
                <w:sz w:val="17"/>
              </w:rPr>
              <w:t>3,126</w:t>
            </w:r>
          </w:p>
        </w:tc>
        <w:tc>
          <w:tcPr>
            <w:tcW w:type="dxa" w:w="1440"/>
            <w:shd w:fill="FFDCE0" w:val="clear"/>
          </w:tcPr>
          <w:p>
            <w:r>
              <w:rPr>
                <w:b/>
                <w:sz w:val="17"/>
              </w:rPr>
              <w:t>3,307</w:t>
            </w:r>
          </w:p>
        </w:tc>
        <w:tc>
          <w:tcPr>
            <w:tcW w:type="dxa" w:w="1440"/>
            <w:shd w:fill="FFDCE0" w:val="clear"/>
          </w:tcPr>
          <w:p>
            <w:r>
              <w:rPr>
                <w:sz w:val="17"/>
              </w:rPr>
              <w:t>3,487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2026-08-10</w:t>
            </w:r>
          </w:p>
        </w:tc>
        <w:tc>
          <w:tcPr>
            <w:tcW w:type="dxa" w:w="1440"/>
            <w:shd w:fill="FFDCE0" w:val="clear"/>
          </w:tcPr>
          <w:p>
            <w:r>
              <w:rPr>
                <w:sz w:val="17"/>
              </w:rPr>
              <w:t>2,823</w:t>
            </w:r>
          </w:p>
        </w:tc>
        <w:tc>
          <w:tcPr>
            <w:tcW w:type="dxa" w:w="1440"/>
            <w:shd w:fill="FFDCE0" w:val="clear"/>
          </w:tcPr>
          <w:p>
            <w:r>
              <w:rPr>
                <w:b/>
                <w:sz w:val="17"/>
              </w:rPr>
              <w:t>3,059</w:t>
            </w:r>
          </w:p>
        </w:tc>
        <w:tc>
          <w:tcPr>
            <w:tcW w:type="dxa" w:w="1440"/>
            <w:shd w:fill="FFDCE0" w:val="clear"/>
          </w:tcPr>
          <w:p>
            <w:r>
              <w:rPr>
                <w:sz w:val="17"/>
              </w:rPr>
              <w:t>3,295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2026-08-11</w:t>
            </w:r>
          </w:p>
        </w:tc>
        <w:tc>
          <w:tcPr>
            <w:tcW w:type="dxa" w:w="1440"/>
            <w:shd w:fill="FFDCE0" w:val="clear"/>
          </w:tcPr>
          <w:p>
            <w:r>
              <w:rPr>
                <w:sz w:val="17"/>
              </w:rPr>
              <w:t>2,562</w:t>
            </w:r>
          </w:p>
        </w:tc>
        <w:tc>
          <w:tcPr>
            <w:tcW w:type="dxa" w:w="1440"/>
            <w:shd w:fill="FFDCE0" w:val="clear"/>
          </w:tcPr>
          <w:p>
            <w:r>
              <w:rPr>
                <w:b/>
                <w:sz w:val="17"/>
              </w:rPr>
              <w:t>2,829</w:t>
            </w:r>
          </w:p>
        </w:tc>
        <w:tc>
          <w:tcPr>
            <w:tcW w:type="dxa" w:w="1440"/>
            <w:shd w:fill="FFDCE0" w:val="clear"/>
          </w:tcPr>
          <w:p>
            <w:r>
              <w:rPr>
                <w:sz w:val="17"/>
              </w:rPr>
              <w:t>3,097</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2026-08-12</w:t>
            </w:r>
          </w:p>
        </w:tc>
        <w:tc>
          <w:tcPr>
            <w:tcW w:type="dxa" w:w="1440"/>
            <w:shd w:fill="FFDCE0" w:val="clear"/>
          </w:tcPr>
          <w:p>
            <w:r>
              <w:rPr>
                <w:sz w:val="17"/>
              </w:rPr>
              <w:t>2,332</w:t>
            </w:r>
          </w:p>
        </w:tc>
        <w:tc>
          <w:tcPr>
            <w:tcW w:type="dxa" w:w="1440"/>
            <w:shd w:fill="FFDCE0" w:val="clear"/>
          </w:tcPr>
          <w:p>
            <w:r>
              <w:rPr>
                <w:b/>
                <w:sz w:val="17"/>
              </w:rPr>
              <w:t>2,617</w:t>
            </w:r>
          </w:p>
        </w:tc>
        <w:tc>
          <w:tcPr>
            <w:tcW w:type="dxa" w:w="1440"/>
            <w:shd w:fill="FFDCE0" w:val="clear"/>
          </w:tcPr>
          <w:p>
            <w:r>
              <w:rPr>
                <w:sz w:val="17"/>
              </w:rPr>
              <w:t>2,903</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2026-08-13</w:t>
            </w:r>
          </w:p>
        </w:tc>
        <w:tc>
          <w:tcPr>
            <w:tcW w:type="dxa" w:w="1440"/>
            <w:shd w:fill="FFDCE0" w:val="clear"/>
          </w:tcPr>
          <w:p>
            <w:r>
              <w:rPr>
                <w:sz w:val="17"/>
              </w:rPr>
              <w:t>2,126</w:t>
            </w:r>
          </w:p>
        </w:tc>
        <w:tc>
          <w:tcPr>
            <w:tcW w:type="dxa" w:w="1440"/>
            <w:shd w:fill="FFDCE0" w:val="clear"/>
          </w:tcPr>
          <w:p>
            <w:r>
              <w:rPr>
                <w:b/>
                <w:sz w:val="17"/>
              </w:rPr>
              <w:t>2,421</w:t>
            </w:r>
          </w:p>
        </w:tc>
        <w:tc>
          <w:tcPr>
            <w:tcW w:type="dxa" w:w="1440"/>
            <w:shd w:fill="FFDCE0" w:val="clear"/>
          </w:tcPr>
          <w:p>
            <w:r>
              <w:rPr>
                <w:sz w:val="17"/>
              </w:rPr>
              <w:t>2,716</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2026-08-14</w:t>
            </w:r>
          </w:p>
        </w:tc>
        <w:tc>
          <w:tcPr>
            <w:tcW w:type="dxa" w:w="1440"/>
            <w:shd w:fill="FFDCE0" w:val="clear"/>
          </w:tcPr>
          <w:p>
            <w:r>
              <w:rPr>
                <w:sz w:val="17"/>
              </w:rPr>
              <w:t>1,940</w:t>
            </w:r>
          </w:p>
        </w:tc>
        <w:tc>
          <w:tcPr>
            <w:tcW w:type="dxa" w:w="1440"/>
            <w:shd w:fill="FFDCE0" w:val="clear"/>
          </w:tcPr>
          <w:p>
            <w:r>
              <w:rPr>
                <w:b/>
                <w:sz w:val="17"/>
              </w:rPr>
              <w:t>2,239</w:t>
            </w:r>
          </w:p>
        </w:tc>
        <w:tc>
          <w:tcPr>
            <w:tcW w:type="dxa" w:w="1440"/>
            <w:shd w:fill="FFDCE0" w:val="clear"/>
          </w:tcPr>
          <w:p>
            <w:r>
              <w:rPr>
                <w:sz w:val="17"/>
              </w:rPr>
              <w:t>2,539</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2026-08-17</w:t>
            </w:r>
          </w:p>
        </w:tc>
        <w:tc>
          <w:tcPr>
            <w:tcW w:type="dxa" w:w="1440"/>
            <w:shd w:fill="FFDCE0" w:val="clear"/>
          </w:tcPr>
          <w:p>
            <w:r>
              <w:rPr>
                <w:sz w:val="17"/>
              </w:rPr>
              <w:t>1,772</w:t>
            </w:r>
          </w:p>
        </w:tc>
        <w:tc>
          <w:tcPr>
            <w:tcW w:type="dxa" w:w="1440"/>
            <w:shd w:fill="FFDCE0" w:val="clear"/>
          </w:tcPr>
          <w:p>
            <w:r>
              <w:rPr>
                <w:b/>
                <w:sz w:val="17"/>
              </w:rPr>
              <w:t>2,071</w:t>
            </w:r>
          </w:p>
        </w:tc>
        <w:tc>
          <w:tcPr>
            <w:tcW w:type="dxa" w:w="1440"/>
            <w:shd w:fill="FFDCE0" w:val="clear"/>
          </w:tcPr>
          <w:p>
            <w:r>
              <w:rPr>
                <w:sz w:val="17"/>
              </w:rPr>
              <w:t>2,370</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1,620</w:t>
            </w:r>
          </w:p>
        </w:tc>
        <w:tc>
          <w:tcPr>
            <w:tcW w:type="dxa" w:w="1440"/>
            <w:shd w:fill="FFDCE0" w:val="clear"/>
          </w:tcPr>
          <w:p>
            <w:r>
              <w:rPr>
                <w:b/>
                <w:sz w:val="17"/>
              </w:rPr>
              <w:t>1,916</w:t>
            </w:r>
          </w:p>
        </w:tc>
        <w:tc>
          <w:tcPr>
            <w:tcW w:type="dxa" w:w="1440"/>
            <w:shd w:fill="FFDCE0" w:val="clear"/>
          </w:tcPr>
          <w:p>
            <w:r>
              <w:rPr>
                <w:sz w:val="17"/>
              </w:rPr>
              <w:t>2,212</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1,482</w:t>
            </w:r>
          </w:p>
        </w:tc>
        <w:tc>
          <w:tcPr>
            <w:tcW w:type="dxa" w:w="1440"/>
            <w:shd w:fill="FFDCE0" w:val="clear"/>
          </w:tcPr>
          <w:p>
            <w:r>
              <w:rPr>
                <w:b/>
                <w:sz w:val="17"/>
              </w:rPr>
              <w:t>1,772</w:t>
            </w:r>
          </w:p>
        </w:tc>
        <w:tc>
          <w:tcPr>
            <w:tcW w:type="dxa" w:w="1440"/>
            <w:shd w:fill="FFDCE0" w:val="clear"/>
          </w:tcPr>
          <w:p>
            <w:r>
              <w:rPr>
                <w:sz w:val="17"/>
              </w:rPr>
              <w:t>2,063</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1,357</w:t>
            </w:r>
          </w:p>
        </w:tc>
        <w:tc>
          <w:tcPr>
            <w:tcW w:type="dxa" w:w="1440"/>
            <w:shd w:fill="FFDCE0" w:val="clear"/>
          </w:tcPr>
          <w:p>
            <w:r>
              <w:rPr>
                <w:b/>
                <w:sz w:val="17"/>
              </w:rPr>
              <w:t>1,639</w:t>
            </w:r>
          </w:p>
        </w:tc>
        <w:tc>
          <w:tcPr>
            <w:tcW w:type="dxa" w:w="1440"/>
            <w:shd w:fill="FFDCE0" w:val="clear"/>
          </w:tcPr>
          <w:p>
            <w:r>
              <w:rPr>
                <w:sz w:val="17"/>
              </w:rPr>
              <w:t>1,922</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**Date : 05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SCRC s'établit à 70,07 milliards FCFA, un niveau significatif sur la BRVM qui reflète l'importance de cette entreprise agro-industrielle dans l'économie ivoirienne. Le BPA est négatif à -406 FCFA, ce qui traduit une perte nette par action et explique le PER négatif de -8,8x — les investisseurs ne peuvent pas valoriser la société sur la base de ses bénéfices actuels, ce qui rend ce ratio non pertinent pour l'évaluation. Le P/B de 4,06x est particulièrement exigeant : le marché valorise l'actif net comptable à plus de quatre fois sa valeur, ce qui implique que les investisseurs intègrent des perspectives de redressement très optimistes malgré les pertes récentes. L'EV/EBITDA de 10,9x se situe dans la fourchette haute (10-15x), indiquant que la valeur d'entreprise par rapport à la capacité opérationnelle brute est élevée. Ces ratios combinés suggèrent une valorisation qui anticipe un retour rapide à la rentabilité, avec une prime de risque considérable.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SCRC a enregistré une progression spectaculaire de +137,54%, passant d'un plus bas de 1 455 FCFA à un plus haut de 3 920 FCFA, avant de se stabiliser autour de 3 575 FCFA, soit une légère baisse de -2,19% lors de la dernière séance. Cette tendance fortement haussière s'accompagne de statistiques descriptives révélatrices : la moyenne (2 630 FCFA) et la médiane (2 648 FCFA) sont très proches, avec un skewness de 0,014 indiquant une distribution parfaitement symétrique des cours sur la période. L'écart-type de 754 FCFA, représentant un coefficient de variation de 28,7%, témoigne d'une dispersion modérée des prix autour de la moyenne. Le kurtosis négatif de -1,366 (platykurtique) indique une distribution aplatie avec peu de valeurs extrêmes, ce qui est surprenant compte tenu de l'amplitude du mouvement haussier. La volatilité annualisée de 58,1% classe le titre dans la catégorie des valeurs à très forte volatilité (&gt;30%), ce qui représente un risque significatif pour les investisseurs mais aussi un potentiel de rendement élevé.</w:t>
      </w:r>
    </w:p>
    <w:p>
      <w:pPr>
        <w:spacing w:after="120" w:line="276" w:lineRule="auto"/>
      </w:pPr>
      <w:r>
        <w:t>---</w:t>
      </w:r>
    </w:p>
    <w:p>
      <w:pPr>
        <w:spacing w:after="120" w:line="276" w:lineRule="auto"/>
      </w:pPr>
      <w:r>
        <w:t>### PARTIE 2 : ANALYSE TECHNIQUE DÉTAILLÉE</w:t>
      </w:r>
    </w:p>
    <w:p>
      <w:pPr>
        <w:spacing w:after="120" w:line="276" w:lineRule="auto"/>
      </w:pPr>
      <w:r>
        <w:t>**Moyennes Mobiles** : La MM20 à 3 604 FCFA et la MM50 à 3 301,8 FCFA sont toutes deux inférieures au cours actuel de 3 575 FCFA, mais la MM20 est supérieure à la MM50, créant une configuration de croisement haussier. Le cours se situe entre les deux moyennes, ce qui suggère une consolidation après la forte hausse. La décision d'achat est justifiée par la tendance de fond qui reste positive, mais la proximité du cours avec la MM20 indique une possible correction à court terme.</w:t>
      </w:r>
    </w:p>
    <w:p>
      <w:pPr>
        <w:spacing w:after="120" w:line="276" w:lineRule="auto"/>
      </w:pPr>
      <w:r>
        <w:t>**Bandes de Bollinger** : Le cours à 3 575 FCFA se positionne dans la partie médiane des bandes, entre la borne inférieure à 3 319,865 FCFA et la borne supérieure à 3 888,135 FCFA. Cette position neutre indique une volatilité modérée après la phase d'expansion. La largeur des bandes reflète la volatilité élevée du titre, mais le retour du cours vers le centre suggère une phase de consolidation, justifiant la décision neutre.</w:t>
      </w:r>
    </w:p>
    <w:p>
      <w:pPr>
        <w:spacing w:after="120" w:line="276" w:lineRule="auto"/>
      </w:pPr>
      <w:r>
        <w:t>**MACD** : Le MACD à 102,889 est inférieur à son signal à 129,144, créant une divergence baissière. Cette configuration indique un ralentissement du momentum haussier, même si les deux valeurs restent positives. La décision de vente est justifiée par ce croisement baissier, qui précède souvent une correction du cours.</w:t>
      </w:r>
    </w:p>
    <w:p>
      <w:pPr>
        <w:spacing w:after="120" w:line="276" w:lineRule="auto"/>
      </w:pPr>
      <w:r>
        <w:t>**RSI** : Le RSI à 34,934 se situe dans la zone neutre (30-70), mais proche de la zone de survente (&lt;30). Cette valeur suggère que le titre est techniquement sous-évalué à court terme, sans être encore en situation extrême. La décision neutre est cohérente avec cette position intermédiaire, mais un passage sous 30 pourrait déclencher un signal d'achat.</w:t>
      </w:r>
    </w:p>
    <w:p>
      <w:pPr>
        <w:spacing w:after="120" w:line="276" w:lineRule="auto"/>
      </w:pPr>
      <w:r>
        <w:t>**Stochastique** : Le %K à 26,23 est inférieur au %D à 37,371, indiquant une dynamique baissière en cours. Le croisement de ces deux lignes dans la zone de survente (&lt;20) pourrait signaler un retournement haussier, mais pour l'instant, la tendance reste négative, justifiant la décision neutre.</w:t>
      </w:r>
    </w:p>
    <w:p>
      <w:pPr>
        <w:spacing w:after="120" w:line="276" w:lineRule="auto"/>
      </w:pPr>
      <w:r>
        <w:t>**Conclusion technique** : Les indicateurs techniques sont mitigés avec une majorité de signaux neutres, mais le MACD baissier et la position du cours sous la MM20 suggèrent une correction à court terme. La tendance de fond reste haussière grâce aux moyennes mobiles, mais la prudence est recommandée avant un nouvel achat. Le titre semble entrer dans une phase de consolidation après la forte hausse de 137%.</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2025)** : En 2025, SCRC a enregistré un chiffre d'affaires de 80,57 milliards FCFA, en baisse de 7,6% par rapport à 2024 (87,22 milliards FCFA). Le résultat net est fortement déficitaire à -7,95 milliards FCFA, contre un bénéfice de 2,47 milliards FCFA en 2024, soit une dégradation de 421%. Le ROE s'effondre à -46,13% et le ROA à -5,08%, traduisant une destruction de valeur significative. La marge nette est négative à -9,87%, tandis que la marge brute reste solide à 45,82%. Le ratio d'endettement atteint 88,98% des capitaux propres, avec des dettes financières totales de 84,87 milliards FCFA. Le BFR est positif à 6,53 milliards FCFA, ce qui est défavorable pour une entreprise industrielle, et la trésorerie nette est négative à -6,51 milliards FCFA. Les délais fournisseurs (366 jours) et de stockage (361 jours) sont très élevés, indiquant des tensions de trésorerie et une immobilisation importante du capital.</w:t>
      </w:r>
    </w:p>
    <w:p>
      <w:pPr>
        <w:spacing w:after="120" w:line="276" w:lineRule="auto"/>
      </w:pPr>
      <w:r>
        <w:t>**Estimations basées sur les rapports trimestriels** : Le rapport du S1 2025 (publié en octobre 2025) indique une perte nette de -6,71 milliards FCFA sur le premier semestre, avec un chiffre d'affaires de 42,87 milliards FCFA (-5% vs S1 2024). Le rapport T1 2025 montrait un bénéfice de 3,21 milliards FCFA, ce qui signifie que le T2 a été fortement déficitaire. Sur la base de ces données, on estime que l'exercice 2026 pourrait voir un retour à l'équilibre si la campagne 2025/26 (production attendue entre 90 000 et 95 000 tonnes, +14% à +20%) se concrétise. Le rapport annuel 2024 (publié en 2025) confirme le redressement opérationnel de 2024 avec un bénéfice de 2,47 milliards FCFA, mais la dégradation de 2025 est principalement due à l'explosion des charges financières (+262% à 6,79 milliards FCFA) et à la baisse des volumes. Les perspectives pour 2026 restent préoccupantes compte tenu du niveau d'endettement critique (ratio dette/capitaux propres de 374%) et des charges financières structurellement élevées. La recommandation fondamentale est de **VENDRE** en raison de la fragilité financière et des risques de liquidité élevés.</w:t>
      </w:r>
    </w:p>
    <w:p>
      <w:pPr>
        <w:spacing w:after="120" w:line="276" w:lineRule="auto"/>
      </w:pPr>
      <w:r>
        <w:t>---</w:t>
      </w:r>
    </w:p>
    <w:p>
      <w:pPr>
        <w:spacing w:after="120" w:line="276" w:lineRule="auto"/>
      </w:pPr>
      <w:r>
        <w:t>### PARTIE 4 : CONCLUSION D'INVESTISSEMENT</w:t>
      </w:r>
    </w:p>
    <w:p>
      <w:pPr>
        <w:spacing w:after="120" w:line="276" w:lineRule="auto"/>
      </w:pPr>
      <w:r>
        <w:t>La synthèse des quatre analyses révèle une situation complexe et contrastée pour SCRC. La valorisation (Partie 0) est exigeante avec un P/B de 4,06x et un PER négatif, indiquant que le marché anticipe un redressement qui ne s'est pas encore matérialisé. Le comportement du cours (Partie 1) montre une hausse spectaculaire de 137% sur 100 jours, mais avec une volatilité très élevée (58,1%) et des statistiques suggérant une distribution symétrique des prix. Les signaux techniques (Partie 2) sont mitigés avec une majorité d'indicateurs neutres, mais le MACD baissier et la position sous la MM20 suggèrent une correction à court terme. Les fondamentaux (Partie 3) sont préoccupants avec une perte nette de 7,95 milliards FCFA en 2025, un endettement massif et des tensions de trésorerie. Les prédictions IA pour les 10 prochains jours (de 3 307 FCFA à 2 421 FCFA) confirment cette tendance baissière, anticipant une chute de plus de 30% par rapport au cours actuel. La convergence entre les signaux techniques baissiers, les fondamentaux dégradés et les prédictions IA conduit à une recommandation de **VENTE FORTE**, avec un niveau de confiance **Élevé** et un risque global **Élevé**. L'horizon d'investissement optimal est le **court terme (&lt;3 mois)** pour les investisseurs cherchant à limiter leurs pertes, tandis qu'un retour à l'achat ne serait envisageable qu'après confirmation d'un redressement opérationnel durable, probablement pas avant 2027.</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102.60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1,032 titres</w:t>
            </w:r>
          </w:p>
        </w:tc>
        <w:tc>
          <w:tcPr>
            <w:tcW w:type="dxa" w:w="2268"/>
            <w:shd w:fill="FFF2CC" w:val="clear"/>
          </w:tcPr>
          <w:p>
            <w:r>
              <w:rPr>
                <w:b/>
                <w:color w:val="503200"/>
                <w:sz w:val="16"/>
              </w:rPr>
              <w:t xml:space="preserve">Cours actuel : </w:t>
            </w:r>
            <w:r>
              <w:rPr>
                <w:color w:val="000000"/>
                <w:sz w:val="17"/>
              </w:rPr>
              <w:t>11,400 FCFA</w:t>
            </w:r>
          </w:p>
          <w:p>
            <w:r>
              <w:rPr>
                <w:b/>
                <w:color w:val="503200"/>
                <w:sz w:val="16"/>
              </w:rPr>
              <w:t xml:space="preserve">Var. 100 jours : </w:t>
            </w:r>
            <w:r>
              <w:rPr>
                <w:b/>
                <w:color w:val="007800"/>
                <w:sz w:val="17"/>
              </w:rPr>
              <w:t>+47.10%</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19.88% (Élevée) — μ=10,004 FCFA, σ=1,989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β=0.3211 (Défensif) — Cov=0.000012, Var(idx)=0.000036, ρ=0.086,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1,032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σ_j=2.24%/j (Stable) — Vol. annualisée≈35.5%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2026-08-06</w:t>
            </w:r>
          </w:p>
        </w:tc>
        <w:tc>
          <w:tcPr>
            <w:tcW w:type="dxa" w:w="1440"/>
            <w:shd w:fill="FAFAFA" w:val="clear"/>
          </w:tcPr>
          <w:p>
            <w:r>
              <w:rPr>
                <w:sz w:val="17"/>
              </w:rPr>
              <w:t>11,000</w:t>
            </w:r>
          </w:p>
        </w:tc>
        <w:tc>
          <w:tcPr>
            <w:tcW w:type="dxa" w:w="1440"/>
            <w:shd w:fill="FAFAFA" w:val="clear"/>
          </w:tcPr>
          <w:p>
            <w:r>
              <w:rPr>
                <w:b/>
                <w:sz w:val="17"/>
              </w:rPr>
              <w:t>11,341</w:t>
            </w:r>
          </w:p>
        </w:tc>
        <w:tc>
          <w:tcPr>
            <w:tcW w:type="dxa" w:w="1440"/>
            <w:shd w:fill="FAFAFA" w:val="clear"/>
          </w:tcPr>
          <w:p>
            <w:r>
              <w:rPr>
                <w:sz w:val="17"/>
              </w:rPr>
              <w:t>11,683</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2026-08-10</w:t>
            </w:r>
          </w:p>
        </w:tc>
        <w:tc>
          <w:tcPr>
            <w:tcW w:type="dxa" w:w="1440"/>
            <w:shd w:fill="FAFAFA" w:val="clear"/>
          </w:tcPr>
          <w:p>
            <w:r>
              <w:rPr>
                <w:sz w:val="17"/>
              </w:rPr>
              <w:t>10,744</w:t>
            </w:r>
          </w:p>
        </w:tc>
        <w:tc>
          <w:tcPr>
            <w:tcW w:type="dxa" w:w="1440"/>
            <w:shd w:fill="FAFAFA" w:val="clear"/>
          </w:tcPr>
          <w:p>
            <w:r>
              <w:rPr>
                <w:b/>
                <w:sz w:val="17"/>
              </w:rPr>
              <w:t>11,221</w:t>
            </w:r>
          </w:p>
        </w:tc>
        <w:tc>
          <w:tcPr>
            <w:tcW w:type="dxa" w:w="1440"/>
            <w:shd w:fill="FAFAFA" w:val="clear"/>
          </w:tcPr>
          <w:p>
            <w:r>
              <w:rPr>
                <w:sz w:val="17"/>
              </w:rPr>
              <w:t>11,699</w:t>
            </w:r>
          </w:p>
        </w:tc>
        <w:tc>
          <w:tcPr>
            <w:tcW w:type="dxa" w:w="1440"/>
            <w:shd w:fill="FAFAFA" w:val="clear"/>
          </w:tcPr>
          <w:p>
            <w:r>
              <w:rPr>
                <w:b/>
                <w:color w:val="C00000"/>
                <w:sz w:val="17"/>
              </w:rPr>
              <w:t>-1.6%</w:t>
            </w:r>
          </w:p>
        </w:tc>
      </w:tr>
      <w:tr>
        <w:tc>
          <w:tcPr>
            <w:tcW w:type="dxa" w:w="1440"/>
            <w:shd w:fill="FFDCE0" w:val="clear"/>
          </w:tcPr>
          <w:p>
            <w:r>
              <w:rPr>
                <w:sz w:val="17"/>
              </w:rPr>
              <w:t>J+3  ⭐</w:t>
            </w:r>
          </w:p>
        </w:tc>
        <w:tc>
          <w:tcPr>
            <w:tcW w:type="dxa" w:w="1440"/>
            <w:shd w:fill="FFDCE0" w:val="clear"/>
          </w:tcPr>
          <w:p>
            <w:r>
              <w:rPr>
                <w:sz w:val="17"/>
              </w:rPr>
              <w:t>2026-08-11</w:t>
            </w:r>
          </w:p>
        </w:tc>
        <w:tc>
          <w:tcPr>
            <w:tcW w:type="dxa" w:w="1440"/>
            <w:shd w:fill="FFDCE0" w:val="clear"/>
          </w:tcPr>
          <w:p>
            <w:r>
              <w:rPr>
                <w:sz w:val="17"/>
              </w:rPr>
              <w:t>10,536</w:t>
            </w:r>
          </w:p>
        </w:tc>
        <w:tc>
          <w:tcPr>
            <w:tcW w:type="dxa" w:w="1440"/>
            <w:shd w:fill="FFDCE0" w:val="clear"/>
          </w:tcPr>
          <w:p>
            <w:r>
              <w:rPr>
                <w:b/>
                <w:sz w:val="17"/>
              </w:rPr>
              <w:t>11,115</w:t>
            </w:r>
          </w:p>
        </w:tc>
        <w:tc>
          <w:tcPr>
            <w:tcW w:type="dxa" w:w="1440"/>
            <w:shd w:fill="FFDCE0" w:val="clear"/>
          </w:tcPr>
          <w:p>
            <w:r>
              <w:rPr>
                <w:sz w:val="17"/>
              </w:rPr>
              <w:t>11,694</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2026-08-12</w:t>
            </w:r>
          </w:p>
        </w:tc>
        <w:tc>
          <w:tcPr>
            <w:tcW w:type="dxa" w:w="1440"/>
            <w:shd w:fill="FFDCE0" w:val="clear"/>
          </w:tcPr>
          <w:p>
            <w:r>
              <w:rPr>
                <w:sz w:val="17"/>
              </w:rPr>
              <w:t>10,360</w:t>
            </w:r>
          </w:p>
        </w:tc>
        <w:tc>
          <w:tcPr>
            <w:tcW w:type="dxa" w:w="1440"/>
            <w:shd w:fill="FFDCE0" w:val="clear"/>
          </w:tcPr>
          <w:p>
            <w:r>
              <w:rPr>
                <w:b/>
                <w:sz w:val="17"/>
              </w:rPr>
              <w:t>11,023</w:t>
            </w:r>
          </w:p>
        </w:tc>
        <w:tc>
          <w:tcPr>
            <w:tcW w:type="dxa" w:w="1440"/>
            <w:shd w:fill="FFDCE0" w:val="clear"/>
          </w:tcPr>
          <w:p>
            <w:r>
              <w:rPr>
                <w:sz w:val="17"/>
              </w:rPr>
              <w:t>11,686</w:t>
            </w:r>
          </w:p>
        </w:tc>
        <w:tc>
          <w:tcPr>
            <w:tcW w:type="dxa" w:w="1440"/>
            <w:shd w:fill="FFDCE0" w:val="clear"/>
          </w:tcPr>
          <w:p>
            <w:r>
              <w:rPr>
                <w:b/>
                <w:color w:val="C00000"/>
                <w:sz w:val="17"/>
              </w:rPr>
              <w:t>-3.3%</w:t>
            </w:r>
          </w:p>
        </w:tc>
      </w:tr>
      <w:tr>
        <w:tc>
          <w:tcPr>
            <w:tcW w:type="dxa" w:w="1440"/>
            <w:shd w:fill="FFDCE0" w:val="clear"/>
          </w:tcPr>
          <w:p>
            <w:r>
              <w:rPr>
                <w:sz w:val="17"/>
              </w:rPr>
              <w:t>J+5  ⭐</w:t>
            </w:r>
          </w:p>
        </w:tc>
        <w:tc>
          <w:tcPr>
            <w:tcW w:type="dxa" w:w="1440"/>
            <w:shd w:fill="FFDCE0" w:val="clear"/>
          </w:tcPr>
          <w:p>
            <w:r>
              <w:rPr>
                <w:sz w:val="17"/>
              </w:rPr>
              <w:t>2026-08-13</w:t>
            </w:r>
          </w:p>
        </w:tc>
        <w:tc>
          <w:tcPr>
            <w:tcW w:type="dxa" w:w="1440"/>
            <w:shd w:fill="FFDCE0" w:val="clear"/>
          </w:tcPr>
          <w:p>
            <w:r>
              <w:rPr>
                <w:sz w:val="17"/>
              </w:rPr>
              <w:t>10,206</w:t>
            </w:r>
          </w:p>
        </w:tc>
        <w:tc>
          <w:tcPr>
            <w:tcW w:type="dxa" w:w="1440"/>
            <w:shd w:fill="FFDCE0" w:val="clear"/>
          </w:tcPr>
          <w:p>
            <w:r>
              <w:rPr>
                <w:b/>
                <w:sz w:val="17"/>
              </w:rPr>
              <w:t>10,942</w:t>
            </w:r>
          </w:p>
        </w:tc>
        <w:tc>
          <w:tcPr>
            <w:tcW w:type="dxa" w:w="1440"/>
            <w:shd w:fill="FFDCE0" w:val="clear"/>
          </w:tcPr>
          <w:p>
            <w:r>
              <w:rPr>
                <w:sz w:val="17"/>
              </w:rPr>
              <w:t>11,678</w:t>
            </w:r>
          </w:p>
        </w:tc>
        <w:tc>
          <w:tcPr>
            <w:tcW w:type="dxa" w:w="1440"/>
            <w:shd w:fill="FFDCE0" w:val="clear"/>
          </w:tcPr>
          <w:p>
            <w:r>
              <w:rPr>
                <w:b/>
                <w:color w:val="C00000"/>
                <w:sz w:val="17"/>
              </w:rPr>
              <w:t>-4.0%</w:t>
            </w:r>
          </w:p>
        </w:tc>
      </w:tr>
      <w:tr>
        <w:tc>
          <w:tcPr>
            <w:tcW w:type="dxa" w:w="1440"/>
            <w:shd w:fill="FFDCE0" w:val="clear"/>
          </w:tcPr>
          <w:p>
            <w:r>
              <w:rPr>
                <w:sz w:val="17"/>
              </w:rPr>
              <w:t>J+6  ⭐</w:t>
            </w:r>
          </w:p>
        </w:tc>
        <w:tc>
          <w:tcPr>
            <w:tcW w:type="dxa" w:w="1440"/>
            <w:shd w:fill="FFDCE0" w:val="clear"/>
          </w:tcPr>
          <w:p>
            <w:r>
              <w:rPr>
                <w:sz w:val="17"/>
              </w:rPr>
              <w:t>2026-08-14</w:t>
            </w:r>
          </w:p>
        </w:tc>
        <w:tc>
          <w:tcPr>
            <w:tcW w:type="dxa" w:w="1440"/>
            <w:shd w:fill="FFDCE0" w:val="clear"/>
          </w:tcPr>
          <w:p>
            <w:r>
              <w:rPr>
                <w:sz w:val="17"/>
              </w:rPr>
              <w:t>10,064</w:t>
            </w:r>
          </w:p>
        </w:tc>
        <w:tc>
          <w:tcPr>
            <w:tcW w:type="dxa" w:w="1440"/>
            <w:shd w:fill="FFDCE0" w:val="clear"/>
          </w:tcPr>
          <w:p>
            <w:r>
              <w:rPr>
                <w:b/>
                <w:sz w:val="17"/>
              </w:rPr>
              <w:t>10,865</w:t>
            </w:r>
          </w:p>
        </w:tc>
        <w:tc>
          <w:tcPr>
            <w:tcW w:type="dxa" w:w="1440"/>
            <w:shd w:fill="FFDCE0" w:val="clear"/>
          </w:tcPr>
          <w:p>
            <w:r>
              <w:rPr>
                <w:sz w:val="17"/>
              </w:rPr>
              <w:t>11,666</w:t>
            </w:r>
          </w:p>
        </w:tc>
        <w:tc>
          <w:tcPr>
            <w:tcW w:type="dxa" w:w="1440"/>
            <w:shd w:fill="FFDCE0" w:val="clear"/>
          </w:tcPr>
          <w:p>
            <w:r>
              <w:rPr>
                <w:b/>
                <w:color w:val="C00000"/>
                <w:sz w:val="17"/>
              </w:rPr>
              <w:t>-4.7%</w:t>
            </w:r>
          </w:p>
        </w:tc>
      </w:tr>
      <w:tr>
        <w:tc>
          <w:tcPr>
            <w:tcW w:type="dxa" w:w="1440"/>
            <w:shd w:fill="FFDCE0" w:val="clear"/>
          </w:tcPr>
          <w:p>
            <w:r>
              <w:rPr>
                <w:sz w:val="17"/>
              </w:rPr>
              <w:t>J+7  ⭐</w:t>
            </w:r>
          </w:p>
        </w:tc>
        <w:tc>
          <w:tcPr>
            <w:tcW w:type="dxa" w:w="1440"/>
            <w:shd w:fill="FFDCE0" w:val="clear"/>
          </w:tcPr>
          <w:p>
            <w:r>
              <w:rPr>
                <w:sz w:val="17"/>
              </w:rPr>
              <w:t>2026-08-17</w:t>
            </w:r>
          </w:p>
        </w:tc>
        <w:tc>
          <w:tcPr>
            <w:tcW w:type="dxa" w:w="1440"/>
            <w:shd w:fill="FFDCE0" w:val="clear"/>
          </w:tcPr>
          <w:p>
            <w:r>
              <w:rPr>
                <w:sz w:val="17"/>
              </w:rPr>
              <w:t>9,933</w:t>
            </w:r>
          </w:p>
        </w:tc>
        <w:tc>
          <w:tcPr>
            <w:tcW w:type="dxa" w:w="1440"/>
            <w:shd w:fill="FFDCE0" w:val="clear"/>
          </w:tcPr>
          <w:p>
            <w:r>
              <w:rPr>
                <w:b/>
                <w:sz w:val="17"/>
              </w:rPr>
              <w:t>10,792</w:t>
            </w:r>
          </w:p>
        </w:tc>
        <w:tc>
          <w:tcPr>
            <w:tcW w:type="dxa" w:w="1440"/>
            <w:shd w:fill="FFDCE0" w:val="clear"/>
          </w:tcPr>
          <w:p>
            <w:r>
              <w:rPr>
                <w:sz w:val="17"/>
              </w:rPr>
              <w:t>11,651</w:t>
            </w:r>
          </w:p>
        </w:tc>
        <w:tc>
          <w:tcPr>
            <w:tcW w:type="dxa" w:w="1440"/>
            <w:shd w:fill="FFDCE0" w:val="clear"/>
          </w:tcPr>
          <w:p>
            <w:r>
              <w:rPr>
                <w:b/>
                <w:color w:val="C00000"/>
                <w:sz w:val="17"/>
              </w:rPr>
              <w:t>-5.3%</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9,809</w:t>
            </w:r>
          </w:p>
        </w:tc>
        <w:tc>
          <w:tcPr>
            <w:tcW w:type="dxa" w:w="1440"/>
            <w:shd w:fill="FFDCE0" w:val="clear"/>
          </w:tcPr>
          <w:p>
            <w:r>
              <w:rPr>
                <w:b/>
                <w:sz w:val="17"/>
              </w:rPr>
              <w:t>10,722</w:t>
            </w:r>
          </w:p>
        </w:tc>
        <w:tc>
          <w:tcPr>
            <w:tcW w:type="dxa" w:w="1440"/>
            <w:shd w:fill="FFDCE0" w:val="clear"/>
          </w:tcPr>
          <w:p>
            <w:r>
              <w:rPr>
                <w:sz w:val="17"/>
              </w:rPr>
              <w:t>11,635</w:t>
            </w:r>
          </w:p>
        </w:tc>
        <w:tc>
          <w:tcPr>
            <w:tcW w:type="dxa" w:w="1440"/>
            <w:shd w:fill="FFDCE0" w:val="clear"/>
          </w:tcPr>
          <w:p>
            <w:r>
              <w:rPr>
                <w:b/>
                <w:color w:val="C00000"/>
                <w:sz w:val="17"/>
              </w:rPr>
              <w:t>-5.9%</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9,694</w:t>
            </w:r>
          </w:p>
        </w:tc>
        <w:tc>
          <w:tcPr>
            <w:tcW w:type="dxa" w:w="1440"/>
            <w:shd w:fill="FFDCE0" w:val="clear"/>
          </w:tcPr>
          <w:p>
            <w:r>
              <w:rPr>
                <w:b/>
                <w:sz w:val="17"/>
              </w:rPr>
              <w:t>10,656</w:t>
            </w:r>
          </w:p>
        </w:tc>
        <w:tc>
          <w:tcPr>
            <w:tcW w:type="dxa" w:w="1440"/>
            <w:shd w:fill="FFDCE0" w:val="clear"/>
          </w:tcPr>
          <w:p>
            <w:r>
              <w:rPr>
                <w:sz w:val="17"/>
              </w:rPr>
              <w:t>11,618</w:t>
            </w:r>
          </w:p>
        </w:tc>
        <w:tc>
          <w:tcPr>
            <w:tcW w:type="dxa" w:w="1440"/>
            <w:shd w:fill="FFDCE0" w:val="clear"/>
          </w:tcPr>
          <w:p>
            <w:r>
              <w:rPr>
                <w:b/>
                <w:color w:val="C00000"/>
                <w:sz w:val="17"/>
              </w:rPr>
              <w:t>-6.5%</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9,586</w:t>
            </w:r>
          </w:p>
        </w:tc>
        <w:tc>
          <w:tcPr>
            <w:tcW w:type="dxa" w:w="1440"/>
            <w:shd w:fill="FFDCE0" w:val="clear"/>
          </w:tcPr>
          <w:p>
            <w:r>
              <w:rPr>
                <w:b/>
                <w:sz w:val="17"/>
              </w:rPr>
              <w:t>10,594</w:t>
            </w:r>
          </w:p>
        </w:tc>
        <w:tc>
          <w:tcPr>
            <w:tcW w:type="dxa" w:w="1440"/>
            <w:shd w:fill="FFDCE0" w:val="clear"/>
          </w:tcPr>
          <w:p>
            <w:r>
              <w:rPr>
                <w:sz w:val="17"/>
              </w:rPr>
              <w:t>11,603</w:t>
            </w:r>
          </w:p>
        </w:tc>
        <w:tc>
          <w:tcPr>
            <w:tcW w:type="dxa" w:w="1440"/>
            <w:shd w:fill="FFDCE0" w:val="clear"/>
          </w:tcPr>
          <w:p>
            <w:r>
              <w:rPr>
                <w:b/>
                <w:color w:val="C00000"/>
                <w:sz w:val="17"/>
              </w:rPr>
              <w:t>-7.1%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102,60 milliards FCFA positionne SDCC comme une valeur de taille moyenne sur la BRVM, représentative d'un actif stratégique dans le secteur de l'eau en Côte d'Ivoire. Avec un BPA de 518 FCFA, chaque action génère un bénéfice modeste, ce qui explique un PER de 22,0x, nettement supérieur à la moyenne historique de la BRVM (8-12x). Ce niveau de valorisation indique que les investisseurs anticipent une croissance future significative des bénéfices, ou acceptent de payer une prime de rareté pour ce titre. Le P/B de 5,20x confirme cette lecture, le marché valorisant l'actif net comptable plus de cinq fois au-dessus de sa valeur, signe d'une forte prime. Enfin, l'EV/EBITDA de 14,2x, dans la fourchette haute de 10-15x, suggère que la valeur totale de l'entreprise (dette incluse) reste élevée par rapport à sa capacité opérationnelle, exigeant une performance soutenue pour justifier ces niveaux.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SDCC a enregistré une progression spectaculaire de +47,10%, passant d'un plus bas de 7 140 FCFA à un plus haut de 12 195 FCFA, avant de clôturer à 11 400 FCFA. La dernière séance montre un repli de -4,20%, suggérant une prise de bénéfices après cette forte hausse. La moyenne du cours sur la période (10 004 FCFA) est inférieure à la médiane (11 038 FCFA), indiquant une asymétrie positive de la distribution, avec des valeurs extrêmes tirant la moyenne vers le bas. L'écart-type de 1 999 FCFA (CV=20,0%) témoigne d'une dispersion modérée du cours autour de la moyenne. Le kurtosis négatif (-1,656) révèle une distribution aplatie, sans pics de prix extrêmes, tandis que le skewness de -0,341 indique une légère asymétrie négative. La volatilité annualisée de 35,5% classe le titre comme très volatil (&gt;30%), reflétant un risque élevé mais aussi un fort potentiel de rendement.</w:t>
      </w:r>
    </w:p>
    <w:p>
      <w:pPr>
        <w:spacing w:after="120" w:line="276" w:lineRule="auto" w:before="240"/>
      </w:pPr>
      <w:r>
        <w:rPr>
          <w:b/>
          <w:color w:val="003366"/>
          <w:sz w:val="24"/>
        </w:rPr>
        <w:t>**PARTIE 2 : ANALYSE TECHNIQUE DÉTAILLÉE**</w:t>
      </w:r>
    </w:p>
    <w:p>
      <w:pPr>
        <w:spacing w:after="120" w:line="276" w:lineRule="auto"/>
      </w:pPr>
      <w:r>
        <w:t>Les moyennes mobiles sur 20 et 50 jours (11 725,25 et 11 759,9 FCFA) sont toutes deux supérieures au cours actuel de 11 400 FCFA, signalant une tendance baissière à court et moyen terme. Le croisement du prix sous ces moyennes clés génère une décision de Vente, indiquant que le momentum haussier s'essouffle après la forte progression.</w:t>
      </w:r>
    </w:p>
    <w:p>
      <w:pPr>
        <w:spacing w:after="120" w:line="276" w:lineRule="auto"/>
      </w:pPr>
      <w:r>
        <w:t>Le cours se situe à 11 400 FCFA, proche de la borne inférieure des bandes de Bollinger (11 142,19 FCFA) et loin de la borne supérieure (12 308,31 FCFA). Cette position suggère une volatilité modérée, le prix évoluant dans la partie basse du canal, sans signal extrême de surachat ou de survente, d'où une décision Neutre.</w:t>
      </w:r>
    </w:p>
    <w:p>
      <w:pPr>
        <w:spacing w:after="120" w:line="276" w:lineRule="auto"/>
      </w:pPr>
      <w:r>
        <w:t>Le MACD (27,149) est inférieur à son signal (63,372), formant une divergence baissière. Cette configuration indique un affaiblissement du momentum haussier, avec un histogramme négatif qui se creuse, justifiant une décision de Vente.</w:t>
      </w:r>
    </w:p>
    <w:p>
      <w:pPr>
        <w:spacing w:after="120" w:line="276" w:lineRule="auto"/>
      </w:pPr>
      <w:r>
        <w:t>Le RSI à 53,483 se situe en zone neutre (30-70), indiquant un équilibre entre pressions acheteuses et vendeuses. Aucun signal de surachat ou de survente n'est détecté, laissant place à une évolution directionnelle sans extrême.</w:t>
      </w:r>
    </w:p>
    <w:p>
      <w:pPr>
        <w:spacing w:after="120" w:line="276" w:lineRule="auto"/>
      </w:pPr>
      <w:r>
        <w:t>Le stochastique montre un %K (14,925) très inférieur à %D (65,069), signalant une condition de survente sévère. Ce croisement baissier profond suggère un potentiel de rebond technique à court terme, justifiant une décision d'Achat.</w:t>
      </w:r>
    </w:p>
    <w:p>
      <w:pPr>
        <w:spacing w:after="120" w:line="276" w:lineRule="auto"/>
      </w:pPr>
      <w:r>
        <w:t>La convergence des signaux est mitigée : les moyennes mobiles et le MACD indiquent une pression vendeuse, tandis que le stochastique suggère un rebond imminent. Le RSI neutre et les bandes de Bollinger neutres ne tranchent pas. Globalement, la tendance de fond reste haussière mais le court terme est sous pression, avec un risque de correction supplémentaire avant une stabilisation.</w:t>
      </w:r>
    </w:p>
    <w:p>
      <w:pPr>
        <w:spacing w:after="120" w:line="276" w:lineRule="auto" w:before="240"/>
      </w:pPr>
      <w:r>
        <w:rPr>
          <w:b/>
          <w:color w:val="003366"/>
          <w:sz w:val="24"/>
        </w:rPr>
        <w:t>**PARTIE 3 : ANALYSE FONDAMENTALE (SECTION CRITIQUE)**</w:t>
      </w:r>
    </w:p>
    <w:p>
      <w:pPr>
        <w:spacing w:after="120" w:line="276" w:lineRule="auto"/>
      </w:pPr>
      <w:r>
        <w:t>En 2025, SDCC a réalisé un chiffre d'affaires de 189,430 milliards FCFA, en croissance de +10% par rapport à 2024 (172,2 milliards FCFA), et un résultat net de 4,663 milliards FCFA, en hausse de +31% sur un an. La marge nette s'établit à 2,46%, le ROE à 23,65% (excellent, &gt;15%) et le ROA à 0,99%. En tant qu'entreprise, l'analyse du BFR est cruciale : le BFR est négatif à -104,748 milliards FCFA, ce qui est favorable, indiquant que l'entreprise finance son cycle d'exploitation par ses ressources à court terme. Cependant, le délai de paiement des clients est très élevé (749 jours), représentant un risque majeur de trésorerie. Les rapports trimestriels montrent une trajectoire contrastée : le T1 2025 affichait un CA de 41,6 milliards FCFA (+8%) et un RN de 604 millions FCFA (+17%), tandis que le S1 2025 montrait un RN en baisse de -24% à 1,355 milliard FCFA. Le T1 2026 (rapport du 31/12/2026) révèle une amélioration spectaculaire avec un RN de 1,318 milliard FCFA (+118%), grâce à une meilleure maîtrise des charges. Sur la base de ces données, on estime que l'exercice 2026 pourrait voir un résultat net supérieur à 5 milliards FCFA, confirmant la tendance positive. La solidité financière reste néanmoins fragile avec une trésorerie nette négative de -61,71 milliards FCFA et une capacité de remboursement de 8,18 ans, mais la couverture des intérêts est très confortable (1 583%). Les perspectives restent positives avec un dividende proposé de 525 FCFA par action pour 2025.</w:t>
      </w:r>
    </w:p>
    <w:p>
      <w:pPr>
        <w:spacing w:after="120" w:line="276" w:lineRule="auto" w:before="240"/>
      </w:pPr>
      <w:r>
        <w:rPr>
          <w:b/>
          <w:color w:val="003366"/>
          <w:sz w:val="24"/>
        </w:rPr>
        <w:t>**PARTIE 4 : CONCLUSION D'INVESTISSEMENT**</w:t>
      </w:r>
    </w:p>
    <w:p>
      <w:pPr>
        <w:spacing w:after="120" w:line="276" w:lineRule="auto"/>
      </w:pPr>
      <w:r>
        <w:t>La valorisation de SDCC (PER 22x, P/B 5,2x, EV/EBITDA 14,2x) est exigeante, indiquant une surévaluation relative par rapport aux fondamentaux actuels, mais justifiée par la forte croissance attendue. Le comportement du cours montre une tendance haussière spectaculaire (+47% sur 100 jours) mais avec une volatilité élevée (35,5%) et des signaux techniques mitigés : les moyennes mobiles et le MACD sont vendeurs, tandis que le stochastique suggère un rebond imminent. Les fondamentaux sont solides avec un ROE de 23,65%, une croissance du CA de +10% en 2025 et une amélioration notable de la rentabilité au T1 2026 (+118% du RN). Les prédictions IA (11 341 à 10 942 FCFA sur J+1 à J+10) confirment une consolidation baissière à court terme, en ligne avec les signaux techniques vendeurs. La convergence entre la valorisation élevée, les signaux techniques baissiers et la prédiction IA suggère une période de correction après la forte hausse. Recommandation : **CONSERVER** avec un niveau de confiance **Moyen**, un risque global **Élevé** (volatilité et valorisation), et un horizon d'investissement **moyen terme (3-12 mois)** pour capitaliser sur la croissance fondamentale après la consolidation technique.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128.20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15,998 titres</w:t>
            </w:r>
          </w:p>
        </w:tc>
        <w:tc>
          <w:tcPr>
            <w:tcW w:type="dxa" w:w="2268"/>
            <w:shd w:fill="FFF2CC" w:val="clear"/>
          </w:tcPr>
          <w:p>
            <w:r>
              <w:rPr>
                <w:b/>
                <w:color w:val="503200"/>
                <w:sz w:val="16"/>
              </w:rPr>
              <w:t xml:space="preserve">Cours actuel : </w:t>
            </w:r>
            <w:r>
              <w:rPr>
                <w:color w:val="000000"/>
                <w:sz w:val="17"/>
              </w:rPr>
              <w:t>2,355 FCFA</w:t>
            </w:r>
          </w:p>
          <w:p>
            <w:r>
              <w:rPr>
                <w:b/>
                <w:color w:val="503200"/>
                <w:sz w:val="16"/>
              </w:rPr>
              <w:t xml:space="preserve">Var. 100 jours : </w:t>
            </w:r>
            <w:r>
              <w:rPr>
                <w:b/>
                <w:color w:val="007800"/>
                <w:sz w:val="17"/>
              </w:rPr>
              <w:t>+21.39%</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16.34% (Élevée) — μ=2,104 FCFA, σ=344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β=0.0807 (Défensif) — Cov=0.000003, Var(idx)=0.000036, ρ=0.015,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15,998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σ_j=3.27%/j (Modérée) — Vol. annualisée≈52.0%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80/100  (Excellent)</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2026-08-06</w:t>
            </w:r>
          </w:p>
        </w:tc>
        <w:tc>
          <w:tcPr>
            <w:tcW w:type="dxa" w:w="1440"/>
            <w:shd w:fill="FAFAFA" w:val="clear"/>
          </w:tcPr>
          <w:p>
            <w:r>
              <w:rPr>
                <w:sz w:val="17"/>
              </w:rPr>
              <w:t>2,232</w:t>
            </w:r>
          </w:p>
        </w:tc>
        <w:tc>
          <w:tcPr>
            <w:tcW w:type="dxa" w:w="1440"/>
            <w:shd w:fill="FAFAFA" w:val="clear"/>
          </w:tcPr>
          <w:p>
            <w:r>
              <w:rPr>
                <w:b/>
                <w:sz w:val="17"/>
              </w:rPr>
              <w:t>2,371</w:t>
            </w:r>
          </w:p>
        </w:tc>
        <w:tc>
          <w:tcPr>
            <w:tcW w:type="dxa" w:w="1440"/>
            <w:shd w:fill="FAFAFA" w:val="clear"/>
          </w:tcPr>
          <w:p>
            <w:r>
              <w:rPr>
                <w:sz w:val="17"/>
              </w:rPr>
              <w:t>2,510</w:t>
            </w:r>
          </w:p>
        </w:tc>
        <w:tc>
          <w:tcPr>
            <w:tcW w:type="dxa" w:w="1440"/>
            <w:shd w:fill="FAFAFA" w:val="clear"/>
          </w:tcPr>
          <w:p>
            <w:r>
              <w:rPr>
                <w:b/>
                <w:color w:val="008000"/>
                <w:sz w:val="17"/>
              </w:rPr>
              <w:t>+0.7%</w:t>
            </w:r>
          </w:p>
        </w:tc>
      </w:tr>
      <w:tr>
        <w:tc>
          <w:tcPr>
            <w:tcW w:type="dxa" w:w="1440"/>
            <w:shd w:fill="FAFAFA" w:val="clear"/>
          </w:tcPr>
          <w:p>
            <w:r>
              <w:rPr>
                <w:sz w:val="17"/>
              </w:rPr>
              <w:t>J+2  Moyenne</w:t>
            </w:r>
          </w:p>
        </w:tc>
        <w:tc>
          <w:tcPr>
            <w:tcW w:type="dxa" w:w="1440"/>
            <w:shd w:fill="FAFAFA" w:val="clear"/>
          </w:tcPr>
          <w:p>
            <w:r>
              <w:rPr>
                <w:sz w:val="17"/>
              </w:rPr>
              <w:t>2026-08-10</w:t>
            </w:r>
          </w:p>
        </w:tc>
        <w:tc>
          <w:tcPr>
            <w:tcW w:type="dxa" w:w="1440"/>
            <w:shd w:fill="FAFAFA" w:val="clear"/>
          </w:tcPr>
          <w:p>
            <w:r>
              <w:rPr>
                <w:sz w:val="17"/>
              </w:rPr>
              <w:t>2,183</w:t>
            </w:r>
          </w:p>
        </w:tc>
        <w:tc>
          <w:tcPr>
            <w:tcW w:type="dxa" w:w="1440"/>
            <w:shd w:fill="FAFAFA" w:val="clear"/>
          </w:tcPr>
          <w:p>
            <w:r>
              <w:rPr>
                <w:b/>
                <w:sz w:val="17"/>
              </w:rPr>
              <w:t>2,380</w:t>
            </w:r>
          </w:p>
        </w:tc>
        <w:tc>
          <w:tcPr>
            <w:tcW w:type="dxa" w:w="1440"/>
            <w:shd w:fill="FAFAFA" w:val="clear"/>
          </w:tcPr>
          <w:p>
            <w:r>
              <w:rPr>
                <w:sz w:val="17"/>
              </w:rPr>
              <w:t>2,578</w:t>
            </w:r>
          </w:p>
        </w:tc>
        <w:tc>
          <w:tcPr>
            <w:tcW w:type="dxa" w:w="1440"/>
            <w:shd w:fill="FAFAFA" w:val="clear"/>
          </w:tcPr>
          <w:p>
            <w:r>
              <w:rPr>
                <w:b/>
                <w:color w:val="008000"/>
                <w:sz w:val="17"/>
              </w:rPr>
              <w:t>+1.1%</w:t>
            </w:r>
          </w:p>
        </w:tc>
      </w:tr>
      <w:tr>
        <w:tc>
          <w:tcPr>
            <w:tcW w:type="dxa" w:w="1440"/>
            <w:shd w:fill="FAFAFA" w:val="clear"/>
          </w:tcPr>
          <w:p>
            <w:r>
              <w:rPr>
                <w:sz w:val="17"/>
              </w:rPr>
              <w:t>J+3  Moyenne</w:t>
            </w:r>
          </w:p>
        </w:tc>
        <w:tc>
          <w:tcPr>
            <w:tcW w:type="dxa" w:w="1440"/>
            <w:shd w:fill="FAFAFA" w:val="clear"/>
          </w:tcPr>
          <w:p>
            <w:r>
              <w:rPr>
                <w:sz w:val="17"/>
              </w:rPr>
              <w:t>2026-08-11</w:t>
            </w:r>
          </w:p>
        </w:tc>
        <w:tc>
          <w:tcPr>
            <w:tcW w:type="dxa" w:w="1440"/>
            <w:shd w:fill="FAFAFA" w:val="clear"/>
          </w:tcPr>
          <w:p>
            <w:r>
              <w:rPr>
                <w:sz w:val="17"/>
              </w:rPr>
              <w:t>2,139</w:t>
            </w:r>
          </w:p>
        </w:tc>
        <w:tc>
          <w:tcPr>
            <w:tcW w:type="dxa" w:w="1440"/>
            <w:shd w:fill="FAFAFA" w:val="clear"/>
          </w:tcPr>
          <w:p>
            <w:r>
              <w:rPr>
                <w:b/>
                <w:sz w:val="17"/>
              </w:rPr>
              <w:t>2,381</w:t>
            </w:r>
          </w:p>
        </w:tc>
        <w:tc>
          <w:tcPr>
            <w:tcW w:type="dxa" w:w="1440"/>
            <w:shd w:fill="FAFAFA" w:val="clear"/>
          </w:tcPr>
          <w:p>
            <w:r>
              <w:rPr>
                <w:sz w:val="17"/>
              </w:rPr>
              <w:t>2,624</w:t>
            </w:r>
          </w:p>
        </w:tc>
        <w:tc>
          <w:tcPr>
            <w:tcW w:type="dxa" w:w="1440"/>
            <w:shd w:fill="FAFAFA" w:val="clear"/>
          </w:tcPr>
          <w:p>
            <w:r>
              <w:rPr>
                <w:b/>
                <w:color w:val="008000"/>
                <w:sz w:val="17"/>
              </w:rPr>
              <w:t>+1.1%</w:t>
            </w:r>
          </w:p>
        </w:tc>
      </w:tr>
      <w:tr>
        <w:tc>
          <w:tcPr>
            <w:tcW w:type="dxa" w:w="1440"/>
            <w:shd w:fill="FAFAFA" w:val="clear"/>
          </w:tcPr>
          <w:p>
            <w:r>
              <w:rPr>
                <w:sz w:val="17"/>
              </w:rPr>
              <w:t>J+4  ⭐</w:t>
            </w:r>
          </w:p>
        </w:tc>
        <w:tc>
          <w:tcPr>
            <w:tcW w:type="dxa" w:w="1440"/>
            <w:shd w:fill="FAFAFA" w:val="clear"/>
          </w:tcPr>
          <w:p>
            <w:r>
              <w:rPr>
                <w:sz w:val="17"/>
              </w:rPr>
              <w:t>2026-08-12</w:t>
            </w:r>
          </w:p>
        </w:tc>
        <w:tc>
          <w:tcPr>
            <w:tcW w:type="dxa" w:w="1440"/>
            <w:shd w:fill="FAFAFA" w:val="clear"/>
          </w:tcPr>
          <w:p>
            <w:r>
              <w:rPr>
                <w:sz w:val="17"/>
              </w:rPr>
              <w:t>2,096</w:t>
            </w:r>
          </w:p>
        </w:tc>
        <w:tc>
          <w:tcPr>
            <w:tcW w:type="dxa" w:w="1440"/>
            <w:shd w:fill="FAFAFA" w:val="clear"/>
          </w:tcPr>
          <w:p>
            <w:r>
              <w:rPr>
                <w:b/>
                <w:sz w:val="17"/>
              </w:rPr>
              <w:t>2,376</w:t>
            </w:r>
          </w:p>
        </w:tc>
        <w:tc>
          <w:tcPr>
            <w:tcW w:type="dxa" w:w="1440"/>
            <w:shd w:fill="FAFAFA" w:val="clear"/>
          </w:tcPr>
          <w:p>
            <w:r>
              <w:rPr>
                <w:sz w:val="17"/>
              </w:rPr>
              <w:t>2,655</w:t>
            </w:r>
          </w:p>
        </w:tc>
        <w:tc>
          <w:tcPr>
            <w:tcW w:type="dxa" w:w="1440"/>
            <w:shd w:fill="FAFAFA" w:val="clear"/>
          </w:tcPr>
          <w:p>
            <w:r>
              <w:rPr>
                <w:b/>
                <w:color w:val="008000"/>
                <w:sz w:val="17"/>
              </w:rPr>
              <w:t>+0.9%</w:t>
            </w:r>
          </w:p>
        </w:tc>
      </w:tr>
      <w:tr>
        <w:tc>
          <w:tcPr>
            <w:tcW w:type="dxa" w:w="1440"/>
            <w:shd w:fill="FAFAFA" w:val="clear"/>
          </w:tcPr>
          <w:p>
            <w:r>
              <w:rPr>
                <w:sz w:val="17"/>
              </w:rPr>
              <w:t>J+5  ⭐</w:t>
            </w:r>
          </w:p>
        </w:tc>
        <w:tc>
          <w:tcPr>
            <w:tcW w:type="dxa" w:w="1440"/>
            <w:shd w:fill="FAFAFA" w:val="clear"/>
          </w:tcPr>
          <w:p>
            <w:r>
              <w:rPr>
                <w:sz w:val="17"/>
              </w:rPr>
              <w:t>2026-08-13</w:t>
            </w:r>
          </w:p>
        </w:tc>
        <w:tc>
          <w:tcPr>
            <w:tcW w:type="dxa" w:w="1440"/>
            <w:shd w:fill="FAFAFA" w:val="clear"/>
          </w:tcPr>
          <w:p>
            <w:r>
              <w:rPr>
                <w:sz w:val="17"/>
              </w:rPr>
              <w:t>2,056</w:t>
            </w:r>
          </w:p>
        </w:tc>
        <w:tc>
          <w:tcPr>
            <w:tcW w:type="dxa" w:w="1440"/>
            <w:shd w:fill="FAFAFA" w:val="clear"/>
          </w:tcPr>
          <w:p>
            <w:r>
              <w:rPr>
                <w:b/>
                <w:sz w:val="17"/>
              </w:rPr>
              <w:t>2,367</w:t>
            </w:r>
          </w:p>
        </w:tc>
        <w:tc>
          <w:tcPr>
            <w:tcW w:type="dxa" w:w="1440"/>
            <w:shd w:fill="FAFAFA" w:val="clear"/>
          </w:tcPr>
          <w:p>
            <w:r>
              <w:rPr>
                <w:sz w:val="17"/>
              </w:rPr>
              <w:t>2,678</w:t>
            </w:r>
          </w:p>
        </w:tc>
        <w:tc>
          <w:tcPr>
            <w:tcW w:type="dxa" w:w="1440"/>
            <w:shd w:fill="FAFAFA" w:val="clear"/>
          </w:tcPr>
          <w:p>
            <w:r>
              <w:rPr>
                <w:b/>
                <w:color w:val="008000"/>
                <w:sz w:val="17"/>
              </w:rPr>
              <w:t>+0.5%</w:t>
            </w:r>
          </w:p>
        </w:tc>
      </w:tr>
      <w:tr>
        <w:tc>
          <w:tcPr>
            <w:tcW w:type="dxa" w:w="1440"/>
            <w:shd w:fill="FAFAFA" w:val="clear"/>
          </w:tcPr>
          <w:p>
            <w:r>
              <w:rPr>
                <w:sz w:val="17"/>
              </w:rPr>
              <w:t>J+6  ⭐</w:t>
            </w:r>
          </w:p>
        </w:tc>
        <w:tc>
          <w:tcPr>
            <w:tcW w:type="dxa" w:w="1440"/>
            <w:shd w:fill="FAFAFA" w:val="clear"/>
          </w:tcPr>
          <w:p>
            <w:r>
              <w:rPr>
                <w:sz w:val="17"/>
              </w:rPr>
              <w:t>2026-08-14</w:t>
            </w:r>
          </w:p>
        </w:tc>
        <w:tc>
          <w:tcPr>
            <w:tcW w:type="dxa" w:w="1440"/>
            <w:shd w:fill="FAFAFA" w:val="clear"/>
          </w:tcPr>
          <w:p>
            <w:r>
              <w:rPr>
                <w:sz w:val="17"/>
              </w:rPr>
              <w:t>2,017</w:t>
            </w:r>
          </w:p>
        </w:tc>
        <w:tc>
          <w:tcPr>
            <w:tcW w:type="dxa" w:w="1440"/>
            <w:shd w:fill="FAFAFA" w:val="clear"/>
          </w:tcPr>
          <w:p>
            <w:r>
              <w:rPr>
                <w:b/>
                <w:sz w:val="17"/>
              </w:rPr>
              <w:t>2,356</w:t>
            </w:r>
          </w:p>
        </w:tc>
        <w:tc>
          <w:tcPr>
            <w:tcW w:type="dxa" w:w="1440"/>
            <w:shd w:fill="FAFAFA" w:val="clear"/>
          </w:tcPr>
          <w:p>
            <w:r>
              <w:rPr>
                <w:sz w:val="17"/>
              </w:rPr>
              <w:t>2,695</w:t>
            </w:r>
          </w:p>
        </w:tc>
        <w:tc>
          <w:tcPr>
            <w:tcW w:type="dxa" w:w="1440"/>
            <w:shd w:fill="FAFAFA" w:val="clear"/>
          </w:tcPr>
          <w:p>
            <w:r>
              <w:rPr>
                <w:b/>
                <w:color w:val="008000"/>
                <w:sz w:val="17"/>
              </w:rPr>
              <w:t>+0.0%</w:t>
            </w:r>
          </w:p>
        </w:tc>
      </w:tr>
      <w:tr>
        <w:tc>
          <w:tcPr>
            <w:tcW w:type="dxa" w:w="1440"/>
            <w:shd w:fill="FAFAFA" w:val="clear"/>
          </w:tcPr>
          <w:p>
            <w:r>
              <w:rPr>
                <w:sz w:val="17"/>
              </w:rPr>
              <w:t>J+7  ⭐</w:t>
            </w:r>
          </w:p>
        </w:tc>
        <w:tc>
          <w:tcPr>
            <w:tcW w:type="dxa" w:w="1440"/>
            <w:shd w:fill="FAFAFA" w:val="clear"/>
          </w:tcPr>
          <w:p>
            <w:r>
              <w:rPr>
                <w:sz w:val="17"/>
              </w:rPr>
              <w:t>2026-08-17</w:t>
            </w:r>
          </w:p>
        </w:tc>
        <w:tc>
          <w:tcPr>
            <w:tcW w:type="dxa" w:w="1440"/>
            <w:shd w:fill="FAFAFA" w:val="clear"/>
          </w:tcPr>
          <w:p>
            <w:r>
              <w:rPr>
                <w:sz w:val="17"/>
              </w:rPr>
              <w:t>1,980</w:t>
            </w:r>
          </w:p>
        </w:tc>
        <w:tc>
          <w:tcPr>
            <w:tcW w:type="dxa" w:w="1440"/>
            <w:shd w:fill="FAFAFA" w:val="clear"/>
          </w:tcPr>
          <w:p>
            <w:r>
              <w:rPr>
                <w:b/>
                <w:sz w:val="17"/>
              </w:rPr>
              <w:t>2,345</w:t>
            </w:r>
          </w:p>
        </w:tc>
        <w:tc>
          <w:tcPr>
            <w:tcW w:type="dxa" w:w="1440"/>
            <w:shd w:fill="FAFAFA" w:val="clear"/>
          </w:tcPr>
          <w:p>
            <w:r>
              <w:rPr>
                <w:sz w:val="17"/>
              </w:rPr>
              <w:t>2,710</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2026-08-18</w:t>
            </w:r>
          </w:p>
        </w:tc>
        <w:tc>
          <w:tcPr>
            <w:tcW w:type="dxa" w:w="1440"/>
            <w:shd w:fill="FAFAFA" w:val="clear"/>
          </w:tcPr>
          <w:p>
            <w:r>
              <w:rPr>
                <w:sz w:val="17"/>
              </w:rPr>
              <w:t>1,946</w:t>
            </w:r>
          </w:p>
        </w:tc>
        <w:tc>
          <w:tcPr>
            <w:tcW w:type="dxa" w:w="1440"/>
            <w:shd w:fill="FAFAFA" w:val="clear"/>
          </w:tcPr>
          <w:p>
            <w:r>
              <w:rPr>
                <w:b/>
                <w:sz w:val="17"/>
              </w:rPr>
              <w:t>2,334</w:t>
            </w:r>
          </w:p>
        </w:tc>
        <w:tc>
          <w:tcPr>
            <w:tcW w:type="dxa" w:w="1440"/>
            <w:shd w:fill="FAFAFA" w:val="clear"/>
          </w:tcPr>
          <w:p>
            <w:r>
              <w:rPr>
                <w:sz w:val="17"/>
              </w:rPr>
              <w:t>2,722</w:t>
            </w:r>
          </w:p>
        </w:tc>
        <w:tc>
          <w:tcPr>
            <w:tcW w:type="dxa" w:w="1440"/>
            <w:shd w:fill="FAFAFA" w:val="clear"/>
          </w:tcPr>
          <w:p>
            <w:r>
              <w:rPr>
                <w:b/>
                <w:color w:val="C00000"/>
                <w:sz w:val="17"/>
              </w:rPr>
              <w:t>-0.9%</w:t>
            </w:r>
          </w:p>
        </w:tc>
      </w:tr>
      <w:tr>
        <w:tc>
          <w:tcPr>
            <w:tcW w:type="dxa" w:w="1440"/>
            <w:shd w:fill="FAFAFA" w:val="clear"/>
          </w:tcPr>
          <w:p>
            <w:r>
              <w:rPr>
                <w:sz w:val="17"/>
              </w:rPr>
              <w:t>J+9  ⭐</w:t>
            </w:r>
          </w:p>
        </w:tc>
        <w:tc>
          <w:tcPr>
            <w:tcW w:type="dxa" w:w="1440"/>
            <w:shd w:fill="FAFAFA" w:val="clear"/>
          </w:tcPr>
          <w:p>
            <w:r>
              <w:rPr>
                <w:sz w:val="17"/>
              </w:rPr>
              <w:t>2026-08-19</w:t>
            </w:r>
          </w:p>
        </w:tc>
        <w:tc>
          <w:tcPr>
            <w:tcW w:type="dxa" w:w="1440"/>
            <w:shd w:fill="FAFAFA" w:val="clear"/>
          </w:tcPr>
          <w:p>
            <w:r>
              <w:rPr>
                <w:sz w:val="17"/>
              </w:rPr>
              <w:t>1,913</w:t>
            </w:r>
          </w:p>
        </w:tc>
        <w:tc>
          <w:tcPr>
            <w:tcW w:type="dxa" w:w="1440"/>
            <w:shd w:fill="FAFAFA" w:val="clear"/>
          </w:tcPr>
          <w:p>
            <w:r>
              <w:rPr>
                <w:b/>
                <w:sz w:val="17"/>
              </w:rPr>
              <w:t>2,322</w:t>
            </w:r>
          </w:p>
        </w:tc>
        <w:tc>
          <w:tcPr>
            <w:tcW w:type="dxa" w:w="1440"/>
            <w:shd w:fill="FAFAFA" w:val="clear"/>
          </w:tcPr>
          <w:p>
            <w:r>
              <w:rPr>
                <w:sz w:val="17"/>
              </w:rPr>
              <w:t>2,732</w:t>
            </w:r>
          </w:p>
        </w:tc>
        <w:tc>
          <w:tcPr>
            <w:tcW w:type="dxa" w:w="1440"/>
            <w:shd w:fill="FAFAFA" w:val="clear"/>
          </w:tcPr>
          <w:p>
            <w:r>
              <w:rPr>
                <w:b/>
                <w:color w:val="C00000"/>
                <w:sz w:val="17"/>
              </w:rPr>
              <w:t>-1.4%</w:t>
            </w:r>
          </w:p>
        </w:tc>
      </w:tr>
      <w:tr>
        <w:tc>
          <w:tcPr>
            <w:tcW w:type="dxa" w:w="1440"/>
            <w:shd w:fill="FAFAFA" w:val="clear"/>
          </w:tcPr>
          <w:p>
            <w:r>
              <w:rPr>
                <w:sz w:val="17"/>
              </w:rPr>
              <w:t>J+10  ⭐</w:t>
            </w:r>
          </w:p>
        </w:tc>
        <w:tc>
          <w:tcPr>
            <w:tcW w:type="dxa" w:w="1440"/>
            <w:shd w:fill="FAFAFA" w:val="clear"/>
          </w:tcPr>
          <w:p>
            <w:r>
              <w:rPr>
                <w:sz w:val="17"/>
              </w:rPr>
              <w:t>2026-08-20</w:t>
            </w:r>
          </w:p>
        </w:tc>
        <w:tc>
          <w:tcPr>
            <w:tcW w:type="dxa" w:w="1440"/>
            <w:shd w:fill="FAFAFA" w:val="clear"/>
          </w:tcPr>
          <w:p>
            <w:r>
              <w:rPr>
                <w:sz w:val="17"/>
              </w:rPr>
              <w:t>1,881</w:t>
            </w:r>
          </w:p>
        </w:tc>
        <w:tc>
          <w:tcPr>
            <w:tcW w:type="dxa" w:w="1440"/>
            <w:shd w:fill="FAFAFA" w:val="clear"/>
          </w:tcPr>
          <w:p>
            <w:r>
              <w:rPr>
                <w:b/>
                <w:sz w:val="17"/>
              </w:rPr>
              <w:t>2,311</w:t>
            </w:r>
          </w:p>
        </w:tc>
        <w:tc>
          <w:tcPr>
            <w:tcW w:type="dxa" w:w="1440"/>
            <w:shd w:fill="FAFAFA" w:val="clear"/>
          </w:tcPr>
          <w:p>
            <w:r>
              <w:rPr>
                <w:sz w:val="17"/>
              </w:rPr>
              <w:t>2,740</w:t>
            </w:r>
          </w:p>
        </w:tc>
        <w:tc>
          <w:tcPr>
            <w:tcW w:type="dxa" w:w="1440"/>
            <w:shd w:fill="FAFAFA" w:val="clear"/>
          </w:tcPr>
          <w:p>
            <w:r>
              <w:rPr>
                <w:b/>
                <w:color w:val="C00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SDSC (AFRICA GLOBAL LOGISTICS CÔTE D'IVOIRE)**</w:t>
        <w:br/>
        <w:t>**Date de l'analyse : 05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SDSC s'établit à 128,20 milliards FCFA, un niveau significatif qui la positionne parmi les valeurs moyennes à grandes capitalisations de la BRVM. Le BPA de 387 FCFA indique que chaque action génère un bénéfice substantiel pour l'actionnaire. Avec un PER de 6,1x, le titre se négocie à un niveau nettement inférieur à la moyenne du marché BRVM (8-12x), suggérant une sous-évaluation relative du titre par rapport à ses bénéfices. Le P/B de 1,65x indique que le marché valorise la société à 65% au-dessus de sa valeur comptable, ce qui est raisonnable et témoigne d'une confiance modérée des investisseurs dans les actifs de l'entreprise. Cependant, l'EV/EBITDA de 27,6x est très exigeant, signalant que la valeur d'entreprise (dette incluse) est élevée par rapport à la capacité opérationnelle de génération de cash, ce qui pourrait refléter une prime pour la solidité du bilan ou des actifs stratégiques.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SDSC a enregistré une progression remarquable de +21,39%, mais a subi une forte correction de -7,47% lors de la dernière séance, clôturant à 2 355 FCFA. Le titre a évolué dans une fourchette large de 1 650 FCFA (plus bas) à 2 820 FCFA (plus haut), démontrant une volatilité importante. La moyenne du cours sur la période est de 2 104 FCFA, tandis que la médiane est de 1 980 FCFA ; l'écart entre ces deux valeurs, couplé à un skewness positif de 0,625, indique une distribution asymétrique avec plus de journées sous la moyenne, mais des mouvements haussiers ponctuels plus amples. L'écart-type de 345 FCFA (CV=16,4%) montre une dispersion modérée, et le kurtosis de -0,954 (mésokurtique) suggère l'absence de pics de volatilité extrêmes. La volatilité annualisée de 52,0% est très élevée (&gt;30%), classant SDSC comme un titre à haut risque, où les mouvements de prix peuvent être amples dans les deux sens.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(2 355 FCFA) est inférieur à la MM20 (2 596,25 FCFA) mais supérieur à la MM50 (2 369,1 FCFA). Cette configuration suggère une correction à court terme dans une tendance haussière à moyen terme. La décision globale est "Achat", car la tendance de fond reste positive, mais le franchissement sous la MM20 appelle à la prudence.</w:t>
      </w:r>
    </w:p>
    <w:p>
      <w:pPr>
        <w:spacing w:after="120" w:line="276" w:lineRule="auto"/>
      </w:pPr>
      <w:r>
        <w:t>**Bandes de Bollinger** : Le prix se situe à 2 355 FCFA, proche de la borne inférieure (2 187,45 FCFA) et loin de la borne supérieure (3 005,05 FCFA). Cette position indique une pression vendeuse récente et une volatilité en expansion. La décision "Neutre" est justifiée, car le titre n'est pas encore en situation de survente extrême, mais la proximité de la borne inférieure pourrait offrir un support dynamique.</w:t>
      </w:r>
    </w:p>
    <w:p>
      <w:pPr>
        <w:spacing w:after="120" w:line="276" w:lineRule="auto"/>
      </w:pPr>
      <w:r>
        <w:t>**MACD** : La valeur du MACD (61,96) est inférieure à son signal (105,73), formant une divergence baissière. Le momentum s'affaiblit nettement, ce qui justifie la décision "Vente". Ce signal technique est le plus préoccupant, car il indique un ralentissement de la dynamique haussière à court terme.</w:t>
      </w:r>
    </w:p>
    <w:p>
      <w:pPr>
        <w:spacing w:after="120" w:line="276" w:lineRule="auto"/>
      </w:pPr>
      <w:r>
        <w:t>**RSI** : Avec une valeur de 28,22, le RSI est en zone de survente (&lt;30). Cela suggère que le titre a été vendu de manière excessive et qu'un rebond technique est possible. La décision "Achat" est cohérente avec cette lecture, car les conditions de survente offrent souvent des points d'entrée opportunistes.</w:t>
      </w:r>
    </w:p>
    <w:p>
      <w:pPr>
        <w:spacing w:after="120" w:line="276" w:lineRule="auto"/>
      </w:pPr>
      <w:r>
        <w:t>**Stochastique** : Le %K est à 0,0, largement sous le %D (25,42), indiquant une condition de survente extrême. Le croisement baissier est en place, mais un retournement haussier est probable à ces niveaux. La décision "Achat" reflète le potentiel de rebond technique.</w:t>
      </w:r>
    </w:p>
    <w:p>
      <w:pPr>
        <w:spacing w:after="120" w:line="276" w:lineRule="auto"/>
      </w:pPr>
      <w:r>
        <w:t>**Conclusion technique** : Les indicateurs sont mitigés. Le RSI et le Stochastique signalent une survente et un potentiel de rebond, tandis que le MACD et la position sous la MM20 indiquent une faiblesse à court terme. La tendance de fond reste positive (MM50), mais la correction actuelle pourrait se poursuivre avant un retournement. Un scénario de stabilisation puis de reprise est le plus probable.</w:t>
      </w:r>
    </w:p>
    <w:p>
      <w:pPr>
        <w:spacing w:after="120" w:line="276" w:lineRule="auto"/>
      </w:pPr>
      <w:r>
        <w:t>---</w:t>
      </w:r>
    </w:p>
    <w:p>
      <w:pPr>
        <w:spacing w:after="120" w:line="276" w:lineRule="auto"/>
      </w:pPr>
      <w:r>
        <w:t>### PARTIE 3 : ANALYSE FONDAMENTALE (SECTION CRITIQUE)</w:t>
      </w:r>
    </w:p>
    <w:p>
      <w:pPr>
        <w:spacing w:after="120" w:line="276" w:lineRule="auto"/>
      </w:pPr>
      <w:r>
        <w:t>**En 2024**, selon les données structurées, SDSC a réalisé un chiffre d'affaires de 85,643 milliards FCFA, en croissance de 3,65%, et un résultat net de 21,069 milliards FCFA, soit une marge nette exceptionnelle de 24,6%. Le ROE est excellent à 27,08% et le ROA à 11,20%, témoignant d'une gestion très efficace des capitaux propres et des actifs. La structure financière est saine avec une autonomie financière de 41,36% et une solvabilité générale de 170,53%. Cependant, le délai de paiement des clients est très élevé (466,94 jours), ce qui représente un risque de trésorerie majeur, partiellement compensé par un délai fournisseurs encore plus long (4 534 jours). Le BFR est positif (17,874 milliards), mais le free cash-flow est robuste (14,417 milliards). **Les rapports trimestriels de 2025** montrent une dégradation sévère : le S1 2025 affiche une perte nette de -427 millions FCFA, et le T3 2025 un résultat net de 4,341 milliards, en chute de 77% sur un an, principalement due à l'absence de dividendes exceptionnels des filiales. Le rapport annuel provisoire 2025 (date : 2026-08-05) confirme cette tendance avec un résultat net de seulement 784,97 millions FCFA (marge nette de 0,85%) et un résultat d'exploitation négatif (-2,271 milliards). La recommandation des analystes est "Conserver", soulignant la solidité du bilan (capitaux propres de 72,8 milliards) et la croissance du CA (+7,43% en 2025), mais la rentabilité opérationnelle est en crise.</w:t>
      </w:r>
    </w:p>
    <w:p>
      <w:pPr>
        <w:spacing w:after="120" w:line="276" w:lineRule="auto"/>
      </w:pPr>
      <w:r>
        <w:t>---</w:t>
      </w:r>
    </w:p>
    <w:p>
      <w:pPr>
        <w:spacing w:after="120" w:line="276" w:lineRule="auto"/>
      </w:pPr>
      <w:r>
        <w:t>### PARTIE 4 : CONCLUSION D'INVESTISSEMENT</w:t>
      </w:r>
    </w:p>
    <w:p>
      <w:pPr>
        <w:spacing w:after="120" w:line="276" w:lineRule="auto"/>
      </w:pPr>
      <w:r>
        <w:t>La valorisation de SDSC est paradoxale : un PER de 6,1x suggère une sous-évaluation, mais un EV/EBITDA de 27,6x indique une surévaluation relative de la valeur d'entreprise. Le comportement du cours montre une tendance haussière à long terme (+21,39% sur 100 jours) mais une forte volatilité (52%) et une correction récente de -7,47%. Les signaux techniques sont mitigés, avec des conditions de survente (RSI, Stochastique) suggérant un rebond, mais un MACD baissier et une cassure sous la MM20 indiquent une faiblesse à court terme. Les fondamentaux sont préoccupants : la rentabilité s'est effondrée en 2025 (marge nette de 0,85% vs 24,6% en 2024), et le résultat d'exploitation est déficitaire. Les prédictions IA pour les 10 prochains jours (2 371 à 2 381 FCFA) suggèrent une stabilisation légèrement au-dessus du cours actuel, confirmant un potentiel de rebond technique. En synthèse, malgré une valorisation attrayante sur le plan du PER et une solidité bilancielle, la dégradation opérationnelle et l'incertitude sur la reprise des marges justifient une approche prudente. **Recommandation : CONSERVER**. Niveau de confiance : **Moyen**. Risque global : **Élevé**. Horizon d'investissement optimal : **Moyen terme (3-12 mois)**, en attendant les résultats du S1 2026 pour valider une éventuelle reprise de la rentabilité opérationnelle.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(+28%) et l'am\u00e9lioration de la marge op\u00e9rationnelle d\u00e9montrent la solidit\u00e9 du mod\u00e8le \u00e9conomique. Cependant, la baisse des capitaux propres et la tr\u00e9sorerie nette n\u00e9gative n\u00e9cessitent un suivi attentif."}</w:t>
      </w:r>
    </w:p>
    <w:p>
      <w:pPr>
        <w:spacing w:before="40"/>
        <w:ind w:left="400"/>
      </w:pPr>
      <w:r>
        <w:rPr>
          <w:sz w:val="18"/>
        </w:rPr>
        <w:t>Africa Global Logistics (AGL) affiche une croissance solide avec un chiffre d'affaires en hausse de 8,8% à 86,997 milliards FCFA en 2022. Le résultat net progresse significativement de 28,0% pour atteindre 10,044 milliards FCFA, témoignant d'une amélioration de la rentabilité. La marge nette s'améliore à 11,5% contre 10,4% en 2021, reflétant une meilleure maîtrise des coûts opérationnels. Le total du bilan s'établit à 149,634 milliards FCFA avec des capitaux propres renforcés à 10,044 milliards FCFA. La situation financière apparaît solide avec une trésorerie nette négative réduite et des flux opérationnels positifs.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{'dettes_financieres': '9,708 milliards FCFA', 'creances_et_emplois': '96,934 milliards FCFA', 'immobilisations_corporelles': '30,089 milliards FCFA', 'flux_tresorerie_operationnels': '19,236 millions FCFA'}</w:t>
            </w:r>
          </w:p>
        </w:tc>
        <w:tc>
          <w:tcPr>
            <w:tcW w:type="dxa" w:w="2160"/>
          </w:tcPr>
          <w:p>
            <w:pPr>
              <w:ind w:left="100"/>
            </w:pPr>
            <w:r/>
            <w:r>
              <w:rPr>
                <w:b/>
                <w:sz w:val="16"/>
              </w:rPr>
              <w:t>dividende</w:t>
              <w:br/>
            </w:r>
            <w:r>
              <w:rPr>
                <w:sz w:val="18"/>
              </w:rPr>
              <w:t>5,008 milliards FCFA</w:t>
            </w:r>
          </w:p>
        </w:tc>
        <w:tc>
          <w:tcPr>
            <w:tcW w:type="dxa" w:w="2160"/>
          </w:tcPr>
          <w:p>
            <w:pPr>
              <w:ind w:left="100"/>
            </w:pPr>
            <w:r/>
            <w:r>
              <w:rPr>
                <w:b/>
                <w:sz w:val="16"/>
              </w:rPr>
              <w:t>marge_nette</w:t>
              <w:br/>
            </w:r>
            <w:r>
              <w:rPr>
                <w:sz w:val="18"/>
              </w:rPr>
              <w:t>11,5%</w:t>
            </w:r>
          </w:p>
        </w:tc>
        <w:tc>
          <w:tcPr>
            <w:tcW w:type="dxa" w:w="2160"/>
          </w:tcPr>
          <w:p>
            <w:pPr>
              <w:ind w:left="100"/>
            </w:pPr>
            <w:r/>
            <w:r>
              <w:rPr>
                <w:b/>
                <w:sz w:val="16"/>
              </w:rPr>
              <w:t>total_actif</w:t>
              <w:br/>
            </w:r>
            <w:r>
              <w:rPr>
                <w:sz w:val="18"/>
              </w:rPr>
              <w:t>149,634 milliards FCFA</w:t>
            </w:r>
          </w:p>
        </w:tc>
      </w:tr>
      <w:tr>
        <w:tc>
          <w:tcPr>
            <w:tcW w:type="dxa" w:w="2160"/>
          </w:tcPr>
          <w:p>
            <w:r/>
            <w:r>
              <w:rPr>
                <w:b/>
                <w:sz w:val="16"/>
              </w:rPr>
              <w:t>resultat_net</w:t>
              <w:br/>
            </w:r>
            <w:r>
              <w:rPr>
                <w:sz w:val="18"/>
              </w:rPr>
              <w:t>10,044 milliards FCFA</w:t>
            </w:r>
          </w:p>
        </w:tc>
        <w:tc>
          <w:tcPr>
            <w:tcW w:type="dxa" w:w="2160"/>
          </w:tcPr>
          <w:p>
            <w:r/>
            <w:r>
              <w:rPr>
                <w:b/>
                <w:sz w:val="16"/>
              </w:rPr>
              <w:t>capitaux_propres</w:t>
              <w:br/>
            </w:r>
            <w:r>
              <w:rPr>
                <w:sz w:val="18"/>
              </w:rPr>
              <w:t>10,044 milliards FCFA</w:t>
            </w:r>
          </w:p>
        </w:tc>
        <w:tc>
          <w:tcPr>
            <w:tcW w:type="dxa" w:w="2160"/>
          </w:tcPr>
          <w:p>
            <w:r/>
            <w:r>
              <w:rPr>
                <w:b/>
                <w:sz w:val="16"/>
              </w:rPr>
              <w:t>chiffre_affaires</w:t>
              <w:br/>
            </w:r>
            <w:r>
              <w:rPr>
                <w:sz w:val="18"/>
              </w:rPr>
              <w:t>86,997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8,8% à 86,997 milliards FCFA</w:t>
      </w:r>
    </w:p>
    <w:p>
      <w:pPr>
        <w:pStyle w:val="ListBullet"/>
        <w:spacing w:before="20" w:after="20"/>
        <w:ind w:left="700"/>
      </w:pPr>
      <w:r>
        <w:rPr>
          <w:sz w:val="18"/>
        </w:rPr>
        <w:t>Progression remarquable du résultat net de +28,0% à 10,044 milliards FCFA</w:t>
      </w:r>
    </w:p>
    <w:p>
      <w:pPr>
        <w:pStyle w:val="ListBullet"/>
        <w:spacing w:before="20" w:after="20"/>
        <w:ind w:left="700"/>
      </w:pPr>
      <w:r>
        <w:rPr>
          <w:sz w:val="18"/>
        </w:rPr>
        <w:t>Amélioration de la marge nette de 10,4% à 11,5%</w:t>
      </w:r>
    </w:p>
    <w:p>
      <w:pPr>
        <w:pStyle w:val="ListBullet"/>
        <w:spacing w:before="20" w:after="20"/>
        <w:ind w:left="700"/>
      </w:pPr>
      <w:r>
        <w:rPr>
          <w:sz w:val="18"/>
        </w:rPr>
        <w:t>Total actif stable à 149,634 milliards FCFA</w:t>
      </w:r>
    </w:p>
    <w:p>
      <w:pPr>
        <w:pStyle w:val="ListBullet"/>
        <w:spacing w:before="20" w:after="20"/>
        <w:ind w:left="700"/>
      </w:pPr>
      <w:r>
        <w:rPr>
          <w:sz w:val="18"/>
        </w:rPr>
        <w:t>Capitaux propres en baisse à 10,044 milliards FCFA contre 13,942 milliards FCFA</w:t>
      </w:r>
    </w:p>
    <w:p>
      <w:pPr>
        <w:pStyle w:val="ListBullet"/>
        <w:spacing w:before="20" w:after="20"/>
        <w:ind w:left="700"/>
      </w:pPr>
      <w:r>
        <w:rPr>
          <w:sz w:val="18"/>
        </w:rPr>
        <w:t>Trésorerie nette négative améliorée de -5,671 millions FCFA contre -4,353 millions FCFA précédemment</w:t>
      </w:r>
    </w:p>
    <w:p>
      <w:pPr>
        <w:spacing w:before="40"/>
        <w:ind w:left="400"/>
      </w:pPr>
      <w:r>
        <w:rPr>
          <w:b/>
          <w:color w:val="C05000"/>
          <w:sz w:val="18"/>
        </w:rPr>
        <w:t xml:space="preserve">⚠️ Risques : </w:t>
      </w:r>
      <w:r>
        <w:rPr>
          <w:sz w:val="18"/>
        </w:rPr>
        <w:t>["Tr\u00e9sorerie nette n\u00e9gative malgr\u00e9 l'am\u00e9lioration, pouvant limiter la flexibilit\u00e9 financi\u00e8re", "Baisse significative des capitaux propres de 13,942 \u00e0 10,044 milliards FCFA", "Forte d\u00e9pendance aux cr\u00e9ances clients avec 96,934 milliards FCFA d'encours"]</w:t>
      </w:r>
    </w:p>
    <w:p>
      <w:pPr>
        <w:spacing w:before="40"/>
        <w:ind w:left="400"/>
      </w:pPr>
      <w:r>
        <w:rPr>
          <w:b/>
          <w:color w:val="0064A0"/>
          <w:sz w:val="18"/>
        </w:rPr>
        <w:t xml:space="preserve">🔮 Perspectives : </w:t>
      </w:r>
      <w:r>
        <w:rPr>
          <w:sz w:val="18"/>
        </w:rPr>
        <w:t>Les perspectives restent favorables avec une dynamique de croissance maintenue et une rentabilité en amélioration continue. L'entreprise devrait poursuivre sa stratégie de développement tout en consolidant sa structure financière. La capacité à générer des flux opérationnels positifs constitue un at</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36.52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5,113 titres</w:t>
            </w:r>
          </w:p>
        </w:tc>
        <w:tc>
          <w:tcPr>
            <w:tcW w:type="dxa" w:w="2268"/>
            <w:shd w:fill="FFF2CC" w:val="clear"/>
          </w:tcPr>
          <w:p>
            <w:r>
              <w:rPr>
                <w:b/>
                <w:color w:val="503200"/>
                <w:sz w:val="16"/>
              </w:rPr>
              <w:t xml:space="preserve">Cours actuel : </w:t>
            </w:r>
            <w:r>
              <w:rPr>
                <w:color w:val="000000"/>
                <w:sz w:val="17"/>
              </w:rPr>
              <w:t>1,450 FCFA</w:t>
            </w:r>
          </w:p>
          <w:p>
            <w:r>
              <w:rPr>
                <w:b/>
                <w:color w:val="503200"/>
                <w:sz w:val="16"/>
              </w:rPr>
              <w:t xml:space="preserve">Var. 100 jours : </w:t>
            </w:r>
            <w:r>
              <w:rPr>
                <w:b/>
                <w:color w:val="B40000"/>
                <w:sz w:val="17"/>
              </w:rPr>
              <w:t>-34.09%</w:t>
            </w:r>
          </w:p>
          <w:p>
            <w:r>
              <w:rPr>
                <w:b/>
                <w:color w:val="503200"/>
                <w:sz w:val="16"/>
              </w:rPr>
              <w:t xml:space="preserve">Plus haut 100j : </w:t>
            </w:r>
            <w:r>
              <w:rPr>
                <w:color w:val="000000"/>
                <w:sz w:val="17"/>
              </w:rPr>
              <w:t>2,265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13.44% (Moyenne) — μ=1,648 FCFA, σ=222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β=0.7808 (Défensif) — Cov=0.000028, Var(idx)=0.000036, ρ=0.144,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5,113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σ_j=3.26%/j (Modérée) — Vol. annualisée≈51.8%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2026-08-06</w:t>
            </w:r>
          </w:p>
        </w:tc>
        <w:tc>
          <w:tcPr>
            <w:tcW w:type="dxa" w:w="1440"/>
            <w:shd w:fill="FAFAFA" w:val="clear"/>
          </w:tcPr>
          <w:p>
            <w:r>
              <w:rPr>
                <w:sz w:val="17"/>
              </w:rPr>
              <w:t>1,365</w:t>
            </w:r>
          </w:p>
        </w:tc>
        <w:tc>
          <w:tcPr>
            <w:tcW w:type="dxa" w:w="1440"/>
            <w:shd w:fill="FAFAFA" w:val="clear"/>
          </w:tcPr>
          <w:p>
            <w:r>
              <w:rPr>
                <w:b/>
                <w:sz w:val="17"/>
              </w:rPr>
              <w:t>1,432</w:t>
            </w:r>
          </w:p>
        </w:tc>
        <w:tc>
          <w:tcPr>
            <w:tcW w:type="dxa" w:w="1440"/>
            <w:shd w:fill="FAFAFA" w:val="clear"/>
          </w:tcPr>
          <w:p>
            <w:r>
              <w:rPr>
                <w:sz w:val="17"/>
              </w:rPr>
              <w:t>1,499</w:t>
            </w:r>
          </w:p>
        </w:tc>
        <w:tc>
          <w:tcPr>
            <w:tcW w:type="dxa" w:w="1440"/>
            <w:shd w:fill="FAFAFA" w:val="clear"/>
          </w:tcPr>
          <w:p>
            <w:r>
              <w:rPr>
                <w:b/>
                <w:color w:val="C00000"/>
                <w:sz w:val="17"/>
              </w:rPr>
              <w:t>-1.2%</w:t>
            </w:r>
          </w:p>
        </w:tc>
      </w:tr>
      <w:tr>
        <w:tc>
          <w:tcPr>
            <w:tcW w:type="dxa" w:w="1440"/>
            <w:shd w:fill="FFDCE0" w:val="clear"/>
          </w:tcPr>
          <w:p>
            <w:r>
              <w:rPr>
                <w:sz w:val="17"/>
              </w:rPr>
              <w:t>J+2  Moyenne</w:t>
            </w:r>
          </w:p>
        </w:tc>
        <w:tc>
          <w:tcPr>
            <w:tcW w:type="dxa" w:w="1440"/>
            <w:shd w:fill="FFDCE0" w:val="clear"/>
          </w:tcPr>
          <w:p>
            <w:r>
              <w:rPr>
                <w:sz w:val="17"/>
              </w:rPr>
              <w:t>2026-08-10</w:t>
            </w:r>
          </w:p>
        </w:tc>
        <w:tc>
          <w:tcPr>
            <w:tcW w:type="dxa" w:w="1440"/>
            <w:shd w:fill="FFDCE0" w:val="clear"/>
          </w:tcPr>
          <w:p>
            <w:r>
              <w:rPr>
                <w:sz w:val="17"/>
              </w:rPr>
              <w:t>1,326</w:t>
            </w:r>
          </w:p>
        </w:tc>
        <w:tc>
          <w:tcPr>
            <w:tcW w:type="dxa" w:w="1440"/>
            <w:shd w:fill="FFDCE0" w:val="clear"/>
          </w:tcPr>
          <w:p>
            <w:r>
              <w:rPr>
                <w:b/>
                <w:sz w:val="17"/>
              </w:rPr>
              <w:t>1,420</w:t>
            </w:r>
          </w:p>
        </w:tc>
        <w:tc>
          <w:tcPr>
            <w:tcW w:type="dxa" w:w="1440"/>
            <w:shd w:fill="FFDCE0" w:val="clear"/>
          </w:tcPr>
          <w:p>
            <w:r>
              <w:rPr>
                <w:sz w:val="17"/>
              </w:rPr>
              <w:t>1,513</w:t>
            </w:r>
          </w:p>
        </w:tc>
        <w:tc>
          <w:tcPr>
            <w:tcW w:type="dxa" w:w="1440"/>
            <w:shd w:fill="FFDCE0" w:val="clear"/>
          </w:tcPr>
          <w:p>
            <w:r>
              <w:rPr>
                <w:b/>
                <w:color w:val="C00000"/>
                <w:sz w:val="17"/>
              </w:rPr>
              <w:t>-2.1%</w:t>
            </w:r>
          </w:p>
        </w:tc>
      </w:tr>
      <w:tr>
        <w:tc>
          <w:tcPr>
            <w:tcW w:type="dxa" w:w="1440"/>
            <w:shd w:fill="FFDCE0" w:val="clear"/>
          </w:tcPr>
          <w:p>
            <w:r>
              <w:rPr>
                <w:sz w:val="17"/>
              </w:rPr>
              <w:t>J+3  Moyenne</w:t>
            </w:r>
          </w:p>
        </w:tc>
        <w:tc>
          <w:tcPr>
            <w:tcW w:type="dxa" w:w="1440"/>
            <w:shd w:fill="FFDCE0" w:val="clear"/>
          </w:tcPr>
          <w:p>
            <w:r>
              <w:rPr>
                <w:sz w:val="17"/>
              </w:rPr>
              <w:t>2026-08-11</w:t>
            </w:r>
          </w:p>
        </w:tc>
        <w:tc>
          <w:tcPr>
            <w:tcW w:type="dxa" w:w="1440"/>
            <w:shd w:fill="FFDCE0" w:val="clear"/>
          </w:tcPr>
          <w:p>
            <w:r>
              <w:rPr>
                <w:sz w:val="17"/>
              </w:rPr>
              <w:t>1,293</w:t>
            </w:r>
          </w:p>
        </w:tc>
        <w:tc>
          <w:tcPr>
            <w:tcW w:type="dxa" w:w="1440"/>
            <w:shd w:fill="FFDCE0" w:val="clear"/>
          </w:tcPr>
          <w:p>
            <w:r>
              <w:rPr>
                <w:b/>
                <w:sz w:val="17"/>
              </w:rPr>
              <w:t>1,406</w:t>
            </w:r>
          </w:p>
        </w:tc>
        <w:tc>
          <w:tcPr>
            <w:tcW w:type="dxa" w:w="1440"/>
            <w:shd w:fill="FFDCE0" w:val="clear"/>
          </w:tcPr>
          <w:p>
            <w:r>
              <w:rPr>
                <w:sz w:val="17"/>
              </w:rPr>
              <w:t>1,520</w:t>
            </w:r>
          </w:p>
        </w:tc>
        <w:tc>
          <w:tcPr>
            <w:tcW w:type="dxa" w:w="1440"/>
            <w:shd w:fill="FFDCE0" w:val="clear"/>
          </w:tcPr>
          <w:p>
            <w:r>
              <w:rPr>
                <w:b/>
                <w:color w:val="C00000"/>
                <w:sz w:val="17"/>
              </w:rPr>
              <w:t>-3.0%</w:t>
            </w:r>
          </w:p>
        </w:tc>
      </w:tr>
      <w:tr>
        <w:tc>
          <w:tcPr>
            <w:tcW w:type="dxa" w:w="1440"/>
            <w:shd w:fill="FFDCE0" w:val="clear"/>
          </w:tcPr>
          <w:p>
            <w:r>
              <w:rPr>
                <w:sz w:val="17"/>
              </w:rPr>
              <w:t>J+4  ⭐</w:t>
            </w:r>
          </w:p>
        </w:tc>
        <w:tc>
          <w:tcPr>
            <w:tcW w:type="dxa" w:w="1440"/>
            <w:shd w:fill="FFDCE0" w:val="clear"/>
          </w:tcPr>
          <w:p>
            <w:r>
              <w:rPr>
                <w:sz w:val="17"/>
              </w:rPr>
              <w:t>2026-08-12</w:t>
            </w:r>
          </w:p>
        </w:tc>
        <w:tc>
          <w:tcPr>
            <w:tcW w:type="dxa" w:w="1440"/>
            <w:shd w:fill="FFDCE0" w:val="clear"/>
          </w:tcPr>
          <w:p>
            <w:r>
              <w:rPr>
                <w:sz w:val="17"/>
              </w:rPr>
              <w:t>1,263</w:t>
            </w:r>
          </w:p>
        </w:tc>
        <w:tc>
          <w:tcPr>
            <w:tcW w:type="dxa" w:w="1440"/>
            <w:shd w:fill="FFDCE0" w:val="clear"/>
          </w:tcPr>
          <w:p>
            <w:r>
              <w:rPr>
                <w:b/>
                <w:sz w:val="17"/>
              </w:rPr>
              <w:t>1,393</w:t>
            </w:r>
          </w:p>
        </w:tc>
        <w:tc>
          <w:tcPr>
            <w:tcW w:type="dxa" w:w="1440"/>
            <w:shd w:fill="FFDCE0" w:val="clear"/>
          </w:tcPr>
          <w:p>
            <w:r>
              <w:rPr>
                <w:sz w:val="17"/>
              </w:rPr>
              <w:t>1,523</w:t>
            </w:r>
          </w:p>
        </w:tc>
        <w:tc>
          <w:tcPr>
            <w:tcW w:type="dxa" w:w="1440"/>
            <w:shd w:fill="FFDCE0" w:val="clear"/>
          </w:tcPr>
          <w:p>
            <w:r>
              <w:rPr>
                <w:b/>
                <w:color w:val="C00000"/>
                <w:sz w:val="17"/>
              </w:rPr>
              <w:t>-3.9%</w:t>
            </w:r>
          </w:p>
        </w:tc>
      </w:tr>
      <w:tr>
        <w:tc>
          <w:tcPr>
            <w:tcW w:type="dxa" w:w="1440"/>
            <w:shd w:fill="FFDCE0" w:val="clear"/>
          </w:tcPr>
          <w:p>
            <w:r>
              <w:rPr>
                <w:sz w:val="17"/>
              </w:rPr>
              <w:t>J+5  ⭐</w:t>
            </w:r>
          </w:p>
        </w:tc>
        <w:tc>
          <w:tcPr>
            <w:tcW w:type="dxa" w:w="1440"/>
            <w:shd w:fill="FFDCE0" w:val="clear"/>
          </w:tcPr>
          <w:p>
            <w:r>
              <w:rPr>
                <w:sz w:val="17"/>
              </w:rPr>
              <w:t>2026-08-13</w:t>
            </w:r>
          </w:p>
        </w:tc>
        <w:tc>
          <w:tcPr>
            <w:tcW w:type="dxa" w:w="1440"/>
            <w:shd w:fill="FFDCE0" w:val="clear"/>
          </w:tcPr>
          <w:p>
            <w:r>
              <w:rPr>
                <w:sz w:val="17"/>
              </w:rPr>
              <w:t>1,236</w:t>
            </w:r>
          </w:p>
        </w:tc>
        <w:tc>
          <w:tcPr>
            <w:tcW w:type="dxa" w:w="1440"/>
            <w:shd w:fill="FFDCE0" w:val="clear"/>
          </w:tcPr>
          <w:p>
            <w:r>
              <w:rPr>
                <w:b/>
                <w:sz w:val="17"/>
              </w:rPr>
              <w:t>1,380</w:t>
            </w:r>
          </w:p>
        </w:tc>
        <w:tc>
          <w:tcPr>
            <w:tcW w:type="dxa" w:w="1440"/>
            <w:shd w:fill="FFDCE0" w:val="clear"/>
          </w:tcPr>
          <w:p>
            <w:r>
              <w:rPr>
                <w:sz w:val="17"/>
              </w:rPr>
              <w:t>1,523</w:t>
            </w:r>
          </w:p>
        </w:tc>
        <w:tc>
          <w:tcPr>
            <w:tcW w:type="dxa" w:w="1440"/>
            <w:shd w:fill="FFDCE0" w:val="clear"/>
          </w:tcPr>
          <w:p>
            <w:r>
              <w:rPr>
                <w:b/>
                <w:color w:val="C00000"/>
                <w:sz w:val="17"/>
              </w:rPr>
              <w:t>-4.9%</w:t>
            </w:r>
          </w:p>
        </w:tc>
      </w:tr>
      <w:tr>
        <w:tc>
          <w:tcPr>
            <w:tcW w:type="dxa" w:w="1440"/>
            <w:shd w:fill="FFDCE0" w:val="clear"/>
          </w:tcPr>
          <w:p>
            <w:r>
              <w:rPr>
                <w:sz w:val="17"/>
              </w:rPr>
              <w:t>J+6  ⭐</w:t>
            </w:r>
          </w:p>
        </w:tc>
        <w:tc>
          <w:tcPr>
            <w:tcW w:type="dxa" w:w="1440"/>
            <w:shd w:fill="FFDCE0" w:val="clear"/>
          </w:tcPr>
          <w:p>
            <w:r>
              <w:rPr>
                <w:sz w:val="17"/>
              </w:rPr>
              <w:t>2026-08-14</w:t>
            </w:r>
          </w:p>
        </w:tc>
        <w:tc>
          <w:tcPr>
            <w:tcW w:type="dxa" w:w="1440"/>
            <w:shd w:fill="FFDCE0" w:val="clear"/>
          </w:tcPr>
          <w:p>
            <w:r>
              <w:rPr>
                <w:sz w:val="17"/>
              </w:rPr>
              <w:t>1,211</w:t>
            </w:r>
          </w:p>
        </w:tc>
        <w:tc>
          <w:tcPr>
            <w:tcW w:type="dxa" w:w="1440"/>
            <w:shd w:fill="FFDCE0" w:val="clear"/>
          </w:tcPr>
          <w:p>
            <w:r>
              <w:rPr>
                <w:b/>
                <w:sz w:val="17"/>
              </w:rPr>
              <w:t>1,367</w:t>
            </w:r>
          </w:p>
        </w:tc>
        <w:tc>
          <w:tcPr>
            <w:tcW w:type="dxa" w:w="1440"/>
            <w:shd w:fill="FFDCE0" w:val="clear"/>
          </w:tcPr>
          <w:p>
            <w:r>
              <w:rPr>
                <w:sz w:val="17"/>
              </w:rPr>
              <w:t>1,523</w:t>
            </w:r>
          </w:p>
        </w:tc>
        <w:tc>
          <w:tcPr>
            <w:tcW w:type="dxa" w:w="1440"/>
            <w:shd w:fill="FFDCE0" w:val="clear"/>
          </w:tcPr>
          <w:p>
            <w:r>
              <w:rPr>
                <w:b/>
                <w:color w:val="C00000"/>
                <w:sz w:val="17"/>
              </w:rPr>
              <w:t>-5.7%</w:t>
            </w:r>
          </w:p>
        </w:tc>
      </w:tr>
      <w:tr>
        <w:tc>
          <w:tcPr>
            <w:tcW w:type="dxa" w:w="1440"/>
            <w:shd w:fill="FFDCE0" w:val="clear"/>
          </w:tcPr>
          <w:p>
            <w:r>
              <w:rPr>
                <w:sz w:val="17"/>
              </w:rPr>
              <w:t>J+7  ⭐</w:t>
            </w:r>
          </w:p>
        </w:tc>
        <w:tc>
          <w:tcPr>
            <w:tcW w:type="dxa" w:w="1440"/>
            <w:shd w:fill="FFDCE0" w:val="clear"/>
          </w:tcPr>
          <w:p>
            <w:r>
              <w:rPr>
                <w:sz w:val="17"/>
              </w:rPr>
              <w:t>2026-08-17</w:t>
            </w:r>
          </w:p>
        </w:tc>
        <w:tc>
          <w:tcPr>
            <w:tcW w:type="dxa" w:w="1440"/>
            <w:shd w:fill="FFDCE0" w:val="clear"/>
          </w:tcPr>
          <w:p>
            <w:r>
              <w:rPr>
                <w:sz w:val="17"/>
              </w:rPr>
              <w:t>1,187</w:t>
            </w:r>
          </w:p>
        </w:tc>
        <w:tc>
          <w:tcPr>
            <w:tcW w:type="dxa" w:w="1440"/>
            <w:shd w:fill="FFDCE0" w:val="clear"/>
          </w:tcPr>
          <w:p>
            <w:r>
              <w:rPr>
                <w:b/>
                <w:sz w:val="17"/>
              </w:rPr>
              <w:t>1,354</w:t>
            </w:r>
          </w:p>
        </w:tc>
        <w:tc>
          <w:tcPr>
            <w:tcW w:type="dxa" w:w="1440"/>
            <w:shd w:fill="FFDCE0" w:val="clear"/>
          </w:tcPr>
          <w:p>
            <w:r>
              <w:rPr>
                <w:sz w:val="17"/>
              </w:rPr>
              <w:t>1,521</w:t>
            </w:r>
          </w:p>
        </w:tc>
        <w:tc>
          <w:tcPr>
            <w:tcW w:type="dxa" w:w="1440"/>
            <w:shd w:fill="FFDCE0" w:val="clear"/>
          </w:tcPr>
          <w:p>
            <w:r>
              <w:rPr>
                <w:b/>
                <w:color w:val="C00000"/>
                <w:sz w:val="17"/>
              </w:rPr>
              <w:t>-6.6%</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1,165</w:t>
            </w:r>
          </w:p>
        </w:tc>
        <w:tc>
          <w:tcPr>
            <w:tcW w:type="dxa" w:w="1440"/>
            <w:shd w:fill="FFDCE0" w:val="clear"/>
          </w:tcPr>
          <w:p>
            <w:r>
              <w:rPr>
                <w:b/>
                <w:sz w:val="17"/>
              </w:rPr>
              <w:t>1,342</w:t>
            </w:r>
          </w:p>
        </w:tc>
        <w:tc>
          <w:tcPr>
            <w:tcW w:type="dxa" w:w="1440"/>
            <w:shd w:fill="FFDCE0" w:val="clear"/>
          </w:tcPr>
          <w:p>
            <w:r>
              <w:rPr>
                <w:sz w:val="17"/>
              </w:rPr>
              <w:t>1,518</w:t>
            </w:r>
          </w:p>
        </w:tc>
        <w:tc>
          <w:tcPr>
            <w:tcW w:type="dxa" w:w="1440"/>
            <w:shd w:fill="FFDCE0" w:val="clear"/>
          </w:tcPr>
          <w:p>
            <w:r>
              <w:rPr>
                <w:b/>
                <w:color w:val="C00000"/>
                <w:sz w:val="17"/>
              </w:rPr>
              <w:t>-7.5%</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1,144</w:t>
            </w:r>
          </w:p>
        </w:tc>
        <w:tc>
          <w:tcPr>
            <w:tcW w:type="dxa" w:w="1440"/>
            <w:shd w:fill="FFDCE0" w:val="clear"/>
          </w:tcPr>
          <w:p>
            <w:r>
              <w:rPr>
                <w:b/>
                <w:sz w:val="17"/>
              </w:rPr>
              <w:t>1,329</w:t>
            </w:r>
          </w:p>
        </w:tc>
        <w:tc>
          <w:tcPr>
            <w:tcW w:type="dxa" w:w="1440"/>
            <w:shd w:fill="FFDCE0" w:val="clear"/>
          </w:tcPr>
          <w:p>
            <w:r>
              <w:rPr>
                <w:sz w:val="17"/>
              </w:rPr>
              <w:t>1,515</w:t>
            </w:r>
          </w:p>
        </w:tc>
        <w:tc>
          <w:tcPr>
            <w:tcW w:type="dxa" w:w="1440"/>
            <w:shd w:fill="FFDCE0" w:val="clear"/>
          </w:tcPr>
          <w:p>
            <w:r>
              <w:rPr>
                <w:b/>
                <w:color w:val="C00000"/>
                <w:sz w:val="17"/>
              </w:rPr>
              <w:t>-8.3%</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1,124</w:t>
            </w:r>
          </w:p>
        </w:tc>
        <w:tc>
          <w:tcPr>
            <w:tcW w:type="dxa" w:w="1440"/>
            <w:shd w:fill="FFDCE0" w:val="clear"/>
          </w:tcPr>
          <w:p>
            <w:r>
              <w:rPr>
                <w:b/>
                <w:sz w:val="17"/>
              </w:rPr>
              <w:t>1,318</w:t>
            </w:r>
          </w:p>
        </w:tc>
        <w:tc>
          <w:tcPr>
            <w:tcW w:type="dxa" w:w="1440"/>
            <w:shd w:fill="FFDCE0" w:val="clear"/>
          </w:tcPr>
          <w:p>
            <w:r>
              <w:rPr>
                <w:sz w:val="17"/>
              </w:rPr>
              <w:t>1,512</w:t>
            </w:r>
          </w:p>
        </w:tc>
        <w:tc>
          <w:tcPr>
            <w:tcW w:type="dxa" w:w="1440"/>
            <w:shd w:fill="FFDCE0" w:val="clear"/>
          </w:tcPr>
          <w:p>
            <w:r>
              <w:rPr>
                <w:b/>
                <w:color w:val="C00000"/>
                <w:sz w:val="17"/>
              </w:rPr>
              <w:t>-9.1%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36,52 milliards FCFA, un niveau modeste dans le contexte de la BRVM, qui positionne la société parmi les valeurs de taille moyenne. Les ratios de valorisation (BPA, PER, P/B, EV/EBITDA) ne sont pas calculables en raison de l'absence de données financières structurées dans la base, ce qui limite l'analyse comparative. Toutefois, sur la base des rapports fondamentaux disponibles, le BPA ressortirait à environ 40 FCFA pour l'exercice 2023 (résultat net de 1,01 milliard FCFA divisé par environ 25,2 millions d'actions), ce qui impliquerait un PER d'environ 36x, très supérieur à la moyenne BRVM de 8-12x. Cette valorisation apparente suggère que le marché intègre des perspectives de rebond significatif, ou que le titre subit une décote de liquidité liée à sa suspension passée. Le P/B et l'EV/EBITDA ne peuvent être déterminés avec précision, faute de données bilantielles récentes dans les rapports disponibles.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 enregistré une chute spectaculaire de -34,09%, passant d'un plus haut de 2 265 FCFA à un plus bas de 1 350 FCFA, avec un cours actuel de 1 450 FCFA. La dernière séance affiche une baisse de -2,03%, confirmant la persistance de la pression vendeuse. La moyenne du cours sur la période (1 648 FCFA) est supérieure à la médiane (1 558 FCFA), indiquant une asymétrie positive (skewness de 1,067) : la majorité des séances se sont situées sous la moyenne, avec quelques pics à la hausse en début de période. L'écart-type de 223 FCFA (CV=13,5%) révèle une dispersion modérée autour de la moyenne, tandis que le kurtosis de -0,082 (mésokurtique) suggère une distribution proche de la normale, sans risque de variations extrêmes particulières. La volatilité annualisée de 51,8% classe le titre dans la catégorie des valeurs à très forte volatilité (&gt;30%), reflétant un risque élevé pour les investisseurs.</w:t>
      </w:r>
    </w:p>
    <w:p>
      <w:pPr>
        <w:spacing w:after="120" w:line="276" w:lineRule="auto" w:before="240"/>
      </w:pPr>
      <w:r>
        <w:rPr>
          <w:b/>
          <w:color w:val="003366"/>
          <w:sz w:val="24"/>
        </w:rPr>
        <w:t>**PARTIE 2 : ANALYSE TECHNIQUE DÉTAILLÉE**</w:t>
      </w:r>
    </w:p>
    <w:p>
      <w:pPr>
        <w:spacing w:after="120" w:line="276" w:lineRule="auto"/>
      </w:pPr>
      <w:r>
        <w:t>**Moyennes Mobiles** : La MM20 (1 474 FCFA) et la MM50 (1 520 FCFA) se situent toutes deux au-dessus du cours actuel (1 450 FCFA), confirmant une tendance baissière de court et moyen terme. Le croisement des moyennes mobiles en configuration baissière (MM20 &lt; MM50) renforce le signal de vente, indiquant que le momentum reste négatif et que les acheteurs ne montrent pas de signe de retour.</w:t>
      </w:r>
    </w:p>
    <w:p>
      <w:pPr>
        <w:spacing w:after="120" w:line="276" w:lineRule="auto"/>
      </w:pPr>
      <w:r>
        <w:t>**Bandes de Bollinger** : Le cours se positionne à 1 450 FCFA, entre la borne inférieure (1 392 FCFA) et la borne supérieure (1 557 FCFA), proche du milieu de l'intervalle. La décision neutre reflète une volatilité modérée des bandes, sans signal de sortie de range. Le cours n'atteint pas les extrêmes, ce qui suggère une phase de consolidation après la forte baisse, sans pression directionnelle nette.</w:t>
      </w:r>
    </w:p>
    <w:p>
      <w:pPr>
        <w:spacing w:after="120" w:line="276" w:lineRule="auto"/>
      </w:pPr>
      <w:r>
        <w:t>**MACD** : Le MACD (-9,426) est inférieur à sa ligne de signal (-10,868), mais l'écart négatif se réduit, indiquant un ralentissement du momentum baissier. La décision d'achat suggère un possible retournement imminent, le MACD se rapprochant de sa ligne de signal par le haut, ce qui pourrait signaler le début d'une phase de reprise technique.</w:t>
      </w:r>
    </w:p>
    <w:p>
      <w:pPr>
        <w:spacing w:after="120" w:line="276" w:lineRule="auto"/>
      </w:pPr>
      <w:r>
        <w:t>**RSI** : Le RSI à 44,186 se situe dans la zone neutre (30-70), sans signal de surachat ni de survente. Cette valeur indique que le titre n'est ni survendu ni suracheté, laissant place à une possible poursuite de la baisse ou un rebond, selon l'évolution des volumes et du contexte macroéconomique.</w:t>
      </w:r>
    </w:p>
    <w:p>
      <w:pPr>
        <w:spacing w:after="120" w:line="276" w:lineRule="auto"/>
      </w:pPr>
      <w:r>
        <w:t>**Stochastique** : Le %K (36,364) est inférieur au %D (52,0), indiquant une dynamique baissière en cours, mais le %K reste au-dessus de la zone de survente (&lt;20). La décision neutre suggère que le titre pourrait continuer à évoluer latéralement avant de trouver une direction claire, avec un possible croisement haussier si le %K remonte au-dessus du %D.</w:t>
      </w:r>
    </w:p>
    <w:p>
      <w:pPr>
        <w:spacing w:after="120" w:line="276" w:lineRule="auto"/>
      </w:pPr>
      <w:r>
        <w:t>**Conclusion technique** : Les indicateurs techniques sont globalement mitigés, avec une prédominance de signaux baissiers (MM, Stochastique) mais des signes de stabilisation (MACD, RSI neutre). La tendance de fond reste baissière, mais les conditions de survente technique commencent à se dessiner, laissant entrevoir un possible rebond technique à court terme si le cours parvient à se maintenir au-dessus du support de 1 350 FCFA.</w:t>
      </w:r>
    </w:p>
    <w:p>
      <w:pPr>
        <w:spacing w:after="120" w:line="276" w:lineRule="auto" w:before="240"/>
      </w:pPr>
      <w:r>
        <w:rPr>
          <w:b/>
          <w:color w:val="003366"/>
          <w:sz w:val="24"/>
        </w:rPr>
        <w:t>**PARTIE 3 : ANALYSE FONDAMENTALE (SECTION CRITIQUE)**</w:t>
      </w:r>
    </w:p>
    <w:p>
      <w:pPr>
        <w:spacing w:after="120" w:line="276" w:lineRule="auto"/>
      </w:pPr>
      <w:r>
        <w:t>Les rapports fondamentaux disponibles couvrent les exercices 2022 et 2023, avec des données contrastées. Pour l'exercice 2023 (rapport du 31/12/2024), le chiffre d'affaires s'établit à 27,88 milliards FCFA, en baisse de 6% par rapport à 2022 (29,60 milliards FCFA), avec un résultat net de 1,01 milliard FCFA, en chute de 74% par rapport aux 3,86 milliards FCFA de 2022. La marge nette s'est effondrée de 13,0% à 3,6%, traduisant une forte dégradation de la rentabilité, principalement due à la perte de clients clés (AIRONE, secteur Tomate) et à l'augmentation des coûts fixes. Le rapport du 1er trimestre 2023 (daté du 31/12/2023) montre un CA de 7,65 milliards FCFA (+16,5% vs T1 2022) et un résultat net de 855,65 millions FCFA (+37,9%), suggérant un début d'année dynamique qui ne s'est pas confirmé sur l'ensemble de l'exercice. La politique de dividende est nulle depuis 2022 (0 FCFA distribué), la société privilégiant la conservation de trésorerie (3,35 milliards FCFA) pour financer sa relance. Le rachat par Sonoco Products Company (finalisé en décembre 2024) constitue un tournant stratégique majeur, avec des perspectives de CA 2024 estimées à 32 milliards FCFA (+18%), portées par les bouchons couronnes (+15,8% en 2023) et les exportations. La recommandation fondamentale est de conserver avec vigilance, compte tenu de la fragilité de la rentabilité actuelle mais des perspectives de rebond liées au nouvel actionnariat.</w:t>
      </w:r>
    </w:p>
    <w:p>
      <w:pPr>
        <w:spacing w:after="120" w:line="276" w:lineRule="auto" w:before="240"/>
      </w:pPr>
      <w:r>
        <w:rPr>
          <w:b/>
          <w:color w:val="003366"/>
          <w:sz w:val="24"/>
        </w:rPr>
        <w:t>**PARTIE 4 : CONCLUSION D'INVESTISSEMENT**</w:t>
      </w:r>
    </w:p>
    <w:p>
      <w:pPr>
        <w:spacing w:after="120" w:line="276" w:lineRule="auto"/>
      </w:pPr>
      <w:r>
        <w:t>La synthèse globale révèle une situation complexe pour SEMC. La valorisation boursière, avec un PER estimé autour de 36x sur la base des résultats 2023, apparaît très élevée par rapport à la moyenne BRVM, suggérant une surévaluation relative malgré la chute du cours. Le comportement du titre sur 100 jours (-34,09%) avec une volatilité annualisée de 51,8% et une asymétrie positive (skewness 1,067) indique un risque élevé et une distribution des rendements défavorable. Les signaux techniques sont mitigés, avec une tendance baissière dominante (MM) mais des indicateurs de retournement potentiel (MACD, RSI neutre). Les fondamentaux montrent une dégradation marquée en 2023 (marge nette à 3,6%) mais des perspectives de rebond en 2024 (+18% de CA visé) portées par le rachat de Sonoco. Les prédictions IA sur 10 jours (1 432 à 1 380 FCFA) confirment la poursuite de la tendance baissière à court terme, avec une cible de 1 380 FCFA, soit un potentiel de baisse supplémentaire de -4,8%. Au vu de ces éléments divergents — valorisation élevée, technique baissière, fondamentaux en amélioration potentielle mais non confirmée — la recommandation finale est **VENTE** avec un niveau de confiance **Moyen** et un risque global **Élevé**. L'horizon d'investissement optimal serait le **court terme (&lt;3 mois)** pour les investisseurs cherchant à limiter leur exposition, en attendant une confirmation du rebond fondamental avant toute réintégration en position.</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1179.27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4,397 titres</w:t>
            </w:r>
          </w:p>
        </w:tc>
        <w:tc>
          <w:tcPr>
            <w:tcW w:type="dxa" w:w="2268"/>
            <w:shd w:fill="FFF2CC" w:val="clear"/>
          </w:tcPr>
          <w:p>
            <w:r>
              <w:rPr>
                <w:b/>
                <w:color w:val="503200"/>
                <w:sz w:val="16"/>
              </w:rPr>
              <w:t xml:space="preserve">Cours actuel : </w:t>
            </w:r>
            <w:r>
              <w:rPr>
                <w:color w:val="000000"/>
                <w:sz w:val="17"/>
              </w:rPr>
              <w:t>37,905 FCFA</w:t>
            </w:r>
          </w:p>
          <w:p>
            <w:r>
              <w:rPr>
                <w:b/>
                <w:color w:val="503200"/>
                <w:sz w:val="16"/>
              </w:rPr>
              <w:t xml:space="preserve">Var. 100 jours : </w:t>
            </w:r>
            <w:r>
              <w:rPr>
                <w:b/>
                <w:color w:val="007800"/>
                <w:sz w:val="17"/>
              </w:rPr>
              <w:t>+8.30%</w:t>
            </w:r>
          </w:p>
          <w:p>
            <w:r>
              <w:rPr>
                <w:b/>
                <w:color w:val="503200"/>
                <w:sz w:val="16"/>
              </w:rPr>
              <w:t xml:space="preserve">Plus haut 100j : </w:t>
            </w:r>
            <w:r>
              <w:rPr>
                <w:color w:val="000000"/>
                <w:sz w:val="17"/>
              </w:rPr>
              <w:t>39,200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5.66% (Moyenne) — μ=36,455 FCFA, σ=2,064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β=0.5776 (Défensif) — Cov=0.000021, Var(idx)=0.000036, ρ=0.228,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4,397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σ_j=1.53%/j (Stable) — Vol. annualisée≈24.2%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2026-08-06</w:t>
            </w:r>
          </w:p>
        </w:tc>
        <w:tc>
          <w:tcPr>
            <w:tcW w:type="dxa" w:w="1440"/>
            <w:shd w:fill="FAFAFA" w:val="clear"/>
          </w:tcPr>
          <w:p>
            <w:r>
              <w:rPr>
                <w:sz w:val="17"/>
              </w:rPr>
              <w:t>36,941</w:t>
            </w:r>
          </w:p>
        </w:tc>
        <w:tc>
          <w:tcPr>
            <w:tcW w:type="dxa" w:w="1440"/>
            <w:shd w:fill="FAFAFA" w:val="clear"/>
          </w:tcPr>
          <w:p>
            <w:r>
              <w:rPr>
                <w:b/>
                <w:sz w:val="17"/>
              </w:rPr>
              <w:t>37,699</w:t>
            </w:r>
          </w:p>
        </w:tc>
        <w:tc>
          <w:tcPr>
            <w:tcW w:type="dxa" w:w="1440"/>
            <w:shd w:fill="FAFAFA" w:val="clear"/>
          </w:tcPr>
          <w:p>
            <w:r>
              <w:rPr>
                <w:sz w:val="17"/>
              </w:rPr>
              <w:t>38,457</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2026-08-10</w:t>
            </w:r>
          </w:p>
        </w:tc>
        <w:tc>
          <w:tcPr>
            <w:tcW w:type="dxa" w:w="1440"/>
            <w:shd w:fill="FAFAFA" w:val="clear"/>
          </w:tcPr>
          <w:p>
            <w:r>
              <w:rPr>
                <w:sz w:val="17"/>
              </w:rPr>
              <w:t>36,549</w:t>
            </w:r>
          </w:p>
        </w:tc>
        <w:tc>
          <w:tcPr>
            <w:tcW w:type="dxa" w:w="1440"/>
            <w:shd w:fill="FAFAFA" w:val="clear"/>
          </w:tcPr>
          <w:p>
            <w:r>
              <w:rPr>
                <w:b/>
                <w:sz w:val="17"/>
              </w:rPr>
              <w:t>37,619</w:t>
            </w:r>
          </w:p>
        </w:tc>
        <w:tc>
          <w:tcPr>
            <w:tcW w:type="dxa" w:w="1440"/>
            <w:shd w:fill="FAFAFA" w:val="clear"/>
          </w:tcPr>
          <w:p>
            <w:r>
              <w:rPr>
                <w:sz w:val="17"/>
              </w:rPr>
              <w:t>38,688</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2026-08-11</w:t>
            </w:r>
          </w:p>
        </w:tc>
        <w:tc>
          <w:tcPr>
            <w:tcW w:type="dxa" w:w="1440"/>
            <w:shd w:fill="FAFAFA" w:val="clear"/>
          </w:tcPr>
          <w:p>
            <w:r>
              <w:rPr>
                <w:sz w:val="17"/>
              </w:rPr>
              <w:t>36,230</w:t>
            </w:r>
          </w:p>
        </w:tc>
        <w:tc>
          <w:tcPr>
            <w:tcW w:type="dxa" w:w="1440"/>
            <w:shd w:fill="FAFAFA" w:val="clear"/>
          </w:tcPr>
          <w:p>
            <w:r>
              <w:rPr>
                <w:b/>
                <w:sz w:val="17"/>
              </w:rPr>
              <w:t>37,537</w:t>
            </w:r>
          </w:p>
        </w:tc>
        <w:tc>
          <w:tcPr>
            <w:tcW w:type="dxa" w:w="1440"/>
            <w:shd w:fill="FAFAFA" w:val="clear"/>
          </w:tcPr>
          <w:p>
            <w:r>
              <w:rPr>
                <w:sz w:val="17"/>
              </w:rPr>
              <w:t>38,844</w:t>
            </w:r>
          </w:p>
        </w:tc>
        <w:tc>
          <w:tcPr>
            <w:tcW w:type="dxa" w:w="1440"/>
            <w:shd w:fill="FAFAFA" w:val="clear"/>
          </w:tcPr>
          <w:p>
            <w:r>
              <w:rPr>
                <w:b/>
                <w:color w:val="C00000"/>
                <w:sz w:val="17"/>
              </w:rPr>
              <w:t>-1.0%</w:t>
            </w:r>
          </w:p>
        </w:tc>
      </w:tr>
      <w:tr>
        <w:tc>
          <w:tcPr>
            <w:tcW w:type="dxa" w:w="1440"/>
            <w:shd w:fill="FAFAFA" w:val="clear"/>
          </w:tcPr>
          <w:p>
            <w:r>
              <w:rPr>
                <w:sz w:val="17"/>
              </w:rPr>
              <w:t>J+4  Moyenne</w:t>
            </w:r>
          </w:p>
        </w:tc>
        <w:tc>
          <w:tcPr>
            <w:tcW w:type="dxa" w:w="1440"/>
            <w:shd w:fill="FAFAFA" w:val="clear"/>
          </w:tcPr>
          <w:p>
            <w:r>
              <w:rPr>
                <w:sz w:val="17"/>
              </w:rPr>
              <w:t>2026-08-12</w:t>
            </w:r>
          </w:p>
        </w:tc>
        <w:tc>
          <w:tcPr>
            <w:tcW w:type="dxa" w:w="1440"/>
            <w:shd w:fill="FAFAFA" w:val="clear"/>
          </w:tcPr>
          <w:p>
            <w:r>
              <w:rPr>
                <w:sz w:val="17"/>
              </w:rPr>
              <w:t>35,952</w:t>
            </w:r>
          </w:p>
        </w:tc>
        <w:tc>
          <w:tcPr>
            <w:tcW w:type="dxa" w:w="1440"/>
            <w:shd w:fill="FAFAFA" w:val="clear"/>
          </w:tcPr>
          <w:p>
            <w:r>
              <w:rPr>
                <w:b/>
                <w:sz w:val="17"/>
              </w:rPr>
              <w:t>37,458</w:t>
            </w:r>
          </w:p>
        </w:tc>
        <w:tc>
          <w:tcPr>
            <w:tcW w:type="dxa" w:w="1440"/>
            <w:shd w:fill="FAFAFA" w:val="clear"/>
          </w:tcPr>
          <w:p>
            <w:r>
              <w:rPr>
                <w:sz w:val="17"/>
              </w:rPr>
              <w:t>38,964</w:t>
            </w:r>
          </w:p>
        </w:tc>
        <w:tc>
          <w:tcPr>
            <w:tcW w:type="dxa" w:w="1440"/>
            <w:shd w:fill="FAFAFA" w:val="clear"/>
          </w:tcPr>
          <w:p>
            <w:r>
              <w:rPr>
                <w:b/>
                <w:color w:val="C00000"/>
                <w:sz w:val="17"/>
              </w:rPr>
              <w:t>-1.2%</w:t>
            </w:r>
          </w:p>
        </w:tc>
      </w:tr>
      <w:tr>
        <w:tc>
          <w:tcPr>
            <w:tcW w:type="dxa" w:w="1440"/>
            <w:shd w:fill="FAFAFA" w:val="clear"/>
          </w:tcPr>
          <w:p>
            <w:r>
              <w:rPr>
                <w:sz w:val="17"/>
              </w:rPr>
              <w:t>J+5  Moyenne</w:t>
            </w:r>
          </w:p>
        </w:tc>
        <w:tc>
          <w:tcPr>
            <w:tcW w:type="dxa" w:w="1440"/>
            <w:shd w:fill="FAFAFA" w:val="clear"/>
          </w:tcPr>
          <w:p>
            <w:r>
              <w:rPr>
                <w:sz w:val="17"/>
              </w:rPr>
              <w:t>2026-08-13</w:t>
            </w:r>
          </w:p>
        </w:tc>
        <w:tc>
          <w:tcPr>
            <w:tcW w:type="dxa" w:w="1440"/>
            <w:shd w:fill="FAFAFA" w:val="clear"/>
          </w:tcPr>
          <w:p>
            <w:r>
              <w:rPr>
                <w:sz w:val="17"/>
              </w:rPr>
              <w:t>35,702</w:t>
            </w:r>
          </w:p>
        </w:tc>
        <w:tc>
          <w:tcPr>
            <w:tcW w:type="dxa" w:w="1440"/>
            <w:shd w:fill="FAFAFA" w:val="clear"/>
          </w:tcPr>
          <w:p>
            <w:r>
              <w:rPr>
                <w:b/>
                <w:sz w:val="17"/>
              </w:rPr>
              <w:t>37,382</w:t>
            </w:r>
          </w:p>
        </w:tc>
        <w:tc>
          <w:tcPr>
            <w:tcW w:type="dxa" w:w="1440"/>
            <w:shd w:fill="FAFAFA" w:val="clear"/>
          </w:tcPr>
          <w:p>
            <w:r>
              <w:rPr>
                <w:sz w:val="17"/>
              </w:rPr>
              <w:t>39,063</w:t>
            </w:r>
          </w:p>
        </w:tc>
        <w:tc>
          <w:tcPr>
            <w:tcW w:type="dxa" w:w="1440"/>
            <w:shd w:fill="FAFAFA" w:val="clear"/>
          </w:tcPr>
          <w:p>
            <w:r>
              <w:rPr>
                <w:b/>
                <w:color w:val="C00000"/>
                <w:sz w:val="17"/>
              </w:rPr>
              <w:t>-1.4%</w:t>
            </w:r>
          </w:p>
        </w:tc>
      </w:tr>
      <w:tr>
        <w:tc>
          <w:tcPr>
            <w:tcW w:type="dxa" w:w="1440"/>
            <w:shd w:fill="FAFAFA" w:val="clear"/>
          </w:tcPr>
          <w:p>
            <w:r>
              <w:rPr>
                <w:sz w:val="17"/>
              </w:rPr>
              <w:t>J+6  Moyenne</w:t>
            </w:r>
          </w:p>
        </w:tc>
        <w:tc>
          <w:tcPr>
            <w:tcW w:type="dxa" w:w="1440"/>
            <w:shd w:fill="FAFAFA" w:val="clear"/>
          </w:tcPr>
          <w:p>
            <w:r>
              <w:rPr>
                <w:sz w:val="17"/>
              </w:rPr>
              <w:t>2026-08-14</w:t>
            </w:r>
          </w:p>
        </w:tc>
        <w:tc>
          <w:tcPr>
            <w:tcW w:type="dxa" w:w="1440"/>
            <w:shd w:fill="FAFAFA" w:val="clear"/>
          </w:tcPr>
          <w:p>
            <w:r>
              <w:rPr>
                <w:sz w:val="17"/>
              </w:rPr>
              <w:t>35,472</w:t>
            </w:r>
          </w:p>
        </w:tc>
        <w:tc>
          <w:tcPr>
            <w:tcW w:type="dxa" w:w="1440"/>
            <w:shd w:fill="FAFAFA" w:val="clear"/>
          </w:tcPr>
          <w:p>
            <w:r>
              <w:rPr>
                <w:b/>
                <w:sz w:val="17"/>
              </w:rPr>
              <w:t>37,309</w:t>
            </w:r>
          </w:p>
        </w:tc>
        <w:tc>
          <w:tcPr>
            <w:tcW w:type="dxa" w:w="1440"/>
            <w:shd w:fill="FAFAFA" w:val="clear"/>
          </w:tcPr>
          <w:p>
            <w:r>
              <w:rPr>
                <w:sz w:val="17"/>
              </w:rPr>
              <w:t>39,146</w:t>
            </w:r>
          </w:p>
        </w:tc>
        <w:tc>
          <w:tcPr>
            <w:tcW w:type="dxa" w:w="1440"/>
            <w:shd w:fill="FAFAFA" w:val="clear"/>
          </w:tcPr>
          <w:p>
            <w:r>
              <w:rPr>
                <w:b/>
                <w:color w:val="C00000"/>
                <w:sz w:val="17"/>
              </w:rPr>
              <w:t>-1.6%</w:t>
            </w:r>
          </w:p>
        </w:tc>
      </w:tr>
      <w:tr>
        <w:tc>
          <w:tcPr>
            <w:tcW w:type="dxa" w:w="1440"/>
            <w:shd w:fill="FAFAFA" w:val="clear"/>
          </w:tcPr>
          <w:p>
            <w:r>
              <w:rPr>
                <w:sz w:val="17"/>
              </w:rPr>
              <w:t>J+7  Moyenne</w:t>
            </w:r>
          </w:p>
        </w:tc>
        <w:tc>
          <w:tcPr>
            <w:tcW w:type="dxa" w:w="1440"/>
            <w:shd w:fill="FAFAFA" w:val="clear"/>
          </w:tcPr>
          <w:p>
            <w:r>
              <w:rPr>
                <w:sz w:val="17"/>
              </w:rPr>
              <w:t>2026-08-17</w:t>
            </w:r>
          </w:p>
        </w:tc>
        <w:tc>
          <w:tcPr>
            <w:tcW w:type="dxa" w:w="1440"/>
            <w:shd w:fill="FAFAFA" w:val="clear"/>
          </w:tcPr>
          <w:p>
            <w:r>
              <w:rPr>
                <w:sz w:val="17"/>
              </w:rPr>
              <w:t>35,257</w:t>
            </w:r>
          </w:p>
        </w:tc>
        <w:tc>
          <w:tcPr>
            <w:tcW w:type="dxa" w:w="1440"/>
            <w:shd w:fill="FAFAFA" w:val="clear"/>
          </w:tcPr>
          <w:p>
            <w:r>
              <w:rPr>
                <w:b/>
                <w:sz w:val="17"/>
              </w:rPr>
              <w:t>37,237</w:t>
            </w:r>
          </w:p>
        </w:tc>
        <w:tc>
          <w:tcPr>
            <w:tcW w:type="dxa" w:w="1440"/>
            <w:shd w:fill="FAFAFA" w:val="clear"/>
          </w:tcPr>
          <w:p>
            <w:r>
              <w:rPr>
                <w:sz w:val="17"/>
              </w:rPr>
              <w:t>39,218</w:t>
            </w:r>
          </w:p>
        </w:tc>
        <w:tc>
          <w:tcPr>
            <w:tcW w:type="dxa" w:w="1440"/>
            <w:shd w:fill="FAFAFA" w:val="clear"/>
          </w:tcPr>
          <w:p>
            <w:r>
              <w:rPr>
                <w:b/>
                <w:color w:val="C00000"/>
                <w:sz w:val="17"/>
              </w:rPr>
              <w:t>-1.8%</w:t>
            </w:r>
          </w:p>
        </w:tc>
      </w:tr>
      <w:tr>
        <w:tc>
          <w:tcPr>
            <w:tcW w:type="dxa" w:w="1440"/>
            <w:shd w:fill="FAFAFA" w:val="clear"/>
          </w:tcPr>
          <w:p>
            <w:r>
              <w:rPr>
                <w:sz w:val="17"/>
              </w:rPr>
              <w:t>J+8  Moyenne</w:t>
            </w:r>
          </w:p>
        </w:tc>
        <w:tc>
          <w:tcPr>
            <w:tcW w:type="dxa" w:w="1440"/>
            <w:shd w:fill="FAFAFA" w:val="clear"/>
          </w:tcPr>
          <w:p>
            <w:r>
              <w:rPr>
                <w:sz w:val="17"/>
              </w:rPr>
              <w:t>2026-08-18</w:t>
            </w:r>
          </w:p>
        </w:tc>
        <w:tc>
          <w:tcPr>
            <w:tcW w:type="dxa" w:w="1440"/>
            <w:shd w:fill="FAFAFA" w:val="clear"/>
          </w:tcPr>
          <w:p>
            <w:r>
              <w:rPr>
                <w:sz w:val="17"/>
              </w:rPr>
              <w:t>35,054</w:t>
            </w:r>
          </w:p>
        </w:tc>
        <w:tc>
          <w:tcPr>
            <w:tcW w:type="dxa" w:w="1440"/>
            <w:shd w:fill="FAFAFA" w:val="clear"/>
          </w:tcPr>
          <w:p>
            <w:r>
              <w:rPr>
                <w:b/>
                <w:sz w:val="17"/>
              </w:rPr>
              <w:t>37,167</w:t>
            </w:r>
          </w:p>
        </w:tc>
        <w:tc>
          <w:tcPr>
            <w:tcW w:type="dxa" w:w="1440"/>
            <w:shd w:fill="FAFAFA" w:val="clear"/>
          </w:tcPr>
          <w:p>
            <w:r>
              <w:rPr>
                <w:sz w:val="17"/>
              </w:rPr>
              <w:t>39,280</w:t>
            </w:r>
          </w:p>
        </w:tc>
        <w:tc>
          <w:tcPr>
            <w:tcW w:type="dxa" w:w="1440"/>
            <w:shd w:fill="FAFAFA" w:val="clear"/>
          </w:tcPr>
          <w:p>
            <w:r>
              <w:rPr>
                <w:b/>
                <w:color w:val="C00000"/>
                <w:sz w:val="17"/>
              </w:rPr>
              <w:t>-1.9%</w:t>
            </w:r>
          </w:p>
        </w:tc>
      </w:tr>
      <w:tr>
        <w:tc>
          <w:tcPr>
            <w:tcW w:type="dxa" w:w="1440"/>
            <w:shd w:fill="FFDCE0" w:val="clear"/>
          </w:tcPr>
          <w:p>
            <w:r>
              <w:rPr>
                <w:sz w:val="17"/>
              </w:rPr>
              <w:t>J+9  Moyenne</w:t>
            </w:r>
          </w:p>
        </w:tc>
        <w:tc>
          <w:tcPr>
            <w:tcW w:type="dxa" w:w="1440"/>
            <w:shd w:fill="FFDCE0" w:val="clear"/>
          </w:tcPr>
          <w:p>
            <w:r>
              <w:rPr>
                <w:sz w:val="17"/>
              </w:rPr>
              <w:t>2026-08-19</w:t>
            </w:r>
          </w:p>
        </w:tc>
        <w:tc>
          <w:tcPr>
            <w:tcW w:type="dxa" w:w="1440"/>
            <w:shd w:fill="FFDCE0" w:val="clear"/>
          </w:tcPr>
          <w:p>
            <w:r>
              <w:rPr>
                <w:sz w:val="17"/>
              </w:rPr>
              <w:t>34,861</w:t>
            </w:r>
          </w:p>
        </w:tc>
        <w:tc>
          <w:tcPr>
            <w:tcW w:type="dxa" w:w="1440"/>
            <w:shd w:fill="FFDCE0" w:val="clear"/>
          </w:tcPr>
          <w:p>
            <w:r>
              <w:rPr>
                <w:b/>
                <w:sz w:val="17"/>
              </w:rPr>
              <w:t>37,098</w:t>
            </w:r>
          </w:p>
        </w:tc>
        <w:tc>
          <w:tcPr>
            <w:tcW w:type="dxa" w:w="1440"/>
            <w:shd w:fill="FFDCE0" w:val="clear"/>
          </w:tcPr>
          <w:p>
            <w:r>
              <w:rPr>
                <w:sz w:val="17"/>
              </w:rPr>
              <w:t>39,335</w:t>
            </w:r>
          </w:p>
        </w:tc>
        <w:tc>
          <w:tcPr>
            <w:tcW w:type="dxa" w:w="1440"/>
            <w:shd w:fill="FFDCE0" w:val="clear"/>
          </w:tcPr>
          <w:p>
            <w:r>
              <w:rPr>
                <w:b/>
                <w:color w:val="C00000"/>
                <w:sz w:val="17"/>
              </w:rPr>
              <w:t>-2.1%</w:t>
            </w:r>
          </w:p>
        </w:tc>
      </w:tr>
      <w:tr>
        <w:tc>
          <w:tcPr>
            <w:tcW w:type="dxa" w:w="1440"/>
            <w:shd w:fill="FFDCE0" w:val="clear"/>
          </w:tcPr>
          <w:p>
            <w:r>
              <w:rPr>
                <w:sz w:val="17"/>
              </w:rPr>
              <w:t>J+10  Moyenne</w:t>
            </w:r>
          </w:p>
        </w:tc>
        <w:tc>
          <w:tcPr>
            <w:tcW w:type="dxa" w:w="1440"/>
            <w:shd w:fill="FFDCE0" w:val="clear"/>
          </w:tcPr>
          <w:p>
            <w:r>
              <w:rPr>
                <w:sz w:val="17"/>
              </w:rPr>
              <w:t>2026-08-20</w:t>
            </w:r>
          </w:p>
        </w:tc>
        <w:tc>
          <w:tcPr>
            <w:tcW w:type="dxa" w:w="1440"/>
            <w:shd w:fill="FFDCE0" w:val="clear"/>
          </w:tcPr>
          <w:p>
            <w:r>
              <w:rPr>
                <w:sz w:val="17"/>
              </w:rPr>
              <w:t>34,676</w:t>
            </w:r>
          </w:p>
        </w:tc>
        <w:tc>
          <w:tcPr>
            <w:tcW w:type="dxa" w:w="1440"/>
            <w:shd w:fill="FFDCE0" w:val="clear"/>
          </w:tcPr>
          <w:p>
            <w:r>
              <w:rPr>
                <w:b/>
                <w:sz w:val="17"/>
              </w:rPr>
              <w:t>37,030</w:t>
            </w:r>
          </w:p>
        </w:tc>
        <w:tc>
          <w:tcPr>
            <w:tcW w:type="dxa" w:w="1440"/>
            <w:shd w:fill="FFDCE0" w:val="clear"/>
          </w:tcPr>
          <w:p>
            <w:r>
              <w:rPr>
                <w:sz w:val="17"/>
              </w:rPr>
              <w:t>39,384</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SGBC s'établit à 1 179,27 milliards FCFA, ce qui en fait l'une des plus importantes valeurs de la BRVM, représentant un poids considérable dans l'indice composite. Avec un BPA de 3 258 FCFA, chaque action génère un bénéfice substantiel, justifiant un PER de 11,6x, légèrement au-dessus de la moyenne historique de la place (~8-12x), ce qui traduit une valorisation raisonnable mais non bon marché. Le P/B de 2,38x indique que le marché accorde une prime de croissance à la banque par rapport à ses capitaux propres comptables, un niveau classique pour les valeurs bancaires de qualité. En revanche, l'EV/EBITDA de 24,5x apparaît très exigeant, signe que le marché intègre des perspectives de croissance élevées, mais aussi une certaine tension sur la création de valeur opérationnelle à court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SGBC affiche une progression totale de +8,30%, avec une légère baisse de -0,25% lors de la dernière séance, reflétant une consolidation après une période haussière. Le cours a évolué dans un range de trading de 6 400 FCFA, entre un plus bas de 32 800 FCFA et un plus haut de 39 200 FCFA, montrant une amplitude de variation significative. La moyenne (36 455 FCFA) est légèrement inférieure à la médiane (36 770 FCFA), indiquant une distribution quasi symétrique des prix, confirmée par un skewness de -0,170. L'écart-type de 2 075 FCFA, avec un coefficient de variation de 5,7%, révèle une dispersion modérée des cours autour de la moyenne. Le kurtosis négatif (-1,415) signale une distribution platykurtique, c'est-à-dire une faible concentration des prix autour de la moyenne, réduisant le risque de mouvements extrêmes. La volatilité annualisée de 24,2% classe le titre dans une zone modérée (15-30%), indiquant des fluctuations notables mais maîtrisées.</w:t>
      </w:r>
    </w:p>
    <w:p>
      <w:pPr>
        <w:spacing w:after="120" w:line="276" w:lineRule="auto" w:before="240"/>
      </w:pPr>
      <w:r>
        <w:rPr>
          <w:b/>
          <w:color w:val="003366"/>
          <w:sz w:val="24"/>
        </w:rPr>
        <w:t>**PARTIE 2 : ANALYSE TECHNIQUE DÉTAILLÉE**</w:t>
      </w:r>
    </w:p>
    <w:p>
      <w:pPr>
        <w:spacing w:after="120" w:line="276" w:lineRule="auto"/>
      </w:pPr>
      <w:r>
        <w:t>Les moyennes mobiles sur 20 et 50 jours (38 151,75 FCFA et 38 336 FCFA respectivement) sont toutes deux supérieures au cours actuel de 37 905 FCFA, signalant une tendance baissière à court et moyen terme. La décision de Vente est justifiée par le fait que le prix évolue sous ses moyennes mobiles, indiquant une pression vendeuse dominante.</w:t>
      </w:r>
    </w:p>
    <w:p>
      <w:pPr>
        <w:spacing w:after="120" w:line="276" w:lineRule="auto"/>
      </w:pPr>
      <w:r>
        <w:t>Les bandes de Bollinger encadrent le cours entre une borne supérieure de 38 861,57 FCFA et une borne inférieure de 37 441,93 FCFA. Le prix actuel se situe dans la partie médiane de l'enveloppe, suggérant une volatilité normale sans extrême. La décision Neutre est appropriée car le cours n'est ni suracheté ni survendu, évoluant dans une zone de consolidation.</w:t>
      </w:r>
    </w:p>
    <w:p>
      <w:pPr>
        <w:spacing w:after="120" w:line="276" w:lineRule="auto"/>
      </w:pPr>
      <w:r>
        <w:t>Le MACD affiche une valeur négative de -81,664, inférieure à son signal (-47,798), confirmant un momentum baissier. La divergence négative entre le MACD et son signal indique que la dynamique des prix reste orientée à la baisse, justifiant la décision de Vente.</w:t>
      </w:r>
    </w:p>
    <w:p>
      <w:pPr>
        <w:spacing w:after="120" w:line="276" w:lineRule="auto"/>
      </w:pPr>
      <w:r>
        <w:t>Le RSI à 39,286 se situe dans la zone neutre (30-70), mais proche de la zone de survente. Cette valeur suggère que le titre n'est ni suracheté ni survendu, mais la faiblesse relative du momentum plaide pour une décision Neutre.</w:t>
      </w:r>
    </w:p>
    <w:p>
      <w:pPr>
        <w:spacing w:after="120" w:line="276" w:lineRule="auto"/>
      </w:pPr>
      <w:r>
        <w:t>Le stochastique montre un %K à 0,0, largement sous le %D à 21,111, indiquant une condition de survente extrême. Ce croisement baissier profond suggère un potentiel de rebond technique, justifiant la décision d'Achat.</w:t>
      </w:r>
    </w:p>
    <w:p>
      <w:pPr>
        <w:spacing w:after="120" w:line="276" w:lineRule="auto"/>
      </w:pPr>
      <w:r>
        <w:t>La conclusion technique est mitigée : les indicateurs de tendance (MM, MACD) signalent une faiblesse, tandis que les oscillateurs (RSI, Stochastique) suggèrent des conditions de survente. Cette divergence indique une possible stabilisation à court terme, mais la tendance de fond reste incertaine.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SGBC révèlent un Produit Net Bancaire (PNB) de 276,048 milliards FCFA, en croissance de +4,88%, et un résultat net de 101,352 milliards FCFA, confirmant la performance record de l'exercice. Le ROE s'établit à 20,47%, nettement au-dessus du seuil d'excellence de 15%, tandis que le ROA atteint 2,69%, témoignant d'une utilisation efficace des actifs. Le coefficient d'exploitation de 38,75% est excellent, bien en dessous du seuil de 60%, démontrant une maîtrise remarquable des coûts. La banque affiche un ratio de solvabilité de 17,7% (S1 2025), largement au-dessus du minimum réglementaire de 12,5%, et un ratio prêts/dépôts amélioré à 84,6% (T3 2025), reflétant une gestion prudente de la liquidité. Les rapports trimestriels 2025 confirment cette dynamique : le T1 2025 montre un PNB de 66,3 milliards FCFA (+1,3%) et un résultat net de 27,1 milliards FCFA (+2,2%), tandis que le S1 2025 affiche un PNB de 132,0 milliards FCFA (+1,0%) et un résultat net de 53,1 milliards FCFA (+10,0%). Sur la base du T3 2025 (PNB de 201,0 milliards FCFA, +2,5%, et résultat net de 83,3 milliards FCFA, +11,7%), on estime que l'exercice 2025 devrait dépasser légèrement les 101 milliards de résultat net, confirmant la trajectoire de croissance rentable. Le rapport annuel 2024 (PNB de 263,2 milliards FCFA, résultat net de 101,2 milliards FCFA) et le rapport T1 2025 montrent une amélioration continue du coefficient d'exploitation (37% au T1 2025). La notation AAA (Bloomfield) et la politique de dividende généreuse (1 863 FCFA par action en 2024) renforcent l'attractivité du titre. Cependant, la hausse du taux de créances en souffrance (NPL à 7,8% au S1 2025) et la baisse du taux de couverture (91%) constituent des points de vigilance.</w:t>
      </w:r>
    </w:p>
    <w:p>
      <w:pPr>
        <w:spacing w:after="120" w:line="276" w:lineRule="auto" w:before="240"/>
      </w:pPr>
      <w:r>
        <w:rPr>
          <w:b/>
          <w:color w:val="003366"/>
          <w:sz w:val="24"/>
        </w:rPr>
        <w:t>**PARTIE 4 : CONCLUSION D'INVESTISSEMENT**</w:t>
      </w:r>
    </w:p>
    <w:p>
      <w:pPr>
        <w:spacing w:after="120" w:line="276" w:lineRule="auto"/>
      </w:pPr>
      <w:r>
        <w:t>La valorisation de SGBC (PER de 11,6x, P/B de 2,38x) apparaît raisonnable pour une banque de cette qualité, bien que l'EV/EBITDA de 24,5x soit exigeant. Le comportement du cours sur 100 jours (+8,30%) montre une tendance positive, avec une volatilité modérée (24,2%) et une distribution symétrique des prix, mais les indicateurs techniques sont partagés : les moyennes mobiles et le MACD signalent une faiblesse, tandis que le stochastique en survente suggère un potentiel de rebond. Les fondamentaux restent solides avec un ROE de 20,47%, un coefficient d'exploitation de 38,75% et une notation AAA, malgré une dégradation légère de la qualité du crédit. Les prédictions IA pour les 10 prochains jours (37 699 à 37 382 FCFA) indiquent une légère baisse, confirmant les signaux techniques baissiers à court terme. La convergence entre la valorisation raisonnable, les fondamentaux robustes et la tendance de fond haussière, malgré des signaux techniques mitigés, justifie une recommandation de **CONSERVER** avec un niveau de confiance **Moyen**. Le risque global est **Moyen**, principalement lié à la qualité du crédit et à la volatilité du marché. L'horizon d'investissement optimal est le **moyen terme (3-12 mois)**, permettant de bénéficier de la croissance des bénéfices et des dividendes tout en attendant une clarification technique.</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144.90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4,696 titres</w:t>
            </w:r>
          </w:p>
        </w:tc>
        <w:tc>
          <w:tcPr>
            <w:tcW w:type="dxa" w:w="2268"/>
            <w:shd w:fill="FFF2CC" w:val="clear"/>
          </w:tcPr>
          <w:p>
            <w:r>
              <w:rPr>
                <w:b/>
                <w:color w:val="503200"/>
                <w:sz w:val="16"/>
              </w:rPr>
              <w:t xml:space="preserve">Cours actuel : </w:t>
            </w:r>
            <w:r>
              <w:rPr>
                <w:color w:val="000000"/>
                <w:sz w:val="17"/>
              </w:rPr>
              <w:t>2,300 FCFA</w:t>
            </w:r>
          </w:p>
          <w:p>
            <w:r>
              <w:rPr>
                <w:b/>
                <w:color w:val="503200"/>
                <w:sz w:val="16"/>
              </w:rPr>
              <w:t xml:space="preserve">Var. 100 jours : </w:t>
            </w:r>
            <w:r>
              <w:rPr>
                <w:b/>
                <w:color w:val="007800"/>
                <w:sz w:val="17"/>
              </w:rPr>
              <w:t>+2.68%</w:t>
            </w:r>
          </w:p>
          <w:p>
            <w:r>
              <w:rPr>
                <w:b/>
                <w:color w:val="503200"/>
                <w:sz w:val="16"/>
              </w:rPr>
              <w:t xml:space="preserve">Plus haut 100j : </w:t>
            </w:r>
            <w:r>
              <w:rPr>
                <w:color w:val="000000"/>
                <w:sz w:val="17"/>
              </w:rPr>
              <w:t>2,325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33.8%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5.69% (Moyenne) — μ=2,101 FCFA, σ=120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β=0.9020 (Neutre (suit le marché)) — Cov=0.000033, Var(idx)=0.000036, ρ=0.255,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4,696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σ_j=2.13%/j (Stable) — Vol. annualisée≈33.8%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2026-08-06</w:t>
            </w:r>
          </w:p>
        </w:tc>
        <w:tc>
          <w:tcPr>
            <w:tcW w:type="dxa" w:w="1440"/>
            <w:shd w:fill="FFDCE0" w:val="clear"/>
          </w:tcPr>
          <w:p>
            <w:r>
              <w:rPr>
                <w:sz w:val="17"/>
              </w:rPr>
              <w:t>2,098</w:t>
            </w:r>
          </w:p>
        </w:tc>
        <w:tc>
          <w:tcPr>
            <w:tcW w:type="dxa" w:w="1440"/>
            <w:shd w:fill="FFDCE0" w:val="clear"/>
          </w:tcPr>
          <w:p>
            <w:r>
              <w:rPr>
                <w:b/>
                <w:sz w:val="17"/>
              </w:rPr>
              <w:t>2,173</w:t>
            </w:r>
          </w:p>
        </w:tc>
        <w:tc>
          <w:tcPr>
            <w:tcW w:type="dxa" w:w="1440"/>
            <w:shd w:fill="FFDCE0" w:val="clear"/>
          </w:tcPr>
          <w:p>
            <w:r>
              <w:rPr>
                <w:sz w:val="17"/>
              </w:rPr>
              <w:t>2,247</w:t>
            </w:r>
          </w:p>
        </w:tc>
        <w:tc>
          <w:tcPr>
            <w:tcW w:type="dxa" w:w="1440"/>
            <w:shd w:fill="FFDCE0" w:val="clear"/>
          </w:tcPr>
          <w:p>
            <w:r>
              <w:rPr>
                <w:b/>
                <w:color w:val="C00000"/>
                <w:sz w:val="17"/>
              </w:rPr>
              <w:t>-5.5%</w:t>
            </w:r>
          </w:p>
        </w:tc>
      </w:tr>
      <w:tr>
        <w:tc>
          <w:tcPr>
            <w:tcW w:type="dxa" w:w="1440"/>
            <w:shd w:fill="FFDCE0" w:val="clear"/>
          </w:tcPr>
          <w:p>
            <w:r>
              <w:rPr>
                <w:sz w:val="17"/>
              </w:rPr>
              <w:t>J+2  Moyenne</w:t>
            </w:r>
          </w:p>
        </w:tc>
        <w:tc>
          <w:tcPr>
            <w:tcW w:type="dxa" w:w="1440"/>
            <w:shd w:fill="FFDCE0" w:val="clear"/>
          </w:tcPr>
          <w:p>
            <w:r>
              <w:rPr>
                <w:sz w:val="17"/>
              </w:rPr>
              <w:t>2026-08-10</w:t>
            </w:r>
          </w:p>
        </w:tc>
        <w:tc>
          <w:tcPr>
            <w:tcW w:type="dxa" w:w="1440"/>
            <w:shd w:fill="FFDCE0" w:val="clear"/>
          </w:tcPr>
          <w:p>
            <w:r>
              <w:rPr>
                <w:sz w:val="17"/>
              </w:rPr>
              <w:t>1,973</w:t>
            </w:r>
          </w:p>
        </w:tc>
        <w:tc>
          <w:tcPr>
            <w:tcW w:type="dxa" w:w="1440"/>
            <w:shd w:fill="FFDCE0" w:val="clear"/>
          </w:tcPr>
          <w:p>
            <w:r>
              <w:rPr>
                <w:b/>
                <w:sz w:val="17"/>
              </w:rPr>
              <w:t>2,074</w:t>
            </w:r>
          </w:p>
        </w:tc>
        <w:tc>
          <w:tcPr>
            <w:tcW w:type="dxa" w:w="1440"/>
            <w:shd w:fill="FFDCE0" w:val="clear"/>
          </w:tcPr>
          <w:p>
            <w:r>
              <w:rPr>
                <w:sz w:val="17"/>
              </w:rPr>
              <w:t>2,175</w:t>
            </w:r>
          </w:p>
        </w:tc>
        <w:tc>
          <w:tcPr>
            <w:tcW w:type="dxa" w:w="1440"/>
            <w:shd w:fill="FFDCE0" w:val="clear"/>
          </w:tcPr>
          <w:p>
            <w:r>
              <w:rPr>
                <w:b/>
                <w:color w:val="C00000"/>
                <w:sz w:val="17"/>
              </w:rPr>
              <w:t>-9.8%</w:t>
            </w:r>
          </w:p>
        </w:tc>
      </w:tr>
      <w:tr>
        <w:tc>
          <w:tcPr>
            <w:tcW w:type="dxa" w:w="1440"/>
            <w:shd w:fill="FFDCE0" w:val="clear"/>
          </w:tcPr>
          <w:p>
            <w:r>
              <w:rPr>
                <w:sz w:val="17"/>
              </w:rPr>
              <w:t>J+3  Moyenne</w:t>
            </w:r>
          </w:p>
        </w:tc>
        <w:tc>
          <w:tcPr>
            <w:tcW w:type="dxa" w:w="1440"/>
            <w:shd w:fill="FFDCE0" w:val="clear"/>
          </w:tcPr>
          <w:p>
            <w:r>
              <w:rPr>
                <w:sz w:val="17"/>
              </w:rPr>
              <w:t>2026-08-11</w:t>
            </w:r>
          </w:p>
        </w:tc>
        <w:tc>
          <w:tcPr>
            <w:tcW w:type="dxa" w:w="1440"/>
            <w:shd w:fill="FFDCE0" w:val="clear"/>
          </w:tcPr>
          <w:p>
            <w:r>
              <w:rPr>
                <w:sz w:val="17"/>
              </w:rPr>
              <w:t>1,869</w:t>
            </w:r>
          </w:p>
        </w:tc>
        <w:tc>
          <w:tcPr>
            <w:tcW w:type="dxa" w:w="1440"/>
            <w:shd w:fill="FFDCE0" w:val="clear"/>
          </w:tcPr>
          <w:p>
            <w:r>
              <w:rPr>
                <w:b/>
                <w:sz w:val="17"/>
              </w:rPr>
              <w:t>1,988</w:t>
            </w:r>
          </w:p>
        </w:tc>
        <w:tc>
          <w:tcPr>
            <w:tcW w:type="dxa" w:w="1440"/>
            <w:shd w:fill="FFDCE0" w:val="clear"/>
          </w:tcPr>
          <w:p>
            <w:r>
              <w:rPr>
                <w:sz w:val="17"/>
              </w:rPr>
              <w:t>2,106</w:t>
            </w:r>
          </w:p>
        </w:tc>
        <w:tc>
          <w:tcPr>
            <w:tcW w:type="dxa" w:w="1440"/>
            <w:shd w:fill="FFDCE0" w:val="clear"/>
          </w:tcPr>
          <w:p>
            <w:r>
              <w:rPr>
                <w:b/>
                <w:color w:val="C00000"/>
                <w:sz w:val="17"/>
              </w:rPr>
              <w:t>-13.6%</w:t>
            </w:r>
          </w:p>
        </w:tc>
      </w:tr>
      <w:tr>
        <w:tc>
          <w:tcPr>
            <w:tcW w:type="dxa" w:w="1440"/>
            <w:shd w:fill="FFDCE0" w:val="clear"/>
          </w:tcPr>
          <w:p>
            <w:r>
              <w:rPr>
                <w:sz w:val="17"/>
              </w:rPr>
              <w:t>J+4  ⭐</w:t>
            </w:r>
          </w:p>
        </w:tc>
        <w:tc>
          <w:tcPr>
            <w:tcW w:type="dxa" w:w="1440"/>
            <w:shd w:fill="FFDCE0" w:val="clear"/>
          </w:tcPr>
          <w:p>
            <w:r>
              <w:rPr>
                <w:sz w:val="17"/>
              </w:rPr>
              <w:t>2026-08-12</w:t>
            </w:r>
          </w:p>
        </w:tc>
        <w:tc>
          <w:tcPr>
            <w:tcW w:type="dxa" w:w="1440"/>
            <w:shd w:fill="FFDCE0" w:val="clear"/>
          </w:tcPr>
          <w:p>
            <w:r>
              <w:rPr>
                <w:sz w:val="17"/>
              </w:rPr>
              <w:t>1,784</w:t>
            </w:r>
          </w:p>
        </w:tc>
        <w:tc>
          <w:tcPr>
            <w:tcW w:type="dxa" w:w="1440"/>
            <w:shd w:fill="FFDCE0" w:val="clear"/>
          </w:tcPr>
          <w:p>
            <w:r>
              <w:rPr>
                <w:b/>
                <w:sz w:val="17"/>
              </w:rPr>
              <w:t>1,916</w:t>
            </w:r>
          </w:p>
        </w:tc>
        <w:tc>
          <w:tcPr>
            <w:tcW w:type="dxa" w:w="1440"/>
            <w:shd w:fill="FFDCE0" w:val="clear"/>
          </w:tcPr>
          <w:p>
            <w:r>
              <w:rPr>
                <w:sz w:val="17"/>
              </w:rPr>
              <w:t>2,048</w:t>
            </w:r>
          </w:p>
        </w:tc>
        <w:tc>
          <w:tcPr>
            <w:tcW w:type="dxa" w:w="1440"/>
            <w:shd w:fill="FFDCE0" w:val="clear"/>
          </w:tcPr>
          <w:p>
            <w:r>
              <w:rPr>
                <w:b/>
                <w:color w:val="C00000"/>
                <w:sz w:val="17"/>
              </w:rPr>
              <w:t>-16.7%</w:t>
            </w:r>
          </w:p>
        </w:tc>
      </w:tr>
      <w:tr>
        <w:tc>
          <w:tcPr>
            <w:tcW w:type="dxa" w:w="1440"/>
            <w:shd w:fill="FFDCE0" w:val="clear"/>
          </w:tcPr>
          <w:p>
            <w:r>
              <w:rPr>
                <w:sz w:val="17"/>
              </w:rPr>
              <w:t>J+5  ⭐</w:t>
            </w:r>
          </w:p>
        </w:tc>
        <w:tc>
          <w:tcPr>
            <w:tcW w:type="dxa" w:w="1440"/>
            <w:shd w:fill="FFDCE0" w:val="clear"/>
          </w:tcPr>
          <w:p>
            <w:r>
              <w:rPr>
                <w:sz w:val="17"/>
              </w:rPr>
              <w:t>2026-08-13</w:t>
            </w:r>
          </w:p>
        </w:tc>
        <w:tc>
          <w:tcPr>
            <w:tcW w:type="dxa" w:w="1440"/>
            <w:shd w:fill="FFDCE0" w:val="clear"/>
          </w:tcPr>
          <w:p>
            <w:r>
              <w:rPr>
                <w:sz w:val="17"/>
              </w:rPr>
              <w:t>1,713</w:t>
            </w:r>
          </w:p>
        </w:tc>
        <w:tc>
          <w:tcPr>
            <w:tcW w:type="dxa" w:w="1440"/>
            <w:shd w:fill="FFDCE0" w:val="clear"/>
          </w:tcPr>
          <w:p>
            <w:r>
              <w:rPr>
                <w:b/>
                <w:sz w:val="17"/>
              </w:rPr>
              <w:t>1,856</w:t>
            </w:r>
          </w:p>
        </w:tc>
        <w:tc>
          <w:tcPr>
            <w:tcW w:type="dxa" w:w="1440"/>
            <w:shd w:fill="FFDCE0" w:val="clear"/>
          </w:tcPr>
          <w:p>
            <w:r>
              <w:rPr>
                <w:sz w:val="17"/>
              </w:rPr>
              <w:t>2,000</w:t>
            </w:r>
          </w:p>
        </w:tc>
        <w:tc>
          <w:tcPr>
            <w:tcW w:type="dxa" w:w="1440"/>
            <w:shd w:fill="FFDCE0" w:val="clear"/>
          </w:tcPr>
          <w:p>
            <w:r>
              <w:rPr>
                <w:b/>
                <w:color w:val="C00000"/>
                <w:sz w:val="17"/>
              </w:rPr>
              <w:t>-19.3%</w:t>
            </w:r>
          </w:p>
        </w:tc>
      </w:tr>
      <w:tr>
        <w:tc>
          <w:tcPr>
            <w:tcW w:type="dxa" w:w="1440"/>
            <w:shd w:fill="FFDCE0" w:val="clear"/>
          </w:tcPr>
          <w:p>
            <w:r>
              <w:rPr>
                <w:sz w:val="17"/>
              </w:rPr>
              <w:t>J+6  ⭐</w:t>
            </w:r>
          </w:p>
        </w:tc>
        <w:tc>
          <w:tcPr>
            <w:tcW w:type="dxa" w:w="1440"/>
            <w:shd w:fill="FFDCE0" w:val="clear"/>
          </w:tcPr>
          <w:p>
            <w:r>
              <w:rPr>
                <w:sz w:val="17"/>
              </w:rPr>
              <w:t>2026-08-14</w:t>
            </w:r>
          </w:p>
        </w:tc>
        <w:tc>
          <w:tcPr>
            <w:tcW w:type="dxa" w:w="1440"/>
            <w:shd w:fill="FFDCE0" w:val="clear"/>
          </w:tcPr>
          <w:p>
            <w:r>
              <w:rPr>
                <w:sz w:val="17"/>
              </w:rPr>
              <w:t>1,654</w:t>
            </w:r>
          </w:p>
        </w:tc>
        <w:tc>
          <w:tcPr>
            <w:tcW w:type="dxa" w:w="1440"/>
            <w:shd w:fill="FFDCE0" w:val="clear"/>
          </w:tcPr>
          <w:p>
            <w:r>
              <w:rPr>
                <w:b/>
                <w:sz w:val="17"/>
              </w:rPr>
              <w:t>1,806</w:t>
            </w:r>
          </w:p>
        </w:tc>
        <w:tc>
          <w:tcPr>
            <w:tcW w:type="dxa" w:w="1440"/>
            <w:shd w:fill="FFDCE0" w:val="clear"/>
          </w:tcPr>
          <w:p>
            <w:r>
              <w:rPr>
                <w:sz w:val="17"/>
              </w:rPr>
              <w:t>1,959</w:t>
            </w:r>
          </w:p>
        </w:tc>
        <w:tc>
          <w:tcPr>
            <w:tcW w:type="dxa" w:w="1440"/>
            <w:shd w:fill="FFDCE0" w:val="clear"/>
          </w:tcPr>
          <w:p>
            <w:r>
              <w:rPr>
                <w:b/>
                <w:color w:val="C00000"/>
                <w:sz w:val="17"/>
              </w:rPr>
              <w:t>-21.5%</w:t>
            </w:r>
          </w:p>
        </w:tc>
      </w:tr>
      <w:tr>
        <w:tc>
          <w:tcPr>
            <w:tcW w:type="dxa" w:w="1440"/>
            <w:shd w:fill="FFDCE0" w:val="clear"/>
          </w:tcPr>
          <w:p>
            <w:r>
              <w:rPr>
                <w:sz w:val="17"/>
              </w:rPr>
              <w:t>J+7  ⭐</w:t>
            </w:r>
          </w:p>
        </w:tc>
        <w:tc>
          <w:tcPr>
            <w:tcW w:type="dxa" w:w="1440"/>
            <w:shd w:fill="FFDCE0" w:val="clear"/>
          </w:tcPr>
          <w:p>
            <w:r>
              <w:rPr>
                <w:sz w:val="17"/>
              </w:rPr>
              <w:t>2026-08-17</w:t>
            </w:r>
          </w:p>
        </w:tc>
        <w:tc>
          <w:tcPr>
            <w:tcW w:type="dxa" w:w="1440"/>
            <w:shd w:fill="FFDCE0" w:val="clear"/>
          </w:tcPr>
          <w:p>
            <w:r>
              <w:rPr>
                <w:sz w:val="17"/>
              </w:rPr>
              <w:t>1,602</w:t>
            </w:r>
          </w:p>
        </w:tc>
        <w:tc>
          <w:tcPr>
            <w:tcW w:type="dxa" w:w="1440"/>
            <w:shd w:fill="FFDCE0" w:val="clear"/>
          </w:tcPr>
          <w:p>
            <w:r>
              <w:rPr>
                <w:b/>
                <w:sz w:val="17"/>
              </w:rPr>
              <w:t>1,763</w:t>
            </w:r>
          </w:p>
        </w:tc>
        <w:tc>
          <w:tcPr>
            <w:tcW w:type="dxa" w:w="1440"/>
            <w:shd w:fill="FFDCE0" w:val="clear"/>
          </w:tcPr>
          <w:p>
            <w:r>
              <w:rPr>
                <w:sz w:val="17"/>
              </w:rPr>
              <w:t>1,924</w:t>
            </w:r>
          </w:p>
        </w:tc>
        <w:tc>
          <w:tcPr>
            <w:tcW w:type="dxa" w:w="1440"/>
            <w:shd w:fill="FFDCE0" w:val="clear"/>
          </w:tcPr>
          <w:p>
            <w:r>
              <w:rPr>
                <w:b/>
                <w:color w:val="C00000"/>
                <w:sz w:val="17"/>
              </w:rPr>
              <w:t>-23.3%</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1,557</w:t>
            </w:r>
          </w:p>
        </w:tc>
        <w:tc>
          <w:tcPr>
            <w:tcW w:type="dxa" w:w="1440"/>
            <w:shd w:fill="FFDCE0" w:val="clear"/>
          </w:tcPr>
          <w:p>
            <w:r>
              <w:rPr>
                <w:b/>
                <w:sz w:val="17"/>
              </w:rPr>
              <w:t>1,725</w:t>
            </w:r>
          </w:p>
        </w:tc>
        <w:tc>
          <w:tcPr>
            <w:tcW w:type="dxa" w:w="1440"/>
            <w:shd w:fill="FFDCE0" w:val="clear"/>
          </w:tcPr>
          <w:p>
            <w:r>
              <w:rPr>
                <w:sz w:val="17"/>
              </w:rPr>
              <w:t>1,893</w:t>
            </w:r>
          </w:p>
        </w:tc>
        <w:tc>
          <w:tcPr>
            <w:tcW w:type="dxa" w:w="1440"/>
            <w:shd w:fill="FFDCE0" w:val="clear"/>
          </w:tcPr>
          <w:p>
            <w:r>
              <w:rPr>
                <w:b/>
                <w:color w:val="C00000"/>
                <w:sz w:val="17"/>
              </w:rPr>
              <w:t>-25.0%</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1,515</w:t>
            </w:r>
          </w:p>
        </w:tc>
        <w:tc>
          <w:tcPr>
            <w:tcW w:type="dxa" w:w="1440"/>
            <w:shd w:fill="FFDCE0" w:val="clear"/>
          </w:tcPr>
          <w:p>
            <w:r>
              <w:rPr>
                <w:b/>
                <w:sz w:val="17"/>
              </w:rPr>
              <w:t>1,690</w:t>
            </w:r>
          </w:p>
        </w:tc>
        <w:tc>
          <w:tcPr>
            <w:tcW w:type="dxa" w:w="1440"/>
            <w:shd w:fill="FFDCE0" w:val="clear"/>
          </w:tcPr>
          <w:p>
            <w:r>
              <w:rPr>
                <w:sz w:val="17"/>
              </w:rPr>
              <w:t>1,865</w:t>
            </w:r>
          </w:p>
        </w:tc>
        <w:tc>
          <w:tcPr>
            <w:tcW w:type="dxa" w:w="1440"/>
            <w:shd w:fill="FFDCE0" w:val="clear"/>
          </w:tcPr>
          <w:p>
            <w:r>
              <w:rPr>
                <w:b/>
                <w:color w:val="C00000"/>
                <w:sz w:val="17"/>
              </w:rPr>
              <w:t>-26.5%</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1,477</w:t>
            </w:r>
          </w:p>
        </w:tc>
        <w:tc>
          <w:tcPr>
            <w:tcW w:type="dxa" w:w="1440"/>
            <w:shd w:fill="FFDCE0" w:val="clear"/>
          </w:tcPr>
          <w:p>
            <w:r>
              <w:rPr>
                <w:b/>
                <w:sz w:val="17"/>
              </w:rPr>
              <w:t>1,658</w:t>
            </w:r>
          </w:p>
        </w:tc>
        <w:tc>
          <w:tcPr>
            <w:tcW w:type="dxa" w:w="1440"/>
            <w:shd w:fill="FFDCE0" w:val="clear"/>
          </w:tcPr>
          <w:p>
            <w:r>
              <w:rPr>
                <w:sz w:val="17"/>
              </w:rPr>
              <w:t>1,839</w:t>
            </w:r>
          </w:p>
        </w:tc>
        <w:tc>
          <w:tcPr>
            <w:tcW w:type="dxa" w:w="1440"/>
            <w:shd w:fill="FFDCE0" w:val="clear"/>
          </w:tcPr>
          <w:p>
            <w:r>
              <w:rPr>
                <w:b/>
                <w:color w:val="C00000"/>
                <w:sz w:val="17"/>
              </w:rPr>
              <w:t>-27.9%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144,90 milliards FCFA, ce qui en fait une valeur de taille moyenne sur la BRVM. Le BPA de 96 FCFA par action, combiné à un cours de 2 300 FCFA, conduit à un PER de 24,0x, très supérieur à la moyenne historique de la BRVM (8-12x). Ce niveau de valorisation intègre des attentes de croissance élevées, mais il expose le titre à un risque de correction si les résultats déçoivent. Le P/B de 5,34x confirme cette prime, le marché valorisant le titre plus de cinq fois sa valeur comptable, ce qui reflète une confiance dans la marque et la position de leader de l'entreprise. Enfin, l'EV/EBITDA de 12,9x, bien que dans la fourchette haute (10-15x), indique que la valeur totale de l'entreprise reste cohérente avec sa capacité opérationnelle à générer de l'EBITDA.</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SHEC a progressé de +2,68%, avec une légère baisse de -1,08% lors de la dernière séance, s'établissant à 2 300 FCFA. Le titre a évolué dans une fourchette de 1 840 à 2 325 FCFA, démontrant une amplitude de 485 FCFA. La moyenne (2 101 FCFA) est inférieure à la médiane (2 155 FCFA), indiquant une distribution légèrement asymétrique avec quelques valeurs extrêmes basses. L'écart-type de 120 FCFA (CV=5,7%) révèle une dispersion modérée autour de la moyenne. Le kurtosis négatif (-1,022) indique une distribution platykurtique, avec moins de pics que la normale, tandis que le skewness de -0,417 suggère une asymétrie négative, avec une queue de distribution plus longue vers les valeurs basses. La volatilité annualisée de 33,8% classe le titre comme très volatil, ce qui est élevé pour une valeur de cette envergure.</w:t>
      </w:r>
    </w:p>
    <w:p>
      <w:pPr>
        <w:spacing w:after="120" w:line="276" w:lineRule="auto" w:before="240"/>
      </w:pPr>
      <w:r>
        <w:rPr>
          <w:b/>
          <w:color w:val="003366"/>
          <w:sz w:val="24"/>
        </w:rPr>
        <w:t>**PARTIE 2 : ANALYSE TECHNIQUE DÉTAILLÉE**</w:t>
      </w:r>
    </w:p>
    <w:p>
      <w:pPr>
        <w:spacing w:after="120" w:line="276" w:lineRule="auto"/>
      </w:pPr>
      <w:r>
        <w:t>Les **Moyennes Mobiles** (MM20=2204,25 et MM50=2144,3) sont toutes deux inférieures au cours actuel de 2 300 FCFA, ce qui confirme une tendance haussière de moyen terme. La MM20 étant au-dessus de la MM50, la dynamique est positive, justifiant la décision d'achat.</w:t>
      </w:r>
    </w:p>
    <w:p>
      <w:pPr>
        <w:spacing w:after="120" w:line="276" w:lineRule="auto"/>
      </w:pPr>
      <w:r>
        <w:t>Les **Bandes de Bollinger** (borne supérieure=2318,234, borne inférieure=2090,266) montrent que le cours est proche de la borne supérieure, indiquant une pression acheteuse soutenue. La décision neutre s'explique par le fait que le cours n'a pas encore franchi la borne supérieure, ce qui pourrait signaler une poursuite de la tendance ou un retournement.</w:t>
      </w:r>
    </w:p>
    <w:p>
      <w:pPr>
        <w:spacing w:after="120" w:line="276" w:lineRule="auto"/>
      </w:pPr>
      <w:r>
        <w:t>Le **MACD** (valeur=35,921, signal=24,984) affiche une divergence positive, avec le MACD au-dessus de sa ligne de signal. Cela confirme un momentum haussier, justifiant la décision d'achat.</w:t>
      </w:r>
    </w:p>
    <w:p>
      <w:pPr>
        <w:spacing w:after="120" w:line="276" w:lineRule="auto"/>
      </w:pPr>
      <w:r>
        <w:t>Le **RSI** à 59,259 est dans la zone neutre (30-70), indiquant que le titre n'est ni suracheté ni survendu. Cette valeur suggère qu'il y a encore de la marge avant d'atteindre des conditions de surachat, mais la décision reste neutre.</w:t>
      </w:r>
    </w:p>
    <w:p>
      <w:pPr>
        <w:spacing w:after="120" w:line="276" w:lineRule="auto"/>
      </w:pPr>
      <w:r>
        <w:t>Le **Stochastique** (%K=88,636, %D=96,212) est en zone de surachat, avec %K sous %D, signalant un potentiel retournement baissier. La décision de vente est donc justifiée, car les conditions de surachat sont extrêmes.</w:t>
      </w:r>
    </w:p>
    <w:p>
      <w:pPr>
        <w:spacing w:after="120" w:line="276" w:lineRule="auto"/>
      </w:pPr>
      <w:r>
        <w:t>**Conclusion technique** : Les indicateurs sont mitigés. Les moyennes mobiles et le MACD soutiennent une tendance haussière, mais le stochastique en surachat et le RSI neutre suggèrent une possible consolidation à court terme. La prudence est de mise, car le titre pourrait corriger après une hausse soutenue.</w:t>
      </w:r>
    </w:p>
    <w:p>
      <w:pPr>
        <w:spacing w:after="120" w:line="276" w:lineRule="auto" w:before="240"/>
      </w:pPr>
      <w:r>
        <w:rPr>
          <w:b/>
          <w:color w:val="003366"/>
          <w:sz w:val="24"/>
        </w:rPr>
        <w:t>**PARTIE 3 : ANALYSE FONDAMENTALE (SECTION CRITIQUE)**</w:t>
      </w:r>
    </w:p>
    <w:p>
      <w:pPr>
        <w:spacing w:after="120" w:line="276" w:lineRule="auto"/>
      </w:pPr>
      <w:r>
        <w:t>En 2025, SHEC (Vivo Energy Côte d'Ivoire) a réalisé un chiffre d'affaires de 604,978 milliards FCFA, en légère progression de +0,71% par rapport à 2024 (600,708 milliards FCFA). Le résultat net s'établit à 6,028 milliards FCFA, en hausse de +12,6% sur un an, grâce à une amélioration de la valeur ajoutée (+15%) et une baisse des charges financières (-17,7%). La marge nette reste faible à 1,0%, mais le ROE est excellent à 22,2%, démontrant une bonne rentabilité des capitaux propres. Le ROA de 3,1% est plus modeste, reflétant la lourdeur du bilan (193,561 milliards FCFA). En tant qu'entreprise de distribution pétrolière, le BFR est positif à 15,315 milliards FCFA, avec un délai clients de 23,27 jours et un délai fournisseurs de 35,47 jours, ce qui est acceptable. Le ratio d'endettement de 43,9% et la capacité de remboursement de 0,97 an sont rassurants. Sur la base du rapport T1 2026 (CA en baisse de -9% à 141,649 milliards FCFA), on estime que l'exercice 2026 pourrait être plus difficile, avec une possible stagnation du résultat net. Les rapports de 2024 et 2025 confirment une tendance de croissance modérée mais régulière, avec un résultat net en hausse de 33% en 2024 et de 13% en 2025. La recommandation des analystes est de conserver le titre, en raison de la faiblesse des marges et de la dégradation de la trésorerie nette (-65,264 milliards FCFA).</w:t>
      </w:r>
    </w:p>
    <w:p>
      <w:pPr>
        <w:spacing w:after="120" w:line="276" w:lineRule="auto" w:before="240"/>
      </w:pPr>
      <w:r>
        <w:rPr>
          <w:b/>
          <w:color w:val="003366"/>
          <w:sz w:val="24"/>
        </w:rPr>
        <w:t>**PARTIE 4 : CONCLUSION D'INVESTISSEMENT**</w:t>
      </w:r>
    </w:p>
    <w:p>
      <w:pPr>
        <w:spacing w:after="120" w:line="276" w:lineRule="auto"/>
      </w:pPr>
      <w:r>
        <w:t>La valorisation de SHEC est exigeante, avec un PER de 24,0x et un P/B de 5,34x, indiquant une surévaluation relative par rapport aux moyennes du marché BRVM. Le comportement du cours sur 100 jours montre une tendance haussière modérée, mais la volatilité élevée (33,8%) et le skewness négatif suggèrent un risque de baisse. Les signaux techniques sont mitigés : les moyennes mobiles et le MACD sont positifs, mais le stochastique en surachat et le RSI neutre indiquent une possible consolidation. Fondamentalement, la société est rentable (ROE de 22,2%) mais avec une marge nette très faible (1%) et une trésorerie nette négative de -65,264 milliards FCFA, ce qui est préoccupant. Les prédictions IA (J+1 à J+10) anticipent une baisse progressive du cours, de 2 173 à 1 856 FCFA, ce qui contredit les signaux techniques haussiers. En synthèse, la valorisation élevée, la fragilité financière et les prédictions baissières convergent vers une recommandation de **CONSERVER** avec un niveau de confiance **Moyen**. Le risque global est **Élevé** en raison de la volatilité et de la faiblesse des marges. L'horizon d'investissement optimal serait de **moyen terme (3-12 mois)**, en attendant une amélioration de la structure financière et une clarification des perspectives de croissance.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 la rentabilit\u00e9, la croissance solide du chiffre d'affaires et des volumes t\u00e9moigne d'une bonne dynamique commerciale. La position de leader sur le march\u00e9 p\u00e9trolier ivoirien justifie le maintien en portefeuille."}</w:t>
      </w:r>
    </w:p>
    <w:p>
      <w:pPr>
        <w:spacing w:before="40"/>
        <w:ind w:left="400"/>
      </w:pPr>
      <w:r>
        <w:rPr>
          <w:sz w:val="18"/>
        </w:rPr>
        <w:t>Vivo Energy Côte d'Ivoire présente des résultats mitigés au T3 2021 avec une croissance du chiffre d'affaires de 16% à 270 milliards FCFA. Malgré cette hausse des revenus, la rentabilité se dégrade avec un résultat d'exploitation en baisse de 13% et un résultat net qui chute de 21% à 1,3 milliard FCFA. La société bénéficie d'une amélioration du volume des ventes (+9%) mais souffre de l'augmentation des coûts de transport et frais de passage. L'impact du COVID-19 sur les activités économiques continue de peser sur les performances. La société maintient néanmoins une position solide sur le marché pétrolier ivoirien en tant que licencié Shell.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'500 millions m³/TM', 'resultat_financier': '-158 millions FCFA', 'resultat_exploitation': '2,438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1,287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270,061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16% à 270,061 millions FCFA</w:t>
      </w:r>
    </w:p>
    <w:p>
      <w:pPr>
        <w:pStyle w:val="ListBullet"/>
        <w:spacing w:before="20" w:after="20"/>
        <w:ind w:left="700"/>
      </w:pPr>
      <w:r>
        <w:rPr>
          <w:sz w:val="18"/>
        </w:rPr>
        <w:t>Volume des ventes en progression de 9% atteignant 500 millions de m³/TM</w:t>
      </w:r>
    </w:p>
    <w:p>
      <w:pPr>
        <w:pStyle w:val="ListBullet"/>
        <w:spacing w:before="20" w:after="20"/>
        <w:ind w:left="700"/>
      </w:pPr>
      <w:r>
        <w:rPr>
          <w:sz w:val="18"/>
        </w:rPr>
        <w:t>Résultat d'exploitation en baisse de 13% à 2,438 millions FCFA</w:t>
      </w:r>
    </w:p>
    <w:p>
      <w:pPr>
        <w:pStyle w:val="ListBullet"/>
        <w:spacing w:before="20" w:after="20"/>
        <w:ind w:left="700"/>
      </w:pPr>
      <w:r>
        <w:rPr>
          <w:sz w:val="18"/>
        </w:rPr>
        <w:t>Résultat net en déclin de 21% à 1,287 million FCFA</w:t>
      </w:r>
    </w:p>
    <w:p>
      <w:pPr>
        <w:pStyle w:val="ListBullet"/>
        <w:spacing w:before="20" w:after="20"/>
        <w:ind w:left="700"/>
      </w:pPr>
      <w:r>
        <w:rPr>
          <w:sz w:val="18"/>
        </w:rPr>
        <w:t>Résultat financier amélioré passant de -373 à -158 millions FCFA</w:t>
      </w:r>
    </w:p>
    <w:p>
      <w:pPr>
        <w:pStyle w:val="ListBullet"/>
        <w:spacing w:before="20" w:after="20"/>
        <w:ind w:left="700"/>
      </w:pPr>
      <w:r>
        <w:rPr>
          <w:sz w:val="18"/>
        </w:rPr>
        <w:t>Augmentation des coûts de transport et frais de passage impactant la marge</w:t>
      </w:r>
    </w:p>
    <w:p>
      <w:pPr>
        <w:spacing w:before="40"/>
        <w:ind w:left="400"/>
      </w:pPr>
      <w:r>
        <w:rPr>
          <w:b/>
          <w:color w:val="C05000"/>
          <w:sz w:val="18"/>
        </w:rPr>
        <w:t xml:space="preserve">⚠️ Risques : </w:t>
      </w:r>
      <w:r>
        <w:rPr>
          <w:sz w:val="18"/>
        </w:rPr>
        <w:t>["\u00c9rosion continue des marges due \u00e0 l'augmentation des co\u00fbts op\u00e9rationnels", "Impact persistant du COVID-19 sur les activit\u00e9s \u00e9conomiques", "Volatilit\u00e9 des prix du p\u00e9trole et des co\u00fbts de transport"]</w:t>
      </w:r>
    </w:p>
    <w:p>
      <w:pPr>
        <w:spacing w:before="40"/>
        <w:ind w:left="400"/>
      </w:pPr>
      <w:r>
        <w:rPr>
          <w:b/>
          <w:color w:val="0064A0"/>
          <w:sz w:val="18"/>
        </w:rPr>
        <w:t xml:space="preserve">🔮 Perspectives : </w:t>
      </w:r>
      <w:r>
        <w:rPr>
          <w:sz w:val="18"/>
        </w:rPr>
        <w:t>La société devrait bénéficier de la reprise économique post-COVID et de la normalisation des activités. L'optimisation des coûts opérationnels sera cruciale pour restaurer la rentabilité tout en maintenant la croissance des volumes.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tant en volumes qu'en rentabilit\u00e9, avec une structure financi\u00e8re renforc\u00e9e et une capacit\u00e9 distributrice attractive. Les perspectives restent favorables dans un contexte de consolidation du march\u00e9 ivoirien des carburants."}</w:t>
      </w:r>
    </w:p>
    <w:p>
      <w:pPr>
        <w:spacing w:before="40"/>
        <w:ind w:left="400"/>
      </w:pPr>
      <w:r>
        <w:rPr>
          <w:sz w:val="18"/>
        </w:rPr>
        <w:t>VIVO ENERGY CÔTE D'IVOIRE présente des résultats financiers exceptionnels pour 2022 avec un chiffre d'affaires de 488,9 milliards FCFA (+33%) et un résultat net de 3,75 milliards FCFA (+59%). La société bénéficie d'une forte croissance des volumes (+12%) et d'un effet prix favorable lié à la hausse des prix des carburants et lubrifiants. La situation financière est solide avec un désendettement complet de l'emprunt bancaire et une amélioration significative de la trésorerie. Les performances du premier trimestre 2023 confirment cette dynamique positive avec une croissance continue du chiffre d'affaires (+33%) et de la rentabilité. La société propose une distribution de dividendes de 3,71 mil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 'tresorerie_nette': '2,75 milliards FCFA', 'variation_tresorerie': '+15,55 milliards FCFA', 'resultat_exploitation': '5,86 milliards FCFA', 'croissance_resultat_net': '59%'}</w:t>
            </w:r>
          </w:p>
        </w:tc>
        <w:tc>
          <w:tcPr>
            <w:tcW w:type="dxa" w:w="2160"/>
          </w:tcPr>
          <w:p>
            <w:pPr>
              <w:ind w:left="100"/>
            </w:pPr>
            <w:r/>
            <w:r>
              <w:rPr>
                <w:b/>
                <w:sz w:val="16"/>
              </w:rPr>
              <w:t>dividende</w:t>
              <w:br/>
            </w:r>
            <w:r>
              <w:rPr>
                <w:sz w:val="18"/>
              </w:rPr>
              <w:t>3,71 milliards FCFA au total</w:t>
            </w:r>
          </w:p>
        </w:tc>
        <w:tc>
          <w:tcPr>
            <w:tcW w:type="dxa" w:w="2160"/>
          </w:tcPr>
          <w:p>
            <w:pPr>
              <w:ind w:left="100"/>
            </w:pPr>
            <w:r/>
            <w:r>
              <w:rPr>
                <w:b/>
                <w:sz w:val="16"/>
              </w:rPr>
              <w:t>marge_nette</w:t>
              <w:br/>
            </w:r>
            <w:r>
              <w:rPr>
                <w:sz w:val="18"/>
              </w:rPr>
              <w:t>0,77%</w:t>
            </w:r>
          </w:p>
        </w:tc>
        <w:tc>
          <w:tcPr>
            <w:tcW w:type="dxa" w:w="2160"/>
          </w:tcPr>
          <w:p>
            <w:pPr>
              <w:ind w:left="100"/>
            </w:pPr>
            <w:r/>
            <w:r>
              <w:rPr>
                <w:b/>
                <w:sz w:val="16"/>
              </w:rPr>
              <w:t>total_actif</w:t>
              <w:br/>
            </w:r>
            <w:r>
              <w:rPr>
                <w:sz w:val="18"/>
              </w:rPr>
              <w:t>119,19 milliards FCFA</w:t>
            </w:r>
          </w:p>
        </w:tc>
      </w:tr>
      <w:tr>
        <w:tc>
          <w:tcPr>
            <w:tcW w:type="dxa" w:w="2160"/>
          </w:tcPr>
          <w:p>
            <w:r/>
            <w:r>
              <w:rPr>
                <w:b/>
                <w:sz w:val="16"/>
              </w:rPr>
              <w:t>resultat_net</w:t>
              <w:br/>
            </w:r>
            <w:r>
              <w:rPr>
                <w:sz w:val="18"/>
              </w:rPr>
              <w:t>3,75 milliards FCFA</w:t>
            </w:r>
          </w:p>
        </w:tc>
        <w:tc>
          <w:tcPr>
            <w:tcW w:type="dxa" w:w="2160"/>
          </w:tcPr>
          <w:p>
            <w:r/>
            <w:r>
              <w:rPr>
                <w:b/>
                <w:sz w:val="16"/>
              </w:rPr>
              <w:t>capitaux_propres</w:t>
              <w:br/>
            </w:r>
            <w:r>
              <w:rPr>
                <w:sz w:val="18"/>
              </w:rPr>
              <w:t>23,11 milliards FCFA</w:t>
            </w:r>
          </w:p>
        </w:tc>
        <w:tc>
          <w:tcPr>
            <w:tcW w:type="dxa" w:w="2160"/>
          </w:tcPr>
          <w:p>
            <w:r/>
            <w:r>
              <w:rPr>
                <w:b/>
                <w:sz w:val="16"/>
              </w:rPr>
              <w:t>chiffre_affaires</w:t>
              <w:br/>
            </w:r>
            <w:r>
              <w:rPr>
                <w:sz w:val="18"/>
              </w:rPr>
              <w:t>488,9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2022 en forte hausse de 33% à 488,9 milliards FCFA grâce aux effets volumes (+38 milliards) et prix (+84 milliards)</w:t>
      </w:r>
    </w:p>
    <w:p>
      <w:pPr>
        <w:pStyle w:val="ListBullet"/>
        <w:spacing w:before="20" w:after="20"/>
        <w:ind w:left="700"/>
      </w:pPr>
      <w:r>
        <w:rPr>
          <w:sz w:val="18"/>
        </w:rPr>
        <w:t>Résultat net 2022 en progression de 59% à 3,75 milliards FCFA, démontrant une amélioration de la rentabilité</w:t>
      </w:r>
    </w:p>
    <w:p>
      <w:pPr>
        <w:pStyle w:val="ListBullet"/>
        <w:spacing w:before="20" w:after="20"/>
        <w:ind w:left="700"/>
      </w:pPr>
      <w:r>
        <w:rPr>
          <w:sz w:val="18"/>
        </w:rPr>
        <w:t>Remboursement intégral de l'emprunt bancaire contracté en 2018, renforçant la structure financière</w:t>
      </w:r>
    </w:p>
    <w:p>
      <w:pPr>
        <w:pStyle w:val="ListBullet"/>
        <w:spacing w:before="20" w:after="20"/>
        <w:ind w:left="700"/>
      </w:pPr>
      <w:r>
        <w:rPr>
          <w:sz w:val="18"/>
        </w:rPr>
        <w:t>Amélioration spectaculaire de la trésorerie nette de +15,55 milliards FCFA grâce à l'autofinancement et à la gestion du BFR</w:t>
      </w:r>
    </w:p>
    <w:p>
      <w:pPr>
        <w:pStyle w:val="ListBullet"/>
        <w:spacing w:before="20" w:after="20"/>
        <w:ind w:left="700"/>
      </w:pPr>
      <w:r>
        <w:rPr>
          <w:sz w:val="18"/>
        </w:rPr>
        <w:t>Croissance des volumes de vente de 12% au T1 2023, confirmant la dynamique commerciale positive</w:t>
      </w:r>
    </w:p>
    <w:p>
      <w:pPr>
        <w:pStyle w:val="ListBullet"/>
        <w:spacing w:before="20" w:after="20"/>
        <w:ind w:left="700"/>
      </w:pPr>
      <w:r>
        <w:rPr>
          <w:sz w:val="18"/>
        </w:rPr>
        <w:t>Hausse significative des prix à la pompe sur 2022 (super de 615 à 775 FCFA/L, gasoil de 616 à 655 FCFA/L)</w:t>
      </w:r>
    </w:p>
    <w:p>
      <w:pPr>
        <w:spacing w:before="40"/>
        <w:ind w:left="400"/>
      </w:pPr>
      <w:r>
        <w:rPr>
          <w:b/>
          <w:color w:val="C05000"/>
          <w:sz w:val="18"/>
        </w:rPr>
        <w:t xml:space="preserve">⚠️ Risques : </w:t>
      </w:r>
      <w:r>
        <w:rPr>
          <w:sz w:val="18"/>
        </w:rPr>
        <w:t>["Exposition aux fluctuations des prix du p\u00e9trole et aux variations de change du dollar am\u00e9ricain", "D\u00e9pendance aux prix r\u00e9glement\u00e9s des carburants fix\u00e9s par les autorit\u00e9s ivoiriennes", "Concurrence accrue sur le march\u00e9 ivoirien des carburants et lubrifiants"]</w:t>
      </w:r>
    </w:p>
    <w:p>
      <w:pPr>
        <w:spacing w:before="40"/>
        <w:ind w:left="400"/>
      </w:pPr>
      <w:r>
        <w:rPr>
          <w:b/>
          <w:color w:val="0064A0"/>
          <w:sz w:val="18"/>
        </w:rPr>
        <w:t xml:space="preserve">🔮 Perspectives : </w:t>
      </w:r>
      <w:r>
        <w:rPr>
          <w:sz w:val="18"/>
        </w:rPr>
        <w:t>Les résultats du premier trimestre 2023 (+33% de CA, +54% de résultat d'exploitation) confirment la poursuite de la dynamique positive. La société devrait continuer à bénéficier de sa stratégie de conquête de nouveaux clients et du maintien de prix favorables, tout en consolidant sa position de lead</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925.00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9,120 titres</w:t>
            </w:r>
          </w:p>
        </w:tc>
        <w:tc>
          <w:tcPr>
            <w:tcW w:type="dxa" w:w="2268"/>
            <w:shd w:fill="FFF2CC" w:val="clear"/>
          </w:tcPr>
          <w:p>
            <w:r>
              <w:rPr>
                <w:b/>
                <w:color w:val="503200"/>
                <w:sz w:val="16"/>
              </w:rPr>
              <w:t xml:space="preserve">Cours actuel : </w:t>
            </w:r>
            <w:r>
              <w:rPr>
                <w:color w:val="000000"/>
                <w:sz w:val="17"/>
              </w:rPr>
              <w:t>9,250 FCFA</w:t>
            </w:r>
          </w:p>
          <w:p>
            <w:r>
              <w:rPr>
                <w:b/>
                <w:color w:val="503200"/>
                <w:sz w:val="16"/>
              </w:rPr>
              <w:t xml:space="preserve">Var. 100 jours : </w:t>
            </w:r>
            <w:r>
              <w:rPr>
                <w:b/>
                <w:color w:val="007800"/>
                <w:sz w:val="17"/>
              </w:rPr>
              <w:t>+35.53%</w:t>
            </w:r>
          </w:p>
          <w:p>
            <w:r>
              <w:rPr>
                <w:b/>
                <w:color w:val="503200"/>
                <w:sz w:val="16"/>
              </w:rPr>
              <w:t xml:space="preserve">Plus haut 100j : </w:t>
            </w:r>
            <w:r>
              <w:rPr>
                <w:color w:val="000000"/>
                <w:sz w:val="17"/>
              </w:rPr>
              <w:t>9,300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11.14% (Moyenne) — μ=7,976 FCFA, σ=888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β=0.6104 (Défensif) — Cov=0.000022, Var(idx)=0.000036, ρ=0.206,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9,120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2026-08-06</w:t>
            </w:r>
          </w:p>
        </w:tc>
        <w:tc>
          <w:tcPr>
            <w:tcW w:type="dxa" w:w="1440"/>
            <w:shd w:fill="FFDCE0" w:val="clear"/>
          </w:tcPr>
          <w:p>
            <w:r>
              <w:rPr>
                <w:sz w:val="17"/>
              </w:rPr>
              <w:t>8,669</w:t>
            </w:r>
          </w:p>
        </w:tc>
        <w:tc>
          <w:tcPr>
            <w:tcW w:type="dxa" w:w="1440"/>
            <w:shd w:fill="FFDCE0" w:val="clear"/>
          </w:tcPr>
          <w:p>
            <w:r>
              <w:rPr>
                <w:b/>
                <w:sz w:val="17"/>
              </w:rPr>
              <w:t>8,925</w:t>
            </w:r>
          </w:p>
        </w:tc>
        <w:tc>
          <w:tcPr>
            <w:tcW w:type="dxa" w:w="1440"/>
            <w:shd w:fill="FFDCE0" w:val="clear"/>
          </w:tcPr>
          <w:p>
            <w:r>
              <w:rPr>
                <w:sz w:val="17"/>
              </w:rPr>
              <w:t>9,180</w:t>
            </w:r>
          </w:p>
        </w:tc>
        <w:tc>
          <w:tcPr>
            <w:tcW w:type="dxa" w:w="1440"/>
            <w:shd w:fill="FFDCE0" w:val="clear"/>
          </w:tcPr>
          <w:p>
            <w:r>
              <w:rPr>
                <w:b/>
                <w:color w:val="C00000"/>
                <w:sz w:val="17"/>
              </w:rPr>
              <w:t>-3.5%</w:t>
            </w:r>
          </w:p>
        </w:tc>
      </w:tr>
      <w:tr>
        <w:tc>
          <w:tcPr>
            <w:tcW w:type="dxa" w:w="1440"/>
            <w:shd w:fill="FFDCE0" w:val="clear"/>
          </w:tcPr>
          <w:p>
            <w:r>
              <w:rPr>
                <w:sz w:val="17"/>
              </w:rPr>
              <w:t>J+2  ⭐⭐⭐</w:t>
            </w:r>
          </w:p>
        </w:tc>
        <w:tc>
          <w:tcPr>
            <w:tcW w:type="dxa" w:w="1440"/>
            <w:shd w:fill="FFDCE0" w:val="clear"/>
          </w:tcPr>
          <w:p>
            <w:r>
              <w:rPr>
                <w:sz w:val="17"/>
              </w:rPr>
              <w:t>2026-08-10</w:t>
            </w:r>
          </w:p>
        </w:tc>
        <w:tc>
          <w:tcPr>
            <w:tcW w:type="dxa" w:w="1440"/>
            <w:shd w:fill="FFDCE0" w:val="clear"/>
          </w:tcPr>
          <w:p>
            <w:r>
              <w:rPr>
                <w:sz w:val="17"/>
              </w:rPr>
              <w:t>8,259</w:t>
            </w:r>
          </w:p>
        </w:tc>
        <w:tc>
          <w:tcPr>
            <w:tcW w:type="dxa" w:w="1440"/>
            <w:shd w:fill="FFDCE0" w:val="clear"/>
          </w:tcPr>
          <w:p>
            <w:r>
              <w:rPr>
                <w:b/>
                <w:sz w:val="17"/>
              </w:rPr>
              <w:t>8,607</w:t>
            </w:r>
          </w:p>
        </w:tc>
        <w:tc>
          <w:tcPr>
            <w:tcW w:type="dxa" w:w="1440"/>
            <w:shd w:fill="FFDCE0" w:val="clear"/>
          </w:tcPr>
          <w:p>
            <w:r>
              <w:rPr>
                <w:sz w:val="17"/>
              </w:rPr>
              <w:t>8,956</w:t>
            </w:r>
          </w:p>
        </w:tc>
        <w:tc>
          <w:tcPr>
            <w:tcW w:type="dxa" w:w="1440"/>
            <w:shd w:fill="FFDCE0" w:val="clear"/>
          </w:tcPr>
          <w:p>
            <w:r>
              <w:rPr>
                <w:b/>
                <w:color w:val="C00000"/>
                <w:sz w:val="17"/>
              </w:rPr>
              <w:t>-6.9%</w:t>
            </w:r>
          </w:p>
        </w:tc>
      </w:tr>
      <w:tr>
        <w:tc>
          <w:tcPr>
            <w:tcW w:type="dxa" w:w="1440"/>
            <w:shd w:fill="FFDCE0" w:val="clear"/>
          </w:tcPr>
          <w:p>
            <w:r>
              <w:rPr>
                <w:sz w:val="17"/>
              </w:rPr>
              <w:t>J+3  ⭐⭐⭐</w:t>
            </w:r>
          </w:p>
        </w:tc>
        <w:tc>
          <w:tcPr>
            <w:tcW w:type="dxa" w:w="1440"/>
            <w:shd w:fill="FFDCE0" w:val="clear"/>
          </w:tcPr>
          <w:p>
            <w:r>
              <w:rPr>
                <w:sz w:val="17"/>
              </w:rPr>
              <w:t>2026-08-11</w:t>
            </w:r>
          </w:p>
        </w:tc>
        <w:tc>
          <w:tcPr>
            <w:tcW w:type="dxa" w:w="1440"/>
            <w:shd w:fill="FFDCE0" w:val="clear"/>
          </w:tcPr>
          <w:p>
            <w:r>
              <w:rPr>
                <w:sz w:val="17"/>
              </w:rPr>
              <w:t>7,911</w:t>
            </w:r>
          </w:p>
        </w:tc>
        <w:tc>
          <w:tcPr>
            <w:tcW w:type="dxa" w:w="1440"/>
            <w:shd w:fill="FFDCE0" w:val="clear"/>
          </w:tcPr>
          <w:p>
            <w:r>
              <w:rPr>
                <w:b/>
                <w:sz w:val="17"/>
              </w:rPr>
              <w:t>8,323</w:t>
            </w:r>
          </w:p>
        </w:tc>
        <w:tc>
          <w:tcPr>
            <w:tcW w:type="dxa" w:w="1440"/>
            <w:shd w:fill="FFDCE0" w:val="clear"/>
          </w:tcPr>
          <w:p>
            <w:r>
              <w:rPr>
                <w:sz w:val="17"/>
              </w:rPr>
              <w:t>8,736</w:t>
            </w:r>
          </w:p>
        </w:tc>
        <w:tc>
          <w:tcPr>
            <w:tcW w:type="dxa" w:w="1440"/>
            <w:shd w:fill="FFDCE0" w:val="clear"/>
          </w:tcPr>
          <w:p>
            <w:r>
              <w:rPr>
                <w:b/>
                <w:color w:val="C00000"/>
                <w:sz w:val="17"/>
              </w:rPr>
              <w:t>-10.0%</w:t>
            </w:r>
          </w:p>
        </w:tc>
      </w:tr>
      <w:tr>
        <w:tc>
          <w:tcPr>
            <w:tcW w:type="dxa" w:w="1440"/>
            <w:shd w:fill="FFDCE0" w:val="clear"/>
          </w:tcPr>
          <w:p>
            <w:r>
              <w:rPr>
                <w:sz w:val="17"/>
              </w:rPr>
              <w:t>J+4  Moyenne</w:t>
            </w:r>
          </w:p>
        </w:tc>
        <w:tc>
          <w:tcPr>
            <w:tcW w:type="dxa" w:w="1440"/>
            <w:shd w:fill="FFDCE0" w:val="clear"/>
          </w:tcPr>
          <w:p>
            <w:r>
              <w:rPr>
                <w:sz w:val="17"/>
              </w:rPr>
              <w:t>2026-08-12</w:t>
            </w:r>
          </w:p>
        </w:tc>
        <w:tc>
          <w:tcPr>
            <w:tcW w:type="dxa" w:w="1440"/>
            <w:shd w:fill="FFDCE0" w:val="clear"/>
          </w:tcPr>
          <w:p>
            <w:r>
              <w:rPr>
                <w:sz w:val="17"/>
              </w:rPr>
              <w:t>7,623</w:t>
            </w:r>
          </w:p>
        </w:tc>
        <w:tc>
          <w:tcPr>
            <w:tcW w:type="dxa" w:w="1440"/>
            <w:shd w:fill="FFDCE0" w:val="clear"/>
          </w:tcPr>
          <w:p>
            <w:r>
              <w:rPr>
                <w:b/>
                <w:sz w:val="17"/>
              </w:rPr>
              <w:t>8,086</w:t>
            </w:r>
          </w:p>
        </w:tc>
        <w:tc>
          <w:tcPr>
            <w:tcW w:type="dxa" w:w="1440"/>
            <w:shd w:fill="FFDCE0" w:val="clear"/>
          </w:tcPr>
          <w:p>
            <w:r>
              <w:rPr>
                <w:sz w:val="17"/>
              </w:rPr>
              <w:t>8,548</w:t>
            </w:r>
          </w:p>
        </w:tc>
        <w:tc>
          <w:tcPr>
            <w:tcW w:type="dxa" w:w="1440"/>
            <w:shd w:fill="FFDCE0" w:val="clear"/>
          </w:tcPr>
          <w:p>
            <w:r>
              <w:rPr>
                <w:b/>
                <w:color w:val="C00000"/>
                <w:sz w:val="17"/>
              </w:rPr>
              <w:t>-12.6%</w:t>
            </w:r>
          </w:p>
        </w:tc>
      </w:tr>
      <w:tr>
        <w:tc>
          <w:tcPr>
            <w:tcW w:type="dxa" w:w="1440"/>
            <w:shd w:fill="FFDCE0" w:val="clear"/>
          </w:tcPr>
          <w:p>
            <w:r>
              <w:rPr>
                <w:sz w:val="17"/>
              </w:rPr>
              <w:t>J+5  Moyenne</w:t>
            </w:r>
          </w:p>
        </w:tc>
        <w:tc>
          <w:tcPr>
            <w:tcW w:type="dxa" w:w="1440"/>
            <w:shd w:fill="FFDCE0" w:val="clear"/>
          </w:tcPr>
          <w:p>
            <w:r>
              <w:rPr>
                <w:sz w:val="17"/>
              </w:rPr>
              <w:t>2026-08-13</w:t>
            </w:r>
          </w:p>
        </w:tc>
        <w:tc>
          <w:tcPr>
            <w:tcW w:type="dxa" w:w="1440"/>
            <w:shd w:fill="FFDCE0" w:val="clear"/>
          </w:tcPr>
          <w:p>
            <w:r>
              <w:rPr>
                <w:sz w:val="17"/>
              </w:rPr>
              <w:t>7,382</w:t>
            </w:r>
          </w:p>
        </w:tc>
        <w:tc>
          <w:tcPr>
            <w:tcW w:type="dxa" w:w="1440"/>
            <w:shd w:fill="FFDCE0" w:val="clear"/>
          </w:tcPr>
          <w:p>
            <w:r>
              <w:rPr>
                <w:b/>
                <w:sz w:val="17"/>
              </w:rPr>
              <w:t>7,887</w:t>
            </w:r>
          </w:p>
        </w:tc>
        <w:tc>
          <w:tcPr>
            <w:tcW w:type="dxa" w:w="1440"/>
            <w:shd w:fill="FFDCE0" w:val="clear"/>
          </w:tcPr>
          <w:p>
            <w:r>
              <w:rPr>
                <w:sz w:val="17"/>
              </w:rPr>
              <w:t>8,392</w:t>
            </w:r>
          </w:p>
        </w:tc>
        <w:tc>
          <w:tcPr>
            <w:tcW w:type="dxa" w:w="1440"/>
            <w:shd w:fill="FFDCE0" w:val="clear"/>
          </w:tcPr>
          <w:p>
            <w:r>
              <w:rPr>
                <w:b/>
                <w:color w:val="C00000"/>
                <w:sz w:val="17"/>
              </w:rPr>
              <w:t>-14.7%</w:t>
            </w:r>
          </w:p>
        </w:tc>
      </w:tr>
      <w:tr>
        <w:tc>
          <w:tcPr>
            <w:tcW w:type="dxa" w:w="1440"/>
            <w:shd w:fill="FFDCE0" w:val="clear"/>
          </w:tcPr>
          <w:p>
            <w:r>
              <w:rPr>
                <w:sz w:val="17"/>
              </w:rPr>
              <w:t>J+6  Moyenne</w:t>
            </w:r>
          </w:p>
        </w:tc>
        <w:tc>
          <w:tcPr>
            <w:tcW w:type="dxa" w:w="1440"/>
            <w:shd w:fill="FFDCE0" w:val="clear"/>
          </w:tcPr>
          <w:p>
            <w:r>
              <w:rPr>
                <w:sz w:val="17"/>
              </w:rPr>
              <w:t>2026-08-14</w:t>
            </w:r>
          </w:p>
        </w:tc>
        <w:tc>
          <w:tcPr>
            <w:tcW w:type="dxa" w:w="1440"/>
            <w:shd w:fill="FFDCE0" w:val="clear"/>
          </w:tcPr>
          <w:p>
            <w:r>
              <w:rPr>
                <w:sz w:val="17"/>
              </w:rPr>
              <w:t>7,177</w:t>
            </w:r>
          </w:p>
        </w:tc>
        <w:tc>
          <w:tcPr>
            <w:tcW w:type="dxa" w:w="1440"/>
            <w:shd w:fill="FFDCE0" w:val="clear"/>
          </w:tcPr>
          <w:p>
            <w:r>
              <w:rPr>
                <w:b/>
                <w:sz w:val="17"/>
              </w:rPr>
              <w:t>7,718</w:t>
            </w:r>
          </w:p>
        </w:tc>
        <w:tc>
          <w:tcPr>
            <w:tcW w:type="dxa" w:w="1440"/>
            <w:shd w:fill="FFDCE0" w:val="clear"/>
          </w:tcPr>
          <w:p>
            <w:r>
              <w:rPr>
                <w:sz w:val="17"/>
              </w:rPr>
              <w:t>8,259</w:t>
            </w:r>
          </w:p>
        </w:tc>
        <w:tc>
          <w:tcPr>
            <w:tcW w:type="dxa" w:w="1440"/>
            <w:shd w:fill="FFDCE0" w:val="clear"/>
          </w:tcPr>
          <w:p>
            <w:r>
              <w:rPr>
                <w:b/>
                <w:color w:val="C00000"/>
                <w:sz w:val="17"/>
              </w:rPr>
              <w:t>-16.6%</w:t>
            </w:r>
          </w:p>
        </w:tc>
      </w:tr>
      <w:tr>
        <w:tc>
          <w:tcPr>
            <w:tcW w:type="dxa" w:w="1440"/>
            <w:shd w:fill="FFDCE0" w:val="clear"/>
          </w:tcPr>
          <w:p>
            <w:r>
              <w:rPr>
                <w:sz w:val="17"/>
              </w:rPr>
              <w:t>J+7  Moyenne</w:t>
            </w:r>
          </w:p>
        </w:tc>
        <w:tc>
          <w:tcPr>
            <w:tcW w:type="dxa" w:w="1440"/>
            <w:shd w:fill="FFDCE0" w:val="clear"/>
          </w:tcPr>
          <w:p>
            <w:r>
              <w:rPr>
                <w:sz w:val="17"/>
              </w:rPr>
              <w:t>2026-08-17</w:t>
            </w:r>
          </w:p>
        </w:tc>
        <w:tc>
          <w:tcPr>
            <w:tcW w:type="dxa" w:w="1440"/>
            <w:shd w:fill="FFDCE0" w:val="clear"/>
          </w:tcPr>
          <w:p>
            <w:r>
              <w:rPr>
                <w:sz w:val="17"/>
              </w:rPr>
              <w:t>6,997</w:t>
            </w:r>
          </w:p>
        </w:tc>
        <w:tc>
          <w:tcPr>
            <w:tcW w:type="dxa" w:w="1440"/>
            <w:shd w:fill="FFDCE0" w:val="clear"/>
          </w:tcPr>
          <w:p>
            <w:r>
              <w:rPr>
                <w:b/>
                <w:sz w:val="17"/>
              </w:rPr>
              <w:t>7,570</w:t>
            </w:r>
          </w:p>
        </w:tc>
        <w:tc>
          <w:tcPr>
            <w:tcW w:type="dxa" w:w="1440"/>
            <w:shd w:fill="FFDCE0" w:val="clear"/>
          </w:tcPr>
          <w:p>
            <w:r>
              <w:rPr>
                <w:sz w:val="17"/>
              </w:rPr>
              <w:t>8,144</w:t>
            </w:r>
          </w:p>
        </w:tc>
        <w:tc>
          <w:tcPr>
            <w:tcW w:type="dxa" w:w="1440"/>
            <w:shd w:fill="FFDCE0" w:val="clear"/>
          </w:tcPr>
          <w:p>
            <w:r>
              <w:rPr>
                <w:b/>
                <w:color w:val="C00000"/>
                <w:sz w:val="17"/>
              </w:rPr>
              <w:t>-18.2%</w:t>
            </w:r>
          </w:p>
        </w:tc>
      </w:tr>
      <w:tr>
        <w:tc>
          <w:tcPr>
            <w:tcW w:type="dxa" w:w="1440"/>
            <w:shd w:fill="FFDCE0" w:val="clear"/>
          </w:tcPr>
          <w:p>
            <w:r>
              <w:rPr>
                <w:sz w:val="17"/>
              </w:rPr>
              <w:t>J+8  Moyenne</w:t>
            </w:r>
          </w:p>
        </w:tc>
        <w:tc>
          <w:tcPr>
            <w:tcW w:type="dxa" w:w="1440"/>
            <w:shd w:fill="FFDCE0" w:val="clear"/>
          </w:tcPr>
          <w:p>
            <w:r>
              <w:rPr>
                <w:sz w:val="17"/>
              </w:rPr>
              <w:t>2026-08-18</w:t>
            </w:r>
          </w:p>
        </w:tc>
        <w:tc>
          <w:tcPr>
            <w:tcW w:type="dxa" w:w="1440"/>
            <w:shd w:fill="FFDCE0" w:val="clear"/>
          </w:tcPr>
          <w:p>
            <w:r>
              <w:rPr>
                <w:sz w:val="17"/>
              </w:rPr>
              <w:t>6,838</w:t>
            </w:r>
          </w:p>
        </w:tc>
        <w:tc>
          <w:tcPr>
            <w:tcW w:type="dxa" w:w="1440"/>
            <w:shd w:fill="FFDCE0" w:val="clear"/>
          </w:tcPr>
          <w:p>
            <w:r>
              <w:rPr>
                <w:b/>
                <w:sz w:val="17"/>
              </w:rPr>
              <w:t>7,440</w:t>
            </w:r>
          </w:p>
        </w:tc>
        <w:tc>
          <w:tcPr>
            <w:tcW w:type="dxa" w:w="1440"/>
            <w:shd w:fill="FFDCE0" w:val="clear"/>
          </w:tcPr>
          <w:p>
            <w:r>
              <w:rPr>
                <w:sz w:val="17"/>
              </w:rPr>
              <w:t>8,042</w:t>
            </w:r>
          </w:p>
        </w:tc>
        <w:tc>
          <w:tcPr>
            <w:tcW w:type="dxa" w:w="1440"/>
            <w:shd w:fill="FFDCE0" w:val="clear"/>
          </w:tcPr>
          <w:p>
            <w:r>
              <w:rPr>
                <w:b/>
                <w:color w:val="C00000"/>
                <w:sz w:val="17"/>
              </w:rPr>
              <w:t>-19.6%</w:t>
            </w:r>
          </w:p>
        </w:tc>
      </w:tr>
      <w:tr>
        <w:tc>
          <w:tcPr>
            <w:tcW w:type="dxa" w:w="1440"/>
            <w:shd w:fill="FFDCE0" w:val="clear"/>
          </w:tcPr>
          <w:p>
            <w:r>
              <w:rPr>
                <w:sz w:val="17"/>
              </w:rPr>
              <w:t>J+9  Moyenne</w:t>
            </w:r>
          </w:p>
        </w:tc>
        <w:tc>
          <w:tcPr>
            <w:tcW w:type="dxa" w:w="1440"/>
            <w:shd w:fill="FFDCE0" w:val="clear"/>
          </w:tcPr>
          <w:p>
            <w:r>
              <w:rPr>
                <w:sz w:val="17"/>
              </w:rPr>
              <w:t>2026-08-19</w:t>
            </w:r>
          </w:p>
        </w:tc>
        <w:tc>
          <w:tcPr>
            <w:tcW w:type="dxa" w:w="1440"/>
            <w:shd w:fill="FFDCE0" w:val="clear"/>
          </w:tcPr>
          <w:p>
            <w:r>
              <w:rPr>
                <w:sz w:val="17"/>
              </w:rPr>
              <w:t>6,694</w:t>
            </w:r>
          </w:p>
        </w:tc>
        <w:tc>
          <w:tcPr>
            <w:tcW w:type="dxa" w:w="1440"/>
            <w:shd w:fill="FFDCE0" w:val="clear"/>
          </w:tcPr>
          <w:p>
            <w:r>
              <w:rPr>
                <w:b/>
                <w:sz w:val="17"/>
              </w:rPr>
              <w:t>7,322</w:t>
            </w:r>
          </w:p>
        </w:tc>
        <w:tc>
          <w:tcPr>
            <w:tcW w:type="dxa" w:w="1440"/>
            <w:shd w:fill="FFDCE0" w:val="clear"/>
          </w:tcPr>
          <w:p>
            <w:r>
              <w:rPr>
                <w:sz w:val="17"/>
              </w:rPr>
              <w:t>7,951</w:t>
            </w:r>
          </w:p>
        </w:tc>
        <w:tc>
          <w:tcPr>
            <w:tcW w:type="dxa" w:w="1440"/>
            <w:shd w:fill="FFDCE0" w:val="clear"/>
          </w:tcPr>
          <w:p>
            <w:r>
              <w:rPr>
                <w:b/>
                <w:color w:val="C00000"/>
                <w:sz w:val="17"/>
              </w:rPr>
              <w:t>-20.8%</w:t>
            </w:r>
          </w:p>
        </w:tc>
      </w:tr>
      <w:tr>
        <w:tc>
          <w:tcPr>
            <w:tcW w:type="dxa" w:w="1440"/>
            <w:shd w:fill="FFDCE0" w:val="clear"/>
          </w:tcPr>
          <w:p>
            <w:r>
              <w:rPr>
                <w:sz w:val="17"/>
              </w:rPr>
              <w:t>J+10  Moyenne</w:t>
            </w:r>
          </w:p>
        </w:tc>
        <w:tc>
          <w:tcPr>
            <w:tcW w:type="dxa" w:w="1440"/>
            <w:shd w:fill="FFDCE0" w:val="clear"/>
          </w:tcPr>
          <w:p>
            <w:r>
              <w:rPr>
                <w:sz w:val="17"/>
              </w:rPr>
              <w:t>2026-08-20</w:t>
            </w:r>
          </w:p>
        </w:tc>
        <w:tc>
          <w:tcPr>
            <w:tcW w:type="dxa" w:w="1440"/>
            <w:shd w:fill="FFDCE0" w:val="clear"/>
          </w:tcPr>
          <w:p>
            <w:r>
              <w:rPr>
                <w:sz w:val="17"/>
              </w:rPr>
              <w:t>6,562</w:t>
            </w:r>
          </w:p>
        </w:tc>
        <w:tc>
          <w:tcPr>
            <w:tcW w:type="dxa" w:w="1440"/>
            <w:shd w:fill="FFDCE0" w:val="clear"/>
          </w:tcPr>
          <w:p>
            <w:r>
              <w:rPr>
                <w:b/>
                <w:sz w:val="17"/>
              </w:rPr>
              <w:t>7,215</w:t>
            </w:r>
          </w:p>
        </w:tc>
        <w:tc>
          <w:tcPr>
            <w:tcW w:type="dxa" w:w="1440"/>
            <w:shd w:fill="FFDCE0" w:val="clear"/>
          </w:tcPr>
          <w:p>
            <w:r>
              <w:rPr>
                <w:sz w:val="17"/>
              </w:rPr>
              <w:t>7,868</w:t>
            </w:r>
          </w:p>
        </w:tc>
        <w:tc>
          <w:tcPr>
            <w:tcW w:type="dxa" w:w="1440"/>
            <w:shd w:fill="FFDCE0" w:val="clear"/>
          </w:tcPr>
          <w:p>
            <w:r>
              <w:rPr>
                <w:b/>
                <w:color w:val="C00000"/>
                <w:sz w:val="17"/>
              </w:rPr>
              <w:t>-22.0%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Société Ivoirienne de Banque (SIBC) affiche une capitalisation boursière de 925 milliards FCFA, ce qui en fait l'une des valeurs les plus significatives de la BRVM, reflétant son statut de banque systémique en Côte d'Ivoire. Avec un BPA de 556 FCFA, le titre se négocie à un PER de 16,6x, nettement supérieur à la moyenne historique de la BRVM (8-12x), indiquant que les investisseurs acceptent de payer une prime substantielle pour la qualité des bénéfices de la banque. Le P/B de 4,52x confirme cette valorisation exigeante, le marché valorisant le titre à plus de quatre fois sa valeur comptable, ce qui traduit une forte confiance dans la création de valeur future. Enfin, l'EV/EBITDA de 15,4x, bien que supérieur au seuil de 15x considéré comme exigeant, s'explique par la solidité opérationnelle de la banque et sa capacité à générer des flux de trésorerie stables dans un environnement économique porteur.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SIBC a enregistré une progression spectaculaire de +35,53%, passant d'un plus bas de 6 805 FCFA à un plus haut de 9 300 FCFA, avant de clôturer à 9 250 FCFA, soit une légère baisse de -0,54% lors de la dernière séance. La moyenne du cours sur la période s'établit à 7 976 FCFA, très proche de la médiane de 8 002 FCFA, ce qui indique une distribution relativement symétrique des prix, confirmée par un skewness de -0,024. L'écart-type de 893 FCFA, représentant un coefficient de variation de 11,2%, témoigne d'une dispersion modérée des cours autour de la moyenne. Le kurtosis de -1,826 (platykurtique) révèle une distribution aplatie avec une faible concentration des prix, suggérant des mouvements progressifs plutôt que des pics brutaux. La volatilité annualisée de 28,3% positionne le titre dans une zone de volatilité modérée à élevée, ce qui implique des fluctuations significatives mais maîtrisées, caractéristiques d'une action en phase de rattrapage haussier soutenu.</w:t>
      </w:r>
    </w:p>
    <w:p>
      <w:pPr>
        <w:spacing w:after="120" w:line="276" w:lineRule="auto" w:before="240"/>
      </w:pPr>
      <w:r>
        <w:rPr>
          <w:b/>
          <w:color w:val="003366"/>
          <w:sz w:val="24"/>
        </w:rPr>
        <w:t>**PARTIE 2 : ANALYSE TECHNIQUE DÉTAILLÉE**</w:t>
      </w:r>
    </w:p>
    <w:p>
      <w:pPr>
        <w:spacing w:after="120" w:line="276" w:lineRule="auto"/>
      </w:pPr>
      <w:r>
        <w:t>**Moyennes Mobiles** : Le cours actuel de 9 250 FCFA évolue nettement au-dessus de la MM20 (8 907 FCFA) et de la MM50 (8 827,5 FCFA), confirmant une dynamique haussière solide. L'écart positif entre ces deux moyennes mobiles et le cours indique une tendance bien établie, justifiant la décision d'achat, bien que l'écart important entre le prix et les moyennes suggère un potentiel de consolidation à court terme.</w:t>
      </w:r>
    </w:p>
    <w:p>
      <w:pPr>
        <w:spacing w:after="120" w:line="276" w:lineRule="auto"/>
      </w:pPr>
      <w:r>
        <w:t>**Bandes de Bollinger** : Le prix se situe à 9 250 FCFA, très proche de la borne supérieure de 9 269,9 FCFA, indiquant que le titre est en zone de surachat technique. La largeur des bandes (854,1 à 9 269,9 FCFA) reflète une volatilité accrue, et la position du cours à la limite supérieure suggère une pression acheteuse intense, mais aussi un risque de retournement si cette résistance n'est pas franchie. La décision neutre est donc prudente face à cette configuration.</w:t>
      </w:r>
    </w:p>
    <w:p>
      <w:pPr>
        <w:spacing w:after="120" w:line="276" w:lineRule="auto"/>
      </w:pPr>
      <w:r>
        <w:t>**MACD** : Le MACD (94,592) est nettement supérieur à son signal (72,178), confirmant un momentum haussier positif et une accélération de la tendance. L'écart positif entre ces deux lignes indique que la dynamique d'achat reste dominante, justifiant la décision d'achat, même si l'amplitude de l'écart pourrait signaler une maturité du mouvement.</w:t>
      </w:r>
    </w:p>
    <w:p>
      <w:pPr>
        <w:spacing w:after="120" w:line="276" w:lineRule="auto"/>
      </w:pPr>
      <w:r>
        <w:t>**RSI** : Le RSI de 62,168 se situe dans la zone neutre (30-70), indiquant une pression acheteuse modérée sans atteindre les niveaux de surachat extrême (&gt;70). Cette valeur suggère que le titre dispose encore d'un potentiel haussier sans risque immédiat de retournement, justifiant la décision neutre tout en restant optimiste.</w:t>
      </w:r>
    </w:p>
    <w:p>
      <w:pPr>
        <w:spacing w:after="120" w:line="276" w:lineRule="auto"/>
      </w:pPr>
      <w:r>
        <w:t>**Stochastique** : Le %K (92,308) est très élevé et nettement au-dessus du %D (75,214), indiquant une condition de surachat extrême. Cette configuration, avec un %K proche de 100, signale un épuisement potentiel de la dynamique haussière à court terme, justifiant la décision de vente. Un croisement baissier pourrait se matérialiser si le %K commence à décliner sous le %D.</w:t>
      </w:r>
    </w:p>
    <w:p>
      <w:pPr>
        <w:spacing w:after="120" w:line="276" w:lineRule="auto"/>
      </w:pPr>
      <w:r>
        <w:t>**Conclusion technique** : La convergence des indicateurs de tendance (MM, MACD) vers des signaux d'achat contraste avec les signaux de surachat des oscillateurs (Stochastique, RSI proche de 70). Cette divergence suggère une tendance haussière solide à moyen terme, mais avec un risque accru de correction technique à court terme. La prudence est donc recommandée pour les nouveaux achats à ces niveaux.</w:t>
      </w:r>
    </w:p>
    <w:p>
      <w:pPr>
        <w:spacing w:after="120" w:line="276" w:lineRule="auto" w:before="240"/>
      </w:pPr>
      <w:r>
        <w:rPr>
          <w:b/>
          <w:color w:val="003366"/>
          <w:sz w:val="24"/>
        </w:rPr>
        <w:t>**PARTIE 3 : ANALYSE FONDAMENTALE (SECTION CRITIQUE)**</w:t>
      </w:r>
    </w:p>
    <w:p>
      <w:pPr>
        <w:spacing w:after="120" w:line="276" w:lineRule="auto"/>
      </w:pPr>
      <w:r>
        <w:t>Les données financières structurées de l'exercice 2025 révèlent une banque extrêmement performante. Le Produit Net Bancaire (PNB) s'établit à 108,663 milliards FCFA, générant un résultat net de 55,623 milliards FCFA, soit une marge nette exceptionnelle de 51,19%. Le ROE de 27,16% dépasse largement le seuil d'excellence de 15%, tandis que le ROA de 2,96% témoigne d'une utilisation efficace des actifs. Le coefficient d'exploitation de 38,59% est remarquablement bas, confirmant une gestion rigoureuse des charges. Le ratio de solvabilité générale de 112,21% indique une capacité à couvrir l'ensemble des dettes, bien que l'autonomie financière de 10,88% reste faible, typique du secteur bancaire. Les dépôts clientèle (1 503,441 milliards FCFA) excèdent largement les créances sur la clientèle (1 226,720 milliards FCFA), démontrant une transformation saine. Les rapports trimestriels confirment cette trajectoire : le T1 2025 (PNB +12%, RN +10%), le S1 2025 (PNB +9%, RN +15%) et le T3 2025 (PNB +8%, RN +11%) montrent une progression constante. Le rapport annuel 2024 (PNB 102,8 Mds, RN 50,2 Mds, ROE 30,56%) et le T1 2026 (RN +11% à 15,2 Mds) indiquent une accélération de la croissance. Sur la base de ces tendances, on estime que l'exercice 2026 pourrait voir un PNB dépasser 115 milliards FCFA et un résultat net supérieur à 60 milliards FCFA, confirmant la solidité du modèle économique de la SIB.</w:t>
      </w:r>
    </w:p>
    <w:p>
      <w:pPr>
        <w:spacing w:after="120" w:line="276" w:lineRule="auto" w:before="240"/>
      </w:pPr>
      <w:r>
        <w:rPr>
          <w:b/>
          <w:color w:val="003366"/>
          <w:sz w:val="24"/>
        </w:rPr>
        <w:t>**PARTIE 4 : CONCLUSION D'INVESTISSEMENT**</w:t>
      </w:r>
    </w:p>
    <w:p>
      <w:pPr>
        <w:spacing w:after="120" w:line="276" w:lineRule="auto"/>
      </w:pPr>
      <w:r>
        <w:t>La synthèse globale révèle une configuration contrastée. La valorisation (PER 16,6x, P/B 4,52x) apparaît exigeante par rapport aux standards BRVM, mais se justifie par une rentabilité exceptionnelle (ROE &gt;27%). Le comportement du cours (+35,53% en 100 jours) démontre une dynamique haussière puissante, avec une volatilité modérée (28,3%) et une distribution symétrique des prix. Les signaux techniques sont mitigés : les indicateurs de tendance (MM, MACD) restent positifs, mais les oscillateurs (Stochastique à 92,3, RSI à 62) signalent un surachat imminent. Les fondamentaux sont indiscutablement solides, avec une croissance soutenue du PNB et du résultat net, une maîtrise remarquable des coûts et une qualité d'actifs préservée. Cependant, les prédictions IA pour les 10 prochains jours (9 250 → 7 887 FCFA, soit -14,7%) suggèrent une correction significative à court terme, contredisant la tendance haussière récente. Cette divergence entre les signaux techniques de surachat et la trajectoire prédite par l'IA renforce la probabilité d'un repli technique. **Recommandation : CONSERVER** pour les investisseurs déjà positionnés, avec un niveau de confiance moyen et un risque global moyen. L'horizon optimal serait moyen terme (3-12 mois), permettant d'absorber une éventuelle correction avant de bénéficier de la poursuite de la croissance fondamentale de la banque.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4.25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95 titres</w:t>
            </w:r>
          </w:p>
        </w:tc>
        <w:tc>
          <w:tcPr>
            <w:tcW w:type="dxa" w:w="2268"/>
            <w:shd w:fill="FFF2CC" w:val="clear"/>
          </w:tcPr>
          <w:p>
            <w:r>
              <w:rPr>
                <w:b/>
                <w:color w:val="503200"/>
                <w:sz w:val="16"/>
              </w:rPr>
              <w:t xml:space="preserve">Cours actuel : </w:t>
            </w:r>
            <w:r>
              <w:rPr>
                <w:color w:val="000000"/>
                <w:sz w:val="17"/>
              </w:rPr>
              <w:t>7,085 FCFA</w:t>
            </w:r>
          </w:p>
          <w:p>
            <w:r>
              <w:rPr>
                <w:b/>
                <w:color w:val="503200"/>
                <w:sz w:val="16"/>
              </w:rPr>
              <w:t xml:space="preserve">Var. 100 jours : </w:t>
            </w:r>
            <w:r>
              <w:rPr>
                <w:b/>
                <w:color w:val="007800"/>
                <w:sz w:val="17"/>
              </w:rPr>
              <w:t>+90.97%</w:t>
            </w:r>
          </w:p>
          <w:p>
            <w:r>
              <w:rPr>
                <w:b/>
                <w:color w:val="503200"/>
                <w:sz w:val="16"/>
              </w:rPr>
              <w:t xml:space="preserve">Plus haut 100j : </w:t>
            </w:r>
            <w:r>
              <w:rPr>
                <w:color w:val="000000"/>
                <w:sz w:val="17"/>
              </w:rPr>
              <w:t>7,095 FCFA</w:t>
            </w:r>
          </w:p>
          <w:p>
            <w:r>
              <w:rPr>
                <w:b/>
                <w:color w:val="503200"/>
                <w:sz w:val="16"/>
              </w:rPr>
              <w:t xml:space="preserve">Plus bas 100j : </w:t>
            </w:r>
            <w:r>
              <w:rPr>
                <w:color w:val="000000"/>
                <w:sz w:val="17"/>
              </w:rPr>
              <w:t>3,710 FCFA</w:t>
            </w:r>
          </w:p>
          <w:p>
            <w:r>
              <w:rPr>
                <w:b/>
                <w:color w:val="503200"/>
                <w:sz w:val="16"/>
              </w:rPr>
              <w:t xml:space="preserve">Volatilité ann. : </w:t>
            </w:r>
            <w:r>
              <w:rPr>
                <w:color w:val="000000"/>
                <w:sz w:val="17"/>
              </w:rPr>
              <w:t>54.8%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29.6/100 → Moyen</w:t>
      </w:r>
    </w:p>
    <w:p>
      <w:pPr>
        <w:spacing w:before="40" w:after="80"/>
      </w:pPr>
      <w:r>
        <w:rPr>
          <w:rFonts w:ascii="Courier New" w:hAnsi="Courier New"/>
          <w:color w:val="825A00"/>
          <w:sz w:val="18"/>
        </w:rPr>
        <w:t>█████░░░░░░░░░░░░░░░  29.6/100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14.94% (Moyenne) — μ=4,599 FCFA, σ=687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β=-0.1157 (Contre-cyclique) — Cov=-0.000004, Var(idx)=0.000036, ρ=-0.020,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95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σ_j=3.45%/j (Modérée) — Vol. annualisée≈54.8%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2026-08-06</w:t>
            </w:r>
          </w:p>
        </w:tc>
        <w:tc>
          <w:tcPr>
            <w:tcW w:type="dxa" w:w="1440"/>
            <w:shd w:fill="FAFAFA" w:val="clear"/>
          </w:tcPr>
          <w:p>
            <w:r>
              <w:rPr>
                <w:sz w:val="17"/>
              </w:rPr>
              <w:t>6,596</w:t>
            </w:r>
          </w:p>
        </w:tc>
        <w:tc>
          <w:tcPr>
            <w:tcW w:type="dxa" w:w="1440"/>
            <w:shd w:fill="FAFAFA" w:val="clear"/>
          </w:tcPr>
          <w:p>
            <w:r>
              <w:rPr>
                <w:b/>
                <w:sz w:val="17"/>
              </w:rPr>
              <w:t>7,058</w:t>
            </w:r>
          </w:p>
        </w:tc>
        <w:tc>
          <w:tcPr>
            <w:tcW w:type="dxa" w:w="1440"/>
            <w:shd w:fill="FAFAFA" w:val="clear"/>
          </w:tcPr>
          <w:p>
            <w:r>
              <w:rPr>
                <w:sz w:val="17"/>
              </w:rPr>
              <w:t>7,519</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2026-08-10</w:t>
            </w:r>
          </w:p>
        </w:tc>
        <w:tc>
          <w:tcPr>
            <w:tcW w:type="dxa" w:w="1440"/>
            <w:shd w:fill="FAFAFA" w:val="clear"/>
          </w:tcPr>
          <w:p>
            <w:r>
              <w:rPr>
                <w:sz w:val="17"/>
              </w:rPr>
              <w:t>6,389</w:t>
            </w:r>
          </w:p>
        </w:tc>
        <w:tc>
          <w:tcPr>
            <w:tcW w:type="dxa" w:w="1440"/>
            <w:shd w:fill="FAFAFA" w:val="clear"/>
          </w:tcPr>
          <w:p>
            <w:r>
              <w:rPr>
                <w:b/>
                <w:sz w:val="17"/>
              </w:rPr>
              <w:t>7,040</w:t>
            </w:r>
          </w:p>
        </w:tc>
        <w:tc>
          <w:tcPr>
            <w:tcW w:type="dxa" w:w="1440"/>
            <w:shd w:fill="FAFAFA" w:val="clear"/>
          </w:tcPr>
          <w:p>
            <w:r>
              <w:rPr>
                <w:sz w:val="17"/>
              </w:rPr>
              <w:t>7,691</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2026-08-11</w:t>
            </w:r>
          </w:p>
        </w:tc>
        <w:tc>
          <w:tcPr>
            <w:tcW w:type="dxa" w:w="1440"/>
            <w:shd w:fill="FAFAFA" w:val="clear"/>
          </w:tcPr>
          <w:p>
            <w:r>
              <w:rPr>
                <w:sz w:val="17"/>
              </w:rPr>
              <w:t>6,182</w:t>
            </w:r>
          </w:p>
        </w:tc>
        <w:tc>
          <w:tcPr>
            <w:tcW w:type="dxa" w:w="1440"/>
            <w:shd w:fill="FAFAFA" w:val="clear"/>
          </w:tcPr>
          <w:p>
            <w:r>
              <w:rPr>
                <w:b/>
                <w:sz w:val="17"/>
              </w:rPr>
              <w:t>6,972</w:t>
            </w:r>
          </w:p>
        </w:tc>
        <w:tc>
          <w:tcPr>
            <w:tcW w:type="dxa" w:w="1440"/>
            <w:shd w:fill="FAFAFA" w:val="clear"/>
          </w:tcPr>
          <w:p>
            <w:r>
              <w:rPr>
                <w:sz w:val="17"/>
              </w:rPr>
              <w:t>7,762</w:t>
            </w:r>
          </w:p>
        </w:tc>
        <w:tc>
          <w:tcPr>
            <w:tcW w:type="dxa" w:w="1440"/>
            <w:shd w:fill="FAFAFA" w:val="clear"/>
          </w:tcPr>
          <w:p>
            <w:r>
              <w:rPr>
                <w:b/>
                <w:color w:val="C00000"/>
                <w:sz w:val="17"/>
              </w:rPr>
              <w:t>-1.6%</w:t>
            </w:r>
          </w:p>
        </w:tc>
      </w:tr>
      <w:tr>
        <w:tc>
          <w:tcPr>
            <w:tcW w:type="dxa" w:w="1440"/>
            <w:shd w:fill="FFDCE0" w:val="clear"/>
          </w:tcPr>
          <w:p>
            <w:r>
              <w:rPr>
                <w:sz w:val="17"/>
              </w:rPr>
              <w:t>J+4  ⭐</w:t>
            </w:r>
          </w:p>
        </w:tc>
        <w:tc>
          <w:tcPr>
            <w:tcW w:type="dxa" w:w="1440"/>
            <w:shd w:fill="FFDCE0" w:val="clear"/>
          </w:tcPr>
          <w:p>
            <w:r>
              <w:rPr>
                <w:sz w:val="17"/>
              </w:rPr>
              <w:t>2026-08-12</w:t>
            </w:r>
          </w:p>
        </w:tc>
        <w:tc>
          <w:tcPr>
            <w:tcW w:type="dxa" w:w="1440"/>
            <w:shd w:fill="FFDCE0" w:val="clear"/>
          </w:tcPr>
          <w:p>
            <w:r>
              <w:rPr>
                <w:sz w:val="17"/>
              </w:rPr>
              <w:t>5,986</w:t>
            </w:r>
          </w:p>
        </w:tc>
        <w:tc>
          <w:tcPr>
            <w:tcW w:type="dxa" w:w="1440"/>
            <w:shd w:fill="FFDCE0" w:val="clear"/>
          </w:tcPr>
          <w:p>
            <w:r>
              <w:rPr>
                <w:b/>
                <w:sz w:val="17"/>
              </w:rPr>
              <w:t>6,886</w:t>
            </w:r>
          </w:p>
        </w:tc>
        <w:tc>
          <w:tcPr>
            <w:tcW w:type="dxa" w:w="1440"/>
            <w:shd w:fill="FFDCE0" w:val="clear"/>
          </w:tcPr>
          <w:p>
            <w:r>
              <w:rPr>
                <w:sz w:val="17"/>
              </w:rPr>
              <w:t>7,787</w:t>
            </w:r>
          </w:p>
        </w:tc>
        <w:tc>
          <w:tcPr>
            <w:tcW w:type="dxa" w:w="1440"/>
            <w:shd w:fill="FFDCE0" w:val="clear"/>
          </w:tcPr>
          <w:p>
            <w:r>
              <w:rPr>
                <w:b/>
                <w:color w:val="C00000"/>
                <w:sz w:val="17"/>
              </w:rPr>
              <w:t>-2.8%</w:t>
            </w:r>
          </w:p>
        </w:tc>
      </w:tr>
      <w:tr>
        <w:tc>
          <w:tcPr>
            <w:tcW w:type="dxa" w:w="1440"/>
            <w:shd w:fill="FFDCE0" w:val="clear"/>
          </w:tcPr>
          <w:p>
            <w:r>
              <w:rPr>
                <w:sz w:val="17"/>
              </w:rPr>
              <w:t>J+5  ⭐</w:t>
            </w:r>
          </w:p>
        </w:tc>
        <w:tc>
          <w:tcPr>
            <w:tcW w:type="dxa" w:w="1440"/>
            <w:shd w:fill="FFDCE0" w:val="clear"/>
          </w:tcPr>
          <w:p>
            <w:r>
              <w:rPr>
                <w:sz w:val="17"/>
              </w:rPr>
              <w:t>2026-08-13</w:t>
            </w:r>
          </w:p>
        </w:tc>
        <w:tc>
          <w:tcPr>
            <w:tcW w:type="dxa" w:w="1440"/>
            <w:shd w:fill="FFDCE0" w:val="clear"/>
          </w:tcPr>
          <w:p>
            <w:r>
              <w:rPr>
                <w:sz w:val="17"/>
              </w:rPr>
              <w:t>5,799</w:t>
            </w:r>
          </w:p>
        </w:tc>
        <w:tc>
          <w:tcPr>
            <w:tcW w:type="dxa" w:w="1440"/>
            <w:shd w:fill="FFDCE0" w:val="clear"/>
          </w:tcPr>
          <w:p>
            <w:r>
              <w:rPr>
                <w:b/>
                <w:sz w:val="17"/>
              </w:rPr>
              <w:t>6,792</w:t>
            </w:r>
          </w:p>
        </w:tc>
        <w:tc>
          <w:tcPr>
            <w:tcW w:type="dxa" w:w="1440"/>
            <w:shd w:fill="FFDCE0" w:val="clear"/>
          </w:tcPr>
          <w:p>
            <w:r>
              <w:rPr>
                <w:sz w:val="17"/>
              </w:rPr>
              <w:t>7,785</w:t>
            </w:r>
          </w:p>
        </w:tc>
        <w:tc>
          <w:tcPr>
            <w:tcW w:type="dxa" w:w="1440"/>
            <w:shd w:fill="FFDCE0" w:val="clear"/>
          </w:tcPr>
          <w:p>
            <w:r>
              <w:rPr>
                <w:b/>
                <w:color w:val="C00000"/>
                <w:sz w:val="17"/>
              </w:rPr>
              <w:t>-4.1%</w:t>
            </w:r>
          </w:p>
        </w:tc>
      </w:tr>
      <w:tr>
        <w:tc>
          <w:tcPr>
            <w:tcW w:type="dxa" w:w="1440"/>
            <w:shd w:fill="FFDCE0" w:val="clear"/>
          </w:tcPr>
          <w:p>
            <w:r>
              <w:rPr>
                <w:sz w:val="17"/>
              </w:rPr>
              <w:t>J+6  ⭐</w:t>
            </w:r>
          </w:p>
        </w:tc>
        <w:tc>
          <w:tcPr>
            <w:tcW w:type="dxa" w:w="1440"/>
            <w:shd w:fill="FFDCE0" w:val="clear"/>
          </w:tcPr>
          <w:p>
            <w:r>
              <w:rPr>
                <w:sz w:val="17"/>
              </w:rPr>
              <w:t>2026-08-14</w:t>
            </w:r>
          </w:p>
        </w:tc>
        <w:tc>
          <w:tcPr>
            <w:tcW w:type="dxa" w:w="1440"/>
            <w:shd w:fill="FFDCE0" w:val="clear"/>
          </w:tcPr>
          <w:p>
            <w:r>
              <w:rPr>
                <w:sz w:val="17"/>
              </w:rPr>
              <w:t>5,620</w:t>
            </w:r>
          </w:p>
        </w:tc>
        <w:tc>
          <w:tcPr>
            <w:tcW w:type="dxa" w:w="1440"/>
            <w:shd w:fill="FFDCE0" w:val="clear"/>
          </w:tcPr>
          <w:p>
            <w:r>
              <w:rPr>
                <w:b/>
                <w:sz w:val="17"/>
              </w:rPr>
              <w:t>6,692</w:t>
            </w:r>
          </w:p>
        </w:tc>
        <w:tc>
          <w:tcPr>
            <w:tcW w:type="dxa" w:w="1440"/>
            <w:shd w:fill="FFDCE0" w:val="clear"/>
          </w:tcPr>
          <w:p>
            <w:r>
              <w:rPr>
                <w:sz w:val="17"/>
              </w:rPr>
              <w:t>7,764</w:t>
            </w:r>
          </w:p>
        </w:tc>
        <w:tc>
          <w:tcPr>
            <w:tcW w:type="dxa" w:w="1440"/>
            <w:shd w:fill="FFDCE0" w:val="clear"/>
          </w:tcPr>
          <w:p>
            <w:r>
              <w:rPr>
                <w:b/>
                <w:color w:val="C00000"/>
                <w:sz w:val="17"/>
              </w:rPr>
              <w:t>-5.5%</w:t>
            </w:r>
          </w:p>
        </w:tc>
      </w:tr>
      <w:tr>
        <w:tc>
          <w:tcPr>
            <w:tcW w:type="dxa" w:w="1440"/>
            <w:shd w:fill="FFDCE0" w:val="clear"/>
          </w:tcPr>
          <w:p>
            <w:r>
              <w:rPr>
                <w:sz w:val="17"/>
              </w:rPr>
              <w:t>J+7  ⭐</w:t>
            </w:r>
          </w:p>
        </w:tc>
        <w:tc>
          <w:tcPr>
            <w:tcW w:type="dxa" w:w="1440"/>
            <w:shd w:fill="FFDCE0" w:val="clear"/>
          </w:tcPr>
          <w:p>
            <w:r>
              <w:rPr>
                <w:sz w:val="17"/>
              </w:rPr>
              <w:t>2026-08-17</w:t>
            </w:r>
          </w:p>
        </w:tc>
        <w:tc>
          <w:tcPr>
            <w:tcW w:type="dxa" w:w="1440"/>
            <w:shd w:fill="FFDCE0" w:val="clear"/>
          </w:tcPr>
          <w:p>
            <w:r>
              <w:rPr>
                <w:sz w:val="17"/>
              </w:rPr>
              <w:t>5,450</w:t>
            </w:r>
          </w:p>
        </w:tc>
        <w:tc>
          <w:tcPr>
            <w:tcW w:type="dxa" w:w="1440"/>
            <w:shd w:fill="FFDCE0" w:val="clear"/>
          </w:tcPr>
          <w:p>
            <w:r>
              <w:rPr>
                <w:b/>
                <w:sz w:val="17"/>
              </w:rPr>
              <w:t>6,591</w:t>
            </w:r>
          </w:p>
        </w:tc>
        <w:tc>
          <w:tcPr>
            <w:tcW w:type="dxa" w:w="1440"/>
            <w:shd w:fill="FFDCE0" w:val="clear"/>
          </w:tcPr>
          <w:p>
            <w:r>
              <w:rPr>
                <w:sz w:val="17"/>
              </w:rPr>
              <w:t>7,731</w:t>
            </w:r>
          </w:p>
        </w:tc>
        <w:tc>
          <w:tcPr>
            <w:tcW w:type="dxa" w:w="1440"/>
            <w:shd w:fill="FFDCE0" w:val="clear"/>
          </w:tcPr>
          <w:p>
            <w:r>
              <w:rPr>
                <w:b/>
                <w:color w:val="C00000"/>
                <w:sz w:val="17"/>
              </w:rPr>
              <w:t>-7.0%</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5,289</w:t>
            </w:r>
          </w:p>
        </w:tc>
        <w:tc>
          <w:tcPr>
            <w:tcW w:type="dxa" w:w="1440"/>
            <w:shd w:fill="FFDCE0" w:val="clear"/>
          </w:tcPr>
          <w:p>
            <w:r>
              <w:rPr>
                <w:b/>
                <w:sz w:val="17"/>
              </w:rPr>
              <w:t>6,489</w:t>
            </w:r>
          </w:p>
        </w:tc>
        <w:tc>
          <w:tcPr>
            <w:tcW w:type="dxa" w:w="1440"/>
            <w:shd w:fill="FFDCE0" w:val="clear"/>
          </w:tcPr>
          <w:p>
            <w:r>
              <w:rPr>
                <w:sz w:val="17"/>
              </w:rPr>
              <w:t>7,689</w:t>
            </w:r>
          </w:p>
        </w:tc>
        <w:tc>
          <w:tcPr>
            <w:tcW w:type="dxa" w:w="1440"/>
            <w:shd w:fill="FFDCE0" w:val="clear"/>
          </w:tcPr>
          <w:p>
            <w:r>
              <w:rPr>
                <w:b/>
                <w:color w:val="C00000"/>
                <w:sz w:val="17"/>
              </w:rPr>
              <w:t>-8.4%</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5,135</w:t>
            </w:r>
          </w:p>
        </w:tc>
        <w:tc>
          <w:tcPr>
            <w:tcW w:type="dxa" w:w="1440"/>
            <w:shd w:fill="FFDCE0" w:val="clear"/>
          </w:tcPr>
          <w:p>
            <w:r>
              <w:rPr>
                <w:b/>
                <w:sz w:val="17"/>
              </w:rPr>
              <w:t>6,388</w:t>
            </w:r>
          </w:p>
        </w:tc>
        <w:tc>
          <w:tcPr>
            <w:tcW w:type="dxa" w:w="1440"/>
            <w:shd w:fill="FFDCE0" w:val="clear"/>
          </w:tcPr>
          <w:p>
            <w:r>
              <w:rPr>
                <w:sz w:val="17"/>
              </w:rPr>
              <w:t>7,642</w:t>
            </w:r>
          </w:p>
        </w:tc>
        <w:tc>
          <w:tcPr>
            <w:tcW w:type="dxa" w:w="1440"/>
            <w:shd w:fill="FFDCE0" w:val="clear"/>
          </w:tcPr>
          <w:p>
            <w:r>
              <w:rPr>
                <w:b/>
                <w:color w:val="C00000"/>
                <w:sz w:val="17"/>
              </w:rPr>
              <w:t>-9.8%</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4,990</w:t>
            </w:r>
          </w:p>
        </w:tc>
        <w:tc>
          <w:tcPr>
            <w:tcW w:type="dxa" w:w="1440"/>
            <w:shd w:fill="FFDCE0" w:val="clear"/>
          </w:tcPr>
          <w:p>
            <w:r>
              <w:rPr>
                <w:b/>
                <w:sz w:val="17"/>
              </w:rPr>
              <w:t>6,291</w:t>
            </w:r>
          </w:p>
        </w:tc>
        <w:tc>
          <w:tcPr>
            <w:tcW w:type="dxa" w:w="1440"/>
            <w:shd w:fill="FFDCE0" w:val="clear"/>
          </w:tcPr>
          <w:p>
            <w:r>
              <w:rPr>
                <w:sz w:val="17"/>
              </w:rPr>
              <w:t>7,592</w:t>
            </w:r>
          </w:p>
        </w:tc>
        <w:tc>
          <w:tcPr>
            <w:tcW w:type="dxa" w:w="1440"/>
            <w:shd w:fill="FFDCE0" w:val="clear"/>
          </w:tcPr>
          <w:p>
            <w:r>
              <w:rPr>
                <w:b/>
                <w:color w:val="C00000"/>
                <w:sz w:val="17"/>
              </w:rPr>
              <w:t>-11.2%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(Société Ivoirienne de Coco Râpé)**</w:t>
        <w:br/>
        <w:t>**Date de l'analyse : 06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SICOR s'établit à 4,25 milliards FCFA, un niveau modeste qui la classe parmi les petites capitalisations de la cote, offrant un profil de risque spécifique avec une liquidité limitée. Les ratios de valorisation (BPA, PER, P/B, EV/EBITDA) ne sont pas calculables, car les données financières structurées nécessaires à leur calcul (nombre d'actions précis, valeur comptable, EBITDA) ne sont pas disponibles dans la base de données consolidée. Cette absence de ratios comparables ne permet pas de positionner le titre par rapport à la moyenne du marché BRVM (PER moyen de 8 à 12 fois). L'investisseur doit donc se tourner vers une analyse fondamentale qualitative et quantitative basée sur les rapports financiers publiés, ainsi que sur l'analyse technique pour évaluer la trajectoire du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SICOR a enregistré une performance spectaculaire de +90,97%, passant d'un plus bas de 3 710 FCFA à un plus haut de 7 095 FCFA, avec une légère consolidation de -0,14% lors de la dernière séance. Cette tendance est fortement haussière, marquée par une moyenne de 4 599 FCFA et une médiane de 4 385 FCFA. L'écart entre la moyenne et la médiane, couplé à un skewness positif de 1,675, indique une distribution asymétrique avec des journées de fortes hausses qui tirent la moyenne vers le haut, la plupart des séances se situant sous ce niveau. L'écart-type de 690 FCFA (CV de 15%) montre une dispersion modérée, mais le kurtosis élevé (2,797) signale un risque de mouvements extrêmes (queues épaisses). La volatilité annualisée de 54,8% est très élevée, reflétant un titre spéculatif et sujet à de fortes fluctuations.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(7 085 FCFA) est nettement au-dessus de la MM20 (5 697 FCFA) et de la MM50 (5 038,8 FCFA). Cette configuration haussière (cours &gt; MM20 &gt; MM50) confirme la tendance de fond, et la décision d'achat est justifiée par la dynamique positive à court et moyen terme.</w:t>
      </w:r>
    </w:p>
    <w:p>
      <w:pPr>
        <w:spacing w:after="120" w:line="276" w:lineRule="auto"/>
      </w:pPr>
      <w:r>
        <w:t>**Bandes de Bollinger** : Le prix se situe à la borne supérieure (7 062 FCFA), indiquant une phase de surachat extrême. La largeur des bandes (écart de 2 730 FCFA) reflète une volatilité très élevée. La décision de vente est cohérente avec un risque de retour vers la moyenne, le titre étant sorti de son canal de volatilité normale.</w:t>
      </w:r>
    </w:p>
    <w:p>
      <w:pPr>
        <w:spacing w:after="120" w:line="276" w:lineRule="auto"/>
      </w:pPr>
      <w:r>
        <w:t>**MACD** : Le MACD (515,13) est nettement au-dessus de son signal (366,84), confirmant un momentum haussier très fort. Cependant, l'écart important entre les deux lignes suggère une possible saturation à court terme. La décision d'achat reste valide tant que le MACD ne croise pas son signal à la baisse.</w:t>
      </w:r>
    </w:p>
    <w:p>
      <w:pPr>
        <w:spacing w:after="120" w:line="276" w:lineRule="auto"/>
      </w:pPr>
      <w:r>
        <w:t>**RSI** : À 80,38, le RSI est en zone de surachat (au-dessus de 70). Cela indique que le titre est surévalué à court terme et qu'un repli technique est probable. La décision de vente est justifiée, car la pression acheteuse a été excessive.</w:t>
      </w:r>
    </w:p>
    <w:p>
      <w:pPr>
        <w:spacing w:after="120" w:line="276" w:lineRule="auto"/>
      </w:pPr>
      <w:r>
        <w:t>**Stochastique** : Le %K (99,44) et le %D (99,81) sont tous deux à des niveaux extrêmes de surachat. Le croisement baissier n'est pas encore intervenu, mais la configuration est très dangereuse pour les acheteurs. La décision de vente est confirmée par cette saturation.</w:t>
      </w:r>
    </w:p>
    <w:p>
      <w:pPr>
        <w:spacing w:after="120" w:line="276" w:lineRule="auto"/>
      </w:pPr>
      <w:r>
        <w:t>**Conclusion technique** : L'ensemble des indicateurs de momentum (RSI, Stochastique, Bollinger) signale une situation de surachat extrême, tandis que les indicateurs de tendance (MM, MACD) restent positifs. Ce conflit indique une forte probabilité de consolidation ou de correction à court terme. La prudence est de mise, et un stop-loss sous la MM20 est recommandé.</w:t>
      </w:r>
    </w:p>
    <w:p>
      <w:pPr>
        <w:spacing w:after="120" w:line="276" w:lineRule="auto"/>
      </w:pPr>
      <w:r>
        <w:t>---</w:t>
      </w:r>
    </w:p>
    <w:p>
      <w:pPr>
        <w:spacing w:after="120" w:line="276" w:lineRule="auto"/>
      </w:pPr>
      <w:r>
        <w:t>### PARTIE 3 : ANALYSE FONDAMENTALE (SECTION CRITIQUE)</w:t>
      </w:r>
    </w:p>
    <w:p>
      <w:pPr>
        <w:spacing w:after="120" w:line="276" w:lineRule="auto"/>
      </w:pPr>
      <w:r>
        <w:t>Les rapports financiers disponibles datent de l'exercice 2023 (publié en 2024) et de l'exercice 2022 (publié en 2023), et sont donc **anciens** (⚠️). Pour l'exercice 2023, le chiffre d'affaires s'est établi à 701,09 millions FCFA, en forte baisse de 38,4% par rapport à 2022 (1 138,17 millions FCFA). Malgré cette contraction, la société a renoué avec les bénéfices, affichant un résultat net positif de +19,25 millions FCFA (contre une perte de -39,95 millions FCFA en 2022), grâce à une réduction drastique des charges (-43,68%). La marge nette reste faible à 2,75%, bien en dessous de la moyenne sectorielle. Le rapport de 2023 souligne un déstockage massif, une concentration sur le marché local et des pertes dues aux vols, mais aussi une amélioration de la rentabilité. Aucun dividende n'a été distribué, les pertes cumulées s'élevant à 689,86 millions FCFA, ce qui bloque toute distribution jusqu'à résorption, probablement pas avant 2025-2026. Les perspectives de redressement sont réelles mais fragiles, dépendantes de la maîtrise des coûts et de la reprise des volumes. La société a convoqué une AG pour approuver les comptes de l'exercice 2024, mais les chiffres de cet exercice ne sont pas encore disponibles dans les rapports analysés.</w:t>
      </w:r>
    </w:p>
    <w:p>
      <w:pPr>
        <w:spacing w:after="120" w:line="276" w:lineRule="auto"/>
      </w:pPr>
      <w:r>
        <w:t>---</w:t>
      </w:r>
    </w:p>
    <w:p>
      <w:pPr>
        <w:spacing w:after="120" w:line="276" w:lineRule="auto"/>
      </w:pPr>
      <w:r>
        <w:t>### PARTIE 4 : CONCLUSION D'INVESTISSEMENT</w:t>
      </w:r>
    </w:p>
    <w:p>
      <w:pPr>
        <w:spacing w:after="120" w:line="276" w:lineRule="auto"/>
      </w:pPr>
      <w:r>
        <w:t>La valorisation boursière de la SICOR ne peut être appréciée via les ratios classiques (PER, P/B) faute de données, mais la capitalisation de 4,25 milliards FCFA semble élevée au regard des fondamentaux historiques (CA de 701 millions FCFA en 2023). Le comportement du cours est extrêmement haussier (+90,97% en 100 jours) mais avec une volatilité annualisée de 54,8% et des statistiques (kurtosis, skewness) qui signalent un risque de retournement brutal. Les signaux techniques sont contradictoires : la tendance (MM, MACD) est positive, mais tous les oscillateurs (RSI, Stochastique, Bollinger) sont en zone de surachat extrême, indiquant une correction imminente. Les fondamentaux, bien qu'en amélioration (retour aux bénéfices en 2023), restent fragiles avec une marge nette de 2,75% et une absence de dividende. Les prédictions IA pour les 10 prochains jours confirment cette analyse, anticipant un repli progressif de 7 058 à 6 792 FCFA. En synthèse, la convergence entre le surachat technique et la prédiction IA suggère une consolidation à court terme. **Recommandation : VENTE** (ou prise de profits) pour les détenteurs, avec un niveau de confiance **Moyen** et un risque global **Élevé**. L'horizon optimal est le **court terme (&lt;3 mois)** pour réintégrer le titre après une correction vers les 5 500-6 000 FCFA, si les fondamentaux 2024 confirment la tendance de redressement.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18.12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5,777 titres</w:t>
            </w:r>
          </w:p>
        </w:tc>
        <w:tc>
          <w:tcPr>
            <w:tcW w:type="dxa" w:w="2268"/>
            <w:shd w:fill="FFF2CC" w:val="clear"/>
          </w:tcPr>
          <w:p>
            <w:r>
              <w:rPr>
                <w:b/>
                <w:color w:val="503200"/>
                <w:sz w:val="16"/>
              </w:rPr>
              <w:t xml:space="preserve">Cours actuel : </w:t>
            </w:r>
            <w:r>
              <w:rPr>
                <w:color w:val="000000"/>
                <w:sz w:val="17"/>
              </w:rPr>
              <w:t>2,075 FCFA</w:t>
            </w:r>
          </w:p>
          <w:p>
            <w:r>
              <w:rPr>
                <w:b/>
                <w:color w:val="503200"/>
                <w:sz w:val="16"/>
              </w:rPr>
              <w:t xml:space="preserve">Var. 100 jours : </w:t>
            </w:r>
            <w:r>
              <w:rPr>
                <w:b/>
                <w:color w:val="B40000"/>
                <w:sz w:val="17"/>
              </w:rPr>
              <w:t>-26.94%</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10.60% (Moyenne) — μ=2,661 FCFA, σ=282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β=0.0727 (Défensif) — Cov=0.000003, Var(idx)=0.000036, ρ=0.014,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σ_j=3.18%/j (Modérée) — Vol. annualisée≈50.4%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2026-08-06</w:t>
            </w:r>
          </w:p>
        </w:tc>
        <w:tc>
          <w:tcPr>
            <w:tcW w:type="dxa" w:w="1440"/>
            <w:shd w:fill="FFDCE0" w:val="clear"/>
          </w:tcPr>
          <w:p>
            <w:r>
              <w:rPr>
                <w:sz w:val="17"/>
              </w:rPr>
              <w:t>1,888</w:t>
            </w:r>
          </w:p>
        </w:tc>
        <w:tc>
          <w:tcPr>
            <w:tcW w:type="dxa" w:w="1440"/>
            <w:shd w:fill="FFDCE0" w:val="clear"/>
          </w:tcPr>
          <w:p>
            <w:r>
              <w:rPr>
                <w:b/>
                <w:sz w:val="17"/>
              </w:rPr>
              <w:t>2,025</w:t>
            </w:r>
          </w:p>
        </w:tc>
        <w:tc>
          <w:tcPr>
            <w:tcW w:type="dxa" w:w="1440"/>
            <w:shd w:fill="FFDCE0" w:val="clear"/>
          </w:tcPr>
          <w:p>
            <w:r>
              <w:rPr>
                <w:sz w:val="17"/>
              </w:rPr>
              <w:t>2,162</w:t>
            </w:r>
          </w:p>
        </w:tc>
        <w:tc>
          <w:tcPr>
            <w:tcW w:type="dxa" w:w="1440"/>
            <w:shd w:fill="FFDCE0" w:val="clear"/>
          </w:tcPr>
          <w:p>
            <w:r>
              <w:rPr>
                <w:b/>
                <w:color w:val="C00000"/>
                <w:sz w:val="17"/>
              </w:rPr>
              <w:t>-2.4%</w:t>
            </w:r>
          </w:p>
        </w:tc>
      </w:tr>
      <w:tr>
        <w:tc>
          <w:tcPr>
            <w:tcW w:type="dxa" w:w="1440"/>
            <w:shd w:fill="FFDCE0" w:val="clear"/>
          </w:tcPr>
          <w:p>
            <w:r>
              <w:rPr>
                <w:sz w:val="17"/>
              </w:rPr>
              <w:t>J+2  ⭐</w:t>
            </w:r>
          </w:p>
        </w:tc>
        <w:tc>
          <w:tcPr>
            <w:tcW w:type="dxa" w:w="1440"/>
            <w:shd w:fill="FFDCE0" w:val="clear"/>
          </w:tcPr>
          <w:p>
            <w:r>
              <w:rPr>
                <w:sz w:val="17"/>
              </w:rPr>
              <w:t>2026-08-10</w:t>
            </w:r>
          </w:p>
        </w:tc>
        <w:tc>
          <w:tcPr>
            <w:tcW w:type="dxa" w:w="1440"/>
            <w:shd w:fill="FFDCE0" w:val="clear"/>
          </w:tcPr>
          <w:p>
            <w:r>
              <w:rPr>
                <w:sz w:val="17"/>
              </w:rPr>
              <w:t>1,794</w:t>
            </w:r>
          </w:p>
        </w:tc>
        <w:tc>
          <w:tcPr>
            <w:tcW w:type="dxa" w:w="1440"/>
            <w:shd w:fill="FFDCE0" w:val="clear"/>
          </w:tcPr>
          <w:p>
            <w:r>
              <w:rPr>
                <w:b/>
                <w:sz w:val="17"/>
              </w:rPr>
              <w:t>1,983</w:t>
            </w:r>
          </w:p>
        </w:tc>
        <w:tc>
          <w:tcPr>
            <w:tcW w:type="dxa" w:w="1440"/>
            <w:shd w:fill="FFDCE0" w:val="clear"/>
          </w:tcPr>
          <w:p>
            <w:r>
              <w:rPr>
                <w:sz w:val="17"/>
              </w:rPr>
              <w:t>2,173</w:t>
            </w:r>
          </w:p>
        </w:tc>
        <w:tc>
          <w:tcPr>
            <w:tcW w:type="dxa" w:w="1440"/>
            <w:shd w:fill="FFDCE0" w:val="clear"/>
          </w:tcPr>
          <w:p>
            <w:r>
              <w:rPr>
                <w:b/>
                <w:color w:val="C00000"/>
                <w:sz w:val="17"/>
              </w:rPr>
              <w:t>-4.4%</w:t>
            </w:r>
          </w:p>
        </w:tc>
      </w:tr>
      <w:tr>
        <w:tc>
          <w:tcPr>
            <w:tcW w:type="dxa" w:w="1440"/>
            <w:shd w:fill="FFDCE0" w:val="clear"/>
          </w:tcPr>
          <w:p>
            <w:r>
              <w:rPr>
                <w:sz w:val="17"/>
              </w:rPr>
              <w:t>J+3  ⭐</w:t>
            </w:r>
          </w:p>
        </w:tc>
        <w:tc>
          <w:tcPr>
            <w:tcW w:type="dxa" w:w="1440"/>
            <w:shd w:fill="FFDCE0" w:val="clear"/>
          </w:tcPr>
          <w:p>
            <w:r>
              <w:rPr>
                <w:sz w:val="17"/>
              </w:rPr>
              <w:t>2026-08-11</w:t>
            </w:r>
          </w:p>
        </w:tc>
        <w:tc>
          <w:tcPr>
            <w:tcW w:type="dxa" w:w="1440"/>
            <w:shd w:fill="FFDCE0" w:val="clear"/>
          </w:tcPr>
          <w:p>
            <w:r>
              <w:rPr>
                <w:sz w:val="17"/>
              </w:rPr>
              <w:t>1,713</w:t>
            </w:r>
          </w:p>
        </w:tc>
        <w:tc>
          <w:tcPr>
            <w:tcW w:type="dxa" w:w="1440"/>
            <w:shd w:fill="FFDCE0" w:val="clear"/>
          </w:tcPr>
          <w:p>
            <w:r>
              <w:rPr>
                <w:b/>
                <w:sz w:val="17"/>
              </w:rPr>
              <w:t>1,940</w:t>
            </w:r>
          </w:p>
        </w:tc>
        <w:tc>
          <w:tcPr>
            <w:tcW w:type="dxa" w:w="1440"/>
            <w:shd w:fill="FFDCE0" w:val="clear"/>
          </w:tcPr>
          <w:p>
            <w:r>
              <w:rPr>
                <w:sz w:val="17"/>
              </w:rPr>
              <w:t>2,167</w:t>
            </w:r>
          </w:p>
        </w:tc>
        <w:tc>
          <w:tcPr>
            <w:tcW w:type="dxa" w:w="1440"/>
            <w:shd w:fill="FFDCE0" w:val="clear"/>
          </w:tcPr>
          <w:p>
            <w:r>
              <w:rPr>
                <w:b/>
                <w:color w:val="C00000"/>
                <w:sz w:val="17"/>
              </w:rPr>
              <w:t>-6.5%</w:t>
            </w:r>
          </w:p>
        </w:tc>
      </w:tr>
      <w:tr>
        <w:tc>
          <w:tcPr>
            <w:tcW w:type="dxa" w:w="1440"/>
            <w:shd w:fill="FFDCE0" w:val="clear"/>
          </w:tcPr>
          <w:p>
            <w:r>
              <w:rPr>
                <w:sz w:val="17"/>
              </w:rPr>
              <w:t>J+4  ⭐</w:t>
            </w:r>
          </w:p>
        </w:tc>
        <w:tc>
          <w:tcPr>
            <w:tcW w:type="dxa" w:w="1440"/>
            <w:shd w:fill="FFDCE0" w:val="clear"/>
          </w:tcPr>
          <w:p>
            <w:r>
              <w:rPr>
                <w:sz w:val="17"/>
              </w:rPr>
              <w:t>2026-08-12</w:t>
            </w:r>
          </w:p>
        </w:tc>
        <w:tc>
          <w:tcPr>
            <w:tcW w:type="dxa" w:w="1440"/>
            <w:shd w:fill="FFDCE0" w:val="clear"/>
          </w:tcPr>
          <w:p>
            <w:r>
              <w:rPr>
                <w:sz w:val="17"/>
              </w:rPr>
              <w:t>1,642</w:t>
            </w:r>
          </w:p>
        </w:tc>
        <w:tc>
          <w:tcPr>
            <w:tcW w:type="dxa" w:w="1440"/>
            <w:shd w:fill="FFDCE0" w:val="clear"/>
          </w:tcPr>
          <w:p>
            <w:r>
              <w:rPr>
                <w:b/>
                <w:sz w:val="17"/>
              </w:rPr>
              <w:t>1,898</w:t>
            </w:r>
          </w:p>
        </w:tc>
        <w:tc>
          <w:tcPr>
            <w:tcW w:type="dxa" w:w="1440"/>
            <w:shd w:fill="FFDCE0" w:val="clear"/>
          </w:tcPr>
          <w:p>
            <w:r>
              <w:rPr>
                <w:sz w:val="17"/>
              </w:rPr>
              <w:t>2,154</w:t>
            </w:r>
          </w:p>
        </w:tc>
        <w:tc>
          <w:tcPr>
            <w:tcW w:type="dxa" w:w="1440"/>
            <w:shd w:fill="FFDCE0" w:val="clear"/>
          </w:tcPr>
          <w:p>
            <w:r>
              <w:rPr>
                <w:b/>
                <w:color w:val="C00000"/>
                <w:sz w:val="17"/>
              </w:rPr>
              <w:t>-8.5%</w:t>
            </w:r>
          </w:p>
        </w:tc>
      </w:tr>
      <w:tr>
        <w:tc>
          <w:tcPr>
            <w:tcW w:type="dxa" w:w="1440"/>
            <w:shd w:fill="FFDCE0" w:val="clear"/>
          </w:tcPr>
          <w:p>
            <w:r>
              <w:rPr>
                <w:sz w:val="17"/>
              </w:rPr>
              <w:t>J+5  ⭐</w:t>
            </w:r>
          </w:p>
        </w:tc>
        <w:tc>
          <w:tcPr>
            <w:tcW w:type="dxa" w:w="1440"/>
            <w:shd w:fill="FFDCE0" w:val="clear"/>
          </w:tcPr>
          <w:p>
            <w:r>
              <w:rPr>
                <w:sz w:val="17"/>
              </w:rPr>
              <w:t>2026-08-13</w:t>
            </w:r>
          </w:p>
        </w:tc>
        <w:tc>
          <w:tcPr>
            <w:tcW w:type="dxa" w:w="1440"/>
            <w:shd w:fill="FFDCE0" w:val="clear"/>
          </w:tcPr>
          <w:p>
            <w:r>
              <w:rPr>
                <w:sz w:val="17"/>
              </w:rPr>
              <w:t>1,577</w:t>
            </w:r>
          </w:p>
        </w:tc>
        <w:tc>
          <w:tcPr>
            <w:tcW w:type="dxa" w:w="1440"/>
            <w:shd w:fill="FFDCE0" w:val="clear"/>
          </w:tcPr>
          <w:p>
            <w:r>
              <w:rPr>
                <w:b/>
                <w:sz w:val="17"/>
              </w:rPr>
              <w:t>1,857</w:t>
            </w:r>
          </w:p>
        </w:tc>
        <w:tc>
          <w:tcPr>
            <w:tcW w:type="dxa" w:w="1440"/>
            <w:shd w:fill="FFDCE0" w:val="clear"/>
          </w:tcPr>
          <w:p>
            <w:r>
              <w:rPr>
                <w:sz w:val="17"/>
              </w:rPr>
              <w:t>2,137</w:t>
            </w:r>
          </w:p>
        </w:tc>
        <w:tc>
          <w:tcPr>
            <w:tcW w:type="dxa" w:w="1440"/>
            <w:shd w:fill="FFDCE0" w:val="clear"/>
          </w:tcPr>
          <w:p>
            <w:r>
              <w:rPr>
                <w:b/>
                <w:color w:val="C00000"/>
                <w:sz w:val="17"/>
              </w:rPr>
              <w:t>-10.5%</w:t>
            </w:r>
          </w:p>
        </w:tc>
      </w:tr>
      <w:tr>
        <w:tc>
          <w:tcPr>
            <w:tcW w:type="dxa" w:w="1440"/>
            <w:shd w:fill="FFDCE0" w:val="clear"/>
          </w:tcPr>
          <w:p>
            <w:r>
              <w:rPr>
                <w:sz w:val="17"/>
              </w:rPr>
              <w:t>J+6  ⭐</w:t>
            </w:r>
          </w:p>
        </w:tc>
        <w:tc>
          <w:tcPr>
            <w:tcW w:type="dxa" w:w="1440"/>
            <w:shd w:fill="FFDCE0" w:val="clear"/>
          </w:tcPr>
          <w:p>
            <w:r>
              <w:rPr>
                <w:sz w:val="17"/>
              </w:rPr>
              <w:t>2026-08-14</w:t>
            </w:r>
          </w:p>
        </w:tc>
        <w:tc>
          <w:tcPr>
            <w:tcW w:type="dxa" w:w="1440"/>
            <w:shd w:fill="FFDCE0" w:val="clear"/>
          </w:tcPr>
          <w:p>
            <w:r>
              <w:rPr>
                <w:sz w:val="17"/>
              </w:rPr>
              <w:t>1,517</w:t>
            </w:r>
          </w:p>
        </w:tc>
        <w:tc>
          <w:tcPr>
            <w:tcW w:type="dxa" w:w="1440"/>
            <w:shd w:fill="FFDCE0" w:val="clear"/>
          </w:tcPr>
          <w:p>
            <w:r>
              <w:rPr>
                <w:b/>
                <w:sz w:val="17"/>
              </w:rPr>
              <w:t>1,817</w:t>
            </w:r>
          </w:p>
        </w:tc>
        <w:tc>
          <w:tcPr>
            <w:tcW w:type="dxa" w:w="1440"/>
            <w:shd w:fill="FFDCE0" w:val="clear"/>
          </w:tcPr>
          <w:p>
            <w:r>
              <w:rPr>
                <w:sz w:val="17"/>
              </w:rPr>
              <w:t>2,118</w:t>
            </w:r>
          </w:p>
        </w:tc>
        <w:tc>
          <w:tcPr>
            <w:tcW w:type="dxa" w:w="1440"/>
            <w:shd w:fill="FFDCE0" w:val="clear"/>
          </w:tcPr>
          <w:p>
            <w:r>
              <w:rPr>
                <w:b/>
                <w:color w:val="C00000"/>
                <w:sz w:val="17"/>
              </w:rPr>
              <w:t>-12.4%</w:t>
            </w:r>
          </w:p>
        </w:tc>
      </w:tr>
      <w:tr>
        <w:tc>
          <w:tcPr>
            <w:tcW w:type="dxa" w:w="1440"/>
            <w:shd w:fill="FFDCE0" w:val="clear"/>
          </w:tcPr>
          <w:p>
            <w:r>
              <w:rPr>
                <w:sz w:val="17"/>
              </w:rPr>
              <w:t>J+7  ⭐</w:t>
            </w:r>
          </w:p>
        </w:tc>
        <w:tc>
          <w:tcPr>
            <w:tcW w:type="dxa" w:w="1440"/>
            <w:shd w:fill="FFDCE0" w:val="clear"/>
          </w:tcPr>
          <w:p>
            <w:r>
              <w:rPr>
                <w:sz w:val="17"/>
              </w:rPr>
              <w:t>2026-08-17</w:t>
            </w:r>
          </w:p>
        </w:tc>
        <w:tc>
          <w:tcPr>
            <w:tcW w:type="dxa" w:w="1440"/>
            <w:shd w:fill="FFDCE0" w:val="clear"/>
          </w:tcPr>
          <w:p>
            <w:r>
              <w:rPr>
                <w:sz w:val="17"/>
              </w:rPr>
              <w:t>1,461</w:t>
            </w:r>
          </w:p>
        </w:tc>
        <w:tc>
          <w:tcPr>
            <w:tcW w:type="dxa" w:w="1440"/>
            <w:shd w:fill="FFDCE0" w:val="clear"/>
          </w:tcPr>
          <w:p>
            <w:r>
              <w:rPr>
                <w:b/>
                <w:sz w:val="17"/>
              </w:rPr>
              <w:t>1,779</w:t>
            </w:r>
          </w:p>
        </w:tc>
        <w:tc>
          <w:tcPr>
            <w:tcW w:type="dxa" w:w="1440"/>
            <w:shd w:fill="FFDCE0" w:val="clear"/>
          </w:tcPr>
          <w:p>
            <w:r>
              <w:rPr>
                <w:sz w:val="17"/>
              </w:rPr>
              <w:t>2,097</w:t>
            </w:r>
          </w:p>
        </w:tc>
        <w:tc>
          <w:tcPr>
            <w:tcW w:type="dxa" w:w="1440"/>
            <w:shd w:fill="FFDCE0" w:val="clear"/>
          </w:tcPr>
          <w:p>
            <w:r>
              <w:rPr>
                <w:b/>
                <w:color w:val="C00000"/>
                <w:sz w:val="17"/>
              </w:rPr>
              <w:t>-14.3%</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1,409</w:t>
            </w:r>
          </w:p>
        </w:tc>
        <w:tc>
          <w:tcPr>
            <w:tcW w:type="dxa" w:w="1440"/>
            <w:shd w:fill="FFDCE0" w:val="clear"/>
          </w:tcPr>
          <w:p>
            <w:r>
              <w:rPr>
                <w:b/>
                <w:sz w:val="17"/>
              </w:rPr>
              <w:t>1,742</w:t>
            </w:r>
          </w:p>
        </w:tc>
        <w:tc>
          <w:tcPr>
            <w:tcW w:type="dxa" w:w="1440"/>
            <w:shd w:fill="FFDCE0" w:val="clear"/>
          </w:tcPr>
          <w:p>
            <w:r>
              <w:rPr>
                <w:sz w:val="17"/>
              </w:rPr>
              <w:t>2,075</w:t>
            </w:r>
          </w:p>
        </w:tc>
        <w:tc>
          <w:tcPr>
            <w:tcW w:type="dxa" w:w="1440"/>
            <w:shd w:fill="FFDCE0" w:val="clear"/>
          </w:tcPr>
          <w:p>
            <w:r>
              <w:rPr>
                <w:b/>
                <w:color w:val="C00000"/>
                <w:sz w:val="17"/>
              </w:rPr>
              <w:t>-16.0%</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1,361</w:t>
            </w:r>
          </w:p>
        </w:tc>
        <w:tc>
          <w:tcPr>
            <w:tcW w:type="dxa" w:w="1440"/>
            <w:shd w:fill="FFDCE0" w:val="clear"/>
          </w:tcPr>
          <w:p>
            <w:r>
              <w:rPr>
                <w:b/>
                <w:sz w:val="17"/>
              </w:rPr>
              <w:t>1,706</w:t>
            </w:r>
          </w:p>
        </w:tc>
        <w:tc>
          <w:tcPr>
            <w:tcW w:type="dxa" w:w="1440"/>
            <w:shd w:fill="FFDCE0" w:val="clear"/>
          </w:tcPr>
          <w:p>
            <w:r>
              <w:rPr>
                <w:sz w:val="17"/>
              </w:rPr>
              <w:t>2,052</w:t>
            </w:r>
          </w:p>
        </w:tc>
        <w:tc>
          <w:tcPr>
            <w:tcW w:type="dxa" w:w="1440"/>
            <w:shd w:fill="FFDCE0" w:val="clear"/>
          </w:tcPr>
          <w:p>
            <w:r>
              <w:rPr>
                <w:b/>
                <w:color w:val="C00000"/>
                <w:sz w:val="17"/>
              </w:rPr>
              <w:t>-17.8%</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1,315</w:t>
            </w:r>
          </w:p>
        </w:tc>
        <w:tc>
          <w:tcPr>
            <w:tcW w:type="dxa" w:w="1440"/>
            <w:shd w:fill="FFDCE0" w:val="clear"/>
          </w:tcPr>
          <w:p>
            <w:r>
              <w:rPr>
                <w:b/>
                <w:sz w:val="17"/>
              </w:rPr>
              <w:t>1,672</w:t>
            </w:r>
          </w:p>
        </w:tc>
        <w:tc>
          <w:tcPr>
            <w:tcW w:type="dxa" w:w="1440"/>
            <w:shd w:fill="FFDCE0" w:val="clear"/>
          </w:tcPr>
          <w:p>
            <w:r>
              <w:rPr>
                <w:sz w:val="17"/>
              </w:rPr>
              <w:t>2,029</w:t>
            </w:r>
          </w:p>
        </w:tc>
        <w:tc>
          <w:tcPr>
            <w:tcW w:type="dxa" w:w="1440"/>
            <w:shd w:fill="FFDCE0" w:val="clear"/>
          </w:tcPr>
          <w:p>
            <w:r>
              <w:rPr>
                <w:b/>
                <w:color w:val="C00000"/>
                <w:sz w:val="17"/>
              </w:rPr>
              <w:t>-19.4%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SIVC s'établit à 18,12 milliards FCFA, un niveau modeste dans l'écosystème de la BRVM, reflétant un profil de petite capitalisation. Le BPA de 43 FCFA par action indique une contribution bénéficiaire unitaire relativement faible, ce qui explique un PER de 48,1x, très nettement supérieur à la moyenne historique de la BRVM (8-12x). Les investisseurs paient donc une prime considérable pour chaque franc de bénéfice, ce qui traduit des anticipations de croissance très optimistes ou une liquidité limitée. Le P/B de 5,54x confirme cette exigeance, le marché valorisant la société à plus de cinq fois sa valeur comptable, signe d'une forte prime sur les actifs nets. Enfin, l'EV/EBITDA de 15,5x, supérieur au seuil de 15x, indique que la valeur d'entreprise est élevée par rapport à la capacité opérationnelle de génération de cash, renforçant le constat d'une valorisation tendue.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le titre SIVC a subi une dépréciation sévère de -26,94%, avec une accélération récente marquée par une baisse de -3,49% lors de la dernière séance. Le cours a évolué dans un range de 1 920 FCFA (plus bas) à 3 215 FCFA (plus haut), démontrant une amplitude de trading importante. La tendance est clairement baissière, le cours actuel de 2 075 FCFA se situant près du plancher de la période. Les statistiques descriptives révèlent une moyenne de 2 661 FCFA supérieure à la médiane de 2 775 FCFA, indiquant une asymétrie négative (skewness de -0,793) : les jours de forte baisse ont été plus fréquents que les jours de hausse. L'écart-type de 283 FCFA (CV de 10,7%) montre une dispersion modérée autour de la moyenne, tandis que le kurtosis de -0,331 (mésokurtique) suggère une distribution proche de la normale, sans risque de pics extrêmes. La volatilité annualisée de 50,4% classe le titre comme très volatil, bien au-dessus du seuil de 30%, signalant un risque élevé pour les investisseurs.</w:t>
      </w:r>
    </w:p>
    <w:p>
      <w:pPr>
        <w:spacing w:after="120" w:line="276" w:lineRule="auto" w:before="240"/>
      </w:pPr>
      <w:r>
        <w:rPr>
          <w:b/>
          <w:color w:val="003366"/>
          <w:sz w:val="24"/>
        </w:rPr>
        <w:t>**PARTIE 2 : ANALYSE TECHNIQUE DÉTAILLÉE**</w:t>
      </w:r>
    </w:p>
    <w:p>
      <w:pPr>
        <w:spacing w:after="120" w:line="276" w:lineRule="auto"/>
      </w:pPr>
      <w:r>
        <w:t>Les moyennes mobiles MM20 (2 224,75 FCFA) et MM50 (2 483,7 FCFA) sont toutes deux situées au-dessus du cours actuel de 2 075 FCFA, confirmant une configuration baissière. Le prix évolue sous les deux moyennes, ce qui valide la tendance négative à court et moyen terme. La décision de Vente est justifiée par cette structure, le titre ne montrant aucun signe de retournement vers ses moyennes.</w:t>
      </w:r>
    </w:p>
    <w:p>
      <w:pPr>
        <w:spacing w:after="120" w:line="276" w:lineRule="auto"/>
      </w:pPr>
      <w:r>
        <w:t>Les bandes de Bollinger présentent une borne supérieure à 2 486,515 FCFA et une borne inférieure à 1 962,985 FCFA, avec un cours à 2 075 FCFA proche de la borne inférieure. Cette position indique que le titre est en zone de survente relative, mais sans franchissement décisif. La décision Neutre s'explique par l'absence de cassure claire, bien que la pression vendeuse reste dominante.</w:t>
      </w:r>
    </w:p>
    <w:p>
      <w:pPr>
        <w:spacing w:after="120" w:line="276" w:lineRule="auto"/>
      </w:pPr>
      <w:r>
        <w:t>Le MACD affiche une valeur de -87,009 contre un signal à -89,251, soit un léger écart positif de 2,242 points. Cette configuration suggère un début de convergence haussière, le MACD se rapprochant de sa ligne de signal par le haut. La décision Achat reflète ce potentiel de retournement, même si le momentum reste négatif en valeur absolue.</w:t>
      </w:r>
    </w:p>
    <w:p>
      <w:pPr>
        <w:spacing w:after="120" w:line="276" w:lineRule="auto"/>
      </w:pPr>
      <w:r>
        <w:t>Le RSI à 27,5 se situe sous le seuil de 30, plaçant le titre en zone de survente technique. Cette lecture indique que la pression vendeuse a été excessive à court terme, ouvrant la voie à un possible rebond technique. La décision Achat est cohérente avec cette situation de survente.</w:t>
      </w:r>
    </w:p>
    <w:p>
      <w:pPr>
        <w:spacing w:after="120" w:line="276" w:lineRule="auto"/>
      </w:pPr>
      <w:r>
        <w:t>Le stochastique avec %K à 0,0 et %D à 3,604 montre un croisement baissier extrême, le %K étant à son plus bas niveau. Cette configuration signale une survente très prononcée, mais sans signe de retournement immédiat. La décision Achat anticipe un éventuel rebond, mais la prudence reste de mise.</w:t>
      </w:r>
    </w:p>
    <w:p>
      <w:pPr>
        <w:spacing w:after="120" w:line="276" w:lineRule="auto"/>
      </w:pPr>
      <w:r>
        <w:t>En conclusion technique, les indicateurs oscillateurs (RSI, MACD, Stochastique) convergent vers des signaux d'achat en raison de conditions de survente extrême, tandis que les moyennes mobiles et les bandes de Bollinger maintiennent une pression baissière. Cette divergence suggère un possible rebond technique à court terme, mais la tendance de fond reste résolument négative.</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(base brvm_donnees_financieres) indiquent un chiffre d'affaires de 9,283 milliards FCFA, un résultat net de 376,96 millions FCFA, un ROE de 11,52% et un ROA de 2,69%. Le coefficient d'exploitation de 95,83% est très élevé, traduisant une efficacité opérationnelle faible, tandis que le coût du risque de 3,10% signale un risque de crédit significatif. Le rapport annuel 2025 (analysé par DeepSeek, daté du 31 décembre 2025) montre une hausse du CA à 10,07 milliards FCFA (+8,53%), mais une chute du résultat net à 179,29 millions FCFA (-52,4%), avec une marge nette réduite à 1,78%. Le rapport du 3e trimestre 2025 (date inconnue) fait état d'un CA cumulé de 7,584 milliards FCFA (+13%) et d'un résultat net de 832,5 millions FCFA (+58%), suggérant une amélioration significative en fin d'année. Le rapport du 1er semestre 2025 (certifié) confirme cette dynamique avec un CA de 4,897 milliards FCFA (+8,8%) et un résultat net de 512,9 millions FCFA (+4,6%). Sur la base de ces rapports trimestriels, on estime que l'exercice 2025 devrait afficher un CA d'environ 10,1 milliards FCFA et un résultat net potentiellement supérieur à 1 milliard FCFA, si la tendance du T3 se maintient. La société, désormais dénommée ERIUM CI (changement de nom en novembre 2025), présente une solidité financière modérée avec des capitaux propres de 3,272 milliards FCFA, mais une trésorerie nette négative de -2,143 milliards FCFA, révélant des tensions de liquidité. Les perspectives restent conditionnées à la maîtrise des charges et à l'amélioration de la rentabilité opérationnelle.</w:t>
      </w:r>
    </w:p>
    <w:p>
      <w:pPr>
        <w:spacing w:after="120" w:line="276" w:lineRule="auto" w:before="240"/>
      </w:pPr>
      <w:r>
        <w:rPr>
          <w:b/>
          <w:color w:val="003366"/>
          <w:sz w:val="24"/>
        </w:rPr>
        <w:t>**PARTIE 4 : CONCLUSION D'INVESTISSEMENT**</w:t>
      </w:r>
    </w:p>
    <w:p>
      <w:pPr>
        <w:spacing w:after="120" w:line="276" w:lineRule="auto"/>
      </w:pPr>
      <w:r>
        <w:t>La valorisation de SIVC/ERIUM CI apparaît clairement surévaluée avec un PER de 48,1x, un P/B de 5,54x et un EV/EBITDA de 15,5x, tous très supérieurs aux références de la BRVM, ce qui pénalise l'attractivité du titre. Le comportement du cours sur 100 jours est préoccupant, avec une chute de -26,94% et une volatilité annualisée de 50,4%, bien que les statistiques (kurtosis mésokurtique, skewness négatif) indiquent une distribution sans risque extrême. Les signaux techniques sont mitigés : les oscillateurs (RSI, MACD, Stochastique) suggèrent un rebond technique en raison de la survente, mais les moyennes mobiles et les bandes de Bollinger maintiennent une tendance baissière dominante. Les fondamentaux montrent une amélioration de l'activité (+8,53% de CA en 2025) mais une dégradation de la rentabilité nette (-52,4% du résultat net), avec un coefficient d'exploitation élevé et une trésorerie négative. Les prédictions IA pour les 10 prochains jours (de 2 025 à 1 857 FCFA) confirment une poursuite de la baisse, contredisant les signaux techniques de rebond. En synthèse, la convergence entre la surévaluation, la tendance baissière, les fondamentaux fragiles et les prédictions IA défavorables conduit à une recommandation de VENTE, avec un niveau de confiance Moyen et un risque global Élevé. L'horizon d'investissement optimal est le court terme (&lt;3 mois), pour les investisseurs cherchant à limiter leurs pertes, tandis qu'un retournement nécessiterait une amélioration durable de la rentabilité et une stabilisation du cours.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affiche des pertes r\u00e9currentes avec une d\u00e9gradation continue de la rentabilit\u00e9 op\u00e9rationnelle et un environnement \u00e9conomique tr\u00e8s instable. Les perspectives restent incertaines malgr\u00e9 les efforts de restructuration."}</w:t>
      </w:r>
    </w:p>
    <w:p>
      <w:pPr>
        <w:spacing w:before="40"/>
        <w:ind w:left="400"/>
      </w:pPr>
      <w:r>
        <w:rPr>
          <w:sz w:val="18"/>
        </w:rPr>
        <w:t>Air Liquide Côte d'Ivoire a enregistré une performance dégradée au premier semestre 2020 avec un chiffre d'affaires en recul de 5% à 3,3 milliards FCFA, impacté par la pandémie COVID-19. La société affiche une perte nette de 112 millions FCFA contre un bénéfice de 147 millions FCFA au premier semestre 2019, soit une dégradation de 176%. Le résultat d'exploitation s'est détérioré de 19% à -226 millions FCFA en raison de coûts de restructuration plus élevés. Cependant, l'amélioration du système de gestion clients et stock a permis une réduction des provisions. Le résultat financier s'améliore légèrement grâce au remboursement progressif des emprunts bancaires.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'resultat_financier': '-87 657 K.FCFA', 'resultat_exploitation': '-226 184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-112 006 K.FCFA (S1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3 303 060 K.FCFA (S1 2020)</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 à 3,3 milliards FCFA au S1 2020</w:t>
      </w:r>
    </w:p>
    <w:p>
      <w:pPr>
        <w:pStyle w:val="ListBullet"/>
        <w:spacing w:before="20" w:after="20"/>
        <w:ind w:left="700"/>
      </w:pPr>
      <w:r>
        <w:rPr>
          <w:sz w:val="18"/>
        </w:rPr>
        <w:t>Perte nette de 112 millions FCFA contre un bénéfice de 147 millions FCFA au S1 2019</w:t>
      </w:r>
    </w:p>
    <w:p>
      <w:pPr>
        <w:pStyle w:val="ListBullet"/>
        <w:spacing w:before="20" w:after="20"/>
        <w:ind w:left="700"/>
      </w:pPr>
      <w:r>
        <w:rPr>
          <w:sz w:val="18"/>
        </w:rPr>
        <w:t>Résultat d'exploitation négatif aggravé de 19% à -226 millions FCFA</w:t>
      </w:r>
    </w:p>
    <w:p>
      <w:pPr>
        <w:pStyle w:val="ListBullet"/>
        <w:spacing w:before="20" w:after="20"/>
        <w:ind w:left="700"/>
      </w:pPr>
      <w:r>
        <w:rPr>
          <w:sz w:val="18"/>
        </w:rPr>
        <w:t>Impact significatif de la pandémie COVID-19 sur l'activité</w:t>
      </w:r>
    </w:p>
    <w:p>
      <w:pPr>
        <w:pStyle w:val="ListBullet"/>
        <w:spacing w:before="20" w:after="20"/>
        <w:ind w:left="700"/>
      </w:pPr>
      <w:r>
        <w:rPr>
          <w:sz w:val="18"/>
        </w:rPr>
        <w:t>Coûts de restructuration organisationnelle élevés</w:t>
      </w:r>
    </w:p>
    <w:p>
      <w:pPr>
        <w:pStyle w:val="ListBullet"/>
        <w:spacing w:before="20" w:after="20"/>
        <w:ind w:left="700"/>
      </w:pPr>
      <w:r>
        <w:rPr>
          <w:sz w:val="18"/>
        </w:rPr>
        <w:t>Amélioration du système de gestion clients et stock réduisant les provisions</w:t>
      </w:r>
    </w:p>
    <w:p>
      <w:pPr>
        <w:spacing w:before="40"/>
        <w:ind w:left="400"/>
      </w:pPr>
      <w:r>
        <w:rPr>
          <w:b/>
          <w:color w:val="C05000"/>
          <w:sz w:val="18"/>
        </w:rPr>
        <w:t xml:space="preserve">⚠️ Risques : </w:t>
      </w:r>
      <w:r>
        <w:rPr>
          <w:sz w:val="18"/>
        </w:rPr>
        <w:t>["Impact prolong\u00e9 de la pand\u00e9mie COVID-19 sur l'activit\u00e9", "Contexte \u00e9conomique tr\u00e8s instable en C\u00f4te d'Ivoire", "Difficult\u00e9s r\u00e9currentes de rentabilit\u00e9 op\u00e9rationnelle avec des pertes d'exploitation persistantes"]</w:t>
      </w:r>
    </w:p>
    <w:p>
      <w:pPr>
        <w:spacing w:before="40"/>
        <w:ind w:left="400"/>
      </w:pPr>
      <w:r>
        <w:rPr>
          <w:b/>
          <w:color w:val="0064A0"/>
          <w:sz w:val="18"/>
        </w:rPr>
        <w:t xml:space="preserve">🔮 Perspectives : </w:t>
      </w:r>
      <w:r>
        <w:rPr>
          <w:sz w:val="18"/>
        </w:rPr>
        <w:t>Les perspectives du second semestre 2020 restent marquées par l'incertitude liée à la pandémie COVID-19 toujours présente. La société mise sur l'amélioration du processus de collecte de cash et la conservation de sa part de marché pour garantir la continuité d'exploitation dans un environnement écon</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607.40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994 titres</w:t>
            </w:r>
          </w:p>
        </w:tc>
        <w:tc>
          <w:tcPr>
            <w:tcW w:type="dxa" w:w="2268"/>
            <w:shd w:fill="FFF2CC" w:val="clear"/>
          </w:tcPr>
          <w:p>
            <w:r>
              <w:rPr>
                <w:b/>
                <w:color w:val="503200"/>
                <w:sz w:val="16"/>
              </w:rPr>
              <w:t xml:space="preserve">Cours actuel : </w:t>
            </w:r>
            <w:r>
              <w:rPr>
                <w:color w:val="000000"/>
                <w:sz w:val="17"/>
              </w:rPr>
              <w:t>36,900 FCFA</w:t>
            </w:r>
          </w:p>
          <w:p>
            <w:r>
              <w:rPr>
                <w:b/>
                <w:color w:val="503200"/>
                <w:sz w:val="16"/>
              </w:rPr>
              <w:t xml:space="preserve">Var. 100 jours : </w:t>
            </w:r>
            <w:r>
              <w:rPr>
                <w:b/>
                <w:color w:val="B40000"/>
                <w:sz w:val="17"/>
              </w:rPr>
              <w:t>-3.86%</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2.36% (Faible) — μ=38,560 FCFA, σ=912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β=0.1735 (Défensif) — Cov=0.000006, Var(idx)=0.000036, ρ=0.057,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994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2026-08-06</w:t>
            </w:r>
          </w:p>
        </w:tc>
        <w:tc>
          <w:tcPr>
            <w:tcW w:type="dxa" w:w="1440"/>
            <w:shd w:fill="FAFAFA" w:val="clear"/>
          </w:tcPr>
          <w:p>
            <w:r>
              <w:rPr>
                <w:sz w:val="17"/>
              </w:rPr>
              <w:t>35,972</w:t>
            </w:r>
          </w:p>
        </w:tc>
        <w:tc>
          <w:tcPr>
            <w:tcW w:type="dxa" w:w="1440"/>
            <w:shd w:fill="FAFAFA" w:val="clear"/>
          </w:tcPr>
          <w:p>
            <w:r>
              <w:rPr>
                <w:b/>
                <w:sz w:val="17"/>
              </w:rPr>
              <w:t>37,277</w:t>
            </w:r>
          </w:p>
        </w:tc>
        <w:tc>
          <w:tcPr>
            <w:tcW w:type="dxa" w:w="1440"/>
            <w:shd w:fill="FAFAFA" w:val="clear"/>
          </w:tcPr>
          <w:p>
            <w:r>
              <w:rPr>
                <w:sz w:val="17"/>
              </w:rPr>
              <w:t>38,582</w:t>
            </w:r>
          </w:p>
        </w:tc>
        <w:tc>
          <w:tcPr>
            <w:tcW w:type="dxa" w:w="1440"/>
            <w:shd w:fill="FAFAFA" w:val="clear"/>
          </w:tcPr>
          <w:p>
            <w:r>
              <w:rPr>
                <w:b/>
                <w:color w:val="008000"/>
                <w:sz w:val="17"/>
              </w:rPr>
              <w:t>+1.0%</w:t>
            </w:r>
          </w:p>
        </w:tc>
      </w:tr>
      <w:tr>
        <w:tc>
          <w:tcPr>
            <w:tcW w:type="dxa" w:w="1440"/>
            <w:shd w:fill="FAFAFA" w:val="clear"/>
          </w:tcPr>
          <w:p>
            <w:r>
              <w:rPr>
                <w:sz w:val="17"/>
              </w:rPr>
              <w:t>J+2  Moyenne</w:t>
            </w:r>
          </w:p>
        </w:tc>
        <w:tc>
          <w:tcPr>
            <w:tcW w:type="dxa" w:w="1440"/>
            <w:shd w:fill="FAFAFA" w:val="clear"/>
          </w:tcPr>
          <w:p>
            <w:r>
              <w:rPr>
                <w:sz w:val="17"/>
              </w:rPr>
              <w:t>2026-08-10</w:t>
            </w:r>
          </w:p>
        </w:tc>
        <w:tc>
          <w:tcPr>
            <w:tcW w:type="dxa" w:w="1440"/>
            <w:shd w:fill="FAFAFA" w:val="clear"/>
          </w:tcPr>
          <w:p>
            <w:r>
              <w:rPr>
                <w:sz w:val="17"/>
              </w:rPr>
              <w:t>35,311</w:t>
            </w:r>
          </w:p>
        </w:tc>
        <w:tc>
          <w:tcPr>
            <w:tcW w:type="dxa" w:w="1440"/>
            <w:shd w:fill="FAFAFA" w:val="clear"/>
          </w:tcPr>
          <w:p>
            <w:r>
              <w:rPr>
                <w:b/>
                <w:sz w:val="17"/>
              </w:rPr>
              <w:t>37,150</w:t>
            </w:r>
          </w:p>
        </w:tc>
        <w:tc>
          <w:tcPr>
            <w:tcW w:type="dxa" w:w="1440"/>
            <w:shd w:fill="FAFAFA" w:val="clear"/>
          </w:tcPr>
          <w:p>
            <w:r>
              <w:rPr>
                <w:sz w:val="17"/>
              </w:rPr>
              <w:t>38,989</w:t>
            </w:r>
          </w:p>
        </w:tc>
        <w:tc>
          <w:tcPr>
            <w:tcW w:type="dxa" w:w="1440"/>
            <w:shd w:fill="FAFAFA" w:val="clear"/>
          </w:tcPr>
          <w:p>
            <w:r>
              <w:rPr>
                <w:b/>
                <w:color w:val="008000"/>
                <w:sz w:val="17"/>
              </w:rPr>
              <w:t>+0.7%</w:t>
            </w:r>
          </w:p>
        </w:tc>
      </w:tr>
      <w:tr>
        <w:tc>
          <w:tcPr>
            <w:tcW w:type="dxa" w:w="1440"/>
            <w:shd w:fill="FAFAFA" w:val="clear"/>
          </w:tcPr>
          <w:p>
            <w:r>
              <w:rPr>
                <w:sz w:val="17"/>
              </w:rPr>
              <w:t>J+3  Moyenne</w:t>
            </w:r>
          </w:p>
        </w:tc>
        <w:tc>
          <w:tcPr>
            <w:tcW w:type="dxa" w:w="1440"/>
            <w:shd w:fill="FAFAFA" w:val="clear"/>
          </w:tcPr>
          <w:p>
            <w:r>
              <w:rPr>
                <w:sz w:val="17"/>
              </w:rPr>
              <w:t>2026-08-11</w:t>
            </w:r>
          </w:p>
        </w:tc>
        <w:tc>
          <w:tcPr>
            <w:tcW w:type="dxa" w:w="1440"/>
            <w:shd w:fill="FAFAFA" w:val="clear"/>
          </w:tcPr>
          <w:p>
            <w:r>
              <w:rPr>
                <w:sz w:val="17"/>
              </w:rPr>
              <w:t>34,856</w:t>
            </w:r>
          </w:p>
        </w:tc>
        <w:tc>
          <w:tcPr>
            <w:tcW w:type="dxa" w:w="1440"/>
            <w:shd w:fill="FAFAFA" w:val="clear"/>
          </w:tcPr>
          <w:p>
            <w:r>
              <w:rPr>
                <w:b/>
                <w:sz w:val="17"/>
              </w:rPr>
              <w:t>37,106</w:t>
            </w:r>
          </w:p>
        </w:tc>
        <w:tc>
          <w:tcPr>
            <w:tcW w:type="dxa" w:w="1440"/>
            <w:shd w:fill="FAFAFA" w:val="clear"/>
          </w:tcPr>
          <w:p>
            <w:r>
              <w:rPr>
                <w:sz w:val="17"/>
              </w:rPr>
              <w:t>39,355</w:t>
            </w:r>
          </w:p>
        </w:tc>
        <w:tc>
          <w:tcPr>
            <w:tcW w:type="dxa" w:w="1440"/>
            <w:shd w:fill="FAFAFA" w:val="clear"/>
          </w:tcPr>
          <w:p>
            <w:r>
              <w:rPr>
                <w:b/>
                <w:color w:val="008000"/>
                <w:sz w:val="17"/>
              </w:rPr>
              <w:t>+0.6%</w:t>
            </w:r>
          </w:p>
        </w:tc>
      </w:tr>
      <w:tr>
        <w:tc>
          <w:tcPr>
            <w:tcW w:type="dxa" w:w="1440"/>
            <w:shd w:fill="FAFAFA" w:val="clear"/>
          </w:tcPr>
          <w:p>
            <w:r>
              <w:rPr>
                <w:sz w:val="17"/>
              </w:rPr>
              <w:t>J+4  ⭐</w:t>
            </w:r>
          </w:p>
        </w:tc>
        <w:tc>
          <w:tcPr>
            <w:tcW w:type="dxa" w:w="1440"/>
            <w:shd w:fill="FAFAFA" w:val="clear"/>
          </w:tcPr>
          <w:p>
            <w:r>
              <w:rPr>
                <w:sz w:val="17"/>
              </w:rPr>
              <w:t>2026-08-12</w:t>
            </w:r>
          </w:p>
        </w:tc>
        <w:tc>
          <w:tcPr>
            <w:tcW w:type="dxa" w:w="1440"/>
            <w:shd w:fill="FAFAFA" w:val="clear"/>
          </w:tcPr>
          <w:p>
            <w:r>
              <w:rPr>
                <w:sz w:val="17"/>
              </w:rPr>
              <w:t>34,483</w:t>
            </w:r>
          </w:p>
        </w:tc>
        <w:tc>
          <w:tcPr>
            <w:tcW w:type="dxa" w:w="1440"/>
            <w:shd w:fill="FAFAFA" w:val="clear"/>
          </w:tcPr>
          <w:p>
            <w:r>
              <w:rPr>
                <w:b/>
                <w:sz w:val="17"/>
              </w:rPr>
              <w:t>37,078</w:t>
            </w:r>
          </w:p>
        </w:tc>
        <w:tc>
          <w:tcPr>
            <w:tcW w:type="dxa" w:w="1440"/>
            <w:shd w:fill="FAFAFA" w:val="clear"/>
          </w:tcPr>
          <w:p>
            <w:r>
              <w:rPr>
                <w:sz w:val="17"/>
              </w:rPr>
              <w:t>39,674</w:t>
            </w:r>
          </w:p>
        </w:tc>
        <w:tc>
          <w:tcPr>
            <w:tcW w:type="dxa" w:w="1440"/>
            <w:shd w:fill="FAFAFA" w:val="clear"/>
          </w:tcPr>
          <w:p>
            <w:r>
              <w:rPr>
                <w:b/>
                <w:color w:val="008000"/>
                <w:sz w:val="17"/>
              </w:rPr>
              <w:t>+0.5%</w:t>
            </w:r>
          </w:p>
        </w:tc>
      </w:tr>
      <w:tr>
        <w:tc>
          <w:tcPr>
            <w:tcW w:type="dxa" w:w="1440"/>
            <w:shd w:fill="FAFAFA" w:val="clear"/>
          </w:tcPr>
          <w:p>
            <w:r>
              <w:rPr>
                <w:sz w:val="17"/>
              </w:rPr>
              <w:t>J+5  ⭐</w:t>
            </w:r>
          </w:p>
        </w:tc>
        <w:tc>
          <w:tcPr>
            <w:tcW w:type="dxa" w:w="1440"/>
            <w:shd w:fill="FAFAFA" w:val="clear"/>
          </w:tcPr>
          <w:p>
            <w:r>
              <w:rPr>
                <w:sz w:val="17"/>
              </w:rPr>
              <w:t>2026-08-13</w:t>
            </w:r>
          </w:p>
        </w:tc>
        <w:tc>
          <w:tcPr>
            <w:tcW w:type="dxa" w:w="1440"/>
            <w:shd w:fill="FAFAFA" w:val="clear"/>
          </w:tcPr>
          <w:p>
            <w:r>
              <w:rPr>
                <w:sz w:val="17"/>
              </w:rPr>
              <w:t>34,153</w:t>
            </w:r>
          </w:p>
        </w:tc>
        <w:tc>
          <w:tcPr>
            <w:tcW w:type="dxa" w:w="1440"/>
            <w:shd w:fill="FAFAFA" w:val="clear"/>
          </w:tcPr>
          <w:p>
            <w:r>
              <w:rPr>
                <w:b/>
                <w:sz w:val="17"/>
              </w:rPr>
              <w:t>37,053</w:t>
            </w:r>
          </w:p>
        </w:tc>
        <w:tc>
          <w:tcPr>
            <w:tcW w:type="dxa" w:w="1440"/>
            <w:shd w:fill="FAFAFA" w:val="clear"/>
          </w:tcPr>
          <w:p>
            <w:r>
              <w:rPr>
                <w:sz w:val="17"/>
              </w:rPr>
              <w:t>39,953</w:t>
            </w:r>
          </w:p>
        </w:tc>
        <w:tc>
          <w:tcPr>
            <w:tcW w:type="dxa" w:w="1440"/>
            <w:shd w:fill="FAFAFA" w:val="clear"/>
          </w:tcPr>
          <w:p>
            <w:r>
              <w:rPr>
                <w:b/>
                <w:color w:val="008000"/>
                <w:sz w:val="17"/>
              </w:rPr>
              <w:t>+0.4%</w:t>
            </w:r>
          </w:p>
        </w:tc>
      </w:tr>
      <w:tr>
        <w:tc>
          <w:tcPr>
            <w:tcW w:type="dxa" w:w="1440"/>
            <w:shd w:fill="FAFAFA" w:val="clear"/>
          </w:tcPr>
          <w:p>
            <w:r>
              <w:rPr>
                <w:sz w:val="17"/>
              </w:rPr>
              <w:t>J+6  ⭐</w:t>
            </w:r>
          </w:p>
        </w:tc>
        <w:tc>
          <w:tcPr>
            <w:tcW w:type="dxa" w:w="1440"/>
            <w:shd w:fill="FAFAFA" w:val="clear"/>
          </w:tcPr>
          <w:p>
            <w:r>
              <w:rPr>
                <w:sz w:val="17"/>
              </w:rPr>
              <w:t>2026-08-14</w:t>
            </w:r>
          </w:p>
        </w:tc>
        <w:tc>
          <w:tcPr>
            <w:tcW w:type="dxa" w:w="1440"/>
            <w:shd w:fill="FAFAFA" w:val="clear"/>
          </w:tcPr>
          <w:p>
            <w:r>
              <w:rPr>
                <w:sz w:val="17"/>
              </w:rPr>
              <w:t>33,852</w:t>
            </w:r>
          </w:p>
        </w:tc>
        <w:tc>
          <w:tcPr>
            <w:tcW w:type="dxa" w:w="1440"/>
            <w:shd w:fill="FAFAFA" w:val="clear"/>
          </w:tcPr>
          <w:p>
            <w:r>
              <w:rPr>
                <w:b/>
                <w:sz w:val="17"/>
              </w:rPr>
              <w:t>37,026</w:t>
            </w:r>
          </w:p>
        </w:tc>
        <w:tc>
          <w:tcPr>
            <w:tcW w:type="dxa" w:w="1440"/>
            <w:shd w:fill="FAFAFA" w:val="clear"/>
          </w:tcPr>
          <w:p>
            <w:r>
              <w:rPr>
                <w:sz w:val="17"/>
              </w:rPr>
              <w:t>40,201</w:t>
            </w:r>
          </w:p>
        </w:tc>
        <w:tc>
          <w:tcPr>
            <w:tcW w:type="dxa" w:w="1440"/>
            <w:shd w:fill="FAFAFA" w:val="clear"/>
          </w:tcPr>
          <w:p>
            <w:r>
              <w:rPr>
                <w:b/>
                <w:color w:val="008000"/>
                <w:sz w:val="17"/>
              </w:rPr>
              <w:t>+0.3%</w:t>
            </w:r>
          </w:p>
        </w:tc>
      </w:tr>
      <w:tr>
        <w:tc>
          <w:tcPr>
            <w:tcW w:type="dxa" w:w="1440"/>
            <w:shd w:fill="FAFAFA" w:val="clear"/>
          </w:tcPr>
          <w:p>
            <w:r>
              <w:rPr>
                <w:sz w:val="17"/>
              </w:rPr>
              <w:t>J+7  ⭐</w:t>
            </w:r>
          </w:p>
        </w:tc>
        <w:tc>
          <w:tcPr>
            <w:tcW w:type="dxa" w:w="1440"/>
            <w:shd w:fill="FAFAFA" w:val="clear"/>
          </w:tcPr>
          <w:p>
            <w:r>
              <w:rPr>
                <w:sz w:val="17"/>
              </w:rPr>
              <w:t>2026-08-17</w:t>
            </w:r>
          </w:p>
        </w:tc>
        <w:tc>
          <w:tcPr>
            <w:tcW w:type="dxa" w:w="1440"/>
            <w:shd w:fill="FAFAFA" w:val="clear"/>
          </w:tcPr>
          <w:p>
            <w:r>
              <w:rPr>
                <w:sz w:val="17"/>
              </w:rPr>
              <w:t>33,572</w:t>
            </w:r>
          </w:p>
        </w:tc>
        <w:tc>
          <w:tcPr>
            <w:tcW w:type="dxa" w:w="1440"/>
            <w:shd w:fill="FAFAFA" w:val="clear"/>
          </w:tcPr>
          <w:p>
            <w:r>
              <w:rPr>
                <w:b/>
                <w:sz w:val="17"/>
              </w:rPr>
              <w:t>36,998</w:t>
            </w:r>
          </w:p>
        </w:tc>
        <w:tc>
          <w:tcPr>
            <w:tcW w:type="dxa" w:w="1440"/>
            <w:shd w:fill="FAFAFA" w:val="clear"/>
          </w:tcPr>
          <w:p>
            <w:r>
              <w:rPr>
                <w:sz w:val="17"/>
              </w:rPr>
              <w:t>40,425</w:t>
            </w:r>
          </w:p>
        </w:tc>
        <w:tc>
          <w:tcPr>
            <w:tcW w:type="dxa" w:w="1440"/>
            <w:shd w:fill="FAFAFA" w:val="clear"/>
          </w:tcPr>
          <w:p>
            <w:r>
              <w:rPr>
                <w:b/>
                <w:color w:val="008000"/>
                <w:sz w:val="17"/>
              </w:rPr>
              <w:t>+0.3%</w:t>
            </w:r>
          </w:p>
        </w:tc>
      </w:tr>
      <w:tr>
        <w:tc>
          <w:tcPr>
            <w:tcW w:type="dxa" w:w="1440"/>
            <w:shd w:fill="FAFAFA" w:val="clear"/>
          </w:tcPr>
          <w:p>
            <w:r>
              <w:rPr>
                <w:sz w:val="17"/>
              </w:rPr>
              <w:t>J+8  ⭐</w:t>
            </w:r>
          </w:p>
        </w:tc>
        <w:tc>
          <w:tcPr>
            <w:tcW w:type="dxa" w:w="1440"/>
            <w:shd w:fill="FAFAFA" w:val="clear"/>
          </w:tcPr>
          <w:p>
            <w:r>
              <w:rPr>
                <w:sz w:val="17"/>
              </w:rPr>
              <w:t>2026-08-18</w:t>
            </w:r>
          </w:p>
        </w:tc>
        <w:tc>
          <w:tcPr>
            <w:tcW w:type="dxa" w:w="1440"/>
            <w:shd w:fill="FAFAFA" w:val="clear"/>
          </w:tcPr>
          <w:p>
            <w:r>
              <w:rPr>
                <w:sz w:val="17"/>
              </w:rPr>
              <w:t>33,309</w:t>
            </w:r>
          </w:p>
        </w:tc>
        <w:tc>
          <w:tcPr>
            <w:tcW w:type="dxa" w:w="1440"/>
            <w:shd w:fill="FAFAFA" w:val="clear"/>
          </w:tcPr>
          <w:p>
            <w:r>
              <w:rPr>
                <w:b/>
                <w:sz w:val="17"/>
              </w:rPr>
              <w:t>36,969</w:t>
            </w:r>
          </w:p>
        </w:tc>
        <w:tc>
          <w:tcPr>
            <w:tcW w:type="dxa" w:w="1440"/>
            <w:shd w:fill="FAFAFA" w:val="clear"/>
          </w:tcPr>
          <w:p>
            <w:r>
              <w:rPr>
                <w:sz w:val="17"/>
              </w:rPr>
              <w:t>40,629</w:t>
            </w:r>
          </w:p>
        </w:tc>
        <w:tc>
          <w:tcPr>
            <w:tcW w:type="dxa" w:w="1440"/>
            <w:shd w:fill="FAFAFA" w:val="clear"/>
          </w:tcPr>
          <w:p>
            <w:r>
              <w:rPr>
                <w:b/>
                <w:color w:val="008000"/>
                <w:sz w:val="17"/>
              </w:rPr>
              <w:t>+0.2%</w:t>
            </w:r>
          </w:p>
        </w:tc>
      </w:tr>
      <w:tr>
        <w:tc>
          <w:tcPr>
            <w:tcW w:type="dxa" w:w="1440"/>
            <w:shd w:fill="FAFAFA" w:val="clear"/>
          </w:tcPr>
          <w:p>
            <w:r>
              <w:rPr>
                <w:sz w:val="17"/>
              </w:rPr>
              <w:t>J+9  ⭐</w:t>
            </w:r>
          </w:p>
        </w:tc>
        <w:tc>
          <w:tcPr>
            <w:tcW w:type="dxa" w:w="1440"/>
            <w:shd w:fill="FAFAFA" w:val="clear"/>
          </w:tcPr>
          <w:p>
            <w:r>
              <w:rPr>
                <w:sz w:val="17"/>
              </w:rPr>
              <w:t>2026-08-19</w:t>
            </w:r>
          </w:p>
        </w:tc>
        <w:tc>
          <w:tcPr>
            <w:tcW w:type="dxa" w:w="1440"/>
            <w:shd w:fill="FAFAFA" w:val="clear"/>
          </w:tcPr>
          <w:p>
            <w:r>
              <w:rPr>
                <w:sz w:val="17"/>
              </w:rPr>
              <w:t>33,060</w:t>
            </w:r>
          </w:p>
        </w:tc>
        <w:tc>
          <w:tcPr>
            <w:tcW w:type="dxa" w:w="1440"/>
            <w:shd w:fill="FAFAFA" w:val="clear"/>
          </w:tcPr>
          <w:p>
            <w:r>
              <w:rPr>
                <w:b/>
                <w:sz w:val="17"/>
              </w:rPr>
              <w:t>36,939</w:t>
            </w:r>
          </w:p>
        </w:tc>
        <w:tc>
          <w:tcPr>
            <w:tcW w:type="dxa" w:w="1440"/>
            <w:shd w:fill="FAFAFA" w:val="clear"/>
          </w:tcPr>
          <w:p>
            <w:r>
              <w:rPr>
                <w:sz w:val="17"/>
              </w:rPr>
              <w:t>40,818</w:t>
            </w:r>
          </w:p>
        </w:tc>
        <w:tc>
          <w:tcPr>
            <w:tcW w:type="dxa" w:w="1440"/>
            <w:shd w:fill="FAFAFA" w:val="clear"/>
          </w:tcPr>
          <w:p>
            <w:r>
              <w:rPr>
                <w:b/>
                <w:color w:val="008000"/>
                <w:sz w:val="17"/>
              </w:rPr>
              <w:t>+0.1%</w:t>
            </w:r>
          </w:p>
        </w:tc>
      </w:tr>
      <w:tr>
        <w:tc>
          <w:tcPr>
            <w:tcW w:type="dxa" w:w="1440"/>
            <w:shd w:fill="FAFAFA" w:val="clear"/>
          </w:tcPr>
          <w:p>
            <w:r>
              <w:rPr>
                <w:sz w:val="17"/>
              </w:rPr>
              <w:t>J+10  ⭐</w:t>
            </w:r>
          </w:p>
        </w:tc>
        <w:tc>
          <w:tcPr>
            <w:tcW w:type="dxa" w:w="1440"/>
            <w:shd w:fill="FAFAFA" w:val="clear"/>
          </w:tcPr>
          <w:p>
            <w:r>
              <w:rPr>
                <w:sz w:val="17"/>
              </w:rPr>
              <w:t>2026-08-20</w:t>
            </w:r>
          </w:p>
        </w:tc>
        <w:tc>
          <w:tcPr>
            <w:tcW w:type="dxa" w:w="1440"/>
            <w:shd w:fill="FAFAFA" w:val="clear"/>
          </w:tcPr>
          <w:p>
            <w:r>
              <w:rPr>
                <w:sz w:val="17"/>
              </w:rPr>
              <w:t>32,822</w:t>
            </w:r>
          </w:p>
        </w:tc>
        <w:tc>
          <w:tcPr>
            <w:tcW w:type="dxa" w:w="1440"/>
            <w:shd w:fill="FAFAFA" w:val="clear"/>
          </w:tcPr>
          <w:p>
            <w:r>
              <w:rPr>
                <w:b/>
                <w:sz w:val="17"/>
              </w:rPr>
              <w:t>36,908</w:t>
            </w:r>
          </w:p>
        </w:tc>
        <w:tc>
          <w:tcPr>
            <w:tcW w:type="dxa" w:w="1440"/>
            <w:shd w:fill="FAFAFA" w:val="clear"/>
          </w:tcPr>
          <w:p>
            <w:r>
              <w:rPr>
                <w:sz w:val="17"/>
              </w:rPr>
              <w:t>40,993</w:t>
            </w:r>
          </w:p>
        </w:tc>
        <w:tc>
          <w:tcPr>
            <w:tcW w:type="dxa" w:w="1440"/>
            <w:shd w:fill="FAFAFA" w:val="clear"/>
          </w:tcPr>
          <w:p>
            <w:r>
              <w:rPr>
                <w:b/>
                <w:color w:val="008000"/>
                <w:sz w:val="17"/>
              </w:rPr>
              <w:t>+0.0%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**Date : 6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SLBC s'établit à 607,40 milliards FCFA, ce qui en fait l'une des valeurs les plus significatives de la cote BRVM, reflétant sa position de leader dans le secteur des boissons en Afrique de l'Ouest. Le BPA de 2 781 FCFA indique que chaque action génère un bénéfice substantiel, justifiant un PER de 13,3x, légèrement supérieur à la moyenne historique de la BRVM (8-12x), ce qui traduit une prime de croissance accordée par le marché aux excellentes performances récentes de la société. Le P/B de 3,11x, situé dans la fourchette de 2 à 4x, confirme que les investisseurs valorisent la société au-dessus de sa valeur comptable, anticipant une poursuite de la création de valeur. Enfin, l'EV/EBITDA de 7,2x, dans la zone raisonnable de 5-10x, indique que la valorisation globale de l'entreprise reste cohérente avec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SLBC a enregistré une variation totale de -3,86%, avec une baisse plus marquée de -2,04% lors de la dernière séance, portant le cours actuel à 36 900 FCFA. Le titre a évolué dans un range de trading de 35 540 FCFA (plus bas) à 41 500 FCFA (plus haut), démontrant une amplitude de près de 17% sur la période. La moyenne du cours sur 100 jours s'établit à 38 560 FCFA, tandis que la médiane est de 38 825 FCFA, un écart relativement faible qui, combiné à un skewness de -0,164, indique une distribution quasi symétrique avec une légère tendance baissière récente. L'écart-type de 917 FCFA, représentant un coefficient de variation de seulement 2,4%, témoigne d'une dispersion très faible du cours autour de sa moyenne, suggérant une stabilité relative malgré la tendance baissière. Le kurtosis de 0,617, qualifié de mésokurtique, indique un risque de pics limité, proche d'une distribution normale. La volatilité annualisée de 28,9% classe le titre dans la catégorie des valeurs à volatilité modérée à élevée, nécessitant une vigilance particulière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Les moyennes mobiles sur 20 et 50 jours (MM20=38 870,5 FCFA et MM50=38 847,2 FCFA) sont très proches l'une de l'autre et se situent au-dessus du cours actuel de 36 900 FCFA. Cette configuration indique que le titre a récemment cassé à la baisse ses supports dynamiques, mais la convergence des deux moyennes suggère une phase de consolidation. La décision d'achat signalée semble prématurée, le cours devant d'abord reconquérir ces niveaux pour confirmer un retournement haussier.</w:t>
      </w:r>
    </w:p>
    <w:p>
      <w:pPr>
        <w:spacing w:after="120" w:line="276" w:lineRule="auto"/>
      </w:pPr>
      <w:r>
        <w:t>**Bandes de Bollinger** : Le cours actuel (36 900 FCFA) se positionne très près de la borne inférieure des bandes de Bollinger (36 949,4 FCFA), indiquant que le titre est dans une zone de survente relative. La largeur des bandes (écart d'environ 3 842 FCFA entre les bornes) reflète une volatilité modérée. La décision d'achat signalée est cohérente avec une stratégie de retour à la moyenne, le cours étant susceptible de rebondir vers la moyenne mobile centrale.</w:t>
      </w:r>
    </w:p>
    <w:p>
      <w:pPr>
        <w:spacing w:after="120" w:line="276" w:lineRule="auto"/>
      </w:pPr>
      <w:r>
        <w:t>**MACD** : Le MACD affiche une valeur de -382,2 avec un signal à -124,2, confirmant une dynamique baissière en cours. La divergence négative entre le MACD et sa ligne de signal indique que le momentum vendeur reste dominant, bien que l'écart semble se stabiliser. La décision de vente est justifiée à court terme, mais un croisement haussier pourrait se matérialiser si la pression vendeuse s'atténue.</w:t>
      </w:r>
    </w:p>
    <w:p>
      <w:pPr>
        <w:spacing w:after="120" w:line="276" w:lineRule="auto"/>
      </w:pPr>
      <w:r>
        <w:t>**RSI** : Le RSI à 36,9 se situe dans la zone neutre (30-70), mais proche de la zone de survente (&lt;30). Cette valeur indique que le titre n'est ni suracheté ni survendu, mais que la pression vendeuse reste présente. La décision neutre est appropriée, le marché attendant un signal plus clair pour déterminer la prochaine direction.</w:t>
      </w:r>
    </w:p>
    <w:p>
      <w:pPr>
        <w:spacing w:after="120" w:line="276" w:lineRule="auto"/>
      </w:pPr>
      <w:r>
        <w:t>**Stochastique** : Le %K à 0,0 et le %D à 1,55 indiquent une situation de survente extrême, le %K ayant atteint son niveau plancher. Cette configuration suggère un rebond technique imminent, le marché étant probablement suracheté à la baisse. La décision d'achat est justifiée par ce déséquilibre technique, mais devra être confirmée par un croisement haussier des deux lignes.</w:t>
      </w:r>
    </w:p>
    <w:p>
      <w:pPr>
        <w:spacing w:after="120" w:line="276" w:lineRule="auto"/>
      </w:pPr>
      <w:r>
        <w:t>**Conclusion technique** : Les indicateurs techniques sont mitigés, avec une prédominance de signaux baissiers à court terme (MACD, position sous les moyennes mobiles) mais des signaux de retournement potentiel (Stochastique en survente extrême, cours proche de la borne inférieure de Bollinger). La configuration suggère une phase de stabilisation imminente, mais la tendance de fond reste incertaine, nécessitant une confirmation par un passage au-dessus des moyennes mobiles.</w:t>
      </w:r>
    </w:p>
    <w:p>
      <w:pPr>
        <w:spacing w:after="120" w:line="276" w:lineRule="auto"/>
      </w:pPr>
      <w:r>
        <w:t>---</w:t>
      </w:r>
    </w:p>
    <w:p>
      <w:pPr>
        <w:spacing w:after="120" w:line="276" w:lineRule="auto"/>
      </w:pPr>
      <w:r>
        <w:t>### PARTIE 3 : ANALYSE FONDAMENTALE (SECTION CRITIQUE)</w:t>
      </w:r>
    </w:p>
    <w:p>
      <w:pPr>
        <w:spacing w:after="120" w:line="276" w:lineRule="auto"/>
      </w:pPr>
      <w:r>
        <w:t>En 2025, SLBC a réalisé des performances financières exceptionnelles, avec un chiffre d'affaires de 378,123 milliards FCFA, en hausse de 22,1% par rapport à 2024 (309,722 milliards FCFA), et un résultat net de 45,781 milliards FCFA, soit une progression spectaculaire de 113% (contre 21,472 milliards en 2024). La marge nette s'est ainsi améliorée de 6,9% à 12,1%, tandis que le ROE atteint un niveau excellent de 23,46% et le ROA de 13,48%, démontrant une utilisation très efficace des capitaux propres et des actifs. La structure financière est saine, avec une autonomie financière de 57,5% (capitaux propres de 195,142 milliards FCFA pour un total bilan de 339,517 milliards) et une capacité de remboursement de seulement 0,67 an. Le BFR de 61,587 milliards FCFA, bien que positif, est cohérent avec la forte croissance de l'activité, mais les délais clients (64 jours) et la durée de stockage (117 jours) méritent une attention particulière. Le rapport du 1er semestre 2025 (publié en 2026) confirme cette dynamique avec un CA de 165,8 milliards FCFA (+12,3%) et un résultat net de 28 milliards FCFA (+175,1%), tandis que le rapport T1 2026 (publié en 2026) montre une poursuite de la croissance avec un CA de 93,46 milliards FCFA (+7,6%) et un résultat net de 16,26 milliards FCFA (+4,8%). Sur la base de ces rapports trimestriels, on estime que l'exercice 2026 devrait confirmer la solidité de la société, avec un chiffre d'affaires annuel potentiellement supérieur à 390 milliards FCFA et un résultat net dépassant 47 milliards FCFA, sous réserve du maintien des conditions de marché. La politique de dividende est très généreuse, avec un dividende proposé de 2 127 FCFA par action pour 2025 (taux de distribution de 76,5%), contre 1 220 FCFA en 2024, reflétant la confiance de la direction dans la pérennité des flux de trésorerie. Les risques principaux identifiés sont la dépendance aux matières premières (sucre, PET), la concentration géographique sur le marché ivoirien et la pression concurrentielle, mais la position dominante de SOLIBRA et sa solidité financière justifient une recommandation fondamentale d'achat.</w:t>
      </w:r>
    </w:p>
    <w:p>
      <w:pPr>
        <w:spacing w:after="120" w:line="276" w:lineRule="auto"/>
      </w:pPr>
      <w:r>
        <w:t>---</w:t>
      </w:r>
    </w:p>
    <w:p>
      <w:pPr>
        <w:spacing w:after="120" w:line="276" w:lineRule="auto"/>
      </w:pPr>
      <w:r>
        <w:t>### PARTIE 4 : CONCLUSION D'INVESTISSEMENT</w:t>
      </w:r>
    </w:p>
    <w:p>
      <w:pPr>
        <w:spacing w:after="120" w:line="276" w:lineRule="auto"/>
      </w:pPr>
      <w:r>
        <w:t>La synthèse globale des analyses fait ressortir une situation contrastée mais globalement positive pour SLBC. Sur le plan de la valorisation, les ratios (PER 13,3x, P/B 3,11x, EV/EBITDA 7,2x) indiquent une valeur correctement évaluée, avec une prime de croissance justifiée par les performances exceptionnelles. Le comportement du cours sur 100 jours (-3,86%) et la volatilité annualisée de 28,9% montrent une phase de consolidation, avec des statistiques (kurtosis mésokurtique, skewness légèrement négatif) suggérant un risque modéré. Les signaux techniques sont mitigés, avec une tendance baissière à court terme mais des indicateurs de survente (Stochastique à 0%) laissant présager un rebond technique. Les fondamentaux sont extrêmement solides, avec une croissance à deux chiffres du CA et du résultat net, une rentabilité excellente (ROE 23,46%) et une politique de dividende très attractive. Les prédictions IA pour les 10 prochains jours (37 277 à 37 053 FCFA) suggèrent une stabilisation du cours autour de 37 000 FCFA, confirmant la fin probable de la phase baissière. La convergence entre la solidité fondamentale, la valorisation raisonnable et les signaux de retournement technique justifie une recommandation **ACHAT** pour les investisseurs de moyen à long terme, avec un niveau de confiance **Élevé** et un risque global **Moyen**. L'horizon d'investissement optimal est le **moyen terme (3-12 mois)**, permettant de bénéficier à la fois de l'appréciation potentielle du titre et du rendement du dividende.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[2]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128.62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1,307 titres</w:t>
            </w:r>
          </w:p>
        </w:tc>
        <w:tc>
          <w:tcPr>
            <w:tcW w:type="dxa" w:w="2268"/>
            <w:shd w:fill="FFF2CC" w:val="clear"/>
          </w:tcPr>
          <w:p>
            <w:r>
              <w:rPr>
                <w:b/>
                <w:color w:val="503200"/>
                <w:sz w:val="16"/>
              </w:rPr>
              <w:t xml:space="preserve">Cours actuel : </w:t>
            </w:r>
            <w:r>
              <w:rPr>
                <w:color w:val="000000"/>
                <w:sz w:val="17"/>
              </w:rPr>
              <w:t>16,500 FCFA</w:t>
            </w:r>
          </w:p>
          <w:p>
            <w:r>
              <w:rPr>
                <w:b/>
                <w:color w:val="503200"/>
                <w:sz w:val="16"/>
              </w:rPr>
              <w:t xml:space="preserve">Var. 100 jours : </w:t>
            </w:r>
            <w:r>
              <w:rPr>
                <w:b/>
                <w:color w:val="007800"/>
                <w:sz w:val="17"/>
              </w:rPr>
              <w:t>+25.00%</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14.68% (Moyenne) — μ=14,107 FCFA, σ=2,071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β=-0.5807 (Contre-cyclique) — Cov=-0.000021, Var(idx)=0.000036, ρ=-0.144,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1,307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σ_j=2.43%/j (Stable) — Vol. annualisée≈38.6%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2026-08-06</w:t>
            </w:r>
          </w:p>
        </w:tc>
        <w:tc>
          <w:tcPr>
            <w:tcW w:type="dxa" w:w="1440"/>
            <w:shd w:fill="FFDCE0" w:val="clear"/>
          </w:tcPr>
          <w:p>
            <w:r>
              <w:rPr>
                <w:sz w:val="17"/>
              </w:rPr>
              <w:t>15,229</w:t>
            </w:r>
          </w:p>
        </w:tc>
        <w:tc>
          <w:tcPr>
            <w:tcW w:type="dxa" w:w="1440"/>
            <w:shd w:fill="FFDCE0" w:val="clear"/>
          </w:tcPr>
          <w:p>
            <w:r>
              <w:rPr>
                <w:b/>
                <w:sz w:val="17"/>
              </w:rPr>
              <w:t>15,940</w:t>
            </w:r>
          </w:p>
        </w:tc>
        <w:tc>
          <w:tcPr>
            <w:tcW w:type="dxa" w:w="1440"/>
            <w:shd w:fill="FFDCE0" w:val="clear"/>
          </w:tcPr>
          <w:p>
            <w:r>
              <w:rPr>
                <w:sz w:val="17"/>
              </w:rPr>
              <w:t>16,652</w:t>
            </w:r>
          </w:p>
        </w:tc>
        <w:tc>
          <w:tcPr>
            <w:tcW w:type="dxa" w:w="1440"/>
            <w:shd w:fill="FFDCE0" w:val="clear"/>
          </w:tcPr>
          <w:p>
            <w:r>
              <w:rPr>
                <w:b/>
                <w:color w:val="C00000"/>
                <w:sz w:val="17"/>
              </w:rPr>
              <w:t>-3.4%</w:t>
            </w:r>
          </w:p>
        </w:tc>
      </w:tr>
      <w:tr>
        <w:tc>
          <w:tcPr>
            <w:tcW w:type="dxa" w:w="1440"/>
            <w:shd w:fill="FFDCE0" w:val="clear"/>
          </w:tcPr>
          <w:p>
            <w:r>
              <w:rPr>
                <w:sz w:val="17"/>
              </w:rPr>
              <w:t>J+2  Moyenne</w:t>
            </w:r>
          </w:p>
        </w:tc>
        <w:tc>
          <w:tcPr>
            <w:tcW w:type="dxa" w:w="1440"/>
            <w:shd w:fill="FFDCE0" w:val="clear"/>
          </w:tcPr>
          <w:p>
            <w:r>
              <w:rPr>
                <w:sz w:val="17"/>
              </w:rPr>
              <w:t>2026-08-10</w:t>
            </w:r>
          </w:p>
        </w:tc>
        <w:tc>
          <w:tcPr>
            <w:tcW w:type="dxa" w:w="1440"/>
            <w:shd w:fill="FFDCE0" w:val="clear"/>
          </w:tcPr>
          <w:p>
            <w:r>
              <w:rPr>
                <w:sz w:val="17"/>
              </w:rPr>
              <w:t>14,926</w:t>
            </w:r>
          </w:p>
        </w:tc>
        <w:tc>
          <w:tcPr>
            <w:tcW w:type="dxa" w:w="1440"/>
            <w:shd w:fill="FFDCE0" w:val="clear"/>
          </w:tcPr>
          <w:p>
            <w:r>
              <w:rPr>
                <w:b/>
                <w:sz w:val="17"/>
              </w:rPr>
              <w:t>15,932</w:t>
            </w:r>
          </w:p>
        </w:tc>
        <w:tc>
          <w:tcPr>
            <w:tcW w:type="dxa" w:w="1440"/>
            <w:shd w:fill="FFDCE0" w:val="clear"/>
          </w:tcPr>
          <w:p>
            <w:r>
              <w:rPr>
                <w:sz w:val="17"/>
              </w:rPr>
              <w:t>16,937</w:t>
            </w:r>
          </w:p>
        </w:tc>
        <w:tc>
          <w:tcPr>
            <w:tcW w:type="dxa" w:w="1440"/>
            <w:shd w:fill="FFDCE0" w:val="clear"/>
          </w:tcPr>
          <w:p>
            <w:r>
              <w:rPr>
                <w:b/>
                <w:color w:val="C00000"/>
                <w:sz w:val="17"/>
              </w:rPr>
              <w:t>-3.4%</w:t>
            </w:r>
          </w:p>
        </w:tc>
      </w:tr>
      <w:tr>
        <w:tc>
          <w:tcPr>
            <w:tcW w:type="dxa" w:w="1440"/>
            <w:shd w:fill="FFDCE0" w:val="clear"/>
          </w:tcPr>
          <w:p>
            <w:r>
              <w:rPr>
                <w:sz w:val="17"/>
              </w:rPr>
              <w:t>J+3  Moyenne</w:t>
            </w:r>
          </w:p>
        </w:tc>
        <w:tc>
          <w:tcPr>
            <w:tcW w:type="dxa" w:w="1440"/>
            <w:shd w:fill="FFDCE0" w:val="clear"/>
          </w:tcPr>
          <w:p>
            <w:r>
              <w:rPr>
                <w:sz w:val="17"/>
              </w:rPr>
              <w:t>2026-08-11</w:t>
            </w:r>
          </w:p>
        </w:tc>
        <w:tc>
          <w:tcPr>
            <w:tcW w:type="dxa" w:w="1440"/>
            <w:shd w:fill="FFDCE0" w:val="clear"/>
          </w:tcPr>
          <w:p>
            <w:r>
              <w:rPr>
                <w:sz w:val="17"/>
              </w:rPr>
              <w:t>14,638</w:t>
            </w:r>
          </w:p>
        </w:tc>
        <w:tc>
          <w:tcPr>
            <w:tcW w:type="dxa" w:w="1440"/>
            <w:shd w:fill="FFDCE0" w:val="clear"/>
          </w:tcPr>
          <w:p>
            <w:r>
              <w:rPr>
                <w:b/>
                <w:sz w:val="17"/>
              </w:rPr>
              <w:t>15,864</w:t>
            </w:r>
          </w:p>
        </w:tc>
        <w:tc>
          <w:tcPr>
            <w:tcW w:type="dxa" w:w="1440"/>
            <w:shd w:fill="FFDCE0" w:val="clear"/>
          </w:tcPr>
          <w:p>
            <w:r>
              <w:rPr>
                <w:sz w:val="17"/>
              </w:rPr>
              <w:t>17,090</w:t>
            </w:r>
          </w:p>
        </w:tc>
        <w:tc>
          <w:tcPr>
            <w:tcW w:type="dxa" w:w="1440"/>
            <w:shd w:fill="FFDCE0" w:val="clear"/>
          </w:tcPr>
          <w:p>
            <w:r>
              <w:rPr>
                <w:b/>
                <w:color w:val="C00000"/>
                <w:sz w:val="17"/>
              </w:rPr>
              <w:t>-3.9%</w:t>
            </w:r>
          </w:p>
        </w:tc>
      </w:tr>
      <w:tr>
        <w:tc>
          <w:tcPr>
            <w:tcW w:type="dxa" w:w="1440"/>
            <w:shd w:fill="FFDCE0" w:val="clear"/>
          </w:tcPr>
          <w:p>
            <w:r>
              <w:rPr>
                <w:sz w:val="17"/>
              </w:rPr>
              <w:t>J+4  ⭐</w:t>
            </w:r>
          </w:p>
        </w:tc>
        <w:tc>
          <w:tcPr>
            <w:tcW w:type="dxa" w:w="1440"/>
            <w:shd w:fill="FFDCE0" w:val="clear"/>
          </w:tcPr>
          <w:p>
            <w:r>
              <w:rPr>
                <w:sz w:val="17"/>
              </w:rPr>
              <w:t>2026-08-12</w:t>
            </w:r>
          </w:p>
        </w:tc>
        <w:tc>
          <w:tcPr>
            <w:tcW w:type="dxa" w:w="1440"/>
            <w:shd w:fill="FFDCE0" w:val="clear"/>
          </w:tcPr>
          <w:p>
            <w:r>
              <w:rPr>
                <w:sz w:val="17"/>
              </w:rPr>
              <w:t>14,396</w:t>
            </w:r>
          </w:p>
        </w:tc>
        <w:tc>
          <w:tcPr>
            <w:tcW w:type="dxa" w:w="1440"/>
            <w:shd w:fill="FFDCE0" w:val="clear"/>
          </w:tcPr>
          <w:p>
            <w:r>
              <w:rPr>
                <w:b/>
                <w:sz w:val="17"/>
              </w:rPr>
              <w:t>15,806</w:t>
            </w:r>
          </w:p>
        </w:tc>
        <w:tc>
          <w:tcPr>
            <w:tcW w:type="dxa" w:w="1440"/>
            <w:shd w:fill="FFDCE0" w:val="clear"/>
          </w:tcPr>
          <w:p>
            <w:r>
              <w:rPr>
                <w:sz w:val="17"/>
              </w:rPr>
              <w:t>17,217</w:t>
            </w:r>
          </w:p>
        </w:tc>
        <w:tc>
          <w:tcPr>
            <w:tcW w:type="dxa" w:w="1440"/>
            <w:shd w:fill="FFDCE0" w:val="clear"/>
          </w:tcPr>
          <w:p>
            <w:r>
              <w:rPr>
                <w:b/>
                <w:color w:val="C00000"/>
                <w:sz w:val="17"/>
              </w:rPr>
              <w:t>-4.2%</w:t>
            </w:r>
          </w:p>
        </w:tc>
      </w:tr>
      <w:tr>
        <w:tc>
          <w:tcPr>
            <w:tcW w:type="dxa" w:w="1440"/>
            <w:shd w:fill="FFDCE0" w:val="clear"/>
          </w:tcPr>
          <w:p>
            <w:r>
              <w:rPr>
                <w:sz w:val="17"/>
              </w:rPr>
              <w:t>J+5  ⭐</w:t>
            </w:r>
          </w:p>
        </w:tc>
        <w:tc>
          <w:tcPr>
            <w:tcW w:type="dxa" w:w="1440"/>
            <w:shd w:fill="FFDCE0" w:val="clear"/>
          </w:tcPr>
          <w:p>
            <w:r>
              <w:rPr>
                <w:sz w:val="17"/>
              </w:rPr>
              <w:t>2026-08-13</w:t>
            </w:r>
          </w:p>
        </w:tc>
        <w:tc>
          <w:tcPr>
            <w:tcW w:type="dxa" w:w="1440"/>
            <w:shd w:fill="FFDCE0" w:val="clear"/>
          </w:tcPr>
          <w:p>
            <w:r>
              <w:rPr>
                <w:sz w:val="17"/>
              </w:rPr>
              <w:t>14,182</w:t>
            </w:r>
          </w:p>
        </w:tc>
        <w:tc>
          <w:tcPr>
            <w:tcW w:type="dxa" w:w="1440"/>
            <w:shd w:fill="FFDCE0" w:val="clear"/>
          </w:tcPr>
          <w:p>
            <w:r>
              <w:rPr>
                <w:b/>
                <w:sz w:val="17"/>
              </w:rPr>
              <w:t>15,754</w:t>
            </w:r>
          </w:p>
        </w:tc>
        <w:tc>
          <w:tcPr>
            <w:tcW w:type="dxa" w:w="1440"/>
            <w:shd w:fill="FFDCE0" w:val="clear"/>
          </w:tcPr>
          <w:p>
            <w:r>
              <w:rPr>
                <w:sz w:val="17"/>
              </w:rPr>
              <w:t>17,326</w:t>
            </w:r>
          </w:p>
        </w:tc>
        <w:tc>
          <w:tcPr>
            <w:tcW w:type="dxa" w:w="1440"/>
            <w:shd w:fill="FFDCE0" w:val="clear"/>
          </w:tcPr>
          <w:p>
            <w:r>
              <w:rPr>
                <w:b/>
                <w:color w:val="C00000"/>
                <w:sz w:val="17"/>
              </w:rPr>
              <w:t>-4.5%</w:t>
            </w:r>
          </w:p>
        </w:tc>
      </w:tr>
      <w:tr>
        <w:tc>
          <w:tcPr>
            <w:tcW w:type="dxa" w:w="1440"/>
            <w:shd w:fill="FFDCE0" w:val="clear"/>
          </w:tcPr>
          <w:p>
            <w:r>
              <w:rPr>
                <w:sz w:val="17"/>
              </w:rPr>
              <w:t>J+6  ⭐</w:t>
            </w:r>
          </w:p>
        </w:tc>
        <w:tc>
          <w:tcPr>
            <w:tcW w:type="dxa" w:w="1440"/>
            <w:shd w:fill="FFDCE0" w:val="clear"/>
          </w:tcPr>
          <w:p>
            <w:r>
              <w:rPr>
                <w:sz w:val="17"/>
              </w:rPr>
              <w:t>2026-08-14</w:t>
            </w:r>
          </w:p>
        </w:tc>
        <w:tc>
          <w:tcPr>
            <w:tcW w:type="dxa" w:w="1440"/>
            <w:shd w:fill="FFDCE0" w:val="clear"/>
          </w:tcPr>
          <w:p>
            <w:r>
              <w:rPr>
                <w:sz w:val="17"/>
              </w:rPr>
              <w:t>13,988</w:t>
            </w:r>
          </w:p>
        </w:tc>
        <w:tc>
          <w:tcPr>
            <w:tcW w:type="dxa" w:w="1440"/>
            <w:shd w:fill="FFDCE0" w:val="clear"/>
          </w:tcPr>
          <w:p>
            <w:r>
              <w:rPr>
                <w:b/>
                <w:sz w:val="17"/>
              </w:rPr>
              <w:t>15,704</w:t>
            </w:r>
          </w:p>
        </w:tc>
        <w:tc>
          <w:tcPr>
            <w:tcW w:type="dxa" w:w="1440"/>
            <w:shd w:fill="FFDCE0" w:val="clear"/>
          </w:tcPr>
          <w:p>
            <w:r>
              <w:rPr>
                <w:sz w:val="17"/>
              </w:rPr>
              <w:t>17,421</w:t>
            </w:r>
          </w:p>
        </w:tc>
        <w:tc>
          <w:tcPr>
            <w:tcW w:type="dxa" w:w="1440"/>
            <w:shd w:fill="FFDCE0" w:val="clear"/>
          </w:tcPr>
          <w:p>
            <w:r>
              <w:rPr>
                <w:b/>
                <w:color w:val="C00000"/>
                <w:sz w:val="17"/>
              </w:rPr>
              <w:t>-4.8%</w:t>
            </w:r>
          </w:p>
        </w:tc>
      </w:tr>
      <w:tr>
        <w:tc>
          <w:tcPr>
            <w:tcW w:type="dxa" w:w="1440"/>
            <w:shd w:fill="FFDCE0" w:val="clear"/>
          </w:tcPr>
          <w:p>
            <w:r>
              <w:rPr>
                <w:sz w:val="17"/>
              </w:rPr>
              <w:t>J+7  ⭐</w:t>
            </w:r>
          </w:p>
        </w:tc>
        <w:tc>
          <w:tcPr>
            <w:tcW w:type="dxa" w:w="1440"/>
            <w:shd w:fill="FFDCE0" w:val="clear"/>
          </w:tcPr>
          <w:p>
            <w:r>
              <w:rPr>
                <w:sz w:val="17"/>
              </w:rPr>
              <w:t>2026-08-17</w:t>
            </w:r>
          </w:p>
        </w:tc>
        <w:tc>
          <w:tcPr>
            <w:tcW w:type="dxa" w:w="1440"/>
            <w:shd w:fill="FFDCE0" w:val="clear"/>
          </w:tcPr>
          <w:p>
            <w:r>
              <w:rPr>
                <w:sz w:val="17"/>
              </w:rPr>
              <w:t>13,807</w:t>
            </w:r>
          </w:p>
        </w:tc>
        <w:tc>
          <w:tcPr>
            <w:tcW w:type="dxa" w:w="1440"/>
            <w:shd w:fill="FFDCE0" w:val="clear"/>
          </w:tcPr>
          <w:p>
            <w:r>
              <w:rPr>
                <w:b/>
                <w:sz w:val="17"/>
              </w:rPr>
              <w:t>15,655</w:t>
            </w:r>
          </w:p>
        </w:tc>
        <w:tc>
          <w:tcPr>
            <w:tcW w:type="dxa" w:w="1440"/>
            <w:shd w:fill="FFDCE0" w:val="clear"/>
          </w:tcPr>
          <w:p>
            <w:r>
              <w:rPr>
                <w:sz w:val="17"/>
              </w:rPr>
              <w:t>17,503</w:t>
            </w:r>
          </w:p>
        </w:tc>
        <w:tc>
          <w:tcPr>
            <w:tcW w:type="dxa" w:w="1440"/>
            <w:shd w:fill="FFDCE0" w:val="clear"/>
          </w:tcPr>
          <w:p>
            <w:r>
              <w:rPr>
                <w:b/>
                <w:color w:val="C00000"/>
                <w:sz w:val="17"/>
              </w:rPr>
              <w:t>-5.1%</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13,636</w:t>
            </w:r>
          </w:p>
        </w:tc>
        <w:tc>
          <w:tcPr>
            <w:tcW w:type="dxa" w:w="1440"/>
            <w:shd w:fill="FFDCE0" w:val="clear"/>
          </w:tcPr>
          <w:p>
            <w:r>
              <w:rPr>
                <w:b/>
                <w:sz w:val="17"/>
              </w:rPr>
              <w:t>15,606</w:t>
            </w:r>
          </w:p>
        </w:tc>
        <w:tc>
          <w:tcPr>
            <w:tcW w:type="dxa" w:w="1440"/>
            <w:shd w:fill="FFDCE0" w:val="clear"/>
          </w:tcPr>
          <w:p>
            <w:r>
              <w:rPr>
                <w:sz w:val="17"/>
              </w:rPr>
              <w:t>17,576</w:t>
            </w:r>
          </w:p>
        </w:tc>
        <w:tc>
          <w:tcPr>
            <w:tcW w:type="dxa" w:w="1440"/>
            <w:shd w:fill="FFDCE0" w:val="clear"/>
          </w:tcPr>
          <w:p>
            <w:r>
              <w:rPr>
                <w:b/>
                <w:color w:val="C00000"/>
                <w:sz w:val="17"/>
              </w:rPr>
              <w:t>-5.4%</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13,475</w:t>
            </w:r>
          </w:p>
        </w:tc>
        <w:tc>
          <w:tcPr>
            <w:tcW w:type="dxa" w:w="1440"/>
            <w:shd w:fill="FFDCE0" w:val="clear"/>
          </w:tcPr>
          <w:p>
            <w:r>
              <w:rPr>
                <w:b/>
                <w:sz w:val="17"/>
              </w:rPr>
              <w:t>15,558</w:t>
            </w:r>
          </w:p>
        </w:tc>
        <w:tc>
          <w:tcPr>
            <w:tcW w:type="dxa" w:w="1440"/>
            <w:shd w:fill="FFDCE0" w:val="clear"/>
          </w:tcPr>
          <w:p>
            <w:r>
              <w:rPr>
                <w:sz w:val="17"/>
              </w:rPr>
              <w:t>17,641</w:t>
            </w:r>
          </w:p>
        </w:tc>
        <w:tc>
          <w:tcPr>
            <w:tcW w:type="dxa" w:w="1440"/>
            <w:shd w:fill="FFDCE0" w:val="clear"/>
          </w:tcPr>
          <w:p>
            <w:r>
              <w:rPr>
                <w:b/>
                <w:color w:val="C00000"/>
                <w:sz w:val="17"/>
              </w:rPr>
              <w:t>-5.7%</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13,322</w:t>
            </w:r>
          </w:p>
        </w:tc>
        <w:tc>
          <w:tcPr>
            <w:tcW w:type="dxa" w:w="1440"/>
            <w:shd w:fill="FFDCE0" w:val="clear"/>
          </w:tcPr>
          <w:p>
            <w:r>
              <w:rPr>
                <w:b/>
                <w:sz w:val="17"/>
              </w:rPr>
              <w:t>15,510</w:t>
            </w:r>
          </w:p>
        </w:tc>
        <w:tc>
          <w:tcPr>
            <w:tcW w:type="dxa" w:w="1440"/>
            <w:shd w:fill="FFDCE0" w:val="clear"/>
          </w:tcPr>
          <w:p>
            <w:r>
              <w:rPr>
                <w:sz w:val="17"/>
              </w:rPr>
              <w:t>17,699</w:t>
            </w:r>
          </w:p>
        </w:tc>
        <w:tc>
          <w:tcPr>
            <w:tcW w:type="dxa" w:w="1440"/>
            <w:shd w:fill="FFDCE0" w:val="clear"/>
          </w:tcPr>
          <w:p>
            <w:r>
              <w:rPr>
                <w:b/>
                <w:color w:val="C00000"/>
                <w:sz w:val="17"/>
              </w:rPr>
              <w:t>-6.0%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128,62 milliards FCFA, un niveau qui la positionne parmi les valeurs moyennes de la cote de la BRVM. Avec un BPA de 1 677 FCFA, chaque action génère un bénéfice substantiel, justifiant un PER de 9,8x, légèrement inférieur à la moyenne du marché (8-12x), ce qui suggère une sous-évaluation relative et un potentiel de revalorisation. Le P/B de 3,00x indique que le marché valorise la société à trois fois sa valeur comptable, traduisant une prime de croissance accordée par les investisseurs pour la qualité des actifs et la rentabilité future anticipée. Enfin, l'EV/EBITDA de 6,2x se situe dans une fourchette raisonnable (5-10x), confirmant que la valeur totale de l'entreprise reste cohérente avec sa capacité opérationnelle à générer des flux. Ces ratios, pris dans leur ensemble, dessinent le profil d'une valeur fondamentalement attractive, offrant un bon compromis entre valorisation et potentiel de croissance.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 enregistré une progression remarquable de +25,00%, avec une accélération notable lors de la dernière séance (+5,10%), portant le cours à 16 500 FCFA. Le titre a évolué dans une fourchette large de 11 450 FCFA (plus bas) à 17 735 FCFA (plus haut), démontrant une dynamique haussière soutenue. La moyenne du cours sur la période s'établit à 14 107 FCFA, tandis que la médiane est de 13 355 FCFA ; cet écart positif entre moyenne et médiane indique une asymétrie vers le haut, confirmée par un skewness de 0,257, signe d'une distribution légèrement étalée vers les valeurs élevées. L'écart-type de 2 081 FCFA, avec un coefficient de variation de 14,8%, reflète une dispersion modérée des prix autour de la moyenne. Le kurtosis négatif de -1,450 (distribution platykurtique) suggère une absence de pics extrêmes, tandis que la volatilité annualisée de 38,6% classe le titre dans la catégorie des valeurs à forte volatilité, offrant des opportunités mais également des risques accrus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16 500 FCFA se positionne au-dessus de la MM20 (16 153,5 FCFA) et de la MM50 (15 926,9 FCFA), confirmant une tendance haussière de court et moyen terme. La configuration des moyennes mobiles, avec le cours évoluant au-dessus de ces deux niveaux, génère un signal d'achat, indiquant que la dynamique positive reste intacte et que les acheteurs contrôlent le marché.</w:t>
      </w:r>
    </w:p>
    <w:p>
      <w:pPr>
        <w:spacing w:after="120" w:line="276" w:lineRule="auto"/>
      </w:pPr>
      <w:r>
        <w:t>**Bandes de Bollinger** : Le prix se situe à 16 500 FCFA, entre la borne supérieure (17 343,7 FCFA) et la borne inférieure (14 963,3 FCFA), proche du milieu de l'intervalle. Cette position neutre suggère une volatilité modérée, sans excès haussier ou baissier. La décision est donc neutre, le marché n'étant pas encore en situation de surachat ou de survente, laissant place à une poursuite de la tendance sans signal extrême.</w:t>
      </w:r>
    </w:p>
    <w:p>
      <w:pPr>
        <w:spacing w:after="120" w:line="276" w:lineRule="auto"/>
      </w:pPr>
      <w:r>
        <w:t>**MACD** : La valeur du MACD est négative à -63,5, tandis que la ligne de signal est à -1,98, indiquant une divergence baissière. Cette configuration, où le MACD évolue sous le signal, génère une décision de vente, signalant un affaiblissement du momentum à court terme malgré la tendance haussière des prix. Les investisseurs devraient surveiller un éventuel croisement haussier pour confirmer un retour de la dynamique positive.</w:t>
      </w:r>
    </w:p>
    <w:p>
      <w:pPr>
        <w:spacing w:after="120" w:line="276" w:lineRule="auto"/>
      </w:pPr>
      <w:r>
        <w:t>**RSI** : Le RSI s'établit à 58,25, se situant dans la zone neutre (30-70), ce qui indique un équilibre entre pressions acheteuses et vendeuses. Cette valeur reflète une force relative modérée, sans signal de surachat ou de survente. La décision est neutre, le titre disposant encore d'une marge de progression avant d'atteindre des niveaux extrêmes.</w:t>
      </w:r>
    </w:p>
    <w:p>
      <w:pPr>
        <w:spacing w:after="120" w:line="276" w:lineRule="auto"/>
      </w:pPr>
      <w:r>
        <w:t>**Stochastique** : Le %K à 89,7 est nettement supérieur au %D à 48,5, indiquant une zone de surachat technique. Cette configuration, avec un %K très élevé, suggère un essoufflement potentiel à court terme, justifiant une décision de vente. Un croisement baissier pourrait déclencher une correction, mais la force de la tendance haussière pourrait également permettre une consolidation sans repli majeur.</w:t>
      </w:r>
    </w:p>
    <w:p>
      <w:pPr>
        <w:spacing w:after="120" w:line="276" w:lineRule="auto"/>
      </w:pPr>
      <w:r>
        <w:t>**Conclusion technique** : La majorité des indicateurs (MM, Bollinger, RSI) sont neutres ou positifs, mais le MACD et le Stochastique signalent une faiblesse à court terme. Cette divergence suggère une possible consolidation ou correction légère avant une reprise de la tendance haussière. Les investisseurs devraient surveiller les niveaux de support à 15 900 FCFA (MM50) et 14 960 FCFA (borne inférieure de Bollinger) pour évaluer la solidité du mouvement.</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9,74% par rapport à 2024, mais avec une amélioration spectaculaire de la rentabilité : le résultat net progresse de 50,3% à 13,075 milliards FCFA, portant la marge nette à 6,32% (contre 3,8% en 2024). Le ROE s'établit à 30,47%, un niveau excellent (&gt;15%), tandis que le ROA atteint 7,26%, reflétant une utilisation efficace des actifs. En tant qu'entreprise industrielle, l'analyse du BFR est cruciale : le BFR de 1,693 milliard FCFA est faible, mais le délai clients de 193,75 jours est élevé, indiquant un risque de trésorerie, partiellement compensé par un délai fournisseurs de 207,07 jours. La trésorerie nette positive de 23,988 milliards FCFA (contre 6,070 milliards en 2024) renforce la solidité financière, avec une capacité de remboursement de 0,68 an. Les rapports trimestriels 2025 (T1, S1, 9M) montrent une tendance à la baisse du CA (-22% au T1, -23% au S1, -14% à fin septembre) mais une amélioration des marges opérationnelles, suggérant une stabilisation en fin d'année. Sur la base de ces données, on estime que l'exercice 2026 pourrait voir une reprise modérée du CA, portée par la demande locale et les projets d'infrastructures, avec une marge nette maintenue autour de 6%. La recommandation fondamentale est positive, soulignant la solidité financière et l'amélioration de la rentabilité, malgré les défis liés à la baisse du CA et aux délais clients élevés.</w:t>
      </w:r>
    </w:p>
    <w:p>
      <w:pPr>
        <w:spacing w:after="120" w:line="276" w:lineRule="auto" w:before="240"/>
      </w:pPr>
      <w:r>
        <w:rPr>
          <w:b/>
          <w:color w:val="003366"/>
          <w:sz w:val="24"/>
        </w:rPr>
        <w:t>**PARTIE 4 : CONCLUSION D'INVESTISSEMENT**</w:t>
      </w:r>
    </w:p>
    <w:p>
      <w:pPr>
        <w:spacing w:after="120" w:line="276" w:lineRule="auto"/>
      </w:pPr>
      <w:r>
        <w:t>La valorisation de SMBC (PER 9,8x, P/B 3,0x, EV/EBITDA 6,2x) indique une sous-évaluation relative, offrant un potentiel de revalorisation attractif. Le comportement du cours sur 100 jours (+25%) démontre une dynamique haussière soutenue, bien que la volatilité élevée (38,6%) et le kurtosis platykurtique suggèrent des fluctuations importantes. Les signaux techniques sont mitigés : les moyennes mobiles et le RSI sont positifs, mais le MACD et le Stochastique indiquent un essoufflement à court terme, préfigurant une possible consolidation. Les fondamentaux sont solides, avec un ROE de 30,5%, une trésorerie nette de 24 milliards FCFA et une amélioration spectaculaire de la rentabilité en 2025, malgré une baisse du chiffre d'affaires. Les prédictions IA (J+1 à J+10) prévoient une légère correction vers 15 754-15 940 FCFA, confirmant les signaux techniques de consolidation. La convergence entre la sous-évaluation, la solidité financière et la tendance haussière de long terme, malgré les signaux techniques à court terme, justifie une recommandation **ACHAT** avec un niveau de confiance **Moyen** et un risque global **Moyen**. L'horizon d'investissement optimal est le **moyen terme (3-12 mois)**, permettant de capitaliser sur la reprise attendue du chiffre d'affaires et la poursuite de l'amélioration des marges.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3020.00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9,454 titres</w:t>
            </w:r>
          </w:p>
        </w:tc>
        <w:tc>
          <w:tcPr>
            <w:tcW w:type="dxa" w:w="2268"/>
            <w:shd w:fill="FFF2CC" w:val="clear"/>
          </w:tcPr>
          <w:p>
            <w:r>
              <w:rPr>
                <w:b/>
                <w:color w:val="503200"/>
                <w:sz w:val="16"/>
              </w:rPr>
              <w:t xml:space="preserve">Cours actuel : </w:t>
            </w:r>
            <w:r>
              <w:rPr>
                <w:color w:val="000000"/>
                <w:sz w:val="17"/>
              </w:rPr>
              <w:t>30,200 FCFA</w:t>
            </w:r>
          </w:p>
          <w:p>
            <w:r>
              <w:rPr>
                <w:b/>
                <w:color w:val="503200"/>
                <w:sz w:val="16"/>
              </w:rPr>
              <w:t xml:space="preserve">Var. 100 jours : </w:t>
            </w:r>
            <w:r>
              <w:rPr>
                <w:b/>
                <w:color w:val="007800"/>
                <w:sz w:val="17"/>
              </w:rPr>
              <w:t>+4.14%</w:t>
            </w:r>
          </w:p>
          <w:p>
            <w:r>
              <w:rPr>
                <w:b/>
                <w:color w:val="503200"/>
                <w:sz w:val="16"/>
              </w:rPr>
              <w:t xml:space="preserve">Plus haut 100j : </w:t>
            </w:r>
            <w:r>
              <w:rPr>
                <w:color w:val="000000"/>
                <w:sz w:val="17"/>
              </w:rPr>
              <w:t>32,500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4.03% (Faible) — μ=29,222 FCFA, σ=1,179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β=1.1703 (Neutre (suit le marché)) — Cov=0.000042, Var(idx)=0.000036, ρ=0.450,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9,454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σ_j=1.57%/j (Stable) — Vol. annualisée≈24.9%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85/100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2026-08-06</w:t>
            </w:r>
          </w:p>
        </w:tc>
        <w:tc>
          <w:tcPr>
            <w:tcW w:type="dxa" w:w="1440"/>
            <w:shd w:fill="C6EFCE" w:val="clear"/>
          </w:tcPr>
          <w:p>
            <w:r>
              <w:rPr>
                <w:sz w:val="17"/>
              </w:rPr>
              <w:t>30,041</w:t>
            </w:r>
          </w:p>
        </w:tc>
        <w:tc>
          <w:tcPr>
            <w:tcW w:type="dxa" w:w="1440"/>
            <w:shd w:fill="C6EFCE" w:val="clear"/>
          </w:tcPr>
          <w:p>
            <w:r>
              <w:rPr>
                <w:b/>
                <w:sz w:val="17"/>
              </w:rPr>
              <w:t>30,818</w:t>
            </w:r>
          </w:p>
        </w:tc>
        <w:tc>
          <w:tcPr>
            <w:tcW w:type="dxa" w:w="1440"/>
            <w:shd w:fill="C6EFCE" w:val="clear"/>
          </w:tcPr>
          <w:p>
            <w:r>
              <w:rPr>
                <w:sz w:val="17"/>
              </w:rPr>
              <w:t>31,595</w:t>
            </w:r>
          </w:p>
        </w:tc>
        <w:tc>
          <w:tcPr>
            <w:tcW w:type="dxa" w:w="1440"/>
            <w:shd w:fill="C6EFCE" w:val="clear"/>
          </w:tcPr>
          <w:p>
            <w:r>
              <w:rPr>
                <w:b/>
                <w:color w:val="008000"/>
                <w:sz w:val="17"/>
              </w:rPr>
              <w:t>+2.0%</w:t>
            </w:r>
          </w:p>
        </w:tc>
      </w:tr>
      <w:tr>
        <w:tc>
          <w:tcPr>
            <w:tcW w:type="dxa" w:w="1440"/>
            <w:shd w:fill="FAFAFA" w:val="clear"/>
          </w:tcPr>
          <w:p>
            <w:r>
              <w:rPr>
                <w:sz w:val="17"/>
              </w:rPr>
              <w:t>J+2  Moyenne</w:t>
            </w:r>
          </w:p>
        </w:tc>
        <w:tc>
          <w:tcPr>
            <w:tcW w:type="dxa" w:w="1440"/>
            <w:shd w:fill="FAFAFA" w:val="clear"/>
          </w:tcPr>
          <w:p>
            <w:r>
              <w:rPr>
                <w:sz w:val="17"/>
              </w:rPr>
              <w:t>2026-08-10</w:t>
            </w:r>
          </w:p>
        </w:tc>
        <w:tc>
          <w:tcPr>
            <w:tcW w:type="dxa" w:w="1440"/>
            <w:shd w:fill="FAFAFA" w:val="clear"/>
          </w:tcPr>
          <w:p>
            <w:r>
              <w:rPr>
                <w:sz w:val="17"/>
              </w:rPr>
              <w:t>29,636</w:t>
            </w:r>
          </w:p>
        </w:tc>
        <w:tc>
          <w:tcPr>
            <w:tcW w:type="dxa" w:w="1440"/>
            <w:shd w:fill="FAFAFA" w:val="clear"/>
          </w:tcPr>
          <w:p>
            <w:r>
              <w:rPr>
                <w:b/>
                <w:sz w:val="17"/>
              </w:rPr>
              <w:t>30,732</w:t>
            </w:r>
          </w:p>
        </w:tc>
        <w:tc>
          <w:tcPr>
            <w:tcW w:type="dxa" w:w="1440"/>
            <w:shd w:fill="FAFAFA" w:val="clear"/>
          </w:tcPr>
          <w:p>
            <w:r>
              <w:rPr>
                <w:sz w:val="17"/>
              </w:rPr>
              <w:t>31,827</w:t>
            </w:r>
          </w:p>
        </w:tc>
        <w:tc>
          <w:tcPr>
            <w:tcW w:type="dxa" w:w="1440"/>
            <w:shd w:fill="FAFAFA" w:val="clear"/>
          </w:tcPr>
          <w:p>
            <w:r>
              <w:rPr>
                <w:b/>
                <w:color w:val="008000"/>
                <w:sz w:val="17"/>
              </w:rPr>
              <w:t>+1.8%</w:t>
            </w:r>
          </w:p>
        </w:tc>
      </w:tr>
      <w:tr>
        <w:tc>
          <w:tcPr>
            <w:tcW w:type="dxa" w:w="1440"/>
            <w:shd w:fill="FAFAFA" w:val="clear"/>
          </w:tcPr>
          <w:p>
            <w:r>
              <w:rPr>
                <w:sz w:val="17"/>
              </w:rPr>
              <w:t>J+3  ⭐</w:t>
            </w:r>
          </w:p>
        </w:tc>
        <w:tc>
          <w:tcPr>
            <w:tcW w:type="dxa" w:w="1440"/>
            <w:shd w:fill="FAFAFA" w:val="clear"/>
          </w:tcPr>
          <w:p>
            <w:r>
              <w:rPr>
                <w:sz w:val="17"/>
              </w:rPr>
              <w:t>2026-08-11</w:t>
            </w:r>
          </w:p>
        </w:tc>
        <w:tc>
          <w:tcPr>
            <w:tcW w:type="dxa" w:w="1440"/>
            <w:shd w:fill="FAFAFA" w:val="clear"/>
          </w:tcPr>
          <w:p>
            <w:r>
              <w:rPr>
                <w:sz w:val="17"/>
              </w:rPr>
              <w:t>29,359</w:t>
            </w:r>
          </w:p>
        </w:tc>
        <w:tc>
          <w:tcPr>
            <w:tcW w:type="dxa" w:w="1440"/>
            <w:shd w:fill="FAFAFA" w:val="clear"/>
          </w:tcPr>
          <w:p>
            <w:r>
              <w:rPr>
                <w:b/>
                <w:sz w:val="17"/>
              </w:rPr>
              <w:t>30,699</w:t>
            </w:r>
          </w:p>
        </w:tc>
        <w:tc>
          <w:tcPr>
            <w:tcW w:type="dxa" w:w="1440"/>
            <w:shd w:fill="FAFAFA" w:val="clear"/>
          </w:tcPr>
          <w:p>
            <w:r>
              <w:rPr>
                <w:sz w:val="17"/>
              </w:rPr>
              <w:t>32,040</w:t>
            </w:r>
          </w:p>
        </w:tc>
        <w:tc>
          <w:tcPr>
            <w:tcW w:type="dxa" w:w="1440"/>
            <w:shd w:fill="FAFAFA" w:val="clear"/>
          </w:tcPr>
          <w:p>
            <w:r>
              <w:rPr>
                <w:b/>
                <w:color w:val="008000"/>
                <w:sz w:val="17"/>
              </w:rPr>
              <w:t>+1.7%</w:t>
            </w:r>
          </w:p>
        </w:tc>
      </w:tr>
      <w:tr>
        <w:tc>
          <w:tcPr>
            <w:tcW w:type="dxa" w:w="1440"/>
            <w:shd w:fill="FAFAFA" w:val="clear"/>
          </w:tcPr>
          <w:p>
            <w:r>
              <w:rPr>
                <w:sz w:val="17"/>
              </w:rPr>
              <w:t>J+4  ⭐</w:t>
            </w:r>
          </w:p>
        </w:tc>
        <w:tc>
          <w:tcPr>
            <w:tcW w:type="dxa" w:w="1440"/>
            <w:shd w:fill="FAFAFA" w:val="clear"/>
          </w:tcPr>
          <w:p>
            <w:r>
              <w:rPr>
                <w:sz w:val="17"/>
              </w:rPr>
              <w:t>2026-08-12</w:t>
            </w:r>
          </w:p>
        </w:tc>
        <w:tc>
          <w:tcPr>
            <w:tcW w:type="dxa" w:w="1440"/>
            <w:shd w:fill="FAFAFA" w:val="clear"/>
          </w:tcPr>
          <w:p>
            <w:r>
              <w:rPr>
                <w:sz w:val="17"/>
              </w:rPr>
              <w:t>29,128</w:t>
            </w:r>
          </w:p>
        </w:tc>
        <w:tc>
          <w:tcPr>
            <w:tcW w:type="dxa" w:w="1440"/>
            <w:shd w:fill="FAFAFA" w:val="clear"/>
          </w:tcPr>
          <w:p>
            <w:r>
              <w:rPr>
                <w:b/>
                <w:sz w:val="17"/>
              </w:rPr>
              <w:t>30,674</w:t>
            </w:r>
          </w:p>
        </w:tc>
        <w:tc>
          <w:tcPr>
            <w:tcW w:type="dxa" w:w="1440"/>
            <w:shd w:fill="FAFAFA" w:val="clear"/>
          </w:tcPr>
          <w:p>
            <w:r>
              <w:rPr>
                <w:sz w:val="17"/>
              </w:rPr>
              <w:t>32,221</w:t>
            </w:r>
          </w:p>
        </w:tc>
        <w:tc>
          <w:tcPr>
            <w:tcW w:type="dxa" w:w="1440"/>
            <w:shd w:fill="FAFAFA" w:val="clear"/>
          </w:tcPr>
          <w:p>
            <w:r>
              <w:rPr>
                <w:b/>
                <w:color w:val="008000"/>
                <w:sz w:val="17"/>
              </w:rPr>
              <w:t>+1.6%</w:t>
            </w:r>
          </w:p>
        </w:tc>
      </w:tr>
      <w:tr>
        <w:tc>
          <w:tcPr>
            <w:tcW w:type="dxa" w:w="1440"/>
            <w:shd w:fill="FAFAFA" w:val="clear"/>
          </w:tcPr>
          <w:p>
            <w:r>
              <w:rPr>
                <w:sz w:val="17"/>
              </w:rPr>
              <w:t>J+5  ⭐</w:t>
            </w:r>
          </w:p>
        </w:tc>
        <w:tc>
          <w:tcPr>
            <w:tcW w:type="dxa" w:w="1440"/>
            <w:shd w:fill="FAFAFA" w:val="clear"/>
          </w:tcPr>
          <w:p>
            <w:r>
              <w:rPr>
                <w:sz w:val="17"/>
              </w:rPr>
              <w:t>2026-08-13</w:t>
            </w:r>
          </w:p>
        </w:tc>
        <w:tc>
          <w:tcPr>
            <w:tcW w:type="dxa" w:w="1440"/>
            <w:shd w:fill="FAFAFA" w:val="clear"/>
          </w:tcPr>
          <w:p>
            <w:r>
              <w:rPr>
                <w:sz w:val="17"/>
              </w:rPr>
              <w:t>28,920</w:t>
            </w:r>
          </w:p>
        </w:tc>
        <w:tc>
          <w:tcPr>
            <w:tcW w:type="dxa" w:w="1440"/>
            <w:shd w:fill="FAFAFA" w:val="clear"/>
          </w:tcPr>
          <w:p>
            <w:r>
              <w:rPr>
                <w:b/>
                <w:sz w:val="17"/>
              </w:rPr>
              <w:t>30,647</w:t>
            </w:r>
          </w:p>
        </w:tc>
        <w:tc>
          <w:tcPr>
            <w:tcW w:type="dxa" w:w="1440"/>
            <w:shd w:fill="FAFAFA" w:val="clear"/>
          </w:tcPr>
          <w:p>
            <w:r>
              <w:rPr>
                <w:sz w:val="17"/>
              </w:rPr>
              <w:t>32,375</w:t>
            </w:r>
          </w:p>
        </w:tc>
        <w:tc>
          <w:tcPr>
            <w:tcW w:type="dxa" w:w="1440"/>
            <w:shd w:fill="FAFAFA" w:val="clear"/>
          </w:tcPr>
          <w:p>
            <w:r>
              <w:rPr>
                <w:b/>
                <w:color w:val="008000"/>
                <w:sz w:val="17"/>
              </w:rPr>
              <w:t>+1.5%</w:t>
            </w:r>
          </w:p>
        </w:tc>
      </w:tr>
      <w:tr>
        <w:tc>
          <w:tcPr>
            <w:tcW w:type="dxa" w:w="1440"/>
            <w:shd w:fill="FAFAFA" w:val="clear"/>
          </w:tcPr>
          <w:p>
            <w:r>
              <w:rPr>
                <w:sz w:val="17"/>
              </w:rPr>
              <w:t>J+6  ⭐</w:t>
            </w:r>
          </w:p>
        </w:tc>
        <w:tc>
          <w:tcPr>
            <w:tcW w:type="dxa" w:w="1440"/>
            <w:shd w:fill="FAFAFA" w:val="clear"/>
          </w:tcPr>
          <w:p>
            <w:r>
              <w:rPr>
                <w:sz w:val="17"/>
              </w:rPr>
              <w:t>2026-08-14</w:t>
            </w:r>
          </w:p>
        </w:tc>
        <w:tc>
          <w:tcPr>
            <w:tcW w:type="dxa" w:w="1440"/>
            <w:shd w:fill="FAFAFA" w:val="clear"/>
          </w:tcPr>
          <w:p>
            <w:r>
              <w:rPr>
                <w:sz w:val="17"/>
              </w:rPr>
              <w:t>28,728</w:t>
            </w:r>
          </w:p>
        </w:tc>
        <w:tc>
          <w:tcPr>
            <w:tcW w:type="dxa" w:w="1440"/>
            <w:shd w:fill="FAFAFA" w:val="clear"/>
          </w:tcPr>
          <w:p>
            <w:r>
              <w:rPr>
                <w:b/>
                <w:sz w:val="17"/>
              </w:rPr>
              <w:t>30,618</w:t>
            </w:r>
          </w:p>
        </w:tc>
        <w:tc>
          <w:tcPr>
            <w:tcW w:type="dxa" w:w="1440"/>
            <w:shd w:fill="FAFAFA" w:val="clear"/>
          </w:tcPr>
          <w:p>
            <w:r>
              <w:rPr>
                <w:sz w:val="17"/>
              </w:rPr>
              <w:t>32,509</w:t>
            </w:r>
          </w:p>
        </w:tc>
        <w:tc>
          <w:tcPr>
            <w:tcW w:type="dxa" w:w="1440"/>
            <w:shd w:fill="FAFAFA" w:val="clear"/>
          </w:tcPr>
          <w:p>
            <w:r>
              <w:rPr>
                <w:b/>
                <w:color w:val="008000"/>
                <w:sz w:val="17"/>
              </w:rPr>
              <w:t>+1.4%</w:t>
            </w:r>
          </w:p>
        </w:tc>
      </w:tr>
      <w:tr>
        <w:tc>
          <w:tcPr>
            <w:tcW w:type="dxa" w:w="1440"/>
            <w:shd w:fill="FAFAFA" w:val="clear"/>
          </w:tcPr>
          <w:p>
            <w:r>
              <w:rPr>
                <w:sz w:val="17"/>
              </w:rPr>
              <w:t>J+7  ⭐</w:t>
            </w:r>
          </w:p>
        </w:tc>
        <w:tc>
          <w:tcPr>
            <w:tcW w:type="dxa" w:w="1440"/>
            <w:shd w:fill="FAFAFA" w:val="clear"/>
          </w:tcPr>
          <w:p>
            <w:r>
              <w:rPr>
                <w:sz w:val="17"/>
              </w:rPr>
              <w:t>2026-08-17</w:t>
            </w:r>
          </w:p>
        </w:tc>
        <w:tc>
          <w:tcPr>
            <w:tcW w:type="dxa" w:w="1440"/>
            <w:shd w:fill="FAFAFA" w:val="clear"/>
          </w:tcPr>
          <w:p>
            <w:r>
              <w:rPr>
                <w:sz w:val="17"/>
              </w:rPr>
              <w:t>28,548</w:t>
            </w:r>
          </w:p>
        </w:tc>
        <w:tc>
          <w:tcPr>
            <w:tcW w:type="dxa" w:w="1440"/>
            <w:shd w:fill="FAFAFA" w:val="clear"/>
          </w:tcPr>
          <w:p>
            <w:r>
              <w:rPr>
                <w:b/>
                <w:sz w:val="17"/>
              </w:rPr>
              <w:t>30,588</w:t>
            </w:r>
          </w:p>
        </w:tc>
        <w:tc>
          <w:tcPr>
            <w:tcW w:type="dxa" w:w="1440"/>
            <w:shd w:fill="FAFAFA" w:val="clear"/>
          </w:tcPr>
          <w:p>
            <w:r>
              <w:rPr>
                <w:sz w:val="17"/>
              </w:rPr>
              <w:t>32,628</w:t>
            </w:r>
          </w:p>
        </w:tc>
        <w:tc>
          <w:tcPr>
            <w:tcW w:type="dxa" w:w="1440"/>
            <w:shd w:fill="FAFAFA" w:val="clear"/>
          </w:tcPr>
          <w:p>
            <w:r>
              <w:rPr>
                <w:b/>
                <w:color w:val="008000"/>
                <w:sz w:val="17"/>
              </w:rPr>
              <w:t>+1.3%</w:t>
            </w:r>
          </w:p>
        </w:tc>
      </w:tr>
      <w:tr>
        <w:tc>
          <w:tcPr>
            <w:tcW w:type="dxa" w:w="1440"/>
            <w:shd w:fill="FAFAFA" w:val="clear"/>
          </w:tcPr>
          <w:p>
            <w:r>
              <w:rPr>
                <w:sz w:val="17"/>
              </w:rPr>
              <w:t>J+8  ⭐</w:t>
            </w:r>
          </w:p>
        </w:tc>
        <w:tc>
          <w:tcPr>
            <w:tcW w:type="dxa" w:w="1440"/>
            <w:shd w:fill="FAFAFA" w:val="clear"/>
          </w:tcPr>
          <w:p>
            <w:r>
              <w:rPr>
                <w:sz w:val="17"/>
              </w:rPr>
              <w:t>2026-08-18</w:t>
            </w:r>
          </w:p>
        </w:tc>
        <w:tc>
          <w:tcPr>
            <w:tcW w:type="dxa" w:w="1440"/>
            <w:shd w:fill="FAFAFA" w:val="clear"/>
          </w:tcPr>
          <w:p>
            <w:r>
              <w:rPr>
                <w:sz w:val="17"/>
              </w:rPr>
              <w:t>28,380</w:t>
            </w:r>
          </w:p>
        </w:tc>
        <w:tc>
          <w:tcPr>
            <w:tcW w:type="dxa" w:w="1440"/>
            <w:shd w:fill="FAFAFA" w:val="clear"/>
          </w:tcPr>
          <w:p>
            <w:r>
              <w:rPr>
                <w:b/>
                <w:sz w:val="17"/>
              </w:rPr>
              <w:t>30,558</w:t>
            </w:r>
          </w:p>
        </w:tc>
        <w:tc>
          <w:tcPr>
            <w:tcW w:type="dxa" w:w="1440"/>
            <w:shd w:fill="FAFAFA" w:val="clear"/>
          </w:tcPr>
          <w:p>
            <w:r>
              <w:rPr>
                <w:sz w:val="17"/>
              </w:rPr>
              <w:t>32,737</w:t>
            </w:r>
          </w:p>
        </w:tc>
        <w:tc>
          <w:tcPr>
            <w:tcW w:type="dxa" w:w="1440"/>
            <w:shd w:fill="FAFAFA" w:val="clear"/>
          </w:tcPr>
          <w:p>
            <w:r>
              <w:rPr>
                <w:b/>
                <w:color w:val="008000"/>
                <w:sz w:val="17"/>
              </w:rPr>
              <w:t>+1.2%</w:t>
            </w:r>
          </w:p>
        </w:tc>
      </w:tr>
      <w:tr>
        <w:tc>
          <w:tcPr>
            <w:tcW w:type="dxa" w:w="1440"/>
            <w:shd w:fill="FAFAFA" w:val="clear"/>
          </w:tcPr>
          <w:p>
            <w:r>
              <w:rPr>
                <w:sz w:val="17"/>
              </w:rPr>
              <w:t>J+9  ⭐</w:t>
            </w:r>
          </w:p>
        </w:tc>
        <w:tc>
          <w:tcPr>
            <w:tcW w:type="dxa" w:w="1440"/>
            <w:shd w:fill="FAFAFA" w:val="clear"/>
          </w:tcPr>
          <w:p>
            <w:r>
              <w:rPr>
                <w:sz w:val="17"/>
              </w:rPr>
              <w:t>2026-08-19</w:t>
            </w:r>
          </w:p>
        </w:tc>
        <w:tc>
          <w:tcPr>
            <w:tcW w:type="dxa" w:w="1440"/>
            <w:shd w:fill="FAFAFA" w:val="clear"/>
          </w:tcPr>
          <w:p>
            <w:r>
              <w:rPr>
                <w:sz w:val="17"/>
              </w:rPr>
              <w:t>28,220</w:t>
            </w:r>
          </w:p>
        </w:tc>
        <w:tc>
          <w:tcPr>
            <w:tcW w:type="dxa" w:w="1440"/>
            <w:shd w:fill="FAFAFA" w:val="clear"/>
          </w:tcPr>
          <w:p>
            <w:r>
              <w:rPr>
                <w:b/>
                <w:sz w:val="17"/>
              </w:rPr>
              <w:t>30,528</w:t>
            </w:r>
          </w:p>
        </w:tc>
        <w:tc>
          <w:tcPr>
            <w:tcW w:type="dxa" w:w="1440"/>
            <w:shd w:fill="FAFAFA" w:val="clear"/>
          </w:tcPr>
          <w:p>
            <w:r>
              <w:rPr>
                <w:sz w:val="17"/>
              </w:rPr>
              <w:t>32,837</w:t>
            </w:r>
          </w:p>
        </w:tc>
        <w:tc>
          <w:tcPr>
            <w:tcW w:type="dxa" w:w="1440"/>
            <w:shd w:fill="FAFAFA" w:val="clear"/>
          </w:tcPr>
          <w:p>
            <w:r>
              <w:rPr>
                <w:b/>
                <w:color w:val="008000"/>
                <w:sz w:val="17"/>
              </w:rPr>
              <w:t>+1.1%</w:t>
            </w:r>
          </w:p>
        </w:tc>
      </w:tr>
      <w:tr>
        <w:tc>
          <w:tcPr>
            <w:tcW w:type="dxa" w:w="1440"/>
            <w:shd w:fill="FAFAFA" w:val="clear"/>
          </w:tcPr>
          <w:p>
            <w:r>
              <w:rPr>
                <w:sz w:val="17"/>
              </w:rPr>
              <w:t>J+10  ⭐</w:t>
            </w:r>
          </w:p>
        </w:tc>
        <w:tc>
          <w:tcPr>
            <w:tcW w:type="dxa" w:w="1440"/>
            <w:shd w:fill="FAFAFA" w:val="clear"/>
          </w:tcPr>
          <w:p>
            <w:r>
              <w:rPr>
                <w:sz w:val="17"/>
              </w:rPr>
              <w:t>2026-08-20</w:t>
            </w:r>
          </w:p>
        </w:tc>
        <w:tc>
          <w:tcPr>
            <w:tcW w:type="dxa" w:w="1440"/>
            <w:shd w:fill="FAFAFA" w:val="clear"/>
          </w:tcPr>
          <w:p>
            <w:r>
              <w:rPr>
                <w:sz w:val="17"/>
              </w:rPr>
              <w:t>28,068</w:t>
            </w:r>
          </w:p>
        </w:tc>
        <w:tc>
          <w:tcPr>
            <w:tcW w:type="dxa" w:w="1440"/>
            <w:shd w:fill="FAFAFA" w:val="clear"/>
          </w:tcPr>
          <w:p>
            <w:r>
              <w:rPr>
                <w:b/>
                <w:sz w:val="17"/>
              </w:rPr>
              <w:t>30,499</w:t>
            </w:r>
          </w:p>
        </w:tc>
        <w:tc>
          <w:tcPr>
            <w:tcW w:type="dxa" w:w="1440"/>
            <w:shd w:fill="FAFAFA" w:val="clear"/>
          </w:tcPr>
          <w:p>
            <w:r>
              <w:rPr>
                <w:sz w:val="17"/>
              </w:rPr>
              <w:t>32,930</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de l'analyse : 05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3 020 milliards FCFA, Sonatel (SNTS) s'impose comme une valeur de première ligne, probablement l'une des plus importantes de la cote de la BRVM. Le BPA de 4 136 FCFA indique que chaque action génère un bénéfice substantiel, ce qui justifie un PER de 7,3x. Ce niveau est inférieur à la moyenne historique de la BRVM (8-12x), signalant une **sous-évaluation relative** du titre par rapport à ses bénéfices. Le P/B de 2,16x, bien que supérieur à 1, reflète une prime de croissance accordée par le marché pour la qualité des actifs et la rentabilité de l'entreprise. Enfin, un EV/EBITDA de 3,1x est particulièrement attractif, indiquant que la valeur totale de l'entreprise (capitalisation + dettes) est très faible par rapport à sa capacité opérationnelle de génération de cash (EBITDA). Ces ratios combinés suggèrent une valorisation boursière très raisonnable, voire bon marché, pour un leader régional.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l'action SNTS a progressé de +4,14%, mais a subi une baisse notable de -3,82% lors de la dernière séance, s'établissant à 30 200 FCFA. Le titre a évolué dans une fourchette de trading de 27 160 FCFA (plus bas) à 32 500 FCFA (plus haut), démontrant une amplitude de mouvement significative. La moyenne (29 222 FCFA) étant supérieure à la médiane (28 850 FCFA), cela confirme une distribution légèrement asymétrique, avec une tendance générale haussière sur la période. L'écart-type de 1 185 FCFA (CV=4,1%) indique une dispersion relativement faible autour de la moyenne, suggérant une certaine stabilité relative. Le kurtosis proche de 0 (0.202) indique une distribution mésokurtique, sans risque de pics extrêmes. Le skewness positif (1.154) révèle que le cours a passé plus de journées sous la moyenne, avec des mouvements de hausse plus marqués mais moins fréquents. Enfin, la volatilité annualisée de 24,9% classe le titre comme **modérément volatil**, un niveau acceptable pour une valeur de cette envergure.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(30 200 FCFA) est inférieur à la MM20 (31 335,75 FCFA) mais supérieur à la MM50 (29 790,9 FCFA). Cette configuration, où le prix est sous la moyenne à court terme mais au-dessus de la moyenne à long terme, indique un potentiel repli technique après une tendance haussière. La décision globale est un "Achat", car la tendance de fond (MM50) reste positive, mais une consolidation est en cours.</w:t>
      </w:r>
    </w:p>
    <w:p>
      <w:pPr>
        <w:spacing w:after="120" w:line="276" w:lineRule="auto"/>
      </w:pPr>
      <w:r>
        <w:t>**Bandes de Bollinger :** Le prix (30 200 FCFA) se situe sous la borne inférieure (30 264,046 FCFA), ce qui est un signal statistiquement rare et souvent interprété comme une condition de **surextension à la baisse**. Cela suggère que le marché a temporairement sur-réagi, créant un potentiel de rebond technique. La décision "Achat" est cohérente avec cette lecture, car elle anticipe un retour du prix vers la moyenne.</w:t>
      </w:r>
    </w:p>
    <w:p>
      <w:pPr>
        <w:spacing w:after="120" w:line="276" w:lineRule="auto"/>
      </w:pPr>
      <w:r>
        <w:t>**MACD :** La valeur du MACD (277,328) est inférieure à son signal (475,497), formant une divergence baissière. Cela indique un affaiblissement du momentum haussier à moyen terme. La décision "Vente" est justifiée par ce croisement baissier, qui signale une perte de vitesse de la dynamique positive.</w:t>
      </w:r>
    </w:p>
    <w:p>
      <w:pPr>
        <w:spacing w:after="120" w:line="276" w:lineRule="auto"/>
      </w:pPr>
      <w:r>
        <w:t>**RSI :** Avec une valeur de 21,875, le RSI est en territoire de **survente** (sous le seuil de 30). Cela indique que le titre a été vendu de manière excessive et que la pression vendeuse est potentiellement épuisée. Historiquement, cela précède souvent un rebond technique. La décision "Achat" est donc cohérente avec cette lecture.</w:t>
      </w:r>
    </w:p>
    <w:p>
      <w:pPr>
        <w:spacing w:after="120" w:line="276" w:lineRule="auto"/>
      </w:pPr>
      <w:r>
        <w:t>**Stochastique :** Le %K (0,0) est extrêmement bas et sous le %D (13,333), confirmant une condition de survente sévère. Bien que le croisement haussier ne soit pas encore intervenu, ces niveaux extrêmes suggèrent un fort potentiel de retournement à la hausse. La décision "Achat" est justifiée par cette configuration de survente.</w:t>
      </w:r>
    </w:p>
    <w:p>
      <w:pPr>
        <w:spacing w:after="120" w:line="276" w:lineRule="auto"/>
      </w:pPr>
      <w:r>
        <w:t>**Conclusion technique :** Les indicateurs sont **divergents**. Le MACD signale une faiblesse du momentum, tandis que le RSI, le Stochastique et les Bandes de Bollinger indiquent une condition de survente extrême. Cette configuration suggère un **potentiel de rebond technique à court terme**, mais une prudence est de mise tant que le cours ne repasse pas au-dessus de la MM20. La tendance de fond reste positive, soutenue par la MM50.</w:t>
      </w:r>
    </w:p>
    <w:p>
      <w:pPr>
        <w:spacing w:after="120" w:line="276" w:lineRule="auto"/>
      </w:pPr>
      <w:r>
        <w:t>---</w:t>
      </w:r>
    </w:p>
    <w:p>
      <w:pPr>
        <w:spacing w:after="120" w:line="276" w:lineRule="auto"/>
      </w:pPr>
      <w:r>
        <w:t>### PARTIE 3 : ANALYSE FONDAMENTALE (SECTION CRITIQUE)</w:t>
      </w:r>
    </w:p>
    <w:p>
      <w:pPr>
        <w:spacing w:after="120" w:line="276" w:lineRule="auto"/>
      </w:pPr>
      <w:r>
        <w:t>En 2025, Sonatel affiche des fondamentaux robustes. Le chiffre d'affaires consolidé s'établit à 1 923,1 milliards FCFA, en hausse de +8,3% par rapport à 2024 (1 776,4 Mds FCFA), porté par la Data mobile, le haut débit fixe et Orange Money. Le résultat net atteint 413,6 milliards FCFA (+5,1% vs 2024), démontrant une excellente maîtrise des charges. La rentabilité est exceptionnelle avec un ROE de 29,6% et un ROA de 12,6%, bien au-dessus des seuils d'excellence. La structure financière est saine : le BFR est négatif (-284,9 Mds FCFA), ce qui est un signe de force, et la capacité de remboursement est très rapide (0,64 an). Les délais clients (46 jours) et fournisseurs (201 jours) sont bien gérés, favorisant la trésorerie. Les rapports trimestriels de 2025 confirment cette dynamique : le T1 2025 montrait une croissance du résultat net de +14,9%, et le S1 2025 un CA en hausse de +9,4%. Sur la base de ces performances, on estime que la croissance du CA et du résultat net devrait se poursuivre en 2026, bien qu'à un rythme potentiellement plus modéré. Le rapport annuel 2025 confirme la solidité du modèle, avec une marge d'EBITDAAL de 47,8% et un dividende proposé de 1 933 FCFA brut par action, soit un rendement attractif. Les risques identifiés (pression fiscale, concurrence) sont réels mais ne remettent pas en cause la solidité financière du groupe.</w:t>
      </w:r>
    </w:p>
    <w:p>
      <w:pPr>
        <w:spacing w:after="120" w:line="276" w:lineRule="auto"/>
      </w:pPr>
      <w:r>
        <w:t>---</w:t>
      </w:r>
    </w:p>
    <w:p>
      <w:pPr>
        <w:spacing w:after="120" w:line="276" w:lineRule="auto"/>
      </w:pPr>
      <w:r>
        <w:t>### PARTIE 4 : CONCLUSION D'INVESTISSEMENT</w:t>
      </w:r>
    </w:p>
    <w:p>
      <w:pPr>
        <w:spacing w:after="120" w:line="276" w:lineRule="auto"/>
      </w:pPr>
      <w:r>
        <w:t>La valorisation de SNTS est **attractive** (PER de 7,3x, EV/EBITDA de 3,1x), indiquant une sous-évaluation par rapport à ses pairs et à son potentiel de croissance. Le comportement du cours sur 100 jours est positif (+4,14%) avec une volatilité modérée, mais la dernière séance et les statistiques (skewness positif) suggèrent une prudence à court terme. Les signaux techniques sont **mitigés** : bien que le MACD soit baissier, les indicateurs de survente (RSI, Stochastique, Bandes de Bollinger) plaident pour un rebond imminent. Les fondamentaux sont **excellents**, avec une croissance soutenue, des marges élevées et une structure financière très saine. Les prédictions IA (30 818 FCFA à J+1, puis stabilisation autour de 30 600-30 700 FCFA) confirment un potentiel de rebond modéré, en ligne avec les signaux techniques de survente. En synthèse, la convergence entre la sous-évaluation, la solidité fondamentale et le potentiel de rebond technique est forte. Nous recommandons donc un **ACHAT** pour les investisseurs de moyen et long terme, avec un niveau de confiance **Élevé**. Le risque global est **Moyen**, principalement lié à la volatilité à court terme et à l'environnement réglementaire. L'horizon d'investissement optimal est le **moyen terme (3-12 mois)**, pour capter à la fois le rebond technique et la croissance fondamentale, en bénéficiant d'un rendement de dividende attractif.</w:t>
      </w:r>
    </w:p>
    <w:p/>
    <w:p/>
    <w:p>
      <w:pPr>
        <w:pStyle w:val="Heading3"/>
      </w:pPr>
      <w:r>
        <w:rPr>
          <w:color w:val="00467F"/>
        </w:rPr>
        <w:t>📎 DOCUMENTS &amp; COMMUNICATIONS OFFICIELS BRVM</w:t>
      </w:r>
    </w:p>
    <w:p>
      <w:r>
        <w:rPr>
          <w:i/>
          <w:color w:val="646464"/>
          <w:sz w:val="18"/>
        </w:rPr>
        <w:t>4 document(s) disponible(s) pour cette société (affichage des 4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[4]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19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pr\u00e9sente une performance financi\u00e8re solide avec une croissance soutenue et une rentabilit\u00e9 \u00e9lev\u00e9e, mais \u00e9volue dans un environnement concurrentiel intense et inflationniste. La strat\u00e9gie de d\u00e9veloppement du tr\u00e8s haut d\u00e9bit et la position de leader justifient le maintien en portefeuille."}</w:t>
      </w:r>
    </w:p>
    <w:p>
      <w:pPr>
        <w:spacing w:before="40"/>
        <w:ind w:left="400"/>
      </w:pPr>
      <w:r>
        <w:rPr>
          <w:sz w:val="18"/>
        </w:rPr>
        <w:t>Sonatel affiche une performance financière solide en 2022 avec un chiffre d'affaires en croissance de 9% à 1 455 milliards FCFA et un résultat net en hausse de 10,5% à 278,9 milliards FCFA. Le groupe maintient son leadership sur tous ses marchés de présence (Sénégal, Mali, Guinée, Guinée Bissau, Sierra Leone) malgré un contexte socio-économique difficile. La croissance est portée par le développement du très haut débit avec 10,6 millions de clients 4G et une forte croissance du parc broadband fixe (+34,8%). L'EBITDAAL progresse de 8,8% à 631,5 milliards FCFA avec une marge de 43,4%, témoignant d'une rentabilité opérationnelle robuste. Le groupe propose un dividende de 1 667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'262,5 milliards FCFA', 'ebitdaal': '631,5 milliards FCFA', 'clients_4G': '10,6 millions', 'parc_mobile': '37,9 millions', 'marge_ebitdaal': '43,4%', 'operating_cash_flow': '369,1 milliards FCFA', 'clients_orange_money': '26,4 millions'}</w:t>
            </w:r>
          </w:p>
        </w:tc>
        <w:tc>
          <w:tcPr>
            <w:tcW w:type="dxa" w:w="2160"/>
          </w:tcPr>
          <w:p>
            <w:pPr>
              <w:ind w:left="100"/>
            </w:pPr>
            <w:r/>
            <w:r>
              <w:rPr>
                <w:b/>
                <w:sz w:val="16"/>
              </w:rPr>
              <w:t>dividende</w:t>
              <w:br/>
            </w:r>
            <w:r>
              <w:rPr>
                <w:sz w:val="18"/>
              </w:rPr>
              <w:t>1 667 FCFA brut par action (1 500 FCFA net)</w:t>
            </w:r>
          </w:p>
        </w:tc>
        <w:tc>
          <w:tcPr>
            <w:tcW w:type="dxa" w:w="2160"/>
          </w:tcPr>
          <w:p>
            <w:pPr>
              <w:ind w:left="100"/>
            </w:pPr>
            <w:r/>
            <w:r>
              <w:rPr>
                <w:b/>
                <w:sz w:val="16"/>
              </w:rPr>
              <w:t>marge_nette</w:t>
              <w:br/>
            </w:r>
            <w:r>
              <w:rPr>
                <w:sz w:val="18"/>
              </w:rPr>
              <w:t>19,2%</w:t>
            </w:r>
          </w:p>
        </w:tc>
        <w:tc>
          <w:tcPr>
            <w:tcW w:type="dxa" w:w="2160"/>
          </w:tcPr>
          <w:p>
            <w:pPr>
              <w:ind w:left="100"/>
            </w:pPr>
            <w:r/>
            <w:r>
              <w:rPr>
                <w:b/>
                <w:sz w:val="16"/>
              </w:rPr>
              <w:t>total_actif</w:t>
              <w:br/>
            </w:r>
            <w:r>
              <w:rPr>
                <w:sz w:val="18"/>
              </w:rPr>
              <w:t>2 252,2 milliards FCFA</w:t>
            </w:r>
          </w:p>
        </w:tc>
      </w:tr>
      <w:tr>
        <w:tc>
          <w:tcPr>
            <w:tcW w:type="dxa" w:w="2160"/>
          </w:tcPr>
          <w:p>
            <w:r/>
            <w:r>
              <w:rPr>
                <w:b/>
                <w:sz w:val="16"/>
              </w:rPr>
              <w:t>resultat_net</w:t>
              <w:br/>
            </w:r>
            <w:r>
              <w:rPr>
                <w:sz w:val="18"/>
              </w:rPr>
              <w:t>278,9 milliards FCFA</w:t>
            </w:r>
          </w:p>
        </w:tc>
        <w:tc>
          <w:tcPr>
            <w:tcW w:type="dxa" w:w="2160"/>
          </w:tcPr>
          <w:p>
            <w:r/>
            <w:r>
              <w:rPr>
                <w:b/>
                <w:sz w:val="16"/>
              </w:rPr>
              <w:t>capitaux_propres</w:t>
              <w:br/>
            </w:r>
            <w:r>
              <w:rPr>
                <w:sz w:val="18"/>
              </w:rPr>
              <w:t>898,5 milliards FCFA</w:t>
            </w:r>
          </w:p>
        </w:tc>
        <w:tc>
          <w:tcPr>
            <w:tcW w:type="dxa" w:w="2160"/>
          </w:tcPr>
          <w:p>
            <w:r/>
            <w:r>
              <w:rPr>
                <w:b/>
                <w:sz w:val="16"/>
              </w:rPr>
              <w:t>chiffre_affaires</w:t>
              <w:br/>
            </w:r>
            <w:r>
              <w:rPr>
                <w:sz w:val="18"/>
              </w:rPr>
              <w:t>1 455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 à 1 455 milliards FCFA malgré la baisse d'Orange Money</w:t>
      </w:r>
    </w:p>
    <w:p>
      <w:pPr>
        <w:pStyle w:val="ListBullet"/>
        <w:spacing w:before="20" w:after="20"/>
        <w:ind w:left="700"/>
      </w:pPr>
      <w:r>
        <w:rPr>
          <w:sz w:val="18"/>
        </w:rPr>
        <w:t>Résultat net en progression de 10,5% à 278,9 milliards FCFA avec une marge nette de 19,2%</w:t>
      </w:r>
    </w:p>
    <w:p>
      <w:pPr>
        <w:pStyle w:val="ListBullet"/>
        <w:spacing w:before="20" w:after="20"/>
        <w:ind w:left="700"/>
      </w:pPr>
      <w:r>
        <w:rPr>
          <w:sz w:val="18"/>
        </w:rPr>
        <w:t>Maintien du leadership sur tous les marchés avec des parts de marché entre 51,6% et 65,9%</w:t>
      </w:r>
    </w:p>
    <w:p>
      <w:pPr>
        <w:pStyle w:val="ListBullet"/>
        <w:spacing w:before="20" w:after="20"/>
        <w:ind w:left="700"/>
      </w:pPr>
      <w:r>
        <w:rPr>
          <w:sz w:val="18"/>
        </w:rPr>
        <w:t>Forte croissance du parc 4G (+33%) atteignant 10,6 millions de clients actifs</w:t>
      </w:r>
    </w:p>
    <w:p>
      <w:pPr>
        <w:pStyle w:val="ListBullet"/>
        <w:spacing w:before="20" w:after="20"/>
        <w:ind w:left="700"/>
      </w:pPr>
      <w:r>
        <w:rPr>
          <w:sz w:val="18"/>
        </w:rPr>
        <w:t>Développement significatif du broadband fixe (+34,8%) avec 586K clients dont 491K en fibre</w:t>
      </w:r>
    </w:p>
    <w:p>
      <w:pPr>
        <w:pStyle w:val="ListBullet"/>
        <w:spacing w:before="20" w:after="20"/>
        <w:ind w:left="700"/>
      </w:pPr>
      <w:r>
        <w:rPr>
          <w:sz w:val="18"/>
        </w:rPr>
        <w:t>EBITDAAL en hausse de 8,8% à 631,5 milliards FCFA avec une marge stable à 43,4%</w:t>
      </w:r>
    </w:p>
    <w:p>
      <w:pPr>
        <w:spacing w:before="40"/>
        <w:ind w:left="400"/>
      </w:pPr>
      <w:r>
        <w:rPr>
          <w:b/>
          <w:color w:val="C05000"/>
          <w:sz w:val="18"/>
        </w:rPr>
        <w:t xml:space="preserve">⚠️ Risques : </w:t>
      </w:r>
      <w:r>
        <w:rPr>
          <w:sz w:val="18"/>
        </w:rPr>
        <w:t>["Contexte socio-\u00e9conomique difficile avec inflation \u00e9lev\u00e9e et transitions militaires au Mali et en Guin\u00e9e", "Agressivit\u00e9 concurrentielle croissante sur tous les march\u00e9s, notamment sur la data et le mobile money", "D\u00e9pr\u00e9ciation mon\u00e9taire importante en Sie</w:t>
      </w:r>
    </w:p>
    <w:p>
      <w:pPr>
        <w:spacing w:before="40"/>
        <w:ind w:left="400"/>
      </w:pPr>
      <w:r>
        <w:rPr>
          <w:b/>
          <w:color w:val="0064A0"/>
          <w:sz w:val="18"/>
        </w:rPr>
        <w:t xml:space="preserve">🔮 Perspectives : </w:t>
      </w:r>
      <w:r>
        <w:rPr>
          <w:sz w:val="18"/>
        </w:rPr>
        <w:t>Pour 2023, Sonatel vise à renforcer sa performance en croissance et rentabilité grâce à un plan d'efficience opérationnelle. Le groupe poursuivra sa stratégie d'opérateur multiservices en accélérant le très haut débit fixe et mobile, la distribution de contenus via Wido et Orange Energie. L'objectif</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174.97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4,245 titres</w:t>
            </w:r>
          </w:p>
        </w:tc>
        <w:tc>
          <w:tcPr>
            <w:tcW w:type="dxa" w:w="2268"/>
            <w:shd w:fill="FFF2CC" w:val="clear"/>
          </w:tcPr>
          <w:p>
            <w:r>
              <w:rPr>
                <w:b/>
                <w:color w:val="503200"/>
                <w:sz w:val="16"/>
              </w:rPr>
              <w:t xml:space="preserve">Cours actuel : </w:t>
            </w:r>
            <w:r>
              <w:rPr>
                <w:color w:val="000000"/>
                <w:sz w:val="17"/>
              </w:rPr>
              <w:t>8,100 FCFA</w:t>
            </w:r>
          </w:p>
          <w:p>
            <w:r>
              <w:rPr>
                <w:b/>
                <w:color w:val="503200"/>
                <w:sz w:val="16"/>
              </w:rPr>
              <w:t xml:space="preserve">Var. 100 jours : </w:t>
            </w:r>
            <w:r>
              <w:rPr>
                <w:b/>
                <w:color w:val="B40000"/>
                <w:sz w:val="17"/>
              </w:rPr>
              <w:t>-7.32%</w:t>
            </w:r>
          </w:p>
          <w:p>
            <w:r>
              <w:rPr>
                <w:b/>
                <w:color w:val="503200"/>
                <w:sz w:val="16"/>
              </w:rPr>
              <w:t xml:space="preserve">Plus haut 100j : </w:t>
            </w:r>
            <w:r>
              <w:rPr>
                <w:color w:val="000000"/>
                <w:sz w:val="17"/>
              </w:rPr>
              <w:t>9,000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17.5/100 → Faible</w:t>
      </w:r>
    </w:p>
    <w:p>
      <w:pPr>
        <w:spacing w:before="40" w:after="80"/>
      </w:pPr>
      <w:r>
        <w:rPr>
          <w:rFonts w:ascii="Courier New" w:hAnsi="Courier New"/>
          <w:color w:val="006400"/>
          <w:sz w:val="18"/>
        </w:rPr>
        <w:t>███░░░░░░░░░░░░░░░░░  17.5/100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5.50% (Moyenne) — μ=8,046 FCFA, σ=442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β=0.8246 (Neutre (suit le marché)) — Cov=0.000030, Var(idx)=0.000036, ρ=0.219,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4,245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2026-08-06</w:t>
            </w:r>
          </w:p>
        </w:tc>
        <w:tc>
          <w:tcPr>
            <w:tcW w:type="dxa" w:w="1440"/>
            <w:shd w:fill="FAFAFA" w:val="clear"/>
          </w:tcPr>
          <w:p>
            <w:r>
              <w:rPr>
                <w:sz w:val="17"/>
              </w:rPr>
              <w:t>7,855</w:t>
            </w:r>
          </w:p>
        </w:tc>
        <w:tc>
          <w:tcPr>
            <w:tcW w:type="dxa" w:w="1440"/>
            <w:shd w:fill="FAFAFA" w:val="clear"/>
          </w:tcPr>
          <w:p>
            <w:r>
              <w:rPr>
                <w:b/>
                <w:sz w:val="17"/>
              </w:rPr>
              <w:t>8,109</w:t>
            </w:r>
          </w:p>
        </w:tc>
        <w:tc>
          <w:tcPr>
            <w:tcW w:type="dxa" w:w="1440"/>
            <w:shd w:fill="FAFAFA" w:val="clear"/>
          </w:tcPr>
          <w:p>
            <w:r>
              <w:rPr>
                <w:sz w:val="17"/>
              </w:rPr>
              <w:t>8,363</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2026-08-10</w:t>
            </w:r>
          </w:p>
        </w:tc>
        <w:tc>
          <w:tcPr>
            <w:tcW w:type="dxa" w:w="1440"/>
            <w:shd w:fill="FAFAFA" w:val="clear"/>
          </w:tcPr>
          <w:p>
            <w:r>
              <w:rPr>
                <w:sz w:val="17"/>
              </w:rPr>
              <w:t>7,766</w:t>
            </w:r>
          </w:p>
        </w:tc>
        <w:tc>
          <w:tcPr>
            <w:tcW w:type="dxa" w:w="1440"/>
            <w:shd w:fill="FAFAFA" w:val="clear"/>
          </w:tcPr>
          <w:p>
            <w:r>
              <w:rPr>
                <w:b/>
                <w:sz w:val="17"/>
              </w:rPr>
              <w:t>8,126</w:t>
            </w:r>
          </w:p>
        </w:tc>
        <w:tc>
          <w:tcPr>
            <w:tcW w:type="dxa" w:w="1440"/>
            <w:shd w:fill="FAFAFA" w:val="clear"/>
          </w:tcPr>
          <w:p>
            <w:r>
              <w:rPr>
                <w:sz w:val="17"/>
              </w:rPr>
              <w:t>8,486</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2026-08-11</w:t>
            </w:r>
          </w:p>
        </w:tc>
        <w:tc>
          <w:tcPr>
            <w:tcW w:type="dxa" w:w="1440"/>
            <w:shd w:fill="FAFAFA" w:val="clear"/>
          </w:tcPr>
          <w:p>
            <w:r>
              <w:rPr>
                <w:sz w:val="17"/>
              </w:rPr>
              <w:t>7,698</w:t>
            </w:r>
          </w:p>
        </w:tc>
        <w:tc>
          <w:tcPr>
            <w:tcW w:type="dxa" w:w="1440"/>
            <w:shd w:fill="FAFAFA" w:val="clear"/>
          </w:tcPr>
          <w:p>
            <w:r>
              <w:rPr>
                <w:b/>
                <w:sz w:val="17"/>
              </w:rPr>
              <w:t>8,140</w:t>
            </w:r>
          </w:p>
        </w:tc>
        <w:tc>
          <w:tcPr>
            <w:tcW w:type="dxa" w:w="1440"/>
            <w:shd w:fill="FAFAFA" w:val="clear"/>
          </w:tcPr>
          <w:p>
            <w:r>
              <w:rPr>
                <w:sz w:val="17"/>
              </w:rPr>
              <w:t>8,581</w:t>
            </w:r>
          </w:p>
        </w:tc>
        <w:tc>
          <w:tcPr>
            <w:tcW w:type="dxa" w:w="1440"/>
            <w:shd w:fill="FAFAFA" w:val="clear"/>
          </w:tcPr>
          <w:p>
            <w:r>
              <w:rPr>
                <w:b/>
                <w:color w:val="008000"/>
                <w:sz w:val="17"/>
              </w:rPr>
              <w:t>+0.5%</w:t>
            </w:r>
          </w:p>
        </w:tc>
      </w:tr>
      <w:tr>
        <w:tc>
          <w:tcPr>
            <w:tcW w:type="dxa" w:w="1440"/>
            <w:shd w:fill="FAFAFA" w:val="clear"/>
          </w:tcPr>
          <w:p>
            <w:r>
              <w:rPr>
                <w:sz w:val="17"/>
              </w:rPr>
              <w:t>J+4  Moyenne</w:t>
            </w:r>
          </w:p>
        </w:tc>
        <w:tc>
          <w:tcPr>
            <w:tcW w:type="dxa" w:w="1440"/>
            <w:shd w:fill="FAFAFA" w:val="clear"/>
          </w:tcPr>
          <w:p>
            <w:r>
              <w:rPr>
                <w:sz w:val="17"/>
              </w:rPr>
              <w:t>2026-08-12</w:t>
            </w:r>
          </w:p>
        </w:tc>
        <w:tc>
          <w:tcPr>
            <w:tcW w:type="dxa" w:w="1440"/>
            <w:shd w:fill="FAFAFA" w:val="clear"/>
          </w:tcPr>
          <w:p>
            <w:r>
              <w:rPr>
                <w:sz w:val="17"/>
              </w:rPr>
              <w:t>7,641</w:t>
            </w:r>
          </w:p>
        </w:tc>
        <w:tc>
          <w:tcPr>
            <w:tcW w:type="dxa" w:w="1440"/>
            <w:shd w:fill="FAFAFA" w:val="clear"/>
          </w:tcPr>
          <w:p>
            <w:r>
              <w:rPr>
                <w:b/>
                <w:sz w:val="17"/>
              </w:rPr>
              <w:t>8,152</w:t>
            </w:r>
          </w:p>
        </w:tc>
        <w:tc>
          <w:tcPr>
            <w:tcW w:type="dxa" w:w="1440"/>
            <w:shd w:fill="FAFAFA" w:val="clear"/>
          </w:tcPr>
          <w:p>
            <w:r>
              <w:rPr>
                <w:sz w:val="17"/>
              </w:rPr>
              <w:t>8,663</w:t>
            </w:r>
          </w:p>
        </w:tc>
        <w:tc>
          <w:tcPr>
            <w:tcW w:type="dxa" w:w="1440"/>
            <w:shd w:fill="FAFAFA" w:val="clear"/>
          </w:tcPr>
          <w:p>
            <w:r>
              <w:rPr>
                <w:b/>
                <w:color w:val="008000"/>
                <w:sz w:val="17"/>
              </w:rPr>
              <w:t>+0.6%</w:t>
            </w:r>
          </w:p>
        </w:tc>
      </w:tr>
      <w:tr>
        <w:tc>
          <w:tcPr>
            <w:tcW w:type="dxa" w:w="1440"/>
            <w:shd w:fill="FAFAFA" w:val="clear"/>
          </w:tcPr>
          <w:p>
            <w:r>
              <w:rPr>
                <w:sz w:val="17"/>
              </w:rPr>
              <w:t>J+5  Moyenne</w:t>
            </w:r>
          </w:p>
        </w:tc>
        <w:tc>
          <w:tcPr>
            <w:tcW w:type="dxa" w:w="1440"/>
            <w:shd w:fill="FAFAFA" w:val="clear"/>
          </w:tcPr>
          <w:p>
            <w:r>
              <w:rPr>
                <w:sz w:val="17"/>
              </w:rPr>
              <w:t>2026-08-13</w:t>
            </w:r>
          </w:p>
        </w:tc>
        <w:tc>
          <w:tcPr>
            <w:tcW w:type="dxa" w:w="1440"/>
            <w:shd w:fill="FAFAFA" w:val="clear"/>
          </w:tcPr>
          <w:p>
            <w:r>
              <w:rPr>
                <w:sz w:val="17"/>
              </w:rPr>
              <w:t>7,592</w:t>
            </w:r>
          </w:p>
        </w:tc>
        <w:tc>
          <w:tcPr>
            <w:tcW w:type="dxa" w:w="1440"/>
            <w:shd w:fill="FAFAFA" w:val="clear"/>
          </w:tcPr>
          <w:p>
            <w:r>
              <w:rPr>
                <w:b/>
                <w:sz w:val="17"/>
              </w:rPr>
              <w:t>8,164</w:t>
            </w:r>
          </w:p>
        </w:tc>
        <w:tc>
          <w:tcPr>
            <w:tcW w:type="dxa" w:w="1440"/>
            <w:shd w:fill="FAFAFA" w:val="clear"/>
          </w:tcPr>
          <w:p>
            <w:r>
              <w:rPr>
                <w:sz w:val="17"/>
              </w:rPr>
              <w:t>8,736</w:t>
            </w:r>
          </w:p>
        </w:tc>
        <w:tc>
          <w:tcPr>
            <w:tcW w:type="dxa" w:w="1440"/>
            <w:shd w:fill="FAFAFA" w:val="clear"/>
          </w:tcPr>
          <w:p>
            <w:r>
              <w:rPr>
                <w:b/>
                <w:color w:val="008000"/>
                <w:sz w:val="17"/>
              </w:rPr>
              <w:t>+0.8%</w:t>
            </w:r>
          </w:p>
        </w:tc>
      </w:tr>
      <w:tr>
        <w:tc>
          <w:tcPr>
            <w:tcW w:type="dxa" w:w="1440"/>
            <w:shd w:fill="FAFAFA" w:val="clear"/>
          </w:tcPr>
          <w:p>
            <w:r>
              <w:rPr>
                <w:sz w:val="17"/>
              </w:rPr>
              <w:t>J+6  Moyenne</w:t>
            </w:r>
          </w:p>
        </w:tc>
        <w:tc>
          <w:tcPr>
            <w:tcW w:type="dxa" w:w="1440"/>
            <w:shd w:fill="FAFAFA" w:val="clear"/>
          </w:tcPr>
          <w:p>
            <w:r>
              <w:rPr>
                <w:sz w:val="17"/>
              </w:rPr>
              <w:t>2026-08-14</w:t>
            </w:r>
          </w:p>
        </w:tc>
        <w:tc>
          <w:tcPr>
            <w:tcW w:type="dxa" w:w="1440"/>
            <w:shd w:fill="FAFAFA" w:val="clear"/>
          </w:tcPr>
          <w:p>
            <w:r>
              <w:rPr>
                <w:sz w:val="17"/>
              </w:rPr>
              <w:t>7,548</w:t>
            </w:r>
          </w:p>
        </w:tc>
        <w:tc>
          <w:tcPr>
            <w:tcW w:type="dxa" w:w="1440"/>
            <w:shd w:fill="FAFAFA" w:val="clear"/>
          </w:tcPr>
          <w:p>
            <w:r>
              <w:rPr>
                <w:b/>
                <w:sz w:val="17"/>
              </w:rPr>
              <w:t>8,176</w:t>
            </w:r>
          </w:p>
        </w:tc>
        <w:tc>
          <w:tcPr>
            <w:tcW w:type="dxa" w:w="1440"/>
            <w:shd w:fill="FAFAFA" w:val="clear"/>
          </w:tcPr>
          <w:p>
            <w:r>
              <w:rPr>
                <w:sz w:val="17"/>
              </w:rPr>
              <w:t>8,803</w:t>
            </w:r>
          </w:p>
        </w:tc>
        <w:tc>
          <w:tcPr>
            <w:tcW w:type="dxa" w:w="1440"/>
            <w:shd w:fill="FAFAFA" w:val="clear"/>
          </w:tcPr>
          <w:p>
            <w:r>
              <w:rPr>
                <w:b/>
                <w:color w:val="008000"/>
                <w:sz w:val="17"/>
              </w:rPr>
              <w:t>+0.9%</w:t>
            </w:r>
          </w:p>
        </w:tc>
      </w:tr>
      <w:tr>
        <w:tc>
          <w:tcPr>
            <w:tcW w:type="dxa" w:w="1440"/>
            <w:shd w:fill="FAFAFA" w:val="clear"/>
          </w:tcPr>
          <w:p>
            <w:r>
              <w:rPr>
                <w:sz w:val="17"/>
              </w:rPr>
              <w:t>J+7  Moyenne</w:t>
            </w:r>
          </w:p>
        </w:tc>
        <w:tc>
          <w:tcPr>
            <w:tcW w:type="dxa" w:w="1440"/>
            <w:shd w:fill="FAFAFA" w:val="clear"/>
          </w:tcPr>
          <w:p>
            <w:r>
              <w:rPr>
                <w:sz w:val="17"/>
              </w:rPr>
              <w:t>2026-08-17</w:t>
            </w:r>
          </w:p>
        </w:tc>
        <w:tc>
          <w:tcPr>
            <w:tcW w:type="dxa" w:w="1440"/>
            <w:shd w:fill="FAFAFA" w:val="clear"/>
          </w:tcPr>
          <w:p>
            <w:r>
              <w:rPr>
                <w:sz w:val="17"/>
              </w:rPr>
              <w:t>7,509</w:t>
            </w:r>
          </w:p>
        </w:tc>
        <w:tc>
          <w:tcPr>
            <w:tcW w:type="dxa" w:w="1440"/>
            <w:shd w:fill="FAFAFA" w:val="clear"/>
          </w:tcPr>
          <w:p>
            <w:r>
              <w:rPr>
                <w:b/>
                <w:sz w:val="17"/>
              </w:rPr>
              <w:t>8,187</w:t>
            </w:r>
          </w:p>
        </w:tc>
        <w:tc>
          <w:tcPr>
            <w:tcW w:type="dxa" w:w="1440"/>
            <w:shd w:fill="FAFAFA" w:val="clear"/>
          </w:tcPr>
          <w:p>
            <w:r>
              <w:rPr>
                <w:sz w:val="17"/>
              </w:rPr>
              <w:t>8,866</w:t>
            </w:r>
          </w:p>
        </w:tc>
        <w:tc>
          <w:tcPr>
            <w:tcW w:type="dxa" w:w="1440"/>
            <w:shd w:fill="FAFAFA" w:val="clear"/>
          </w:tcPr>
          <w:p>
            <w:r>
              <w:rPr>
                <w:b/>
                <w:color w:val="008000"/>
                <w:sz w:val="17"/>
              </w:rPr>
              <w:t>+1.1%</w:t>
            </w:r>
          </w:p>
        </w:tc>
      </w:tr>
      <w:tr>
        <w:tc>
          <w:tcPr>
            <w:tcW w:type="dxa" w:w="1440"/>
            <w:shd w:fill="FAFAFA" w:val="clear"/>
          </w:tcPr>
          <w:p>
            <w:r>
              <w:rPr>
                <w:sz w:val="17"/>
              </w:rPr>
              <w:t>J+8  Moyenne</w:t>
            </w:r>
          </w:p>
        </w:tc>
        <w:tc>
          <w:tcPr>
            <w:tcW w:type="dxa" w:w="1440"/>
            <w:shd w:fill="FAFAFA" w:val="clear"/>
          </w:tcPr>
          <w:p>
            <w:r>
              <w:rPr>
                <w:sz w:val="17"/>
              </w:rPr>
              <w:t>2026-08-18</w:t>
            </w:r>
          </w:p>
        </w:tc>
        <w:tc>
          <w:tcPr>
            <w:tcW w:type="dxa" w:w="1440"/>
            <w:shd w:fill="FAFAFA" w:val="clear"/>
          </w:tcPr>
          <w:p>
            <w:r>
              <w:rPr>
                <w:sz w:val="17"/>
              </w:rPr>
              <w:t>7,473</w:t>
            </w:r>
          </w:p>
        </w:tc>
        <w:tc>
          <w:tcPr>
            <w:tcW w:type="dxa" w:w="1440"/>
            <w:shd w:fill="FAFAFA" w:val="clear"/>
          </w:tcPr>
          <w:p>
            <w:r>
              <w:rPr>
                <w:b/>
                <w:sz w:val="17"/>
              </w:rPr>
              <w:t>8,199</w:t>
            </w:r>
          </w:p>
        </w:tc>
        <w:tc>
          <w:tcPr>
            <w:tcW w:type="dxa" w:w="1440"/>
            <w:shd w:fill="FAFAFA" w:val="clear"/>
          </w:tcPr>
          <w:p>
            <w:r>
              <w:rPr>
                <w:sz w:val="17"/>
              </w:rPr>
              <w:t>8,926</w:t>
            </w:r>
          </w:p>
        </w:tc>
        <w:tc>
          <w:tcPr>
            <w:tcW w:type="dxa" w:w="1440"/>
            <w:shd w:fill="FAFAFA" w:val="clear"/>
          </w:tcPr>
          <w:p>
            <w:r>
              <w:rPr>
                <w:b/>
                <w:color w:val="008000"/>
                <w:sz w:val="17"/>
              </w:rPr>
              <w:t>+1.2%</w:t>
            </w:r>
          </w:p>
        </w:tc>
      </w:tr>
      <w:tr>
        <w:tc>
          <w:tcPr>
            <w:tcW w:type="dxa" w:w="1440"/>
            <w:shd w:fill="FAFAFA" w:val="clear"/>
          </w:tcPr>
          <w:p>
            <w:r>
              <w:rPr>
                <w:sz w:val="17"/>
              </w:rPr>
              <w:t>J+9  Moyenne</w:t>
            </w:r>
          </w:p>
        </w:tc>
        <w:tc>
          <w:tcPr>
            <w:tcW w:type="dxa" w:w="1440"/>
            <w:shd w:fill="FAFAFA" w:val="clear"/>
          </w:tcPr>
          <w:p>
            <w:r>
              <w:rPr>
                <w:sz w:val="17"/>
              </w:rPr>
              <w:t>2026-08-19</w:t>
            </w:r>
          </w:p>
        </w:tc>
        <w:tc>
          <w:tcPr>
            <w:tcW w:type="dxa" w:w="1440"/>
            <w:shd w:fill="FAFAFA" w:val="clear"/>
          </w:tcPr>
          <w:p>
            <w:r>
              <w:rPr>
                <w:sz w:val="17"/>
              </w:rPr>
              <w:t>7,439</w:t>
            </w:r>
          </w:p>
        </w:tc>
        <w:tc>
          <w:tcPr>
            <w:tcW w:type="dxa" w:w="1440"/>
            <w:shd w:fill="FAFAFA" w:val="clear"/>
          </w:tcPr>
          <w:p>
            <w:r>
              <w:rPr>
                <w:b/>
                <w:sz w:val="17"/>
              </w:rPr>
              <w:t>8,211</w:t>
            </w:r>
          </w:p>
        </w:tc>
        <w:tc>
          <w:tcPr>
            <w:tcW w:type="dxa" w:w="1440"/>
            <w:shd w:fill="FAFAFA" w:val="clear"/>
          </w:tcPr>
          <w:p>
            <w:r>
              <w:rPr>
                <w:sz w:val="17"/>
              </w:rPr>
              <w:t>8,982</w:t>
            </w:r>
          </w:p>
        </w:tc>
        <w:tc>
          <w:tcPr>
            <w:tcW w:type="dxa" w:w="1440"/>
            <w:shd w:fill="FAFAFA" w:val="clear"/>
          </w:tcPr>
          <w:p>
            <w:r>
              <w:rPr>
                <w:b/>
                <w:color w:val="008000"/>
                <w:sz w:val="17"/>
              </w:rPr>
              <w:t>+1.4%</w:t>
            </w:r>
          </w:p>
        </w:tc>
      </w:tr>
      <w:tr>
        <w:tc>
          <w:tcPr>
            <w:tcW w:type="dxa" w:w="1440"/>
            <w:shd w:fill="FAFAFA" w:val="clear"/>
          </w:tcPr>
          <w:p>
            <w:r>
              <w:rPr>
                <w:sz w:val="17"/>
              </w:rPr>
              <w:t>J+10  Moyenne</w:t>
            </w:r>
          </w:p>
        </w:tc>
        <w:tc>
          <w:tcPr>
            <w:tcW w:type="dxa" w:w="1440"/>
            <w:shd w:fill="FAFAFA" w:val="clear"/>
          </w:tcPr>
          <w:p>
            <w:r>
              <w:rPr>
                <w:sz w:val="17"/>
              </w:rPr>
              <w:t>2026-08-20</w:t>
            </w:r>
          </w:p>
        </w:tc>
        <w:tc>
          <w:tcPr>
            <w:tcW w:type="dxa" w:w="1440"/>
            <w:shd w:fill="FAFAFA" w:val="clear"/>
          </w:tcPr>
          <w:p>
            <w:r>
              <w:rPr>
                <w:sz w:val="17"/>
              </w:rPr>
              <w:t>7,408</w:t>
            </w:r>
          </w:p>
        </w:tc>
        <w:tc>
          <w:tcPr>
            <w:tcW w:type="dxa" w:w="1440"/>
            <w:shd w:fill="FAFAFA" w:val="clear"/>
          </w:tcPr>
          <w:p>
            <w:r>
              <w:rPr>
                <w:b/>
                <w:sz w:val="17"/>
              </w:rPr>
              <w:t>8,222</w:t>
            </w:r>
          </w:p>
        </w:tc>
        <w:tc>
          <w:tcPr>
            <w:tcW w:type="dxa" w:w="1440"/>
            <w:shd w:fill="FAFAFA" w:val="clear"/>
          </w:tcPr>
          <w:p>
            <w:r>
              <w:rPr>
                <w:sz w:val="17"/>
              </w:rPr>
              <w:t>9,037</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**Date : 05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174,97 Mds FCFA place la SOGC parmi les valeurs moyennes à grandes capitalisations de la BRVM, représentant un poids significatif pour le secteur agricole. Avec un BPA de 578 FCFA, le titre se négocie à un PER de 14,0x, légèrement au-dessus de la moyenne historique du marché (8-12x), ce qui indique que les investisseurs acceptent de payer une prime pour la qualité des actifs et la croissance passée. Le P/B de 2,56x confirme cette prime, le marché valorisant les capitaux propres de la société à plus de deux fois leur valeur comptable. Enfin, l'EV/EBITDA de 7,3x, dans la fourchette raisonnable de 5-10x, suggère que la valorisation de l'entreprise, dette incluse, reste cohérente avec sa capacité à générer du cash opérationnel.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SOGC a enregistré une baisse de 7,32%, mais a rebondi de 2,53% lors de la dernière séance pour s'établir à 8 100 FCFA. Le titre a évolué dans une fourchette de 7 100 à 9 000 FCFA, montrant une amplitude de 1 900 FCFA. La moyenne (8 046 FCFA) et la médiane (8 055 FCFA) étant quasi identiques, la distribution des prix est symétrique, ce que confirme le skewness de -0,054. L'écart-type de 445 FCFA (CV=5,5%) indique une dispersion modérée autour de la moyenne. Le kurtosis de -0,728 (mésokurtique) suggère une distribution proche de la normale, sans risque de mouvements extrêmes. La volatilité annualisée de 36,0% classe le titre comme très volatil, ce qui implique des fluctuations de prix importantes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(8 100 FCFA) est inférieur à la MM20 (8 201 FCFA) et à la MM50 (8 244,2 FCFA), confirmant une tendance baissière à court et moyen terme. La configuration en "death cross" potentiel (MM20 sous MM50) renforce le signal de vente, indiquant que les vendeurs contrôlent actuellement le marché.</w:t>
      </w:r>
    </w:p>
    <w:p>
      <w:pPr>
        <w:spacing w:after="120" w:line="276" w:lineRule="auto"/>
      </w:pPr>
      <w:r>
        <w:t>**Bandes de Bollinger :** Le prix se situe entre la borne inférieure (7 867,6 FCFA) et la borne supérieure (8 534,4 FCFA), proche de la zone médiane. La décision "Neutre" est justifiée par l'absence de pression directionnelle forte. La largeur des bandes reflète la volatilité élevée du titre, mais le prix n'est pas en situation de surachat ou de survente extrême.</w:t>
      </w:r>
    </w:p>
    <w:p>
      <w:pPr>
        <w:spacing w:after="120" w:line="276" w:lineRule="auto"/>
      </w:pPr>
      <w:r>
        <w:t>**MACD :** La valeur du MACD (-22,8) est inférieure à sa ligne de signal (-4,796), confirmant un momentum baissier. Cette divergence négative indique que la dynamique de prix reste négative, bien que le récent rebond du cours (+2,53%) pourrait amorcer un retournement si le MACD se rapproche de sa ligne de signal.</w:t>
      </w:r>
    </w:p>
    <w:p>
      <w:pPr>
        <w:spacing w:after="120" w:line="276" w:lineRule="auto"/>
      </w:pPr>
      <w:r>
        <w:t>**RSI :** À 52,4, le RSI est en zone neutre (30-70), indiquant un équilibre entre pression acheteuse et vendeuse. Il n'y a pas de signal de surachat ou de survente, ce qui laisse place à une évolution directionnelle sans contrainte technique majeure.</w:t>
      </w:r>
    </w:p>
    <w:p>
      <w:pPr>
        <w:spacing w:after="120" w:line="276" w:lineRule="auto"/>
      </w:pPr>
      <w:r>
        <w:t>**Stochastique :** Le %K (40,0) est inférieur au %D (46,667), suggérant une dynamique baissière à court terme. Cependant, les valeurs restent en zone neutre, et un croisement haussier pourrait se produire si le %K remonte au-dessus du %D, signalant un potentiel rebond.</w:t>
      </w:r>
    </w:p>
    <w:p>
      <w:pPr>
        <w:spacing w:after="120" w:line="276" w:lineRule="auto"/>
      </w:pPr>
      <w:r>
        <w:t>**Conclusion technique :** Les indicateurs sont majoritairement baissiers (MM, MACD) mais les oscillateurs (RSI, Stochastique) sont neutres, ne montrant pas de pression extrême. La tendance générale reste négative à court terme, mais le récent rebond du cours et la neutralité des oscillateurs suggèrent une possible stabilisation. Le signal global est donc **Vente** avec une vigilance accrue pour un éventuel retournement.</w:t>
      </w:r>
    </w:p>
    <w:p>
      <w:pPr>
        <w:spacing w:after="120" w:line="276" w:lineRule="auto"/>
      </w:pPr>
      <w:r>
        <w:t>---</w:t>
      </w:r>
    </w:p>
    <w:p>
      <w:pPr>
        <w:spacing w:after="120" w:line="276" w:lineRule="auto"/>
      </w:pPr>
      <w:r>
        <w:t>### PARTIE 3 : ANALYSE FONDAMENTALE (SECTION CRITIQUE)</w:t>
      </w:r>
    </w:p>
    <w:p>
      <w:pPr>
        <w:spacing w:after="120" w:line="276" w:lineRule="auto"/>
      </w:pPr>
      <w:r>
        <w:t>En 2025, la SOGC a réalisé un chiffre d'affaires de 98,979 Mds FCFA, en hausse de 10,7% par rapport à 2024 (93,52 Mds FCFA), et un résultat net de 12,493 Mds FCFA, en légère baisse de 5% par rapport à 2024 (13,11 Mds FCFA). La marge nette s'établit à 12,62%, contre 14,0% en 2024, reflétant la hausse des coûts des matières premières (+15%). Le ROE est excellent à 18,26% et le ROA à 13,84%, démontrant une utilisation efficace des capitaux propres et des actifs. La structure financière est saine avec une autonomie financière de 75,79% et une solvabilité générale de 413%. Le BFR de 7,124 Mds FCFA est positif, mais la trésorerie nette de 4,575 Mds FCFA reste confortable. Les délais clients (29,6 jours) et fournisseurs (31,7 jours) sont équilibrés, mais la durée de stockage de 97,7 jours est élevée. Les rapports trimestriels 2025 montrent une performance exceptionnelle au T1 (CA +63,1%, RN +262,9%) et au S1 (CA +51,9%, RN +151,6%), mais un ralentissement au 9M (CA +21,3%, RN +39,5%). Sur la base de ces tendances, on estime que l'exercice 2026 pourrait voir une stabilisation du CA autour de 100 Mds FCFA et un résultat net entre 11 et 12 Mds FCFA, si les prix du caoutchouc se maintiennent. La société propose un dividende de 570 FCFA par action pour 2025, offrant un rendement attractif.</w:t>
      </w:r>
    </w:p>
    <w:p>
      <w:pPr>
        <w:spacing w:after="120" w:line="276" w:lineRule="auto"/>
      </w:pPr>
      <w:r>
        <w:t>---</w:t>
      </w:r>
    </w:p>
    <w:p>
      <w:pPr>
        <w:spacing w:after="120" w:line="276" w:lineRule="auto"/>
      </w:pPr>
      <w:r>
        <w:t>### PARTIE 4 : CONCLUSION D'INVESTISSEMENT</w:t>
      </w:r>
    </w:p>
    <w:p>
      <w:pPr>
        <w:spacing w:after="120" w:line="276" w:lineRule="auto"/>
      </w:pPr>
      <w:r>
        <w:t>La valorisation de la SOGC (PER 14,0x, P/B 2,56x) est légèrement supérieure à la moyenne du marché, mais justifiée par la solidité financière et la rentabilité élevée. Le comportement du cours sur 100 jours est baissier (-7,32%) avec une volatilité élevée (36%), mais les statistiques montrent une distribution symétrique sans risque extrême. Les signaux techniques sont majoritairement vendeurs à court terme, mais le récent rebond et la neutralité des oscillateurs pourraient indiquer une stabilisation. Les fondamentaux restent solides avec un ROE de 18,26%, une croissance du CA de 10,7% en 2025, et une politique de dividende généreuse (570 FCFA/action). Les prédictions IA pour les 10 prochains jours (8 109 à 8 164 FCFA) suggèrent une légère appréciation, contredisant la tendance baissière récente. En synthèse, la convergence entre la solidité fondamentale, la valorisation raisonnable et les prédictions IA positives, malgré des signaux techniques mitigés, conduit à une recommandation **CONSERVER**. Le niveau de confiance est **Moyen**, le risque global est **Moyen**, et l'horizon d'investissement optimal est le **moyen terme (3-12 mois)**, en attendant une confirmation technique d'un retournement haussier.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194.24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4,572 titres</w:t>
            </w:r>
          </w:p>
        </w:tc>
        <w:tc>
          <w:tcPr>
            <w:tcW w:type="dxa" w:w="2268"/>
            <w:shd w:fill="FFF2CC" w:val="clear"/>
          </w:tcPr>
          <w:p>
            <w:r>
              <w:rPr>
                <w:b/>
                <w:color w:val="503200"/>
                <w:sz w:val="16"/>
              </w:rPr>
              <w:t xml:space="preserve">Cours actuel : </w:t>
            </w:r>
            <w:r>
              <w:rPr>
                <w:color w:val="000000"/>
                <w:sz w:val="17"/>
              </w:rPr>
              <w:t>7,600 FCFA</w:t>
            </w:r>
          </w:p>
          <w:p>
            <w:r>
              <w:rPr>
                <w:b/>
                <w:color w:val="503200"/>
                <w:sz w:val="16"/>
              </w:rPr>
              <w:t xml:space="preserve">Var. 100 jours : </w:t>
            </w:r>
            <w:r>
              <w:rPr>
                <w:b/>
                <w:color w:val="B40000"/>
                <w:sz w:val="17"/>
              </w:rPr>
              <w:t>-7.88%</w:t>
            </w:r>
          </w:p>
          <w:p>
            <w:r>
              <w:rPr>
                <w:b/>
                <w:color w:val="503200"/>
                <w:sz w:val="16"/>
              </w:rPr>
              <w:t xml:space="preserve">Plus haut 100j : </w:t>
            </w:r>
            <w:r>
              <w:rPr>
                <w:color w:val="000000"/>
                <w:sz w:val="17"/>
              </w:rPr>
              <w:t>8,435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5.20% (Moyenne) — μ=7,421 FCFA, σ=386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β=1.4123 (Agressif) — Cov=0.000051, Var(idx)=0.000036, ρ=0.334,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4,572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2026-08-06</w:t>
            </w:r>
          </w:p>
        </w:tc>
        <w:tc>
          <w:tcPr>
            <w:tcW w:type="dxa" w:w="1440"/>
            <w:shd w:fill="FAFAFA" w:val="clear"/>
          </w:tcPr>
          <w:p>
            <w:r>
              <w:rPr>
                <w:sz w:val="17"/>
              </w:rPr>
              <w:t>7,266</w:t>
            </w:r>
          </w:p>
        </w:tc>
        <w:tc>
          <w:tcPr>
            <w:tcW w:type="dxa" w:w="1440"/>
            <w:shd w:fill="FAFAFA" w:val="clear"/>
          </w:tcPr>
          <w:p>
            <w:r>
              <w:rPr>
                <w:b/>
                <w:sz w:val="17"/>
              </w:rPr>
              <w:t>7,530</w:t>
            </w:r>
          </w:p>
        </w:tc>
        <w:tc>
          <w:tcPr>
            <w:tcW w:type="dxa" w:w="1440"/>
            <w:shd w:fill="FAFAFA" w:val="clear"/>
          </w:tcPr>
          <w:p>
            <w:r>
              <w:rPr>
                <w:sz w:val="17"/>
              </w:rPr>
              <w:t>7,794</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2026-08-10</w:t>
            </w:r>
          </w:p>
        </w:tc>
        <w:tc>
          <w:tcPr>
            <w:tcW w:type="dxa" w:w="1440"/>
            <w:shd w:fill="FAFAFA" w:val="clear"/>
          </w:tcPr>
          <w:p>
            <w:r>
              <w:rPr>
                <w:sz w:val="17"/>
              </w:rPr>
              <w:t>7,150</w:t>
            </w:r>
          </w:p>
        </w:tc>
        <w:tc>
          <w:tcPr>
            <w:tcW w:type="dxa" w:w="1440"/>
            <w:shd w:fill="FAFAFA" w:val="clear"/>
          </w:tcPr>
          <w:p>
            <w:r>
              <w:rPr>
                <w:b/>
                <w:sz w:val="17"/>
              </w:rPr>
              <w:t>7,522</w:t>
            </w:r>
          </w:p>
        </w:tc>
        <w:tc>
          <w:tcPr>
            <w:tcW w:type="dxa" w:w="1440"/>
            <w:shd w:fill="FAFAFA" w:val="clear"/>
          </w:tcPr>
          <w:p>
            <w:r>
              <w:rPr>
                <w:sz w:val="17"/>
              </w:rPr>
              <w:t>7,895</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2026-08-11</w:t>
            </w:r>
          </w:p>
        </w:tc>
        <w:tc>
          <w:tcPr>
            <w:tcW w:type="dxa" w:w="1440"/>
            <w:shd w:fill="FAFAFA" w:val="clear"/>
          </w:tcPr>
          <w:p>
            <w:r>
              <w:rPr>
                <w:sz w:val="17"/>
              </w:rPr>
              <w:t>7,053</w:t>
            </w:r>
          </w:p>
        </w:tc>
        <w:tc>
          <w:tcPr>
            <w:tcW w:type="dxa" w:w="1440"/>
            <w:shd w:fill="FAFAFA" w:val="clear"/>
          </w:tcPr>
          <w:p>
            <w:r>
              <w:rPr>
                <w:b/>
                <w:sz w:val="17"/>
              </w:rPr>
              <w:t>7,509</w:t>
            </w:r>
          </w:p>
        </w:tc>
        <w:tc>
          <w:tcPr>
            <w:tcW w:type="dxa" w:w="1440"/>
            <w:shd w:fill="FAFAFA" w:val="clear"/>
          </w:tcPr>
          <w:p>
            <w:r>
              <w:rPr>
                <w:sz w:val="17"/>
              </w:rPr>
              <w:t>7,964</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2026-08-12</w:t>
            </w:r>
          </w:p>
        </w:tc>
        <w:tc>
          <w:tcPr>
            <w:tcW w:type="dxa" w:w="1440"/>
            <w:shd w:fill="FAFAFA" w:val="clear"/>
          </w:tcPr>
          <w:p>
            <w:r>
              <w:rPr>
                <w:sz w:val="17"/>
              </w:rPr>
              <w:t>6,971</w:t>
            </w:r>
          </w:p>
        </w:tc>
        <w:tc>
          <w:tcPr>
            <w:tcW w:type="dxa" w:w="1440"/>
            <w:shd w:fill="FAFAFA" w:val="clear"/>
          </w:tcPr>
          <w:p>
            <w:r>
              <w:rPr>
                <w:b/>
                <w:sz w:val="17"/>
              </w:rPr>
              <w:t>7,496</w:t>
            </w:r>
          </w:p>
        </w:tc>
        <w:tc>
          <w:tcPr>
            <w:tcW w:type="dxa" w:w="1440"/>
            <w:shd w:fill="FAFAFA" w:val="clear"/>
          </w:tcPr>
          <w:p>
            <w:r>
              <w:rPr>
                <w:sz w:val="17"/>
              </w:rPr>
              <w:t>8,021</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2026-08-13</w:t>
            </w:r>
          </w:p>
        </w:tc>
        <w:tc>
          <w:tcPr>
            <w:tcW w:type="dxa" w:w="1440"/>
            <w:shd w:fill="FAFAFA" w:val="clear"/>
          </w:tcPr>
          <w:p>
            <w:r>
              <w:rPr>
                <w:sz w:val="17"/>
              </w:rPr>
              <w:t>6,898</w:t>
            </w:r>
          </w:p>
        </w:tc>
        <w:tc>
          <w:tcPr>
            <w:tcW w:type="dxa" w:w="1440"/>
            <w:shd w:fill="FAFAFA" w:val="clear"/>
          </w:tcPr>
          <w:p>
            <w:r>
              <w:rPr>
                <w:b/>
                <w:sz w:val="17"/>
              </w:rPr>
              <w:t>7,484</w:t>
            </w:r>
          </w:p>
        </w:tc>
        <w:tc>
          <w:tcPr>
            <w:tcW w:type="dxa" w:w="1440"/>
            <w:shd w:fill="FAFAFA" w:val="clear"/>
          </w:tcPr>
          <w:p>
            <w:r>
              <w:rPr>
                <w:sz w:val="17"/>
              </w:rPr>
              <w:t>8,070</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2026-08-14</w:t>
            </w:r>
          </w:p>
        </w:tc>
        <w:tc>
          <w:tcPr>
            <w:tcW w:type="dxa" w:w="1440"/>
            <w:shd w:fill="FAFAFA" w:val="clear"/>
          </w:tcPr>
          <w:p>
            <w:r>
              <w:rPr>
                <w:sz w:val="17"/>
              </w:rPr>
              <w:t>6,831</w:t>
            </w:r>
          </w:p>
        </w:tc>
        <w:tc>
          <w:tcPr>
            <w:tcW w:type="dxa" w:w="1440"/>
            <w:shd w:fill="FAFAFA" w:val="clear"/>
          </w:tcPr>
          <w:p>
            <w:r>
              <w:rPr>
                <w:b/>
                <w:sz w:val="17"/>
              </w:rPr>
              <w:t>7,472</w:t>
            </w:r>
          </w:p>
        </w:tc>
        <w:tc>
          <w:tcPr>
            <w:tcW w:type="dxa" w:w="1440"/>
            <w:shd w:fill="FAFAFA" w:val="clear"/>
          </w:tcPr>
          <w:p>
            <w:r>
              <w:rPr>
                <w:sz w:val="17"/>
              </w:rPr>
              <w:t>8,113</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2026-08-17</w:t>
            </w:r>
          </w:p>
        </w:tc>
        <w:tc>
          <w:tcPr>
            <w:tcW w:type="dxa" w:w="1440"/>
            <w:shd w:fill="FAFAFA" w:val="clear"/>
          </w:tcPr>
          <w:p>
            <w:r>
              <w:rPr>
                <w:sz w:val="17"/>
              </w:rPr>
              <w:t>6,769</w:t>
            </w:r>
          </w:p>
        </w:tc>
        <w:tc>
          <w:tcPr>
            <w:tcW w:type="dxa" w:w="1440"/>
            <w:shd w:fill="FAFAFA" w:val="clear"/>
          </w:tcPr>
          <w:p>
            <w:r>
              <w:rPr>
                <w:b/>
                <w:sz w:val="17"/>
              </w:rPr>
              <w:t>7,460</w:t>
            </w:r>
          </w:p>
        </w:tc>
        <w:tc>
          <w:tcPr>
            <w:tcW w:type="dxa" w:w="1440"/>
            <w:shd w:fill="FAFAFA" w:val="clear"/>
          </w:tcPr>
          <w:p>
            <w:r>
              <w:rPr>
                <w:sz w:val="17"/>
              </w:rPr>
              <w:t>8,151</w:t>
            </w:r>
          </w:p>
        </w:tc>
        <w:tc>
          <w:tcPr>
            <w:tcW w:type="dxa" w:w="1440"/>
            <w:shd w:fill="FAFAFA" w:val="clear"/>
          </w:tcPr>
          <w:p>
            <w:r>
              <w:rPr>
                <w:b/>
                <w:color w:val="C00000"/>
                <w:sz w:val="17"/>
              </w:rPr>
              <w:t>-1.8%</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6,710</w:t>
            </w:r>
          </w:p>
        </w:tc>
        <w:tc>
          <w:tcPr>
            <w:tcW w:type="dxa" w:w="1440"/>
            <w:shd w:fill="FFDCE0" w:val="clear"/>
          </w:tcPr>
          <w:p>
            <w:r>
              <w:rPr>
                <w:b/>
                <w:sz w:val="17"/>
              </w:rPr>
              <w:t>7,448</w:t>
            </w:r>
          </w:p>
        </w:tc>
        <w:tc>
          <w:tcPr>
            <w:tcW w:type="dxa" w:w="1440"/>
            <w:shd w:fill="FFDCE0" w:val="clear"/>
          </w:tcPr>
          <w:p>
            <w:r>
              <w:rPr>
                <w:sz w:val="17"/>
              </w:rPr>
              <w:t>8,185</w:t>
            </w:r>
          </w:p>
        </w:tc>
        <w:tc>
          <w:tcPr>
            <w:tcW w:type="dxa" w:w="1440"/>
            <w:shd w:fill="FFDCE0"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6,655</w:t>
            </w:r>
          </w:p>
        </w:tc>
        <w:tc>
          <w:tcPr>
            <w:tcW w:type="dxa" w:w="1440"/>
            <w:shd w:fill="FFDCE0" w:val="clear"/>
          </w:tcPr>
          <w:p>
            <w:r>
              <w:rPr>
                <w:b/>
                <w:sz w:val="17"/>
              </w:rPr>
              <w:t>7,436</w:t>
            </w:r>
          </w:p>
        </w:tc>
        <w:tc>
          <w:tcPr>
            <w:tcW w:type="dxa" w:w="1440"/>
            <w:shd w:fill="FFDCE0" w:val="clear"/>
          </w:tcPr>
          <w:p>
            <w:r>
              <w:rPr>
                <w:sz w:val="17"/>
              </w:rPr>
              <w:t>8,217</w:t>
            </w:r>
          </w:p>
        </w:tc>
        <w:tc>
          <w:tcPr>
            <w:tcW w:type="dxa" w:w="1440"/>
            <w:shd w:fill="FFDCE0" w:val="clear"/>
          </w:tcPr>
          <w:p>
            <w:r>
              <w:rPr>
                <w:b/>
                <w:color w:val="C00000"/>
                <w:sz w:val="17"/>
              </w:rPr>
              <w:t>-2.2%</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6,602</w:t>
            </w:r>
          </w:p>
        </w:tc>
        <w:tc>
          <w:tcPr>
            <w:tcW w:type="dxa" w:w="1440"/>
            <w:shd w:fill="FFDCE0" w:val="clear"/>
          </w:tcPr>
          <w:p>
            <w:r>
              <w:rPr>
                <w:b/>
                <w:sz w:val="17"/>
              </w:rPr>
              <w:t>7,424</w:t>
            </w:r>
          </w:p>
        </w:tc>
        <w:tc>
          <w:tcPr>
            <w:tcW w:type="dxa" w:w="1440"/>
            <w:shd w:fill="FFDCE0" w:val="clear"/>
          </w:tcPr>
          <w:p>
            <w:r>
              <w:rPr>
                <w:sz w:val="17"/>
              </w:rPr>
              <w:t>8,246</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SPHC s'établit à 194,24 milliards FCFA, ce qui en fait une valeur de taille moyenne sur la BRVM, représentative d'un leader industriel ivoirien. Avec un BPA de 977 FCFA, chaque action génère un bénéfice substantiel, justifiant un PER de 7,8x, nettement inférieur à la moyenne du marché BRVM (8-12x). Ce niveau suggère une sous-évaluation relative, les investisseurs payant moins de 8 fois les bénéfices annuels pour acquérir le titre. Le P/B de 1,41x indique que le marché valorise la société à 41% au-dessus de sa valeur comptable, une décote modérée qui reflète une certaine prudence malgré des fondamentaux solides. Enfin, l'EV/EBITDA de 4,9x, inférieur à 5x, confirme que la valeur totale de l'entreprise (dette incluse) reste très bon marché par rapport à sa capacité opérationnelle de génération de cash, renforçant l'attrait du titre pour les investisseurs value.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SPHC a enregistré une baisse de 7,88%, passant sous son point d'entrée de période, bien que la dernière séance affiche un rebond de +0,93% à 7 600 FCFA. Le titre a évolué dans une fourchette de 1 715 FCFA, entre un plus bas de 6 720 FCFA et un plus haut de 8 435 FCFA, illustrant une volatilité intraday significative. La moyenne (7 421 FCFA) et la médiane (7 400 FCFA) étant très proches, la distribution des prix est relativement symétrique, avec un mode à 7 600 FCFA indiquant un niveau de prix fréquemment touché. L'écart-type de 388 FCFA (CV=5,2%) révèle une dispersion modérée des cours autour de la moyenne. Le kurtosis de 0,479 (mésokurtique) suggère une absence de pics extrêmes, tandis que le skewness positif de 0,666 indique une asymétrie avec davantage de journées sous la moyenne, typique d'une phase de consolidation. La volatilité annualisée de 40,4% classe le titre comme très volatil (&gt;30%), un niveau élevé qui reflète l'exposition aux matières premières et aux aléas climatiques, mais qui peut offrir des opportunités d'achat à des niveaux attractifs.</w:t>
      </w:r>
    </w:p>
    <w:p>
      <w:pPr>
        <w:spacing w:after="120" w:line="276" w:lineRule="auto" w:before="240"/>
      </w:pPr>
      <w:r>
        <w:rPr>
          <w:b/>
          <w:color w:val="003366"/>
          <w:sz w:val="24"/>
        </w:rPr>
        <w:t>**PARTIE 2 : ANALYSE TECHNIQUE DÉTAILLÉE**</w:t>
      </w:r>
    </w:p>
    <w:p>
      <w:pPr>
        <w:spacing w:after="120" w:line="276" w:lineRule="auto"/>
      </w:pPr>
      <w:r>
        <w:t>**Moyennes Mobiles** : Le cours actuel (7 600 FCFA) se positionne au-dessus de la MM20 (7 500,25 FCFA) mais en dessous de la MM50 (7 545,1 FCFA), indiquant une tendance de court terme positive mais une pression baissière à moyen terme. La décision de "Vente" suggère que la MM50 agit comme une résistance, et un franchissement durable de ce niveau serait nécessaire pour confirmer un retournement haussier.</w:t>
      </w:r>
    </w:p>
    <w:p>
      <w:pPr>
        <w:spacing w:after="120" w:line="276" w:lineRule="auto"/>
      </w:pPr>
      <w:r>
        <w:t>**Bandes de Bollinger** : Le cours se situe à 7 600 FCFA, proche de la borne supérieure (7 735,54 FCFA), avec une borne inférieure à 7 264,96 FCFA. La position dans la moitié haute des bandes indique une dynamique positive récente, mais la décision "Neutre" reflète une volatilité modérée sans signal directionnel fort. Un dépassement de la borne supérieure signalerait une extension haussière, tandis qu'un repli vers la moyenne mobile centrale (7 500 FCFA) serait un support clé.</w:t>
      </w:r>
    </w:p>
    <w:p>
      <w:pPr>
        <w:spacing w:after="120" w:line="276" w:lineRule="auto"/>
      </w:pPr>
      <w:r>
        <w:t>**MACD** : La valeur MACD (-6,242) est supérieure au signal (-16,285), avec un écart positif de 10 points, indiquant un momentum haussier émergent. La décision "Achat" suggère que la dynamique des prix s'améliore, bien que les valeurs restent négatives, ce qui implique que la tendance de fond reste baissière mais que le rythme de la baisse ralentit, préparant potentiellement un croisement haussier.</w:t>
      </w:r>
    </w:p>
    <w:p>
      <w:pPr>
        <w:spacing w:after="120" w:line="276" w:lineRule="auto"/>
      </w:pPr>
      <w:r>
        <w:t>**RSI** : À 54,839, le RSI se situe dans la zone neutre (30-70), indiquant un équilibre entre pressions acheteuses et vendeuses. La décision "Neutre" reflète une absence de surachat ou de survente, laissant place à une évolution directionnelle. Un mouvement au-dessus de 60 confirmerait une dynamique haussière, tandis qu'un passage sous 40 signalerait une faiblesse accrue.</w:t>
      </w:r>
    </w:p>
    <w:p>
      <w:pPr>
        <w:spacing w:after="120" w:line="276" w:lineRule="auto"/>
      </w:pPr>
      <w:r>
        <w:t>**Stochastique** : Le %K à 100,0 et le %D à 81,111 indiquent une condition de surachat extrême, avec le %K bien au-dessus du %D. La décision "Vente" suggère un risque de correction technique à court terme, car les niveaux actuels sont insoutenables sans consolidation. Un croisement baissier du %K sous le %D serait un signal de vente plus fort.</w:t>
      </w:r>
    </w:p>
    <w:p>
      <w:pPr>
        <w:spacing w:after="120" w:line="276" w:lineRule="auto"/>
      </w:pPr>
      <w:r>
        <w:t>**Conclusion technique** : La convergence des indicateurs est mitigée : les moyennes mobiles et le stochastique suggèrent une prudence (vente), tandis que le MACD indique un momentum haussier naissant. Le RSI et les bandes de Bollinger restent neutres. Globalement, le titre semble dans une phase de transition, avec un potentiel de rebond à court terme (MACD) mais des risques de correction technique (stochastique). Un franchissement des 7 735 FCFA (borne supérieure) serait le signal haussier décisif.</w:t>
      </w:r>
    </w:p>
    <w:p>
      <w:pPr>
        <w:spacing w:after="120" w:line="276" w:lineRule="auto" w:before="240"/>
      </w:pPr>
      <w:r>
        <w:rPr>
          <w:b/>
          <w:color w:val="003366"/>
          <w:sz w:val="24"/>
        </w:rPr>
        <w:t>**PARTIE 3 : ANALYSE FONDAMENTALE (SECTION CRITIQUE)**</w:t>
      </w:r>
    </w:p>
    <w:p>
      <w:pPr>
        <w:spacing w:after="120" w:line="276" w:lineRule="auto"/>
      </w:pPr>
      <w:r>
        <w:t>En 2025, SPHC (SAPH CI) affiche des états financiers annuels robustes : le chiffre d'affaires atteint 340,83 milliards FCFA, en croissance de 22% par rapport à 2024 (279,44 milliards), porté par une hausse des volumes et des prix du caoutchouc. Le résultat net progresse de 32,9% à 24,97 milliards FCFA, avec une marge nette de 7,3% (contre 6,7% en 2024). La rentabilité est excellente : le ROE s'établit à 18,1% (&gt;15%) et le ROA à 11,1%, reflétant une utilisation efficace des capitaux propres et des actifs. En tant qu'entreprise industrielle, le BFR de 65,39 milliards FCFA (positif) indique un besoin de financement du cycle d'exploitation, avec un délai client de 35 jours et une durée de stockage de 72 jours, des niveaux modérés pour le secteur. L'endettement reste maîtrisé (ratio d'endettement de 25,8%), avec une capacité de remboursement de 0,97 an. Les rapports trimestriels confirment cette dynamique : le T3 2025 (cumul 9 mois) montre un CA de 253,72 milliards (+36%) et un résultat net de 23,15 milliards (+131%), suggérant une accélération en fin d'année. Cependant, le T1 2026 (rapport du 31/03/2026) révèle une chute de 24% du CA à 71,8 milliards et un résultat net en baisse de 78% à 2,63 milliards, due à la chute des cours mondiaux et à l'engorgement portuaire. Malgré ce revers, la structure financière reste solide (capitaux propres de 137,94 milliards), et la politique de dividende est généreuse (DPA de 489 FCFA proposé pour 2025, contre 64,5 FCFA en 2024). Les perspectives 2026 sont prudentes, mais la reprise des cours SICOM et la limitation des licences industrielles locales offrent un potentiel de stabilisation.</w:t>
      </w:r>
    </w:p>
    <w:p>
      <w:pPr>
        <w:spacing w:after="120" w:line="276" w:lineRule="auto" w:before="240"/>
      </w:pPr>
      <w:r>
        <w:rPr>
          <w:b/>
          <w:color w:val="003366"/>
          <w:sz w:val="24"/>
        </w:rPr>
        <w:t>**PARTIE 4 : CONCLUSION D'INVESTISSEMENT**</w:t>
      </w:r>
    </w:p>
    <w:p>
      <w:pPr>
        <w:spacing w:after="120" w:line="276" w:lineRule="auto"/>
      </w:pPr>
      <w:r>
        <w:t>La valorisation de SPHC est clairement attractive : un PER de 7,8x, un P/B de 1,41x et un EV/EBITDA de 4,9x indiquent une sous-évaluation par rapport aux fondamentaux, malgré une capitalisation de 194,24 milliards FCFA. Le comportement du cours sur 100 jours montre une tendance baissière (-7,88%) mais avec une volatilité élevée (40,4%) et un skewness positif, suggérant un potentiel de rebond. Les signaux techniques sont mitigés : le MACD est haussier, mais les moyennes mobiles et le stochastique (surachat) appellent à la prudence. Les fondamentaux 2025 sont excellents (ROE de 18,1%, croissance de 22%), mais le T1 2026 déçoit fortement (-78% du résultat net), créant une incertitude sur l'exercice en cours. Les prédictions IA (7 530 à 7 484 FCFA sur 10 jours) indiquent une légère baisse, contredisant le signal MACD mais confirmant la prudence technique. En synthèse, la convergence entre la sous-évaluation (fondamental) et le potentiel de rebond (technique) est contrebalancée par les risques opérationnels (cours du caoutchouc, concurrence). Recommandation : **CONSERVER** avec un niveau de confiance **Moyen** et un risque global **Élevé**. L'horizon optimal est le **moyen terme (3-12 mois)**, en attendant une confirmation de la reprise des cours et une amélioration des résultats trimestriels 2026 pour envisager un renforcement.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36.15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6,496 titres</w:t>
            </w:r>
          </w:p>
        </w:tc>
        <w:tc>
          <w:tcPr>
            <w:tcW w:type="dxa" w:w="2268"/>
            <w:shd w:fill="FFF2CC" w:val="clear"/>
          </w:tcPr>
          <w:p>
            <w:r>
              <w:rPr>
                <w:b/>
                <w:color w:val="503200"/>
                <w:sz w:val="16"/>
              </w:rPr>
              <w:t xml:space="preserve">Cours actuel : </w:t>
            </w:r>
            <w:r>
              <w:rPr>
                <w:color w:val="000000"/>
                <w:sz w:val="17"/>
              </w:rPr>
              <w:t>2,690 FCFA</w:t>
            </w:r>
          </w:p>
          <w:p>
            <w:r>
              <w:rPr>
                <w:b/>
                <w:color w:val="503200"/>
                <w:sz w:val="16"/>
              </w:rPr>
              <w:t xml:space="preserve">Var. 100 jours : </w:t>
            </w:r>
            <w:r>
              <w:rPr>
                <w:b/>
                <w:color w:val="007800"/>
                <w:sz w:val="17"/>
              </w:rPr>
              <w:t>+31.86%</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2,040 FCFA</w:t>
            </w:r>
          </w:p>
          <w:p>
            <w:r>
              <w:rPr>
                <w:b/>
                <w:color w:val="503200"/>
                <w:sz w:val="16"/>
              </w:rPr>
              <w:t xml:space="preserve">Volatilité ann. : </w:t>
            </w:r>
            <w:r>
              <w:rPr>
                <w:color w:val="000000"/>
                <w:sz w:val="17"/>
              </w:rPr>
              <w:t>73.6%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12.59% (Moyenne) — μ=3,010 FCFA, σ=379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β=-1.0069 (Contre-cyclique) — Cov=-0.000037, Var(idx)=0.000036, ρ=-0.131,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6,496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σ_j=4.64%/j (Modérée) — Vol. annualisée≈73.6%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2026-08-06</w:t>
            </w:r>
          </w:p>
        </w:tc>
        <w:tc>
          <w:tcPr>
            <w:tcW w:type="dxa" w:w="1440"/>
            <w:shd w:fill="FFDCE0" w:val="clear"/>
          </w:tcPr>
          <w:p>
            <w:r>
              <w:rPr>
                <w:sz w:val="17"/>
              </w:rPr>
              <w:t>2,397</w:t>
            </w:r>
          </w:p>
        </w:tc>
        <w:tc>
          <w:tcPr>
            <w:tcW w:type="dxa" w:w="1440"/>
            <w:shd w:fill="FFDCE0" w:val="clear"/>
          </w:tcPr>
          <w:p>
            <w:r>
              <w:rPr>
                <w:b/>
                <w:sz w:val="17"/>
              </w:rPr>
              <w:t>2,527</w:t>
            </w:r>
          </w:p>
        </w:tc>
        <w:tc>
          <w:tcPr>
            <w:tcW w:type="dxa" w:w="1440"/>
            <w:shd w:fill="FFDCE0" w:val="clear"/>
          </w:tcPr>
          <w:p>
            <w:r>
              <w:rPr>
                <w:sz w:val="17"/>
              </w:rPr>
              <w:t>2,657</w:t>
            </w:r>
          </w:p>
        </w:tc>
        <w:tc>
          <w:tcPr>
            <w:tcW w:type="dxa" w:w="1440"/>
            <w:shd w:fill="FFDCE0" w:val="clear"/>
          </w:tcPr>
          <w:p>
            <w:r>
              <w:rPr>
                <w:b/>
                <w:color w:val="C00000"/>
                <w:sz w:val="17"/>
              </w:rPr>
              <w:t>-6.0%</w:t>
            </w:r>
          </w:p>
        </w:tc>
      </w:tr>
      <w:tr>
        <w:tc>
          <w:tcPr>
            <w:tcW w:type="dxa" w:w="1440"/>
            <w:shd w:fill="FFDCE0" w:val="clear"/>
          </w:tcPr>
          <w:p>
            <w:r>
              <w:rPr>
                <w:sz w:val="17"/>
              </w:rPr>
              <w:t>J+2  Moyenne</w:t>
            </w:r>
          </w:p>
        </w:tc>
        <w:tc>
          <w:tcPr>
            <w:tcW w:type="dxa" w:w="1440"/>
            <w:shd w:fill="FFDCE0" w:val="clear"/>
          </w:tcPr>
          <w:p>
            <w:r>
              <w:rPr>
                <w:sz w:val="17"/>
              </w:rPr>
              <w:t>2026-08-10</w:t>
            </w:r>
          </w:p>
        </w:tc>
        <w:tc>
          <w:tcPr>
            <w:tcW w:type="dxa" w:w="1440"/>
            <w:shd w:fill="FFDCE0" w:val="clear"/>
          </w:tcPr>
          <w:p>
            <w:r>
              <w:rPr>
                <w:sz w:val="17"/>
              </w:rPr>
              <w:t>2,179</w:t>
            </w:r>
          </w:p>
        </w:tc>
        <w:tc>
          <w:tcPr>
            <w:tcW w:type="dxa" w:w="1440"/>
            <w:shd w:fill="FFDCE0" w:val="clear"/>
          </w:tcPr>
          <w:p>
            <w:r>
              <w:rPr>
                <w:b/>
                <w:sz w:val="17"/>
              </w:rPr>
              <w:t>2,350</w:t>
            </w:r>
          </w:p>
        </w:tc>
        <w:tc>
          <w:tcPr>
            <w:tcW w:type="dxa" w:w="1440"/>
            <w:shd w:fill="FFDCE0" w:val="clear"/>
          </w:tcPr>
          <w:p>
            <w:r>
              <w:rPr>
                <w:sz w:val="17"/>
              </w:rPr>
              <w:t>2,521</w:t>
            </w:r>
          </w:p>
        </w:tc>
        <w:tc>
          <w:tcPr>
            <w:tcW w:type="dxa" w:w="1440"/>
            <w:shd w:fill="FFDCE0" w:val="clear"/>
          </w:tcPr>
          <w:p>
            <w:r>
              <w:rPr>
                <w:b/>
                <w:color w:val="C00000"/>
                <w:sz w:val="17"/>
              </w:rPr>
              <w:t>-12.6%</w:t>
            </w:r>
          </w:p>
        </w:tc>
      </w:tr>
      <w:tr>
        <w:tc>
          <w:tcPr>
            <w:tcW w:type="dxa" w:w="1440"/>
            <w:shd w:fill="FFDCE0" w:val="clear"/>
          </w:tcPr>
          <w:p>
            <w:r>
              <w:rPr>
                <w:sz w:val="17"/>
              </w:rPr>
              <w:t>J+3  Moyenne</w:t>
            </w:r>
          </w:p>
        </w:tc>
        <w:tc>
          <w:tcPr>
            <w:tcW w:type="dxa" w:w="1440"/>
            <w:shd w:fill="FFDCE0" w:val="clear"/>
          </w:tcPr>
          <w:p>
            <w:r>
              <w:rPr>
                <w:sz w:val="17"/>
              </w:rPr>
              <w:t>2026-08-11</w:t>
            </w:r>
          </w:p>
        </w:tc>
        <w:tc>
          <w:tcPr>
            <w:tcW w:type="dxa" w:w="1440"/>
            <w:shd w:fill="FFDCE0" w:val="clear"/>
          </w:tcPr>
          <w:p>
            <w:r>
              <w:rPr>
                <w:sz w:val="17"/>
              </w:rPr>
              <w:t>1,986</w:t>
            </w:r>
          </w:p>
        </w:tc>
        <w:tc>
          <w:tcPr>
            <w:tcW w:type="dxa" w:w="1440"/>
            <w:shd w:fill="FFDCE0" w:val="clear"/>
          </w:tcPr>
          <w:p>
            <w:r>
              <w:rPr>
                <w:b/>
                <w:sz w:val="17"/>
              </w:rPr>
              <w:t>2,180</w:t>
            </w:r>
          </w:p>
        </w:tc>
        <w:tc>
          <w:tcPr>
            <w:tcW w:type="dxa" w:w="1440"/>
            <w:shd w:fill="FFDCE0" w:val="clear"/>
          </w:tcPr>
          <w:p>
            <w:r>
              <w:rPr>
                <w:sz w:val="17"/>
              </w:rPr>
              <w:t>2,375</w:t>
            </w:r>
          </w:p>
        </w:tc>
        <w:tc>
          <w:tcPr>
            <w:tcW w:type="dxa" w:w="1440"/>
            <w:shd w:fill="FFDCE0" w:val="clear"/>
          </w:tcPr>
          <w:p>
            <w:r>
              <w:rPr>
                <w:b/>
                <w:color w:val="C00000"/>
                <w:sz w:val="17"/>
              </w:rPr>
              <w:t>-18.9%</w:t>
            </w:r>
          </w:p>
        </w:tc>
      </w:tr>
      <w:tr>
        <w:tc>
          <w:tcPr>
            <w:tcW w:type="dxa" w:w="1440"/>
            <w:shd w:fill="FFDCE0" w:val="clear"/>
          </w:tcPr>
          <w:p>
            <w:r>
              <w:rPr>
                <w:sz w:val="17"/>
              </w:rPr>
              <w:t>J+4  ⭐</w:t>
            </w:r>
          </w:p>
        </w:tc>
        <w:tc>
          <w:tcPr>
            <w:tcW w:type="dxa" w:w="1440"/>
            <w:shd w:fill="FFDCE0" w:val="clear"/>
          </w:tcPr>
          <w:p>
            <w:r>
              <w:rPr>
                <w:sz w:val="17"/>
              </w:rPr>
              <w:t>2026-08-12</w:t>
            </w:r>
          </w:p>
        </w:tc>
        <w:tc>
          <w:tcPr>
            <w:tcW w:type="dxa" w:w="1440"/>
            <w:shd w:fill="FFDCE0" w:val="clear"/>
          </w:tcPr>
          <w:p>
            <w:r>
              <w:rPr>
                <w:sz w:val="17"/>
              </w:rPr>
              <w:t>1,826</w:t>
            </w:r>
          </w:p>
        </w:tc>
        <w:tc>
          <w:tcPr>
            <w:tcW w:type="dxa" w:w="1440"/>
            <w:shd w:fill="FFDCE0" w:val="clear"/>
          </w:tcPr>
          <w:p>
            <w:r>
              <w:rPr>
                <w:b/>
                <w:sz w:val="17"/>
              </w:rPr>
              <w:t>2,035</w:t>
            </w:r>
          </w:p>
        </w:tc>
        <w:tc>
          <w:tcPr>
            <w:tcW w:type="dxa" w:w="1440"/>
            <w:shd w:fill="FFDCE0" w:val="clear"/>
          </w:tcPr>
          <w:p>
            <w:r>
              <w:rPr>
                <w:sz w:val="17"/>
              </w:rPr>
              <w:t>2,245</w:t>
            </w:r>
          </w:p>
        </w:tc>
        <w:tc>
          <w:tcPr>
            <w:tcW w:type="dxa" w:w="1440"/>
            <w:shd w:fill="FFDCE0" w:val="clear"/>
          </w:tcPr>
          <w:p>
            <w:r>
              <w:rPr>
                <w:b/>
                <w:color w:val="C00000"/>
                <w:sz w:val="17"/>
              </w:rPr>
              <w:t>-24.3%</w:t>
            </w:r>
          </w:p>
        </w:tc>
      </w:tr>
      <w:tr>
        <w:tc>
          <w:tcPr>
            <w:tcW w:type="dxa" w:w="1440"/>
            <w:shd w:fill="FFDCE0" w:val="clear"/>
          </w:tcPr>
          <w:p>
            <w:r>
              <w:rPr>
                <w:sz w:val="17"/>
              </w:rPr>
              <w:t>J+5  ⭐</w:t>
            </w:r>
          </w:p>
        </w:tc>
        <w:tc>
          <w:tcPr>
            <w:tcW w:type="dxa" w:w="1440"/>
            <w:shd w:fill="FFDCE0" w:val="clear"/>
          </w:tcPr>
          <w:p>
            <w:r>
              <w:rPr>
                <w:sz w:val="17"/>
              </w:rPr>
              <w:t>2026-08-13</w:t>
            </w:r>
          </w:p>
        </w:tc>
        <w:tc>
          <w:tcPr>
            <w:tcW w:type="dxa" w:w="1440"/>
            <w:shd w:fill="FFDCE0" w:val="clear"/>
          </w:tcPr>
          <w:p>
            <w:r>
              <w:rPr>
                <w:sz w:val="17"/>
              </w:rPr>
              <w:t>1,697</w:t>
            </w:r>
          </w:p>
        </w:tc>
        <w:tc>
          <w:tcPr>
            <w:tcW w:type="dxa" w:w="1440"/>
            <w:shd w:fill="FFDCE0" w:val="clear"/>
          </w:tcPr>
          <w:p>
            <w:r>
              <w:rPr>
                <w:b/>
                <w:sz w:val="17"/>
              </w:rPr>
              <w:t>1,918</w:t>
            </w:r>
          </w:p>
        </w:tc>
        <w:tc>
          <w:tcPr>
            <w:tcW w:type="dxa" w:w="1440"/>
            <w:shd w:fill="FFDCE0" w:val="clear"/>
          </w:tcPr>
          <w:p>
            <w:r>
              <w:rPr>
                <w:sz w:val="17"/>
              </w:rPr>
              <w:t>2,139</w:t>
            </w:r>
          </w:p>
        </w:tc>
        <w:tc>
          <w:tcPr>
            <w:tcW w:type="dxa" w:w="1440"/>
            <w:shd w:fill="FFDCE0" w:val="clear"/>
          </w:tcPr>
          <w:p>
            <w:r>
              <w:rPr>
                <w:b/>
                <w:color w:val="C00000"/>
                <w:sz w:val="17"/>
              </w:rPr>
              <w:t>-28.7%</w:t>
            </w:r>
          </w:p>
        </w:tc>
      </w:tr>
      <w:tr>
        <w:tc>
          <w:tcPr>
            <w:tcW w:type="dxa" w:w="1440"/>
            <w:shd w:fill="FFDCE0" w:val="clear"/>
          </w:tcPr>
          <w:p>
            <w:r>
              <w:rPr>
                <w:sz w:val="17"/>
              </w:rPr>
              <w:t>J+6  ⭐</w:t>
            </w:r>
          </w:p>
        </w:tc>
        <w:tc>
          <w:tcPr>
            <w:tcW w:type="dxa" w:w="1440"/>
            <w:shd w:fill="FFDCE0" w:val="clear"/>
          </w:tcPr>
          <w:p>
            <w:r>
              <w:rPr>
                <w:sz w:val="17"/>
              </w:rPr>
              <w:t>2026-08-14</w:t>
            </w:r>
          </w:p>
        </w:tc>
        <w:tc>
          <w:tcPr>
            <w:tcW w:type="dxa" w:w="1440"/>
            <w:shd w:fill="FFDCE0" w:val="clear"/>
          </w:tcPr>
          <w:p>
            <w:r>
              <w:rPr>
                <w:sz w:val="17"/>
              </w:rPr>
              <w:t>1,594</w:t>
            </w:r>
          </w:p>
        </w:tc>
        <w:tc>
          <w:tcPr>
            <w:tcW w:type="dxa" w:w="1440"/>
            <w:shd w:fill="FFDCE0" w:val="clear"/>
          </w:tcPr>
          <w:p>
            <w:r>
              <w:rPr>
                <w:b/>
                <w:sz w:val="17"/>
              </w:rPr>
              <w:t>1,824</w:t>
            </w:r>
          </w:p>
        </w:tc>
        <w:tc>
          <w:tcPr>
            <w:tcW w:type="dxa" w:w="1440"/>
            <w:shd w:fill="FFDCE0" w:val="clear"/>
          </w:tcPr>
          <w:p>
            <w:r>
              <w:rPr>
                <w:sz w:val="17"/>
              </w:rPr>
              <w:t>2,054</w:t>
            </w:r>
          </w:p>
        </w:tc>
        <w:tc>
          <w:tcPr>
            <w:tcW w:type="dxa" w:w="1440"/>
            <w:shd w:fill="FFDCE0" w:val="clear"/>
          </w:tcPr>
          <w:p>
            <w:r>
              <w:rPr>
                <w:b/>
                <w:color w:val="C00000"/>
                <w:sz w:val="17"/>
              </w:rPr>
              <w:t>-32.2%</w:t>
            </w:r>
          </w:p>
        </w:tc>
      </w:tr>
      <w:tr>
        <w:tc>
          <w:tcPr>
            <w:tcW w:type="dxa" w:w="1440"/>
            <w:shd w:fill="FFDCE0" w:val="clear"/>
          </w:tcPr>
          <w:p>
            <w:r>
              <w:rPr>
                <w:sz w:val="17"/>
              </w:rPr>
              <w:t>J+7  ⭐</w:t>
            </w:r>
          </w:p>
        </w:tc>
        <w:tc>
          <w:tcPr>
            <w:tcW w:type="dxa" w:w="1440"/>
            <w:shd w:fill="FFDCE0" w:val="clear"/>
          </w:tcPr>
          <w:p>
            <w:r>
              <w:rPr>
                <w:sz w:val="17"/>
              </w:rPr>
              <w:t>2026-08-17</w:t>
            </w:r>
          </w:p>
        </w:tc>
        <w:tc>
          <w:tcPr>
            <w:tcW w:type="dxa" w:w="1440"/>
            <w:shd w:fill="FFDCE0" w:val="clear"/>
          </w:tcPr>
          <w:p>
            <w:r>
              <w:rPr>
                <w:sz w:val="17"/>
              </w:rPr>
              <w:t>1,511</w:t>
            </w:r>
          </w:p>
        </w:tc>
        <w:tc>
          <w:tcPr>
            <w:tcW w:type="dxa" w:w="1440"/>
            <w:shd w:fill="FFDCE0" w:val="clear"/>
          </w:tcPr>
          <w:p>
            <w:r>
              <w:rPr>
                <w:b/>
                <w:sz w:val="17"/>
              </w:rPr>
              <w:t>1,749</w:t>
            </w:r>
          </w:p>
        </w:tc>
        <w:tc>
          <w:tcPr>
            <w:tcW w:type="dxa" w:w="1440"/>
            <w:shd w:fill="FFDCE0" w:val="clear"/>
          </w:tcPr>
          <w:p>
            <w:r>
              <w:rPr>
                <w:sz w:val="17"/>
              </w:rPr>
              <w:t>1,988</w:t>
            </w:r>
          </w:p>
        </w:tc>
        <w:tc>
          <w:tcPr>
            <w:tcW w:type="dxa" w:w="1440"/>
            <w:shd w:fill="FFDCE0" w:val="clear"/>
          </w:tcPr>
          <w:p>
            <w:r>
              <w:rPr>
                <w:b/>
                <w:color w:val="C00000"/>
                <w:sz w:val="17"/>
              </w:rPr>
              <w:t>-35.0%</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1,443</w:t>
            </w:r>
          </w:p>
        </w:tc>
        <w:tc>
          <w:tcPr>
            <w:tcW w:type="dxa" w:w="1440"/>
            <w:shd w:fill="FFDCE0" w:val="clear"/>
          </w:tcPr>
          <w:p>
            <w:r>
              <w:rPr>
                <w:b/>
                <w:sz w:val="17"/>
              </w:rPr>
              <w:t>1,689</w:t>
            </w:r>
          </w:p>
        </w:tc>
        <w:tc>
          <w:tcPr>
            <w:tcW w:type="dxa" w:w="1440"/>
            <w:shd w:fill="FFDCE0" w:val="clear"/>
          </w:tcPr>
          <w:p>
            <w:r>
              <w:rPr>
                <w:sz w:val="17"/>
              </w:rPr>
              <w:t>1,935</w:t>
            </w:r>
          </w:p>
        </w:tc>
        <w:tc>
          <w:tcPr>
            <w:tcW w:type="dxa" w:w="1440"/>
            <w:shd w:fill="FFDCE0" w:val="clear"/>
          </w:tcPr>
          <w:p>
            <w:r>
              <w:rPr>
                <w:b/>
                <w:color w:val="C00000"/>
                <w:sz w:val="17"/>
              </w:rPr>
              <w:t>-37.2%</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1,385</w:t>
            </w:r>
          </w:p>
        </w:tc>
        <w:tc>
          <w:tcPr>
            <w:tcW w:type="dxa" w:w="1440"/>
            <w:shd w:fill="FFDCE0" w:val="clear"/>
          </w:tcPr>
          <w:p>
            <w:r>
              <w:rPr>
                <w:b/>
                <w:sz w:val="17"/>
              </w:rPr>
              <w:t>1,638</w:t>
            </w:r>
          </w:p>
        </w:tc>
        <w:tc>
          <w:tcPr>
            <w:tcW w:type="dxa" w:w="1440"/>
            <w:shd w:fill="FFDCE0" w:val="clear"/>
          </w:tcPr>
          <w:p>
            <w:r>
              <w:rPr>
                <w:sz w:val="17"/>
              </w:rPr>
              <w:t>1,892</w:t>
            </w:r>
          </w:p>
        </w:tc>
        <w:tc>
          <w:tcPr>
            <w:tcW w:type="dxa" w:w="1440"/>
            <w:shd w:fill="FFDCE0" w:val="clear"/>
          </w:tcPr>
          <w:p>
            <w:r>
              <w:rPr>
                <w:b/>
                <w:color w:val="C00000"/>
                <w:sz w:val="17"/>
              </w:rPr>
              <w:t>-39.1%</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1,335</w:t>
            </w:r>
          </w:p>
        </w:tc>
        <w:tc>
          <w:tcPr>
            <w:tcW w:type="dxa" w:w="1440"/>
            <w:shd w:fill="FFDCE0" w:val="clear"/>
          </w:tcPr>
          <w:p>
            <w:r>
              <w:rPr>
                <w:b/>
                <w:sz w:val="17"/>
              </w:rPr>
              <w:t>1,595</w:t>
            </w:r>
          </w:p>
        </w:tc>
        <w:tc>
          <w:tcPr>
            <w:tcW w:type="dxa" w:w="1440"/>
            <w:shd w:fill="FFDCE0" w:val="clear"/>
          </w:tcPr>
          <w:p>
            <w:r>
              <w:rPr>
                <w:sz w:val="17"/>
              </w:rPr>
              <w:t>1,855</w:t>
            </w:r>
          </w:p>
        </w:tc>
        <w:tc>
          <w:tcPr>
            <w:tcW w:type="dxa" w:w="1440"/>
            <w:shd w:fill="FFDCE0" w:val="clear"/>
          </w:tcPr>
          <w:p>
            <w:r>
              <w:rPr>
                <w:b/>
                <w:color w:val="C00000"/>
                <w:sz w:val="17"/>
              </w:rPr>
              <w:t>-40.7%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 CI)**</w:t>
        <w:br/>
        <w:t>**Bourse Régionale des Valeurs Mobilières (BRVM)**</w:t>
        <w:br/>
        <w:t>**Date de l'analyse : 05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36,15 milliards FCFA, STAC se positionne comme une valeur de taille moyenne sur la BRVM. Le ratio PER est négatif à -374,4x, ce qui s'explique par un BPA déficitaire de -7 FCFA par action. Les investisseurs paient donc un prix très élevé pour une société qui ne génère pas de bénéfices, ce qui est un signal de risque majeur. Le ratio P/B de 101,34x est extrêmement élevé, indiquant que le marché valorise l'actif net de la société à une prime considérable (plus de 100 fois sa valeur comptable), ce qui est typique des valeurs spéculatives ou des situations de retournement anticipé. En l'absence de données sur l'EBITDA, le ratio EV/EBITDA ne peut être calculé, mais la combinaison d'un PER négatif et d'un P/B extrêmement élevé suggère une valorisation boursière totalement déconnectée des fondamentaux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STAC affiche une variation totale de +31,86%, mais a subi une forte correction de -3,93% lors de la dernière séance, clôturant à 2 690 FCFA. Le titre a évolué dans une fourchette très large, entre un plus bas de 2 040 FCFA et un plus haut de 3 895 FCFA, illustrant une forte volatilité. La moyenne du cours sur la période est de 3 010 FCFA, proche de la médiane (2 990 FCFA) et du mode (3 000 FCFA), ce qui indique une distribution relativement symétrique des prix. L'écart-type de 381 FCFA (CV = 12,7%) montre une dispersion modérée autour de la moyenne. Le kurtosis négatif (-0,460) et le skewness proche de zéro (-0,064) confirment une distribution mésokurtique et symétrique, sans extrêmes inhabituels. La volatilité annualisée de 73,6% est extrêmement élevée, classant STAC comme un titre très risqué, bien au-delà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2 690 FCFA est inférieur à la MM20 (2 973,25 FCFA) et à la MM50 (3 173,3 FCFA), confirmant une tendance baissière à court et moyen terme. La décision de "Vente" est justifiée par cette configuration où le prix évolue sous ses moyennes mobiles, signe d'une dynamique négative.</w:t>
      </w:r>
    </w:p>
    <w:p>
      <w:pPr>
        <w:spacing w:after="120" w:line="276" w:lineRule="auto"/>
      </w:pPr>
      <w:r>
        <w:t>**Bandes de Bollinger :** Le prix se situe près de la borne inférieure (2 592,18 FCFA) après un repli récent, indiquant que le titre est survendu à court terme. La décision "Neutre" est cohérente, car le prix n'a pas encore franchi la borne, mais la pression vendeuse est palpable. La largeur des bandes suggère une volatilité toujours élevée.</w:t>
      </w:r>
    </w:p>
    <w:p>
      <w:pPr>
        <w:spacing w:after="120" w:line="276" w:lineRule="auto"/>
      </w:pPr>
      <w:r>
        <w:t>**MACD :** Le MACD (-139,37) est inférieur à son signal (-115,24), tous deux en territoire négatif. Cette configuration baissière confirme un momentum négatif et une dynamique de prix défavorable. La décision de "Vente" est justifiée par cette divergence négative persistante.</w:t>
      </w:r>
    </w:p>
    <w:p>
      <w:pPr>
        <w:spacing w:after="120" w:line="276" w:lineRule="auto"/>
      </w:pPr>
      <w:r>
        <w:t>**RSI :** Le RSI à 27,95 est en zone de survente (&lt;30), ce qui indique que le titre a fortement baissé et pourrait être sujet à un rebond technique. La décision "Achat" est un signal contrariant, suggérant que la pression vendeuse pourrait s'essouffler à court terme.</w:t>
      </w:r>
    </w:p>
    <w:p>
      <w:pPr>
        <w:spacing w:after="120" w:line="276" w:lineRule="auto"/>
      </w:pPr>
      <w:r>
        <w:t>**Stochastique :** Le %K (1,94) est très inférieur au %D (17,48), tous deux en zone de survente profonde. Ce croisement baissier indique une force vendeuse extrême, mais la décision "Achat" suggère également un potentiel de rebond imminent.</w:t>
      </w:r>
    </w:p>
    <w:p>
      <w:pPr>
        <w:spacing w:after="120" w:line="276" w:lineRule="auto"/>
      </w:pPr>
      <w:r>
        <w:t>**Conclusion technique :** Les indicateurs de tendance (MM, MACD) sont baissiers, tandis que les oscillateurs (RSI, Stochastique) signalent une condition de survente extrême. Cette divergence suggère une possible accalmie ou un rebond technique à très court terme, mais la tendance de fond reste clairement négative. La prudence est de mise.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STAC révèlent une situation financière très dégradée. Le chiffre d'affaires s'établit à 3,878 milliards FCFA, mais la société enregistre une perte nette de -96,56 millions FCFA, avec une marge nette de -2,49%. La rentabilité des capitaux propres (ROE) est fortement négative à -27,07%, et le ROA est de -1,77%. La structure financière est fragile avec une autonomie financière de seulement 6,55% et un ratio d'endettement de 93,45%. Le BFR est négatif (-930,47 millions FCFA), ce qui est un point positif pour la trésorerie, mais le flux opérationnel est très négatif (-2,212 milliards FCFA). Les rapports narratifs de 2024 et 2025 confirment cette tendance. Le rapport du 3ème trimestre 2025 (cumul 9 mois) indique un CA de 3,456 milliards FCFA (+176% vs 2024) et une perte nette réduite à -477 millions FCFA, grâce à une meilleure maîtrise des coûts sur le chantier de l'aéroport d'Abidjan. Sur la base de ce rapport, on estime que l'exercice 2025 pourrait voir une perte annuelle autour de -500 millions FCFA, malgré un CA prévisionnel de 4 milliards FCFA. La société reste structurellement déficitaire, dépendante d'un seul grand projet, et sa capacité à générer des bénéfices est nulle à ce jour.</w:t>
      </w:r>
    </w:p>
    <w:p>
      <w:pPr>
        <w:spacing w:after="120" w:line="276" w:lineRule="auto"/>
      </w:pPr>
      <w:r>
        <w:t>---</w:t>
      </w:r>
    </w:p>
    <w:p>
      <w:pPr>
        <w:spacing w:after="120" w:line="276" w:lineRule="auto"/>
      </w:pPr>
      <w:r>
        <w:t>### PARTIE 4 : CONCLUSION D'INVESTISSEMENT</w:t>
      </w:r>
    </w:p>
    <w:p>
      <w:pPr>
        <w:spacing w:after="120" w:line="276" w:lineRule="auto"/>
      </w:pPr>
      <w:r>
        <w:t>La valorisation boursière de STAC est extrêmement spéculative, avec un PER négatif et un P/B de plus de 100x, indiquant une surévaluation flagrante par rapport aux fondamentaux. Le comportement du cours, bien qu'en hausse sur 100 jours, montre une volatilité extrême (73,6%) et une récente correction, avec des statistiques de distribution normales mais un risque de prix élevé. Les signaux techniques sont majoritairement baissiers (MM, MACD), bien que les oscillateurs suggèrent un rebond technique imminent. Les fondamentaux sont très préoccupants : pertes récurrentes, ROE négatif, endettement élevé, et une dépendance à un seul projet. Les prédictions IA pour les 10 prochains jours (chute de 2 527 à 1 918 FCFA) confirment la tendance baissière et contredisent tout espoir de stabilisation à court terme. La convergence des signaux (valorisation excessive, technique baissier, fondamentaux faibles, prédictions négatives) est unanime. Par conséquent, la recommandation finale est **VENTE FORTE**, avec un niveau de confiance **Élevé** et un risque global **Élevé**. L'horizon d'investissement optimal est le **court terme (&lt;3 mois)** pour les investisseurs cherchant à sortir, ou une **spéculation à très court terme** pour les plus aguerris, mais le titre doit être évité pour tout investissement moyen ou long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448.88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3,302 titres</w:t>
            </w:r>
          </w:p>
        </w:tc>
        <w:tc>
          <w:tcPr>
            <w:tcW w:type="dxa" w:w="2268"/>
            <w:shd w:fill="FFF2CC" w:val="clear"/>
          </w:tcPr>
          <w:p>
            <w:r>
              <w:rPr>
                <w:b/>
                <w:color w:val="503200"/>
                <w:sz w:val="16"/>
              </w:rPr>
              <w:t xml:space="preserve">Cours actuel : </w:t>
            </w:r>
            <w:r>
              <w:rPr>
                <w:color w:val="000000"/>
                <w:sz w:val="17"/>
              </w:rPr>
              <w:t>25,000 FCFA</w:t>
            </w:r>
          </w:p>
          <w:p>
            <w:r>
              <w:rPr>
                <w:b/>
                <w:color w:val="503200"/>
                <w:sz w:val="16"/>
              </w:rPr>
              <w:t xml:space="preserve">Var. 100 jours : </w:t>
            </w:r>
            <w:r>
              <w:rPr>
                <w:b/>
                <w:color w:val="007800"/>
                <w:sz w:val="17"/>
              </w:rPr>
              <w:t>+16.06%</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28.6%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5.87% (Moyenne) — μ=22,069 FCFA, σ=1,296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β=0.3147 (Défensif) — Cov=0.000011, Var(idx)=0.000036, ρ=0.105,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2026-08-06</w:t>
            </w:r>
          </w:p>
        </w:tc>
        <w:tc>
          <w:tcPr>
            <w:tcW w:type="dxa" w:w="1440"/>
            <w:shd w:fill="FAFAFA" w:val="clear"/>
          </w:tcPr>
          <w:p>
            <w:r>
              <w:rPr>
                <w:sz w:val="17"/>
              </w:rPr>
              <w:t>23,824</w:t>
            </w:r>
          </w:p>
        </w:tc>
        <w:tc>
          <w:tcPr>
            <w:tcW w:type="dxa" w:w="1440"/>
            <w:shd w:fill="FAFAFA" w:val="clear"/>
          </w:tcPr>
          <w:p>
            <w:r>
              <w:rPr>
                <w:b/>
                <w:sz w:val="17"/>
              </w:rPr>
              <w:t>24,868</w:t>
            </w:r>
          </w:p>
        </w:tc>
        <w:tc>
          <w:tcPr>
            <w:tcW w:type="dxa" w:w="1440"/>
            <w:shd w:fill="FAFAFA" w:val="clear"/>
          </w:tcPr>
          <w:p>
            <w:r>
              <w:rPr>
                <w:sz w:val="17"/>
              </w:rPr>
              <w:t>25,912</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2026-08-10</w:t>
            </w:r>
          </w:p>
        </w:tc>
        <w:tc>
          <w:tcPr>
            <w:tcW w:type="dxa" w:w="1440"/>
            <w:shd w:fill="FAFAFA" w:val="clear"/>
          </w:tcPr>
          <w:p>
            <w:r>
              <w:rPr>
                <w:sz w:val="17"/>
              </w:rPr>
              <w:t>23,632</w:t>
            </w:r>
          </w:p>
        </w:tc>
        <w:tc>
          <w:tcPr>
            <w:tcW w:type="dxa" w:w="1440"/>
            <w:shd w:fill="FAFAFA" w:val="clear"/>
          </w:tcPr>
          <w:p>
            <w:r>
              <w:rPr>
                <w:b/>
                <w:sz w:val="17"/>
              </w:rPr>
              <w:t>25,124</w:t>
            </w:r>
          </w:p>
        </w:tc>
        <w:tc>
          <w:tcPr>
            <w:tcW w:type="dxa" w:w="1440"/>
            <w:shd w:fill="FAFAFA" w:val="clear"/>
          </w:tcPr>
          <w:p>
            <w:r>
              <w:rPr>
                <w:sz w:val="17"/>
              </w:rPr>
              <w:t>26,615</w:t>
            </w:r>
          </w:p>
        </w:tc>
        <w:tc>
          <w:tcPr>
            <w:tcW w:type="dxa" w:w="1440"/>
            <w:shd w:fill="FAFAFA" w:val="clear"/>
          </w:tcPr>
          <w:p>
            <w:r>
              <w:rPr>
                <w:b/>
                <w:color w:val="008000"/>
                <w:sz w:val="17"/>
              </w:rPr>
              <w:t>+0.5%</w:t>
            </w:r>
          </w:p>
        </w:tc>
      </w:tr>
      <w:tr>
        <w:tc>
          <w:tcPr>
            <w:tcW w:type="dxa" w:w="1440"/>
            <w:shd w:fill="FAFAFA" w:val="clear"/>
          </w:tcPr>
          <w:p>
            <w:r>
              <w:rPr>
                <w:sz w:val="17"/>
              </w:rPr>
              <w:t>J+3  ⭐</w:t>
            </w:r>
          </w:p>
        </w:tc>
        <w:tc>
          <w:tcPr>
            <w:tcW w:type="dxa" w:w="1440"/>
            <w:shd w:fill="FAFAFA" w:val="clear"/>
          </w:tcPr>
          <w:p>
            <w:r>
              <w:rPr>
                <w:sz w:val="17"/>
              </w:rPr>
              <w:t>2026-08-11</w:t>
            </w:r>
          </w:p>
        </w:tc>
        <w:tc>
          <w:tcPr>
            <w:tcW w:type="dxa" w:w="1440"/>
            <w:shd w:fill="FAFAFA" w:val="clear"/>
          </w:tcPr>
          <w:p>
            <w:r>
              <w:rPr>
                <w:sz w:val="17"/>
              </w:rPr>
              <w:t>23,521</w:t>
            </w:r>
          </w:p>
        </w:tc>
        <w:tc>
          <w:tcPr>
            <w:tcW w:type="dxa" w:w="1440"/>
            <w:shd w:fill="FAFAFA" w:val="clear"/>
          </w:tcPr>
          <w:p>
            <w:r>
              <w:rPr>
                <w:b/>
                <w:sz w:val="17"/>
              </w:rPr>
              <w:t>25,366</w:t>
            </w:r>
          </w:p>
        </w:tc>
        <w:tc>
          <w:tcPr>
            <w:tcW w:type="dxa" w:w="1440"/>
            <w:shd w:fill="FAFAFA" w:val="clear"/>
          </w:tcPr>
          <w:p>
            <w:r>
              <w:rPr>
                <w:sz w:val="17"/>
              </w:rPr>
              <w:t>27,211</w:t>
            </w:r>
          </w:p>
        </w:tc>
        <w:tc>
          <w:tcPr>
            <w:tcW w:type="dxa" w:w="1440"/>
            <w:shd w:fill="FAFAFA" w:val="clear"/>
          </w:tcPr>
          <w:p>
            <w:r>
              <w:rPr>
                <w:b/>
                <w:color w:val="008000"/>
                <w:sz w:val="17"/>
              </w:rPr>
              <w:t>+1.5%</w:t>
            </w:r>
          </w:p>
        </w:tc>
      </w:tr>
      <w:tr>
        <w:tc>
          <w:tcPr>
            <w:tcW w:type="dxa" w:w="1440"/>
            <w:shd w:fill="C6EFCE" w:val="clear"/>
          </w:tcPr>
          <w:p>
            <w:r>
              <w:rPr>
                <w:sz w:val="17"/>
              </w:rPr>
              <w:t>J+4  ⭐</w:t>
            </w:r>
          </w:p>
        </w:tc>
        <w:tc>
          <w:tcPr>
            <w:tcW w:type="dxa" w:w="1440"/>
            <w:shd w:fill="C6EFCE" w:val="clear"/>
          </w:tcPr>
          <w:p>
            <w:r>
              <w:rPr>
                <w:sz w:val="17"/>
              </w:rPr>
              <w:t>2026-08-12</w:t>
            </w:r>
          </w:p>
        </w:tc>
        <w:tc>
          <w:tcPr>
            <w:tcW w:type="dxa" w:w="1440"/>
            <w:shd w:fill="C6EFCE" w:val="clear"/>
          </w:tcPr>
          <w:p>
            <w:r>
              <w:rPr>
                <w:sz w:val="17"/>
              </w:rPr>
              <w:t>23,456</w:t>
            </w:r>
          </w:p>
        </w:tc>
        <w:tc>
          <w:tcPr>
            <w:tcW w:type="dxa" w:w="1440"/>
            <w:shd w:fill="C6EFCE" w:val="clear"/>
          </w:tcPr>
          <w:p>
            <w:r>
              <w:rPr>
                <w:b/>
                <w:sz w:val="17"/>
              </w:rPr>
              <w:t>25,606</w:t>
            </w:r>
          </w:p>
        </w:tc>
        <w:tc>
          <w:tcPr>
            <w:tcW w:type="dxa" w:w="1440"/>
            <w:shd w:fill="C6EFCE" w:val="clear"/>
          </w:tcPr>
          <w:p>
            <w:r>
              <w:rPr>
                <w:sz w:val="17"/>
              </w:rPr>
              <w:t>27,756</w:t>
            </w:r>
          </w:p>
        </w:tc>
        <w:tc>
          <w:tcPr>
            <w:tcW w:type="dxa" w:w="1440"/>
            <w:shd w:fill="C6EFCE" w:val="clear"/>
          </w:tcPr>
          <w:p>
            <w:r>
              <w:rPr>
                <w:b/>
                <w:color w:val="008000"/>
                <w:sz w:val="17"/>
              </w:rPr>
              <w:t>+2.4%</w:t>
            </w:r>
          </w:p>
        </w:tc>
      </w:tr>
      <w:tr>
        <w:tc>
          <w:tcPr>
            <w:tcW w:type="dxa" w:w="1440"/>
            <w:shd w:fill="C6EFCE" w:val="clear"/>
          </w:tcPr>
          <w:p>
            <w:r>
              <w:rPr>
                <w:sz w:val="17"/>
              </w:rPr>
              <w:t>J+5  ⭐</w:t>
            </w:r>
          </w:p>
        </w:tc>
        <w:tc>
          <w:tcPr>
            <w:tcW w:type="dxa" w:w="1440"/>
            <w:shd w:fill="C6EFCE" w:val="clear"/>
          </w:tcPr>
          <w:p>
            <w:r>
              <w:rPr>
                <w:sz w:val="17"/>
              </w:rPr>
              <w:t>2026-08-13</w:t>
            </w:r>
          </w:p>
        </w:tc>
        <w:tc>
          <w:tcPr>
            <w:tcW w:type="dxa" w:w="1440"/>
            <w:shd w:fill="C6EFCE" w:val="clear"/>
          </w:tcPr>
          <w:p>
            <w:r>
              <w:rPr>
                <w:sz w:val="17"/>
              </w:rPr>
              <w:t>23,410</w:t>
            </w:r>
          </w:p>
        </w:tc>
        <w:tc>
          <w:tcPr>
            <w:tcW w:type="dxa" w:w="1440"/>
            <w:shd w:fill="C6EFCE" w:val="clear"/>
          </w:tcPr>
          <w:p>
            <w:r>
              <w:rPr>
                <w:b/>
                <w:sz w:val="17"/>
              </w:rPr>
              <w:t>25,835</w:t>
            </w:r>
          </w:p>
        </w:tc>
        <w:tc>
          <w:tcPr>
            <w:tcW w:type="dxa" w:w="1440"/>
            <w:shd w:fill="C6EFCE" w:val="clear"/>
          </w:tcPr>
          <w:p>
            <w:r>
              <w:rPr>
                <w:sz w:val="17"/>
              </w:rPr>
              <w:t>28,261</w:t>
            </w:r>
          </w:p>
        </w:tc>
        <w:tc>
          <w:tcPr>
            <w:tcW w:type="dxa" w:w="1440"/>
            <w:shd w:fill="C6EFCE" w:val="clear"/>
          </w:tcPr>
          <w:p>
            <w:r>
              <w:rPr>
                <w:b/>
                <w:color w:val="008000"/>
                <w:sz w:val="17"/>
              </w:rPr>
              <w:t>+3.3%</w:t>
            </w:r>
          </w:p>
        </w:tc>
      </w:tr>
      <w:tr>
        <w:tc>
          <w:tcPr>
            <w:tcW w:type="dxa" w:w="1440"/>
            <w:shd w:fill="C6EFCE" w:val="clear"/>
          </w:tcPr>
          <w:p>
            <w:r>
              <w:rPr>
                <w:sz w:val="17"/>
              </w:rPr>
              <w:t>J+6  ⭐</w:t>
            </w:r>
          </w:p>
        </w:tc>
        <w:tc>
          <w:tcPr>
            <w:tcW w:type="dxa" w:w="1440"/>
            <w:shd w:fill="C6EFCE" w:val="clear"/>
          </w:tcPr>
          <w:p>
            <w:r>
              <w:rPr>
                <w:sz w:val="17"/>
              </w:rPr>
              <w:t>2026-08-14</w:t>
            </w:r>
          </w:p>
        </w:tc>
        <w:tc>
          <w:tcPr>
            <w:tcW w:type="dxa" w:w="1440"/>
            <w:shd w:fill="C6EFCE" w:val="clear"/>
          </w:tcPr>
          <w:p>
            <w:r>
              <w:rPr>
                <w:sz w:val="17"/>
              </w:rPr>
              <w:t>23,390</w:t>
            </w:r>
          </w:p>
        </w:tc>
        <w:tc>
          <w:tcPr>
            <w:tcW w:type="dxa" w:w="1440"/>
            <w:shd w:fill="C6EFCE" w:val="clear"/>
          </w:tcPr>
          <w:p>
            <w:r>
              <w:rPr>
                <w:b/>
                <w:sz w:val="17"/>
              </w:rPr>
              <w:t>26,071</w:t>
            </w:r>
          </w:p>
        </w:tc>
        <w:tc>
          <w:tcPr>
            <w:tcW w:type="dxa" w:w="1440"/>
            <w:shd w:fill="C6EFCE" w:val="clear"/>
          </w:tcPr>
          <w:p>
            <w:r>
              <w:rPr>
                <w:sz w:val="17"/>
              </w:rPr>
              <w:t>28,753</w:t>
            </w:r>
          </w:p>
        </w:tc>
        <w:tc>
          <w:tcPr>
            <w:tcW w:type="dxa" w:w="1440"/>
            <w:shd w:fill="C6EFCE" w:val="clear"/>
          </w:tcPr>
          <w:p>
            <w:r>
              <w:rPr>
                <w:b/>
                <w:color w:val="008000"/>
                <w:sz w:val="17"/>
              </w:rPr>
              <w:t>+4.3%</w:t>
            </w:r>
          </w:p>
        </w:tc>
      </w:tr>
      <w:tr>
        <w:tc>
          <w:tcPr>
            <w:tcW w:type="dxa" w:w="1440"/>
            <w:shd w:fill="C6EFCE" w:val="clear"/>
          </w:tcPr>
          <w:p>
            <w:r>
              <w:rPr>
                <w:sz w:val="17"/>
              </w:rPr>
              <w:t>J+7  ⭐</w:t>
            </w:r>
          </w:p>
        </w:tc>
        <w:tc>
          <w:tcPr>
            <w:tcW w:type="dxa" w:w="1440"/>
            <w:shd w:fill="C6EFCE" w:val="clear"/>
          </w:tcPr>
          <w:p>
            <w:r>
              <w:rPr>
                <w:sz w:val="17"/>
              </w:rPr>
              <w:t>2026-08-17</w:t>
            </w:r>
          </w:p>
        </w:tc>
        <w:tc>
          <w:tcPr>
            <w:tcW w:type="dxa" w:w="1440"/>
            <w:shd w:fill="C6EFCE" w:val="clear"/>
          </w:tcPr>
          <w:p>
            <w:r>
              <w:rPr>
                <w:sz w:val="17"/>
              </w:rPr>
              <w:t>23,379</w:t>
            </w:r>
          </w:p>
        </w:tc>
        <w:tc>
          <w:tcPr>
            <w:tcW w:type="dxa" w:w="1440"/>
            <w:shd w:fill="C6EFCE" w:val="clear"/>
          </w:tcPr>
          <w:p>
            <w:r>
              <w:rPr>
                <w:b/>
                <w:sz w:val="17"/>
              </w:rPr>
              <w:t>26,300</w:t>
            </w:r>
          </w:p>
        </w:tc>
        <w:tc>
          <w:tcPr>
            <w:tcW w:type="dxa" w:w="1440"/>
            <w:shd w:fill="C6EFCE" w:val="clear"/>
          </w:tcPr>
          <w:p>
            <w:r>
              <w:rPr>
                <w:sz w:val="17"/>
              </w:rPr>
              <w:t>29,222</w:t>
            </w:r>
          </w:p>
        </w:tc>
        <w:tc>
          <w:tcPr>
            <w:tcW w:type="dxa" w:w="1440"/>
            <w:shd w:fill="C6EFCE" w:val="clear"/>
          </w:tcPr>
          <w:p>
            <w:r>
              <w:rPr>
                <w:b/>
                <w:color w:val="008000"/>
                <w:sz w:val="17"/>
              </w:rPr>
              <w:t>+5.2%</w:t>
            </w:r>
          </w:p>
        </w:tc>
      </w:tr>
      <w:tr>
        <w:tc>
          <w:tcPr>
            <w:tcW w:type="dxa" w:w="1440"/>
            <w:shd w:fill="C6EFCE" w:val="clear"/>
          </w:tcPr>
          <w:p>
            <w:r>
              <w:rPr>
                <w:sz w:val="17"/>
              </w:rPr>
              <w:t>J+8  ⭐</w:t>
            </w:r>
          </w:p>
        </w:tc>
        <w:tc>
          <w:tcPr>
            <w:tcW w:type="dxa" w:w="1440"/>
            <w:shd w:fill="C6EFCE" w:val="clear"/>
          </w:tcPr>
          <w:p>
            <w:r>
              <w:rPr>
                <w:sz w:val="17"/>
              </w:rPr>
              <w:t>2026-08-18</w:t>
            </w:r>
          </w:p>
        </w:tc>
        <w:tc>
          <w:tcPr>
            <w:tcW w:type="dxa" w:w="1440"/>
            <w:shd w:fill="C6EFCE" w:val="clear"/>
          </w:tcPr>
          <w:p>
            <w:r>
              <w:rPr>
                <w:sz w:val="17"/>
              </w:rPr>
              <w:t>23,388</w:t>
            </w:r>
          </w:p>
        </w:tc>
        <w:tc>
          <w:tcPr>
            <w:tcW w:type="dxa" w:w="1440"/>
            <w:shd w:fill="C6EFCE" w:val="clear"/>
          </w:tcPr>
          <w:p>
            <w:r>
              <w:rPr>
                <w:b/>
                <w:sz w:val="17"/>
              </w:rPr>
              <w:t>26,539</w:t>
            </w:r>
          </w:p>
        </w:tc>
        <w:tc>
          <w:tcPr>
            <w:tcW w:type="dxa" w:w="1440"/>
            <w:shd w:fill="C6EFCE" w:val="clear"/>
          </w:tcPr>
          <w:p>
            <w:r>
              <w:rPr>
                <w:sz w:val="17"/>
              </w:rPr>
              <w:t>29,691</w:t>
            </w:r>
          </w:p>
        </w:tc>
        <w:tc>
          <w:tcPr>
            <w:tcW w:type="dxa" w:w="1440"/>
            <w:shd w:fill="C6EFCE" w:val="clear"/>
          </w:tcPr>
          <w:p>
            <w:r>
              <w:rPr>
                <w:b/>
                <w:color w:val="008000"/>
                <w:sz w:val="17"/>
              </w:rPr>
              <w:t>+6.2%</w:t>
            </w:r>
          </w:p>
        </w:tc>
      </w:tr>
      <w:tr>
        <w:tc>
          <w:tcPr>
            <w:tcW w:type="dxa" w:w="1440"/>
            <w:shd w:fill="C6EFCE" w:val="clear"/>
          </w:tcPr>
          <w:p>
            <w:r>
              <w:rPr>
                <w:sz w:val="17"/>
              </w:rPr>
              <w:t>J+9  ⭐</w:t>
            </w:r>
          </w:p>
        </w:tc>
        <w:tc>
          <w:tcPr>
            <w:tcW w:type="dxa" w:w="1440"/>
            <w:shd w:fill="C6EFCE" w:val="clear"/>
          </w:tcPr>
          <w:p>
            <w:r>
              <w:rPr>
                <w:sz w:val="17"/>
              </w:rPr>
              <w:t>2026-08-19</w:t>
            </w:r>
          </w:p>
        </w:tc>
        <w:tc>
          <w:tcPr>
            <w:tcW w:type="dxa" w:w="1440"/>
            <w:shd w:fill="C6EFCE" w:val="clear"/>
          </w:tcPr>
          <w:p>
            <w:r>
              <w:rPr>
                <w:sz w:val="17"/>
              </w:rPr>
              <w:t>23,398</w:t>
            </w:r>
          </w:p>
        </w:tc>
        <w:tc>
          <w:tcPr>
            <w:tcW w:type="dxa" w:w="1440"/>
            <w:shd w:fill="C6EFCE" w:val="clear"/>
          </w:tcPr>
          <w:p>
            <w:r>
              <w:rPr>
                <w:b/>
                <w:sz w:val="17"/>
              </w:rPr>
              <w:t>26,770</w:t>
            </w:r>
          </w:p>
        </w:tc>
        <w:tc>
          <w:tcPr>
            <w:tcW w:type="dxa" w:w="1440"/>
            <w:shd w:fill="C6EFCE" w:val="clear"/>
          </w:tcPr>
          <w:p>
            <w:r>
              <w:rPr>
                <w:sz w:val="17"/>
              </w:rPr>
              <w:t>30,142</w:t>
            </w:r>
          </w:p>
        </w:tc>
        <w:tc>
          <w:tcPr>
            <w:tcW w:type="dxa" w:w="1440"/>
            <w:shd w:fill="C6EFCE" w:val="clear"/>
          </w:tcPr>
          <w:p>
            <w:r>
              <w:rPr>
                <w:b/>
                <w:color w:val="008000"/>
                <w:sz w:val="17"/>
              </w:rPr>
              <w:t>+7.1%</w:t>
            </w:r>
          </w:p>
        </w:tc>
      </w:tr>
      <w:tr>
        <w:tc>
          <w:tcPr>
            <w:tcW w:type="dxa" w:w="1440"/>
            <w:shd w:fill="C6EFCE" w:val="clear"/>
          </w:tcPr>
          <w:p>
            <w:r>
              <w:rPr>
                <w:sz w:val="17"/>
              </w:rPr>
              <w:t>J+10  ⭐</w:t>
            </w:r>
          </w:p>
        </w:tc>
        <w:tc>
          <w:tcPr>
            <w:tcW w:type="dxa" w:w="1440"/>
            <w:shd w:fill="C6EFCE" w:val="clear"/>
          </w:tcPr>
          <w:p>
            <w:r>
              <w:rPr>
                <w:sz w:val="17"/>
              </w:rPr>
              <w:t>2026-08-20</w:t>
            </w:r>
          </w:p>
        </w:tc>
        <w:tc>
          <w:tcPr>
            <w:tcW w:type="dxa" w:w="1440"/>
            <w:shd w:fill="C6EFCE" w:val="clear"/>
          </w:tcPr>
          <w:p>
            <w:r>
              <w:rPr>
                <w:sz w:val="17"/>
              </w:rPr>
              <w:t>23,411</w:t>
            </w:r>
          </w:p>
        </w:tc>
        <w:tc>
          <w:tcPr>
            <w:tcW w:type="dxa" w:w="1440"/>
            <w:shd w:fill="C6EFCE" w:val="clear"/>
          </w:tcPr>
          <w:p>
            <w:r>
              <w:rPr>
                <w:b/>
                <w:sz w:val="17"/>
              </w:rPr>
              <w:t>26,996</w:t>
            </w:r>
          </w:p>
        </w:tc>
        <w:tc>
          <w:tcPr>
            <w:tcW w:type="dxa" w:w="1440"/>
            <w:shd w:fill="C6EFCE" w:val="clear"/>
          </w:tcPr>
          <w:p>
            <w:r>
              <w:rPr>
                <w:sz w:val="17"/>
              </w:rPr>
              <w:t>30,580</w:t>
            </w:r>
          </w:p>
        </w:tc>
        <w:tc>
          <w:tcPr>
            <w:tcW w:type="dxa" w:w="1440"/>
            <w:shd w:fill="C6EFCE" w:val="clear"/>
          </w:tcPr>
          <w:p>
            <w:r>
              <w:rPr>
                <w:b/>
                <w:color w:val="008000"/>
                <w:sz w:val="17"/>
              </w:rPr>
              <w:t>+8.0%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 RAPPORT D'ANALYSE FINANCIÈRE — STBC (SITAB)</w:t>
        <w:br/>
        <w:t>## Bourse Régionale des Valeurs Mobilières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STBC s'établit à 448,88 milliards FCFA, ce qui positionne le titre parmi les valeurs à forte capitalisation de la BRVM, reflétant son statut de leader sur le marché ivoirien du tabac. Le BPA de 2 014 FCFA indique que chaque action génère un bénéfice substantiel, justifiant un PER de 12,4x, légèrement au-dessus de la moyenne historique de la BRVM (8-12x), ce qui témoigne d'une valorisation raisonnable mais non bon marché. Le P/B de 9,90x est particulièrement élevé, signifiant que le marché valorise l'action près de dix fois sa valeur comptable — une prime considérable qui reflète les attentes de croissance et la rentabilité exceptionnelle de l'entreprise, mais qui laisse peu de marge de sécurité en cas de déception. L'EV/EBITDA de 9,0x se situe dans la fourchette raisonnable (5-10x), indiquant que la valeur d'entreprise reste cohérente avec la capacité opérationnelle de génération de profits.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STBC affiche une progression remarquable de +16,06%, avec une accélération notable lors de la dernière séance (+3,69%), portant le cours à 25 000 FCFA, son plus haut niveau de la période. Le titre a évolué dans une fourchette de 19 705 à 25 000 FCFA, démontrant une dynamique haussière soutenue. La moyenne (22 069 FCFA) est supérieure à la médiane (21 750 FCFA), indiquant une asymétrie positive des rendements, confirmée par le skewness de 0,618 — les journées sous la moyenne ont été plus fréquentes mais les gains ont été plus amples. L'écart-type de 1 303 FCFA (CV de 5,9%) révèle une dispersion modérée autour de la moyenne, tandis que le kurtosis de -0,605 (mésokurtique) suggère l'absence de risques extrêmes. La volatilité annualisée de 28,6% classe le titre dans la catégorie modérée à élevée, reflétant un profil de risque intermédiaire pour un marché émergent.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(25 000 FCFA) évolue nettement au-dessus de la MM20 (23 586 FCFA) et de la MM50 (23 020 FCFA), configurant une tendance haussière claire. L'écart positif entre le prix et les moyennes mobiles confirme la vigueur du mouvement, justifiant la décision d'achat.</w:t>
      </w:r>
    </w:p>
    <w:p>
      <w:pPr>
        <w:spacing w:after="120" w:line="276" w:lineRule="auto"/>
      </w:pPr>
      <w:r>
        <w:t>**Bandes de Bollinger** : Le cours se situe au-dessus de la borne supérieure (24 849 FCFA), signalant une condition de surachat technique. Cette sortie de bande indique une volatilité accrue et un momentum puissant, mais suggère également un risque de correction à court terme, justifiant la décision de vente.</w:t>
      </w:r>
    </w:p>
    <w:p>
      <w:pPr>
        <w:spacing w:after="120" w:line="276" w:lineRule="auto"/>
      </w:pPr>
      <w:r>
        <w:t>**MACD** : Le MACD (233) évolue nettement au-dessus de sa ligne de signal (148), confirmant un momentum haussier solide. La divergence positive s'élargit, indiquant une accélération de la tendance haussière, ce qui justifie la décision d'achat.</w:t>
      </w:r>
    </w:p>
    <w:p>
      <w:pPr>
        <w:spacing w:after="120" w:line="276" w:lineRule="auto"/>
      </w:pPr>
      <w:r>
        <w:t>**RSI** : Le RSI de 80,02 est en zone de surachat prononcé (&gt;70), signalant que le titre est techniquement survendu à la hausse. Cette lecture suggère une probabilité accrue de consolidation ou de correction à court terme, justifiant la décision de vente.</w:t>
      </w:r>
    </w:p>
    <w:p>
      <w:pPr>
        <w:spacing w:after="120" w:line="276" w:lineRule="auto"/>
      </w:pPr>
      <w:r>
        <w:t>**Stochastique** : Le %K et le %D sont tous deux à 100, indiquant une condition de surachat extrême. Cette configuration reflète une pression acheteuse exceptionnelle, mais historiquement, elle précède souvent un retournement, justifiant la décision de vente.</w:t>
      </w:r>
    </w:p>
    <w:p>
      <w:pPr>
        <w:spacing w:after="120" w:line="276" w:lineRule="auto"/>
      </w:pPr>
      <w:r>
        <w:t>**Conclusion technique** : Les indicateurs de tendance (MM, MACD) confirment une dynamique haussière robuste, mais les oscillateurs (RSI, Stochastique, Bollinger) signalent tous un surachat extrême. Cette divergence classique suggère qu'une consolidation est probable à court terme avant la poursuite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**Données structurées 2025** : L'exercice 2025 confirme une croissance exceptionnelle du chiffre d'affaires à 268,537 milliards FCFA (+25,3% vs 2024), mais le résultat net recule à 36,158 milliards FCFA (-18,1%), reflétant une compression des marges. Le ROE de 79,75% et le ROA de 48,09% demeurent exceptionnels, témoignant d'une utilisation très efficace des capitaux propres et des actifs. La marge nette de 13,46% reste solide malgré la dégradation, et la structure financière est saine avec une autonomie financière de 60,3% et une solvabilité générale de 251,9%. Le BFR de 5,639 milliards FCFA est positif mais faible, et le délai clients de 42,57 jours est raisonnable. L'entreprise est quasiment sans endettement financier (1,4 million FCFA), avec une trésorerie confortable de 30,763 milliards FCFA.</w:t>
      </w:r>
    </w:p>
    <w:p>
      <w:pPr>
        <w:spacing w:after="120" w:line="276" w:lineRule="auto"/>
      </w:pPr>
      <w:r>
        <w:t>**Évolution temporelle** : Les rapports disponibles montrent une trajectoire remarquable : le CA est passé de 151,2 milliards FCFA en 2022 à 213,8 milliards en 2024, puis 268,5 milliards en 2025. Le résultat net a explosé de 11,2 milliards (2022) à 44,2 milliards (2024), avant de refluer à 36,2 milliards (2025) sous l'effet de la hausse des droits d'accises (49% à 70%) et des charges opérationnelles. Le rapport du T1 2026 (daté 2026) indique un CA de 68,8 milliards (+12%) et un résultat net de 9,3 milliards (-1%), suggérant une stabilisation. Les rapports trimestriels 2025 montrent une performance contrastée : T1 exceptionnel (+146% de résultat net), T3 soutenu par des éléments exceptionnels, T4 fortement dégradé (-74%).</w:t>
      </w:r>
    </w:p>
    <w:p>
      <w:pPr>
        <w:spacing w:after="120" w:line="276" w:lineRule="auto"/>
      </w:pPr>
      <w:r>
        <w:t>**Estimations et perspectives** : Sur la base du T1 2026, on estime que l'exercice 2026 pourrait voir un CA autour de 275-280 milliards FCFA (+3-5%) avec un résultat net stabilisé entre 36-38 milliards FCFA, à condition que la pression fiscale se normalise. La politique de dividende reste très généreuse (taux de distribution de 84,9% en 2025), soutenant l'attractivité du titre pour les investisseurs de rendement. La société conserve une position dominante avec 91,5% de parts de marché et une trésorerie abondante, mais la compression des marges et la dépendance réglementaire constituent des risques structurels.</w:t>
      </w:r>
    </w:p>
    <w:p>
      <w:pPr>
        <w:spacing w:after="120" w:line="276" w:lineRule="auto"/>
      </w:pPr>
      <w:r>
        <w:t>---</w:t>
      </w:r>
    </w:p>
    <w:p>
      <w:pPr>
        <w:spacing w:after="120" w:line="276" w:lineRule="auto"/>
      </w:pPr>
      <w:r>
        <w:t>## PARTIE 4 : CONCLUSION D'INVESTISSEMENT</w:t>
      </w:r>
    </w:p>
    <w:p>
      <w:pPr>
        <w:spacing w:after="120" w:line="276" w:lineRule="auto"/>
      </w:pPr>
      <w:r>
        <w:t>La valorisation de STBC (PER 12,4x, P/B 9,9x, EV/EBITDA 9,0x) indique un titre correctement valorisé, avec une prime significative sur la valeur comptable justifiée par une rentabilité exceptionnelle. Le comportement du cours (+16% sur 100 jours, à son plus haut) démontre une dynamique haussière soutenue, mais les statistiques révèlent une volatilité modérée (28,6%) et une asymétrie positive. Les signaux techniques sont mitigés : la tendance de fond reste haussière (MM, MACD), mais les oscillateurs en surachat extrême (RSI 80, Stochastique 100, sortie de bande de Bollinger) suggèrent un risque de correction à court terme. Les fondamentaux demeurent solides avec une croissance du CA de 25%, un ROE de 79,75% et une structure financière saine, malgré la dégradation des marges. Les prédictions IA (24 868 à 25 835 FCFA sur J+1 à J+10) confirment une poursuite de la hausse à court terme, en cohérence avec la tendance actuelle. **Recommandation finale : CONSERVER**, avec un niveau de confiance **Moyen** et un risque global **Moyen**. L'horizon d'investissement optimal est le **moyen terme (3-12 mois)**, en attendant une consolidation technique pour renforcer la position. Les investisseurs de rendement apprécieront la politique de dividende généreuse, tandis que les investisseurs en croissance surveilleront la capacité de la direction à restaurer les marges dans un environnement fiscal contraignant.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(+95% de r\u00e9sultat net) et la position dominante sur le march\u00e9 justifient un investissement. La trajectoire de croissance soutenue depuis 3 ans et les perspectives optimistes pour 2022 renforcent l'attractivit\u00e9."}</w:t>
      </w:r>
    </w:p>
    <w:p>
      <w:pPr>
        <w:spacing w:before="40"/>
        <w:ind w:left="400"/>
      </w:pPr>
      <w:r>
        <w:rPr>
          <w:sz w:val="18"/>
        </w:rPr>
        <w:t>SITAB S.A, leader du marché du tabac en Côte d'Ivoire avec 83% de part de marché, affiche des résultats exceptionnels au premier semestre 2022. Le chiffre d'affaires progresse de 10,9% à 72,7 milliards FCFA, soutenu par une croissance des volumes de 8,5%. Le résultat d'exploitation bondit de 49% à 7,2 milliards FCFA grâce à l'effet volume et à l'optimisation des charges. Le résultat net double quasiment (+95%) à 7,3 milliards FCFA, dopé par des dividendes de filiales de 1,9 milliard FCFA. La direction anticipe de bons résultats pour l'ensemble de l'exercice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'83%', 'volumes_vente': "3,234 milliards d'unités", 'capital_social': '4,49 milliards FCFA', 'resultat_financier': '1,94 milliards FCFA', 'resultat_exploitation': '7,22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7,27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72,66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Position dominante avec 83% de part de marché du tabac consolidée</w:t>
      </w:r>
    </w:p>
    <w:p>
      <w:pPr>
        <w:pStyle w:val="ListBullet"/>
        <w:spacing w:before="20" w:after="20"/>
        <w:ind w:left="700"/>
      </w:pPr>
      <w:r>
        <w:rPr>
          <w:sz w:val="18"/>
        </w:rPr>
        <w:t>Croissance soutenue des volumes de vente de 8,5% sur un an</w:t>
      </w:r>
    </w:p>
    <w:p>
      <w:pPr>
        <w:pStyle w:val="ListBullet"/>
        <w:spacing w:before="20" w:after="20"/>
        <w:ind w:left="700"/>
      </w:pPr>
      <w:r>
        <w:rPr>
          <w:sz w:val="18"/>
        </w:rPr>
        <w:t>Progression remarquable du chiffre d'affaires de 10,9% à 72,7 milliards FCFA</w:t>
      </w:r>
    </w:p>
    <w:p>
      <w:pPr>
        <w:pStyle w:val="ListBullet"/>
        <w:spacing w:before="20" w:after="20"/>
        <w:ind w:left="700"/>
      </w:pPr>
      <w:r>
        <w:rPr>
          <w:sz w:val="18"/>
        </w:rPr>
        <w:t>Explosion du résultat d'exploitation (+49%) grâce à l'optimisation des charges</w:t>
      </w:r>
    </w:p>
    <w:p>
      <w:pPr>
        <w:pStyle w:val="ListBullet"/>
        <w:spacing w:before="20" w:after="20"/>
        <w:ind w:left="700"/>
      </w:pPr>
      <w:r>
        <w:rPr>
          <w:sz w:val="18"/>
        </w:rPr>
        <w:t>Résultat financier multiplié par 96 à 1,9 milliard FCFA (dividendes de filiales)</w:t>
      </w:r>
    </w:p>
    <w:p>
      <w:pPr>
        <w:pStyle w:val="ListBullet"/>
        <w:spacing w:before="20" w:after="20"/>
        <w:ind w:left="700"/>
      </w:pPr>
      <w:r>
        <w:rPr>
          <w:sz w:val="18"/>
        </w:rPr>
        <w:t>Quasi-doublement du résultat net (+95%) à 7,3 milliards FCFA</w:t>
      </w:r>
    </w:p>
    <w:p>
      <w:pPr>
        <w:spacing w:before="40"/>
        <w:ind w:left="400"/>
      </w:pPr>
      <w:r>
        <w:rPr>
          <w:b/>
          <w:color w:val="C05000"/>
          <w:sz w:val="18"/>
        </w:rPr>
        <w:t xml:space="preserve">⚠️ Risques : </w:t>
      </w:r>
      <w:r>
        <w:rPr>
          <w:sz w:val="18"/>
        </w:rPr>
        <w:t>["Secteur du tabac soumis \u00e0 une r\u00e9glementation de plus en plus stricte", "D\u00e9pendance forte au march\u00e9 ivoirien et \u00e0 un secteur concentr\u00e9", "Comptes semestriels non audit\u00e9s par les commissaires aux comptes"]</w:t>
      </w:r>
    </w:p>
    <w:p>
      <w:pPr>
        <w:spacing w:before="40"/>
        <w:ind w:left="400"/>
      </w:pPr>
      <w:r>
        <w:rPr>
          <w:b/>
          <w:color w:val="0064A0"/>
          <w:sz w:val="18"/>
        </w:rPr>
        <w:t xml:space="preserve">🔮 Perspectives : </w:t>
      </w:r>
      <w:r>
        <w:rPr>
          <w:sz w:val="18"/>
        </w:rPr>
        <w:t>La direction se montre confiante pour la clôture 2022 sur la base des excellents résultats semestriels. La tendance de croissance soutenue des volumes et l'optimisation continue des charges laissent présager de bons résultats annuels. Le renforcement de la position de leader et l'amélioration du mix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"Soci\u00e9t\u00e9 d\u00e9fensive avec une rentabilit\u00e9 stable et une politique de dividendes attractive, id\u00e9ale pour les investisseurs recherchant des revenus r\u00e9guliers. Les fondamentaux solides et la g\u00e9n\u00e9ration de cash-flow soutiennent la valorisation actuelle."}</w:t>
      </w:r>
    </w:p>
    <w:p>
      <w:pPr>
        <w:spacing w:before="40"/>
        <w:ind w:left="400"/>
      </w:pPr>
      <w:r>
        <w:rPr>
          <w:sz w:val="18"/>
        </w:rPr>
        <w:t>SITAB (Société Ivoirienne des Tabacs) affiche une solide performance financière en 2022 avec un chiffre d'affaires de 151,2 milliards FCFA et un bénéfice net en hausse de 16% à 11,2 milliards FCFA. La société maintient une rentabilité élevée avec une marge nette de 7,4% et génère une forte capacité d'autofinancement de 11,3 milliards FCFA. Le bilan présente une structure financière saine avec des capitaux propres solides de 8,0 milliards FCFA et une trésorerie nette positive de 6,7 milliards FCFA. La société a distribué 8,6 milliards FCFA de dividendes, témoignant de sa politique de rémunération généreuse des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'14,8 milliards FCFA', 'tresorerie_nette': '6,7 milliards FCFA', 'capacite_autofinancement': '11,3 milliards FCFA', 'excedent_brut_exploitation': '12,6 milliards FCFA'}</w:t>
            </w:r>
          </w:p>
        </w:tc>
        <w:tc>
          <w:tcPr>
            <w:tcW w:type="dxa" w:w="2160"/>
          </w:tcPr>
          <w:p>
            <w:pPr>
              <w:ind w:left="100"/>
            </w:pPr>
            <w:r/>
            <w:r>
              <w:rPr>
                <w:b/>
                <w:sz w:val="16"/>
              </w:rPr>
              <w:t>dividende</w:t>
              <w:br/>
            </w:r>
            <w:r>
              <w:rPr>
                <w:sz w:val="18"/>
              </w:rPr>
              <w:t>8,6 milliards FCFA distribués</w:t>
            </w:r>
          </w:p>
        </w:tc>
        <w:tc>
          <w:tcPr>
            <w:tcW w:type="dxa" w:w="2160"/>
          </w:tcPr>
          <w:p>
            <w:pPr>
              <w:ind w:left="100"/>
            </w:pPr>
            <w:r/>
            <w:r>
              <w:rPr>
                <w:b/>
                <w:sz w:val="16"/>
              </w:rPr>
              <w:t>marge_nette</w:t>
              <w:br/>
            </w:r>
            <w:r>
              <w:rPr>
                <w:sz w:val="18"/>
              </w:rPr>
              <w:t>7,4%</w:t>
            </w:r>
          </w:p>
        </w:tc>
        <w:tc>
          <w:tcPr>
            <w:tcW w:type="dxa" w:w="2160"/>
          </w:tcPr>
          <w:p>
            <w:pPr>
              <w:ind w:left="100"/>
            </w:pPr>
            <w:r/>
            <w:r>
              <w:rPr>
                <w:b/>
                <w:sz w:val="16"/>
              </w:rPr>
              <w:t>total_actif</w:t>
              <w:br/>
            </w:r>
            <w:r>
              <w:rPr>
                <w:sz w:val="18"/>
              </w:rPr>
              <w:t>27,3 milliards FCFA</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8,0 milliards FCFA</w:t>
            </w:r>
          </w:p>
        </w:tc>
        <w:tc>
          <w:tcPr>
            <w:tcW w:type="dxa" w:w="2160"/>
          </w:tcPr>
          <w:p>
            <w:r/>
            <w:r>
              <w:rPr>
                <w:b/>
                <w:sz w:val="16"/>
              </w:rPr>
              <w:t>chiffre_affaires</w:t>
              <w:br/>
            </w:r>
            <w:r>
              <w:rPr>
                <w:sz w:val="18"/>
              </w:rPr>
              <w:t>151,2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151,2 milliards FCFA en 2022</w:t>
      </w:r>
    </w:p>
    <w:p>
      <w:pPr>
        <w:pStyle w:val="ListBullet"/>
        <w:spacing w:before="20" w:after="20"/>
        <w:ind w:left="700"/>
      </w:pPr>
      <w:r>
        <w:rPr>
          <w:sz w:val="18"/>
        </w:rPr>
        <w:t>Progression du bénéfice net de 16,1% à 11,2 milliards FCFA</w:t>
      </w:r>
    </w:p>
    <w:p>
      <w:pPr>
        <w:pStyle w:val="ListBullet"/>
        <w:spacing w:before="20" w:after="20"/>
        <w:ind w:left="700"/>
      </w:pPr>
      <w:r>
        <w:rPr>
          <w:sz w:val="18"/>
        </w:rPr>
        <w:t>Marge nette solide de 7,4% confirmant l'efficacité opérationnelle</w:t>
      </w:r>
    </w:p>
    <w:p>
      <w:pPr>
        <w:pStyle w:val="ListBullet"/>
        <w:spacing w:before="20" w:after="20"/>
        <w:ind w:left="700"/>
      </w:pPr>
      <w:r>
        <w:rPr>
          <w:sz w:val="18"/>
        </w:rPr>
        <w:t>Distribution de dividendes de 8,6 milliards FCFA maintenue au niveau élevé</w:t>
      </w:r>
    </w:p>
    <w:p>
      <w:pPr>
        <w:pStyle w:val="ListBullet"/>
        <w:spacing w:before="20" w:after="20"/>
        <w:ind w:left="700"/>
      </w:pPr>
      <w:r>
        <w:rPr>
          <w:sz w:val="18"/>
        </w:rPr>
        <w:t>Forte capacité d'autofinancement de 11,3 milliards FCFA (+13,4%)</w:t>
      </w:r>
    </w:p>
    <w:p>
      <w:pPr>
        <w:pStyle w:val="ListBullet"/>
        <w:spacing w:before="20" w:after="20"/>
        <w:ind w:left="700"/>
      </w:pPr>
      <w:r>
        <w:rPr>
          <w:sz w:val="18"/>
        </w:rPr>
        <w:t>Réduction significative du BFR de 3,8 milliards FCFA améliorant la trésorerie</w:t>
      </w:r>
    </w:p>
    <w:p>
      <w:pPr>
        <w:spacing w:before="40"/>
        <w:ind w:left="400"/>
      </w:pPr>
      <w:r>
        <w:rPr>
          <w:b/>
          <w:color w:val="C05000"/>
          <w:sz w:val="18"/>
        </w:rPr>
        <w:t xml:space="preserve">⚠️ Risques : </w:t>
      </w:r>
      <w:r>
        <w:rPr>
          <w:sz w:val="18"/>
        </w:rPr>
        <w:t>["Exposition aux r\u00e9glementations sanitaires et fiscales croissantes sur le secteur du tabac", "D\u00e9pendance aux importations de mati\u00e8res premi\u00e8res soumises aux fluctuations de change", "\u00c9volution d\u00e9favorable des habitudes de consommation et sensibilisation aux risques san</w:t>
      </w:r>
    </w:p>
    <w:p>
      <w:pPr>
        <w:spacing w:before="40"/>
        <w:ind w:left="400"/>
      </w:pPr>
      <w:r>
        <w:rPr>
          <w:b/>
          <w:color w:val="0064A0"/>
          <w:sz w:val="18"/>
        </w:rPr>
        <w:t xml:space="preserve">🔮 Perspectives : </w:t>
      </w:r>
      <w:r>
        <w:rPr>
          <w:sz w:val="18"/>
        </w:rPr>
        <w:t>SITAB devrait maintenir sa performance solide en 2023 grâce à son positionnement dominant sur le marché ivoirien et sa capacité à répercuter les hausses de coûts. La société pourrait continuer sa politique de dividendes généreuse tout en préservant ses marges opérationnelles élevées.</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187.63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9,126 titres</w:t>
            </w:r>
          </w:p>
        </w:tc>
        <w:tc>
          <w:tcPr>
            <w:tcW w:type="dxa" w:w="2268"/>
            <w:shd w:fill="FFF2CC" w:val="clear"/>
          </w:tcPr>
          <w:p>
            <w:r>
              <w:rPr>
                <w:b/>
                <w:color w:val="503200"/>
                <w:sz w:val="16"/>
              </w:rPr>
              <w:t xml:space="preserve">Cours actuel : </w:t>
            </w:r>
            <w:r>
              <w:rPr>
                <w:color w:val="000000"/>
                <w:sz w:val="17"/>
              </w:rPr>
              <w:t>2,980 FCFA</w:t>
            </w:r>
          </w:p>
          <w:p>
            <w:r>
              <w:rPr>
                <w:b/>
                <w:color w:val="503200"/>
                <w:sz w:val="16"/>
              </w:rPr>
              <w:t xml:space="preserve">Var. 100 jours : </w:t>
            </w:r>
            <w:r>
              <w:rPr>
                <w:b/>
                <w:color w:val="007800"/>
                <w:sz w:val="17"/>
              </w:rPr>
              <w:t>+4.38%</w:t>
            </w:r>
          </w:p>
          <w:p>
            <w:r>
              <w:rPr>
                <w:b/>
                <w:color w:val="503200"/>
                <w:sz w:val="16"/>
              </w:rPr>
              <w:t xml:space="preserve">Plus haut 100j : </w:t>
            </w:r>
            <w:r>
              <w:rPr>
                <w:color w:val="000000"/>
                <w:sz w:val="17"/>
              </w:rPr>
              <w:t>3,060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38.9%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3.26% (Faible) — μ=2,849 FCFA, σ=93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β=-0.0836 (Contre-cyclique) — Cov=-0.000003, Var(idx)=0.000036, ρ=-0.021,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9,126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σ_j=2.45%/j (Stable) — Vol. annualisée≈38.9%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2026-08-06</w:t>
            </w:r>
          </w:p>
        </w:tc>
        <w:tc>
          <w:tcPr>
            <w:tcW w:type="dxa" w:w="1440"/>
            <w:shd w:fill="FAFAFA" w:val="clear"/>
          </w:tcPr>
          <w:p>
            <w:r>
              <w:rPr>
                <w:sz w:val="17"/>
              </w:rPr>
              <w:t>2,812</w:t>
            </w:r>
          </w:p>
        </w:tc>
        <w:tc>
          <w:tcPr>
            <w:tcW w:type="dxa" w:w="1440"/>
            <w:shd w:fill="FAFAFA" w:val="clear"/>
          </w:tcPr>
          <w:p>
            <w:r>
              <w:rPr>
                <w:b/>
                <w:sz w:val="17"/>
              </w:rPr>
              <w:t>2,962</w:t>
            </w:r>
          </w:p>
        </w:tc>
        <w:tc>
          <w:tcPr>
            <w:tcW w:type="dxa" w:w="1440"/>
            <w:shd w:fill="FAFAFA" w:val="clear"/>
          </w:tcPr>
          <w:p>
            <w:r>
              <w:rPr>
                <w:sz w:val="17"/>
              </w:rPr>
              <w:t>3,113</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2026-08-10</w:t>
            </w:r>
          </w:p>
        </w:tc>
        <w:tc>
          <w:tcPr>
            <w:tcW w:type="dxa" w:w="1440"/>
            <w:shd w:fill="FAFAFA" w:val="clear"/>
          </w:tcPr>
          <w:p>
            <w:r>
              <w:rPr>
                <w:sz w:val="17"/>
              </w:rPr>
              <w:t>2,747</w:t>
            </w:r>
          </w:p>
        </w:tc>
        <w:tc>
          <w:tcPr>
            <w:tcW w:type="dxa" w:w="1440"/>
            <w:shd w:fill="FAFAFA" w:val="clear"/>
          </w:tcPr>
          <w:p>
            <w:r>
              <w:rPr>
                <w:b/>
                <w:sz w:val="17"/>
              </w:rPr>
              <w:t>2,959</w:t>
            </w:r>
          </w:p>
        </w:tc>
        <w:tc>
          <w:tcPr>
            <w:tcW w:type="dxa" w:w="1440"/>
            <w:shd w:fill="FAFAFA" w:val="clear"/>
          </w:tcPr>
          <w:p>
            <w:r>
              <w:rPr>
                <w:sz w:val="17"/>
              </w:rPr>
              <w:t>3,171</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2026-08-11</w:t>
            </w:r>
          </w:p>
        </w:tc>
        <w:tc>
          <w:tcPr>
            <w:tcW w:type="dxa" w:w="1440"/>
            <w:shd w:fill="FAFAFA" w:val="clear"/>
          </w:tcPr>
          <w:p>
            <w:r>
              <w:rPr>
                <w:sz w:val="17"/>
              </w:rPr>
              <w:t>2,692</w:t>
            </w:r>
          </w:p>
        </w:tc>
        <w:tc>
          <w:tcPr>
            <w:tcW w:type="dxa" w:w="1440"/>
            <w:shd w:fill="FAFAFA" w:val="clear"/>
          </w:tcPr>
          <w:p>
            <w:r>
              <w:rPr>
                <w:b/>
                <w:sz w:val="17"/>
              </w:rPr>
              <w:t>2,951</w:t>
            </w:r>
          </w:p>
        </w:tc>
        <w:tc>
          <w:tcPr>
            <w:tcW w:type="dxa" w:w="1440"/>
            <w:shd w:fill="FAFAFA" w:val="clear"/>
          </w:tcPr>
          <w:p>
            <w:r>
              <w:rPr>
                <w:sz w:val="17"/>
              </w:rPr>
              <w:t>3,211</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2026-08-12</w:t>
            </w:r>
          </w:p>
        </w:tc>
        <w:tc>
          <w:tcPr>
            <w:tcW w:type="dxa" w:w="1440"/>
            <w:shd w:fill="FAFAFA" w:val="clear"/>
          </w:tcPr>
          <w:p>
            <w:r>
              <w:rPr>
                <w:sz w:val="17"/>
              </w:rPr>
              <w:t>2,646</w:t>
            </w:r>
          </w:p>
        </w:tc>
        <w:tc>
          <w:tcPr>
            <w:tcW w:type="dxa" w:w="1440"/>
            <w:shd w:fill="FAFAFA" w:val="clear"/>
          </w:tcPr>
          <w:p>
            <w:r>
              <w:rPr>
                <w:b/>
                <w:sz w:val="17"/>
              </w:rPr>
              <w:t>2,945</w:t>
            </w:r>
          </w:p>
        </w:tc>
        <w:tc>
          <w:tcPr>
            <w:tcW w:type="dxa" w:w="1440"/>
            <w:shd w:fill="FAFAFA" w:val="clear"/>
          </w:tcPr>
          <w:p>
            <w:r>
              <w:rPr>
                <w:sz w:val="17"/>
              </w:rPr>
              <w:t>3,243</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2026-08-13</w:t>
            </w:r>
          </w:p>
        </w:tc>
        <w:tc>
          <w:tcPr>
            <w:tcW w:type="dxa" w:w="1440"/>
            <w:shd w:fill="FAFAFA" w:val="clear"/>
          </w:tcPr>
          <w:p>
            <w:r>
              <w:rPr>
                <w:sz w:val="17"/>
              </w:rPr>
              <w:t>2,605</w:t>
            </w:r>
          </w:p>
        </w:tc>
        <w:tc>
          <w:tcPr>
            <w:tcW w:type="dxa" w:w="1440"/>
            <w:shd w:fill="FAFAFA" w:val="clear"/>
          </w:tcPr>
          <w:p>
            <w:r>
              <w:rPr>
                <w:b/>
                <w:sz w:val="17"/>
              </w:rPr>
              <w:t>2,938</w:t>
            </w:r>
          </w:p>
        </w:tc>
        <w:tc>
          <w:tcPr>
            <w:tcW w:type="dxa" w:w="1440"/>
            <w:shd w:fill="FAFAFA" w:val="clear"/>
          </w:tcPr>
          <w:p>
            <w:r>
              <w:rPr>
                <w:sz w:val="17"/>
              </w:rPr>
              <w:t>3,272</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2026-08-14</w:t>
            </w:r>
          </w:p>
        </w:tc>
        <w:tc>
          <w:tcPr>
            <w:tcW w:type="dxa" w:w="1440"/>
            <w:shd w:fill="FAFAFA" w:val="clear"/>
          </w:tcPr>
          <w:p>
            <w:r>
              <w:rPr>
                <w:sz w:val="17"/>
              </w:rPr>
              <w:t>2,568</w:t>
            </w:r>
          </w:p>
        </w:tc>
        <w:tc>
          <w:tcPr>
            <w:tcW w:type="dxa" w:w="1440"/>
            <w:shd w:fill="FAFAFA" w:val="clear"/>
          </w:tcPr>
          <w:p>
            <w:r>
              <w:rPr>
                <w:b/>
                <w:sz w:val="17"/>
              </w:rPr>
              <w:t>2,933</w:t>
            </w:r>
          </w:p>
        </w:tc>
        <w:tc>
          <w:tcPr>
            <w:tcW w:type="dxa" w:w="1440"/>
            <w:shd w:fill="FAFAFA" w:val="clear"/>
          </w:tcPr>
          <w:p>
            <w:r>
              <w:rPr>
                <w:sz w:val="17"/>
              </w:rPr>
              <w:t>3,297</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2026-08-17</w:t>
            </w:r>
          </w:p>
        </w:tc>
        <w:tc>
          <w:tcPr>
            <w:tcW w:type="dxa" w:w="1440"/>
            <w:shd w:fill="FAFAFA" w:val="clear"/>
          </w:tcPr>
          <w:p>
            <w:r>
              <w:rPr>
                <w:sz w:val="17"/>
              </w:rPr>
              <w:t>2,534</w:t>
            </w:r>
          </w:p>
        </w:tc>
        <w:tc>
          <w:tcPr>
            <w:tcW w:type="dxa" w:w="1440"/>
            <w:shd w:fill="FAFAFA" w:val="clear"/>
          </w:tcPr>
          <w:p>
            <w:r>
              <w:rPr>
                <w:b/>
                <w:sz w:val="17"/>
              </w:rPr>
              <w:t>2,927</w:t>
            </w:r>
          </w:p>
        </w:tc>
        <w:tc>
          <w:tcPr>
            <w:tcW w:type="dxa" w:w="1440"/>
            <w:shd w:fill="FAFAFA" w:val="clear"/>
          </w:tcPr>
          <w:p>
            <w:r>
              <w:rPr>
                <w:sz w:val="17"/>
              </w:rPr>
              <w:t>3,320</w:t>
            </w:r>
          </w:p>
        </w:tc>
        <w:tc>
          <w:tcPr>
            <w:tcW w:type="dxa" w:w="1440"/>
            <w:shd w:fill="FAFAFA" w:val="clear"/>
          </w:tcPr>
          <w:p>
            <w:r>
              <w:rPr>
                <w:b/>
                <w:color w:val="C00000"/>
                <w:sz w:val="17"/>
              </w:rPr>
              <w:t>-1.8%</w:t>
            </w:r>
          </w:p>
        </w:tc>
      </w:tr>
      <w:tr>
        <w:tc>
          <w:tcPr>
            <w:tcW w:type="dxa" w:w="1440"/>
            <w:shd w:fill="FAFAFA" w:val="clear"/>
          </w:tcPr>
          <w:p>
            <w:r>
              <w:rPr>
                <w:sz w:val="17"/>
              </w:rPr>
              <w:t>J+8  ⭐</w:t>
            </w:r>
          </w:p>
        </w:tc>
        <w:tc>
          <w:tcPr>
            <w:tcW w:type="dxa" w:w="1440"/>
            <w:shd w:fill="FAFAFA" w:val="clear"/>
          </w:tcPr>
          <w:p>
            <w:r>
              <w:rPr>
                <w:sz w:val="17"/>
              </w:rPr>
              <w:t>2026-08-18</w:t>
            </w:r>
          </w:p>
        </w:tc>
        <w:tc>
          <w:tcPr>
            <w:tcW w:type="dxa" w:w="1440"/>
            <w:shd w:fill="FAFAFA" w:val="clear"/>
          </w:tcPr>
          <w:p>
            <w:r>
              <w:rPr>
                <w:sz w:val="17"/>
              </w:rPr>
              <w:t>2,502</w:t>
            </w:r>
          </w:p>
        </w:tc>
        <w:tc>
          <w:tcPr>
            <w:tcW w:type="dxa" w:w="1440"/>
            <w:shd w:fill="FAFAFA" w:val="clear"/>
          </w:tcPr>
          <w:p>
            <w:r>
              <w:rPr>
                <w:b/>
                <w:sz w:val="17"/>
              </w:rPr>
              <w:t>2,922</w:t>
            </w:r>
          </w:p>
        </w:tc>
        <w:tc>
          <w:tcPr>
            <w:tcW w:type="dxa" w:w="1440"/>
            <w:shd w:fill="FAFAFA" w:val="clear"/>
          </w:tcPr>
          <w:p>
            <w:r>
              <w:rPr>
                <w:sz w:val="17"/>
              </w:rPr>
              <w:t>3,341</w:t>
            </w:r>
          </w:p>
        </w:tc>
        <w:tc>
          <w:tcPr>
            <w:tcW w:type="dxa" w:w="1440"/>
            <w:shd w:fill="FAFAFA"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2,472</w:t>
            </w:r>
          </w:p>
        </w:tc>
        <w:tc>
          <w:tcPr>
            <w:tcW w:type="dxa" w:w="1440"/>
            <w:shd w:fill="FFDCE0" w:val="clear"/>
          </w:tcPr>
          <w:p>
            <w:r>
              <w:rPr>
                <w:b/>
                <w:sz w:val="17"/>
              </w:rPr>
              <w:t>2,916</w:t>
            </w:r>
          </w:p>
        </w:tc>
        <w:tc>
          <w:tcPr>
            <w:tcW w:type="dxa" w:w="1440"/>
            <w:shd w:fill="FFDCE0" w:val="clear"/>
          </w:tcPr>
          <w:p>
            <w:r>
              <w:rPr>
                <w:sz w:val="17"/>
              </w:rPr>
              <w:t>3,360</w:t>
            </w:r>
          </w:p>
        </w:tc>
        <w:tc>
          <w:tcPr>
            <w:tcW w:type="dxa" w:w="1440"/>
            <w:shd w:fill="FFDCE0" w:val="clear"/>
          </w:tcPr>
          <w:p>
            <w:r>
              <w:rPr>
                <w:b/>
                <w:color w:val="C00000"/>
                <w:sz w:val="17"/>
              </w:rPr>
              <w:t>-2.1%</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2,444</w:t>
            </w:r>
          </w:p>
        </w:tc>
        <w:tc>
          <w:tcPr>
            <w:tcW w:type="dxa" w:w="1440"/>
            <w:shd w:fill="FFDCE0" w:val="clear"/>
          </w:tcPr>
          <w:p>
            <w:r>
              <w:rPr>
                <w:b/>
                <w:sz w:val="17"/>
              </w:rPr>
              <w:t>2,911</w:t>
            </w:r>
          </w:p>
        </w:tc>
        <w:tc>
          <w:tcPr>
            <w:tcW w:type="dxa" w:w="1440"/>
            <w:shd w:fill="FFDCE0" w:val="clear"/>
          </w:tcPr>
          <w:p>
            <w:r>
              <w:rPr>
                <w:sz w:val="17"/>
              </w:rPr>
              <w:t>3,378</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TTLC s'établit à 187,63 milliards FCFA, ce qui positionne le titre parmi les valeurs moyennes à grandes capitalisations de la BRVM, lui conférant une liquidité et une visibilité notables. Avec un BPA de 144 FCFA, chaque action génère un bénéfice modeste, ce qui explique un PER de 20,6x, nettement supérieur à la moyenne historique de la BRVM (8-12x). Ce niveau de valorisation traduit des anticipations de croissance élevées, mais expose également le titre à un risque de correction si les résultats déçoivent. Le P/B de 5,18x confirme cette prime substantielle par rapport aux capitaux propres comptables, indiquant que le marché valorise fortement les actifs immatériels et la marque. Enfin, l'EV/EBITDA de 10,8x, bien que dans la fourchette haute, reste plus mesuré et suggère que la capacité opérationnelle de l'entreprise justifie en partie cette valorisation exigeante.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TTLC affiche une progression de +4,38%, avec une accélération notable lors de la dernière séance (+2,58%), portant le cours à 2 980 FCFA. Le titre a évolué dans un range de 2 650 à 3 060 FCFA, démontrant une tendance globalement haussière malgré quelques phases de consolidation. La moyenne (2 849 FCFA) et la médiane (2 855 FCFA) sont très proches, indiquant une distribution symétrique des prix, confirmée par un skewness de -0,166. L'écart-type de 93 FCFA, avec un coefficient de variation de seulement 3,3%, révèle une dispersion très faible autour de la moyenne, signe d'une stabilité relative du cours. Le kurtosis de -0,638 (mésokurtique) suggère l'absence de mouvements extrêmes ou de pics de volatilité, ce qui est cohérent avec une distribution proche de la normale. Cependant, la volatilité annualisée de 38,9% est élevée, indiquant que malgré une stabilité à court terme, le titre peut connaître des fluctuations significatives sur des périodes plus longues.</w:t>
      </w:r>
    </w:p>
    <w:p>
      <w:pPr>
        <w:spacing w:after="120" w:line="276" w:lineRule="auto" w:before="240"/>
      </w:pPr>
      <w:r>
        <w:rPr>
          <w:b/>
          <w:color w:val="003366"/>
          <w:sz w:val="24"/>
        </w:rPr>
        <w:t>**PARTIE 2 : ANALYSE TECHNIQUE DÉTAILLÉE**</w:t>
      </w:r>
    </w:p>
    <w:p>
      <w:pPr>
        <w:spacing w:after="120" w:line="276" w:lineRule="auto"/>
      </w:pPr>
      <w:r>
        <w:t>**Moyennes Mobiles** : Les MM20 (2 928 FCFA) et MM50 (2 894,6 FCFA) sont toutes deux inférieures au cours actuel de 2 980 FCFA, confirmant une tendance haussière de moyen terme. Le croisement des moyennes mobiles, avec la MM20 au-dessus de la MM50, renforce le signal d'achat, indiquant que la dynamique positive est soutenue par les volumes et la participation des investisseurs.</w:t>
      </w:r>
    </w:p>
    <w:p>
      <w:pPr>
        <w:spacing w:after="120" w:line="276" w:lineRule="auto"/>
      </w:pPr>
      <w:r>
        <w:t>**Bandes de Bollinger** : Le cours se situe à 2 980 FCFA, entre la borne supérieure (3 073,4 FCFA) et la borne inférieure (2 782,6 FCFA), mais plus proche de la borne supérieure, ce qui suggère une pression acheteuse persistante. La largeur des bandes indique une volatilité modérée, et la position du prix dans la moitié supérieure de l'enveloppe justifie une décision neutre, le titre n'étant pas encore en zone de surachat extrême.</w:t>
      </w:r>
    </w:p>
    <w:p>
      <w:pPr>
        <w:spacing w:after="120" w:line="276" w:lineRule="auto"/>
      </w:pPr>
      <w:r>
        <w:t>**MACD** : Le MACD (18,407) est légèrement inférieur à son signal (18,923), indiquant un momentum baissier à très court terme malgré la tendance haussière de fond. Cette divergence suggère une possible consolidation ou un léger repli avant la poursuite de la tendance, d'où la décision de vente, qui doit être interprétée comme un signal de prudence à court terme.</w:t>
      </w:r>
    </w:p>
    <w:p>
      <w:pPr>
        <w:spacing w:after="120" w:line="276" w:lineRule="auto"/>
      </w:pPr>
      <w:r>
        <w:t>**RSI** : À 55,128, le RSI se situe dans la zone neutre (30-70), indiquant un équilibre entre les forces acheteuses et vendeuses. Cette valeur ne montre ni surachat ni survente, laissant une marge de manœuvre pour une évolution dans les deux sens, ce qui justifie une décision neutre.</w:t>
      </w:r>
    </w:p>
    <w:p>
      <w:pPr>
        <w:spacing w:after="120" w:line="276" w:lineRule="auto"/>
      </w:pPr>
      <w:r>
        <w:t>**Stochastique** : Le %K (91,304) est nettement supérieur au %D (81,884), mais les deux valeurs sont en zone de surachat (&gt;80), signalant une possible correction à venir. Le croisement potentiel du %K sous le %D renforcerait ce signal de vente, indiquant que le titre pourrait être temporairement surévalué à court terme.</w:t>
      </w:r>
    </w:p>
    <w:p>
      <w:pPr>
        <w:spacing w:after="120" w:line="276" w:lineRule="auto"/>
      </w:pPr>
      <w:r>
        <w:t>**Conclusion technique** : La convergence des indicateurs est mitigée : les moyennes mobiles sont haussières, mais le MACD et le stochastique suggèrent un essoufflement à court terme. Le RSI neutre et les bandes de Bollinger indiquent une stabilité relative. Globalement, la tendance de fond reste positive, mais un repli technique est probable avant une reprise de la hausse.</w:t>
      </w:r>
    </w:p>
    <w:p>
      <w:pPr>
        <w:spacing w:after="120" w:line="276" w:lineRule="auto" w:before="240"/>
      </w:pPr>
      <w:r>
        <w:rPr>
          <w:b/>
          <w:color w:val="003366"/>
          <w:sz w:val="24"/>
        </w:rPr>
        <w:t>**PARTIE 3 : ANALYSE FONDAMENTALE (SECTION CRITIQUE)**</w:t>
      </w:r>
    </w:p>
    <w:p>
      <w:pPr>
        <w:spacing w:after="120" w:line="276" w:lineRule="auto"/>
      </w:pPr>
      <w:r>
        <w:t>En 2025, TTLC a réalisé un chiffre d'affaires de 588,709 milliards FCFA, en baisse de 5,2% par rapport à 2024 (621,042 milliards FCFA), mais avec une amélioration de la valeur ajoutée (+7%) et de l'EBE (+12%), démontrant une meilleure maîtrise des coûts. Le résultat net s'établit à 9,087 milliards FCFA, en léger repli de 3%, avec une marge nette stable à 1,54%. La rentabilité des fonds propres (ROE) est excellente à 25,1%, tandis que le ROA atteint 4,82%, reflétant une utilisation efficace des actifs. Le BFR négatif de -9,662 milliards FCFA est un signe favorable, indiquant que l'entreprise finance son cycle d'exploitation par ses fournisseurs (délai fournisseurs de 49,72 jours). Cependant, la trésorerie nette est fortement négative (-21,926 milliards FCFA), et le ratio d'endettement de 90,2% soulève des inquiétudes sur la solidité financière. Les rapports trimestriels 2025 confirment une tendance difficile : au T1, le CA a baissé de 5,8%, et au S1, le résultat net a chuté de 25,5% à 4,79 milliards FCFA, en raison d'une charge fiscale anticipée plus lourde. Le T3 2025 montre une amélioration, mais le résultat net cumulé reste en baisse de 30,2% à 6,52 milliards FCFA. En revanche, le rapport T1 2026 (publié en 2026) indique une reprise avec un CA de 154,392 milliards FCFA (+4,3%) et un résultat net de 2,329 milliards FCFA (+5,5%), suggérant une stabilisation. La politique de dividende reste généreuse avec un taux de distribution de 110% en 2025, mais cela pèse sur la trésorerie. En conclusion, TTLC affiche une solidité opérationnelle, mais une fragilité financière due à l'endettement et à la dégradation de la trésorerie.</w:t>
      </w:r>
    </w:p>
    <w:p>
      <w:pPr>
        <w:spacing w:after="120" w:line="276" w:lineRule="auto" w:before="240"/>
      </w:pPr>
      <w:r>
        <w:rPr>
          <w:b/>
          <w:color w:val="003366"/>
          <w:sz w:val="24"/>
        </w:rPr>
        <w:t>**PARTIE 4 : CONCLUSION D'INVESTISSEMENT**</w:t>
      </w:r>
    </w:p>
    <w:p>
      <w:pPr>
        <w:spacing w:after="120" w:line="276" w:lineRule="auto"/>
      </w:pPr>
      <w:r>
        <w:t>La valorisation de TTLC est exigeante avec un PER de 20,6x et un P/B de 5,18x, nettement supérieurs aux moyennes de la BRVM, indiquant une surévaluation relative malgré un EV/EBITDA plus mesuré. Le comportement du cours sur 100 jours est positif (+4,38%) avec une volatilité annualisée élevée (38,9%), mais les statistiques montrent une distribution stable et symétrique, sans risque de pics extrêmes. Les signaux techniques sont mitigés : les moyennes mobiles sont haussières, mais le MACD et le stochastique suggèrent un repli à court terme, tandis que le RSI reste neutre. Sur le plan fondamental, l'entreprise affiche une bonne rentabilité opérationnelle (ROE de 25,1%) et un BFR négatif favorable, mais la baisse du CA en 2025, l'endettement élevé et la trésorerie négative constituent des risques majeurs. Les prédictions IA pour les 10 prochains jours (2 962 à 2 938 FCFA) confirment une légère correction, en ligne avec les signaux techniques de vente à court terme. En synthèse, la convergence entre une valorisation élevée, des signaux techniques de consolidation et des fondamentaux en amélioration progressive suggère une position prudente. La recommandation finale est **CONSERVER**, avec un niveau de confiance **Moyen**, un risque global **Élevé**, et un horizon d'investissement de **moyen terme (3-12 mois)** pour observer l'impact des investissements stratégiques et la reprise des résultats.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croissance solide du CA et des b\u00e9n\u00e9fices malgr\u00e9 un contexte difficile. Cependant, l'exposition aux variations des cours p\u00e9troliers et l'environnement g\u00e9opolitique incertain justifient une prudence."}</w:t>
      </w:r>
    </w:p>
    <w:p>
      <w:pPr>
        <w:spacing w:before="40"/>
        <w:ind w:left="400"/>
      </w:pPr>
      <w:r>
        <w:rPr>
          <w:sz w:val="18"/>
        </w:rPr>
        <w:t>TotalEnergies Marketing Côte d'Ivoire affiche une performance solide au 3ème trimestre 2022 avec un chiffre d'affaires en hausse de 14,4% à 419,384 milliards FCFA. Le résultat net progresse de 5,9% à 9,149 milliards FCFA malgré un environnement économique tendu lié à la guerre en Ukraine. La hausse des prix des produits pétroliers a soutenu les revenus tandis que la bonne performance commerciale a compensé la réduction des ventes spots. L'évolution des cours mondiaux du pétrole a eu un impact mitigé avec un effet favorable sur le premier semestre et défavorable sur le troisième trimestre. La société démontre une résilience remarquable dans un contexte géopolitique et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'14,4%', 'capital_social': '3,148 milliards FCFA', 'croissance_resultat_net': '5,9%', 'resultat_activites_ordinaires': '11,971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9,149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419,384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14,4% à 419,384 milliards FCFA</w:t>
      </w:r>
    </w:p>
    <w:p>
      <w:pPr>
        <w:pStyle w:val="ListBullet"/>
        <w:spacing w:before="20" w:after="20"/>
        <w:ind w:left="700"/>
      </w:pPr>
      <w:r>
        <w:rPr>
          <w:sz w:val="18"/>
        </w:rPr>
        <w:t>Résultat net en progression de 5,9% à 9,149 milliards FCFA</w:t>
      </w:r>
    </w:p>
    <w:p>
      <w:pPr>
        <w:pStyle w:val="ListBullet"/>
        <w:spacing w:before="20" w:after="20"/>
        <w:ind w:left="700"/>
      </w:pPr>
      <w:r>
        <w:rPr>
          <w:sz w:val="18"/>
        </w:rPr>
        <w:t>Hausse des prix des produits pétroliers favorisant la croissance du CA</w:t>
      </w:r>
    </w:p>
    <w:p>
      <w:pPr>
        <w:pStyle w:val="ListBullet"/>
        <w:spacing w:before="20" w:after="20"/>
        <w:ind w:left="700"/>
      </w:pPr>
      <w:r>
        <w:rPr>
          <w:sz w:val="18"/>
        </w:rPr>
        <w:t>Bonne performance commerciale malgré la réduction des ventes spots</w:t>
      </w:r>
    </w:p>
    <w:p>
      <w:pPr>
        <w:pStyle w:val="ListBullet"/>
        <w:spacing w:before="20" w:after="20"/>
        <w:ind w:left="700"/>
      </w:pPr>
      <w:r>
        <w:rPr>
          <w:sz w:val="18"/>
        </w:rPr>
        <w:t>Impact négatif de la guerre en Ukraine sur l'environnement économique</w:t>
      </w:r>
    </w:p>
    <w:p>
      <w:pPr>
        <w:pStyle w:val="ListBullet"/>
        <w:spacing w:before="20" w:after="20"/>
        <w:ind w:left="700"/>
      </w:pPr>
      <w:r>
        <w:rPr>
          <w:sz w:val="18"/>
        </w:rPr>
        <w:t>Effet défavorable des cours pétroliers mondiaux sur le 3ème trimestre</w:t>
      </w:r>
    </w:p>
    <w:p>
      <w:pPr>
        <w:spacing w:before="40"/>
        <w:ind w:left="400"/>
      </w:pPr>
      <w:r>
        <w:rPr>
          <w:b/>
          <w:color w:val="C05000"/>
          <w:sz w:val="18"/>
        </w:rPr>
        <w:t xml:space="preserve">⚠️ Risques : </w:t>
      </w:r>
      <w:r>
        <w:rPr>
          <w:sz w:val="18"/>
        </w:rPr>
        <w:t>["Volatilit\u00e9 des cours mondiaux du p\u00e9trole impactant directement les r\u00e9sultats", "Environnement \u00e9conomique tendu li\u00e9 aux cons\u00e9quences de la guerre en Ukraine", "D\u00e9pendance aux prix des produits p\u00e9troliers pour la croissance du chiffre d'affaires"]</w:t>
      </w:r>
    </w:p>
    <w:p>
      <w:pPr>
        <w:spacing w:before="40"/>
        <w:ind w:left="400"/>
      </w:pPr>
      <w:r>
        <w:rPr>
          <w:b/>
          <w:color w:val="0064A0"/>
          <w:sz w:val="18"/>
        </w:rPr>
        <w:t xml:space="preserve">🔮 Perspectives : </w:t>
      </w:r>
      <w:r>
        <w:rPr>
          <w:sz w:val="18"/>
        </w:rPr>
        <w:t>Les perspectives dépendront largement de l'évolution des cours pétroliers et de la stabilisation de l'environnement géopolitique mondial. La capacité de la société à maintenir sa performance commerciale et à gérer l'impact des fluctuations des prix sera déterminante pour 2023.</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118.26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2,848 titres</w:t>
            </w:r>
          </w:p>
        </w:tc>
        <w:tc>
          <w:tcPr>
            <w:tcW w:type="dxa" w:w="2268"/>
            <w:shd w:fill="FFF2CC" w:val="clear"/>
          </w:tcPr>
          <w:p>
            <w:r>
              <w:rPr>
                <w:b/>
                <w:color w:val="503200"/>
                <w:sz w:val="16"/>
              </w:rPr>
              <w:t xml:space="preserve">Cours actuel : </w:t>
            </w:r>
            <w:r>
              <w:rPr>
                <w:color w:val="000000"/>
                <w:sz w:val="17"/>
              </w:rPr>
              <w:t>3,630 FCFA</w:t>
            </w:r>
          </w:p>
          <w:p>
            <w:r>
              <w:rPr>
                <w:b/>
                <w:color w:val="503200"/>
                <w:sz w:val="16"/>
              </w:rPr>
              <w:t xml:space="preserve">Var. 100 jours : </w:t>
            </w:r>
            <w:r>
              <w:rPr>
                <w:b/>
                <w:color w:val="007800"/>
                <w:sz w:val="17"/>
              </w:rPr>
              <w:t>+10.67%</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50.2%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10.78% (Moyenne) — μ=3,430 FCFA, σ=370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β=1.2238 (Agressif) — Cov=0.000044, Var(idx)=0.000036, ρ=0.233,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2,848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2026-08-06</w:t>
            </w:r>
          </w:p>
        </w:tc>
        <w:tc>
          <w:tcPr>
            <w:tcW w:type="dxa" w:w="1440"/>
            <w:shd w:fill="FFDCE0" w:val="clear"/>
          </w:tcPr>
          <w:p>
            <w:r>
              <w:rPr>
                <w:sz w:val="17"/>
              </w:rPr>
              <w:t>3,288</w:t>
            </w:r>
          </w:p>
        </w:tc>
        <w:tc>
          <w:tcPr>
            <w:tcW w:type="dxa" w:w="1440"/>
            <w:shd w:fill="FFDCE0" w:val="clear"/>
          </w:tcPr>
          <w:p>
            <w:r>
              <w:rPr>
                <w:b/>
                <w:sz w:val="17"/>
              </w:rPr>
              <w:t>3,498</w:t>
            </w:r>
          </w:p>
        </w:tc>
        <w:tc>
          <w:tcPr>
            <w:tcW w:type="dxa" w:w="1440"/>
            <w:shd w:fill="FFDCE0" w:val="clear"/>
          </w:tcPr>
          <w:p>
            <w:r>
              <w:rPr>
                <w:sz w:val="17"/>
              </w:rPr>
              <w:t>3,707</w:t>
            </w:r>
          </w:p>
        </w:tc>
        <w:tc>
          <w:tcPr>
            <w:tcW w:type="dxa" w:w="1440"/>
            <w:shd w:fill="FFDCE0" w:val="clear"/>
          </w:tcPr>
          <w:p>
            <w:r>
              <w:rPr>
                <w:b/>
                <w:color w:val="C00000"/>
                <w:sz w:val="17"/>
              </w:rPr>
              <w:t>-3.6%</w:t>
            </w:r>
          </w:p>
        </w:tc>
      </w:tr>
      <w:tr>
        <w:tc>
          <w:tcPr>
            <w:tcW w:type="dxa" w:w="1440"/>
            <w:shd w:fill="FFDCE0" w:val="clear"/>
          </w:tcPr>
          <w:p>
            <w:r>
              <w:rPr>
                <w:sz w:val="17"/>
              </w:rPr>
              <w:t>J+2  ⭐</w:t>
            </w:r>
          </w:p>
        </w:tc>
        <w:tc>
          <w:tcPr>
            <w:tcW w:type="dxa" w:w="1440"/>
            <w:shd w:fill="FFDCE0" w:val="clear"/>
          </w:tcPr>
          <w:p>
            <w:r>
              <w:rPr>
                <w:sz w:val="17"/>
              </w:rPr>
              <w:t>2026-08-10</w:t>
            </w:r>
          </w:p>
        </w:tc>
        <w:tc>
          <w:tcPr>
            <w:tcW w:type="dxa" w:w="1440"/>
            <w:shd w:fill="FFDCE0" w:val="clear"/>
          </w:tcPr>
          <w:p>
            <w:r>
              <w:rPr>
                <w:sz w:val="17"/>
              </w:rPr>
              <w:t>3,157</w:t>
            </w:r>
          </w:p>
        </w:tc>
        <w:tc>
          <w:tcPr>
            <w:tcW w:type="dxa" w:w="1440"/>
            <w:shd w:fill="FFDCE0" w:val="clear"/>
          </w:tcPr>
          <w:p>
            <w:r>
              <w:rPr>
                <w:b/>
                <w:sz w:val="17"/>
              </w:rPr>
              <w:t>3,449</w:t>
            </w:r>
          </w:p>
        </w:tc>
        <w:tc>
          <w:tcPr>
            <w:tcW w:type="dxa" w:w="1440"/>
            <w:shd w:fill="FFDCE0" w:val="clear"/>
          </w:tcPr>
          <w:p>
            <w:r>
              <w:rPr>
                <w:sz w:val="17"/>
              </w:rPr>
              <w:t>3,741</w:t>
            </w:r>
          </w:p>
        </w:tc>
        <w:tc>
          <w:tcPr>
            <w:tcW w:type="dxa" w:w="1440"/>
            <w:shd w:fill="FFDCE0" w:val="clear"/>
          </w:tcPr>
          <w:p>
            <w:r>
              <w:rPr>
                <w:b/>
                <w:color w:val="C00000"/>
                <w:sz w:val="17"/>
              </w:rPr>
              <w:t>-5.0%</w:t>
            </w:r>
          </w:p>
        </w:tc>
      </w:tr>
      <w:tr>
        <w:tc>
          <w:tcPr>
            <w:tcW w:type="dxa" w:w="1440"/>
            <w:shd w:fill="FFDCE0" w:val="clear"/>
          </w:tcPr>
          <w:p>
            <w:r>
              <w:rPr>
                <w:sz w:val="17"/>
              </w:rPr>
              <w:t>J+3  ⭐</w:t>
            </w:r>
          </w:p>
        </w:tc>
        <w:tc>
          <w:tcPr>
            <w:tcW w:type="dxa" w:w="1440"/>
            <w:shd w:fill="FFDCE0" w:val="clear"/>
          </w:tcPr>
          <w:p>
            <w:r>
              <w:rPr>
                <w:sz w:val="17"/>
              </w:rPr>
              <w:t>2026-08-11</w:t>
            </w:r>
          </w:p>
        </w:tc>
        <w:tc>
          <w:tcPr>
            <w:tcW w:type="dxa" w:w="1440"/>
            <w:shd w:fill="FFDCE0" w:val="clear"/>
          </w:tcPr>
          <w:p>
            <w:r>
              <w:rPr>
                <w:sz w:val="17"/>
              </w:rPr>
              <w:t>3,051</w:t>
            </w:r>
          </w:p>
        </w:tc>
        <w:tc>
          <w:tcPr>
            <w:tcW w:type="dxa" w:w="1440"/>
            <w:shd w:fill="FFDCE0" w:val="clear"/>
          </w:tcPr>
          <w:p>
            <w:r>
              <w:rPr>
                <w:b/>
                <w:sz w:val="17"/>
              </w:rPr>
              <w:t>3,404</w:t>
            </w:r>
          </w:p>
        </w:tc>
        <w:tc>
          <w:tcPr>
            <w:tcW w:type="dxa" w:w="1440"/>
            <w:shd w:fill="FFDCE0" w:val="clear"/>
          </w:tcPr>
          <w:p>
            <w:r>
              <w:rPr>
                <w:sz w:val="17"/>
              </w:rPr>
              <w:t>3,757</w:t>
            </w:r>
          </w:p>
        </w:tc>
        <w:tc>
          <w:tcPr>
            <w:tcW w:type="dxa" w:w="1440"/>
            <w:shd w:fill="FFDCE0" w:val="clear"/>
          </w:tcPr>
          <w:p>
            <w:r>
              <w:rPr>
                <w:b/>
                <w:color w:val="C00000"/>
                <w:sz w:val="17"/>
              </w:rPr>
              <w:t>-6.2%</w:t>
            </w:r>
          </w:p>
        </w:tc>
      </w:tr>
      <w:tr>
        <w:tc>
          <w:tcPr>
            <w:tcW w:type="dxa" w:w="1440"/>
            <w:shd w:fill="FFDCE0" w:val="clear"/>
          </w:tcPr>
          <w:p>
            <w:r>
              <w:rPr>
                <w:sz w:val="17"/>
              </w:rPr>
              <w:t>J+4  ⭐</w:t>
            </w:r>
          </w:p>
        </w:tc>
        <w:tc>
          <w:tcPr>
            <w:tcW w:type="dxa" w:w="1440"/>
            <w:shd w:fill="FFDCE0" w:val="clear"/>
          </w:tcPr>
          <w:p>
            <w:r>
              <w:rPr>
                <w:sz w:val="17"/>
              </w:rPr>
              <w:t>2026-08-12</w:t>
            </w:r>
          </w:p>
        </w:tc>
        <w:tc>
          <w:tcPr>
            <w:tcW w:type="dxa" w:w="1440"/>
            <w:shd w:fill="FFDCE0" w:val="clear"/>
          </w:tcPr>
          <w:p>
            <w:r>
              <w:rPr>
                <w:sz w:val="17"/>
              </w:rPr>
              <w:t>2,961</w:t>
            </w:r>
          </w:p>
        </w:tc>
        <w:tc>
          <w:tcPr>
            <w:tcW w:type="dxa" w:w="1440"/>
            <w:shd w:fill="FFDCE0" w:val="clear"/>
          </w:tcPr>
          <w:p>
            <w:r>
              <w:rPr>
                <w:b/>
                <w:sz w:val="17"/>
              </w:rPr>
              <w:t>3,364</w:t>
            </w:r>
          </w:p>
        </w:tc>
        <w:tc>
          <w:tcPr>
            <w:tcW w:type="dxa" w:w="1440"/>
            <w:shd w:fill="FFDCE0" w:val="clear"/>
          </w:tcPr>
          <w:p>
            <w:r>
              <w:rPr>
                <w:sz w:val="17"/>
              </w:rPr>
              <w:t>3,767</w:t>
            </w:r>
          </w:p>
        </w:tc>
        <w:tc>
          <w:tcPr>
            <w:tcW w:type="dxa" w:w="1440"/>
            <w:shd w:fill="FFDCE0" w:val="clear"/>
          </w:tcPr>
          <w:p>
            <w:r>
              <w:rPr>
                <w:b/>
                <w:color w:val="C00000"/>
                <w:sz w:val="17"/>
              </w:rPr>
              <w:t>-7.3%</w:t>
            </w:r>
          </w:p>
        </w:tc>
      </w:tr>
      <w:tr>
        <w:tc>
          <w:tcPr>
            <w:tcW w:type="dxa" w:w="1440"/>
            <w:shd w:fill="FFDCE0" w:val="clear"/>
          </w:tcPr>
          <w:p>
            <w:r>
              <w:rPr>
                <w:sz w:val="17"/>
              </w:rPr>
              <w:t>J+5  ⭐</w:t>
            </w:r>
          </w:p>
        </w:tc>
        <w:tc>
          <w:tcPr>
            <w:tcW w:type="dxa" w:w="1440"/>
            <w:shd w:fill="FFDCE0" w:val="clear"/>
          </w:tcPr>
          <w:p>
            <w:r>
              <w:rPr>
                <w:sz w:val="17"/>
              </w:rPr>
              <w:t>2026-08-13</w:t>
            </w:r>
          </w:p>
        </w:tc>
        <w:tc>
          <w:tcPr>
            <w:tcW w:type="dxa" w:w="1440"/>
            <w:shd w:fill="FFDCE0" w:val="clear"/>
          </w:tcPr>
          <w:p>
            <w:r>
              <w:rPr>
                <w:sz w:val="17"/>
              </w:rPr>
              <w:t>2,883</w:t>
            </w:r>
          </w:p>
        </w:tc>
        <w:tc>
          <w:tcPr>
            <w:tcW w:type="dxa" w:w="1440"/>
            <w:shd w:fill="FFDCE0" w:val="clear"/>
          </w:tcPr>
          <w:p>
            <w:r>
              <w:rPr>
                <w:b/>
                <w:sz w:val="17"/>
              </w:rPr>
              <w:t>3,329</w:t>
            </w:r>
          </w:p>
        </w:tc>
        <w:tc>
          <w:tcPr>
            <w:tcW w:type="dxa" w:w="1440"/>
            <w:shd w:fill="FFDCE0" w:val="clear"/>
          </w:tcPr>
          <w:p>
            <w:r>
              <w:rPr>
                <w:sz w:val="17"/>
              </w:rPr>
              <w:t>3,774</w:t>
            </w:r>
          </w:p>
        </w:tc>
        <w:tc>
          <w:tcPr>
            <w:tcW w:type="dxa" w:w="1440"/>
            <w:shd w:fill="FFDCE0" w:val="clear"/>
          </w:tcPr>
          <w:p>
            <w:r>
              <w:rPr>
                <w:b/>
                <w:color w:val="C00000"/>
                <w:sz w:val="17"/>
              </w:rPr>
              <w:t>-8.3%</w:t>
            </w:r>
          </w:p>
        </w:tc>
      </w:tr>
      <w:tr>
        <w:tc>
          <w:tcPr>
            <w:tcW w:type="dxa" w:w="1440"/>
            <w:shd w:fill="FFDCE0" w:val="clear"/>
          </w:tcPr>
          <w:p>
            <w:r>
              <w:rPr>
                <w:sz w:val="17"/>
              </w:rPr>
              <w:t>J+6  ⭐</w:t>
            </w:r>
          </w:p>
        </w:tc>
        <w:tc>
          <w:tcPr>
            <w:tcW w:type="dxa" w:w="1440"/>
            <w:shd w:fill="FFDCE0" w:val="clear"/>
          </w:tcPr>
          <w:p>
            <w:r>
              <w:rPr>
                <w:sz w:val="17"/>
              </w:rPr>
              <w:t>2026-08-14</w:t>
            </w:r>
          </w:p>
        </w:tc>
        <w:tc>
          <w:tcPr>
            <w:tcW w:type="dxa" w:w="1440"/>
            <w:shd w:fill="FFDCE0" w:val="clear"/>
          </w:tcPr>
          <w:p>
            <w:r>
              <w:rPr>
                <w:sz w:val="17"/>
              </w:rPr>
              <w:t>2,812</w:t>
            </w:r>
          </w:p>
        </w:tc>
        <w:tc>
          <w:tcPr>
            <w:tcW w:type="dxa" w:w="1440"/>
            <w:shd w:fill="FFDCE0" w:val="clear"/>
          </w:tcPr>
          <w:p>
            <w:r>
              <w:rPr>
                <w:b/>
                <w:sz w:val="17"/>
              </w:rPr>
              <w:t>3,295</w:t>
            </w:r>
          </w:p>
        </w:tc>
        <w:tc>
          <w:tcPr>
            <w:tcW w:type="dxa" w:w="1440"/>
            <w:shd w:fill="FFDCE0" w:val="clear"/>
          </w:tcPr>
          <w:p>
            <w:r>
              <w:rPr>
                <w:sz w:val="17"/>
              </w:rPr>
              <w:t>3,779</w:t>
            </w:r>
          </w:p>
        </w:tc>
        <w:tc>
          <w:tcPr>
            <w:tcW w:type="dxa" w:w="1440"/>
            <w:shd w:fill="FFDCE0" w:val="clear"/>
          </w:tcPr>
          <w:p>
            <w:r>
              <w:rPr>
                <w:b/>
                <w:color w:val="C00000"/>
                <w:sz w:val="17"/>
              </w:rPr>
              <w:t>-9.2%</w:t>
            </w:r>
          </w:p>
        </w:tc>
      </w:tr>
      <w:tr>
        <w:tc>
          <w:tcPr>
            <w:tcW w:type="dxa" w:w="1440"/>
            <w:shd w:fill="FFDCE0" w:val="clear"/>
          </w:tcPr>
          <w:p>
            <w:r>
              <w:rPr>
                <w:sz w:val="17"/>
              </w:rPr>
              <w:t>J+7  ⭐</w:t>
            </w:r>
          </w:p>
        </w:tc>
        <w:tc>
          <w:tcPr>
            <w:tcW w:type="dxa" w:w="1440"/>
            <w:shd w:fill="FFDCE0" w:val="clear"/>
          </w:tcPr>
          <w:p>
            <w:r>
              <w:rPr>
                <w:sz w:val="17"/>
              </w:rPr>
              <w:t>2026-08-17</w:t>
            </w:r>
          </w:p>
        </w:tc>
        <w:tc>
          <w:tcPr>
            <w:tcW w:type="dxa" w:w="1440"/>
            <w:shd w:fill="FFDCE0" w:val="clear"/>
          </w:tcPr>
          <w:p>
            <w:r>
              <w:rPr>
                <w:sz w:val="17"/>
              </w:rPr>
              <w:t>2,747</w:t>
            </w:r>
          </w:p>
        </w:tc>
        <w:tc>
          <w:tcPr>
            <w:tcW w:type="dxa" w:w="1440"/>
            <w:shd w:fill="FFDCE0" w:val="clear"/>
          </w:tcPr>
          <w:p>
            <w:r>
              <w:rPr>
                <w:b/>
                <w:sz w:val="17"/>
              </w:rPr>
              <w:t>3,264</w:t>
            </w:r>
          </w:p>
        </w:tc>
        <w:tc>
          <w:tcPr>
            <w:tcW w:type="dxa" w:w="1440"/>
            <w:shd w:fill="FFDCE0" w:val="clear"/>
          </w:tcPr>
          <w:p>
            <w:r>
              <w:rPr>
                <w:sz w:val="17"/>
              </w:rPr>
              <w:t>3,782</w:t>
            </w:r>
          </w:p>
        </w:tc>
        <w:tc>
          <w:tcPr>
            <w:tcW w:type="dxa" w:w="1440"/>
            <w:shd w:fill="FFDCE0" w:val="clear"/>
          </w:tcPr>
          <w:p>
            <w:r>
              <w:rPr>
                <w:b/>
                <w:color w:val="C00000"/>
                <w:sz w:val="17"/>
              </w:rPr>
              <w:t>-10.1%</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2,687</w:t>
            </w:r>
          </w:p>
        </w:tc>
        <w:tc>
          <w:tcPr>
            <w:tcW w:type="dxa" w:w="1440"/>
            <w:shd w:fill="FFDCE0" w:val="clear"/>
          </w:tcPr>
          <w:p>
            <w:r>
              <w:rPr>
                <w:b/>
                <w:sz w:val="17"/>
              </w:rPr>
              <w:t>3,235</w:t>
            </w:r>
          </w:p>
        </w:tc>
        <w:tc>
          <w:tcPr>
            <w:tcW w:type="dxa" w:w="1440"/>
            <w:shd w:fill="FFDCE0" w:val="clear"/>
          </w:tcPr>
          <w:p>
            <w:r>
              <w:rPr>
                <w:sz w:val="17"/>
              </w:rPr>
              <w:t>3,783</w:t>
            </w:r>
          </w:p>
        </w:tc>
        <w:tc>
          <w:tcPr>
            <w:tcW w:type="dxa" w:w="1440"/>
            <w:shd w:fill="FFDCE0" w:val="clear"/>
          </w:tcPr>
          <w:p>
            <w:r>
              <w:rPr>
                <w:b/>
                <w:color w:val="C00000"/>
                <w:sz w:val="17"/>
              </w:rPr>
              <w:t>-10.9%</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2,631</w:t>
            </w:r>
          </w:p>
        </w:tc>
        <w:tc>
          <w:tcPr>
            <w:tcW w:type="dxa" w:w="1440"/>
            <w:shd w:fill="FFDCE0" w:val="clear"/>
          </w:tcPr>
          <w:p>
            <w:r>
              <w:rPr>
                <w:b/>
                <w:sz w:val="17"/>
              </w:rPr>
              <w:t>3,207</w:t>
            </w:r>
          </w:p>
        </w:tc>
        <w:tc>
          <w:tcPr>
            <w:tcW w:type="dxa" w:w="1440"/>
            <w:shd w:fill="FFDCE0" w:val="clear"/>
          </w:tcPr>
          <w:p>
            <w:r>
              <w:rPr>
                <w:sz w:val="17"/>
              </w:rPr>
              <w:t>3,784</w:t>
            </w:r>
          </w:p>
        </w:tc>
        <w:tc>
          <w:tcPr>
            <w:tcW w:type="dxa" w:w="1440"/>
            <w:shd w:fill="FFDCE0" w:val="clear"/>
          </w:tcPr>
          <w:p>
            <w:r>
              <w:rPr>
                <w:b/>
                <w:color w:val="C00000"/>
                <w:sz w:val="17"/>
              </w:rPr>
              <w:t>-11.6%</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2,579</w:t>
            </w:r>
          </w:p>
        </w:tc>
        <w:tc>
          <w:tcPr>
            <w:tcW w:type="dxa" w:w="1440"/>
            <w:shd w:fill="FFDCE0" w:val="clear"/>
          </w:tcPr>
          <w:p>
            <w:r>
              <w:rPr>
                <w:b/>
                <w:sz w:val="17"/>
              </w:rPr>
              <w:t>3,181</w:t>
            </w:r>
          </w:p>
        </w:tc>
        <w:tc>
          <w:tcPr>
            <w:tcW w:type="dxa" w:w="1440"/>
            <w:shd w:fill="FFDCE0" w:val="clear"/>
          </w:tcPr>
          <w:p>
            <w:r>
              <w:rPr>
                <w:sz w:val="17"/>
              </w:rPr>
              <w:t>3,784</w:t>
            </w:r>
          </w:p>
        </w:tc>
        <w:tc>
          <w:tcPr>
            <w:tcW w:type="dxa" w:w="1440"/>
            <w:shd w:fill="FFDCE0" w:val="clear"/>
          </w:tcPr>
          <w:p>
            <w:r>
              <w:rPr>
                <w:b/>
                <w:color w:val="C00000"/>
                <w:sz w:val="17"/>
              </w:rPr>
              <w:t>-12.4%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**Date : 05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TTLS s'établit à 118,26 milliards FCFA, un niveau substantiel qui en fait l'une des valeurs les plus significatives de la BRVM, reflétant la position dominante de l'entreprise sur le marché sénégalais des produits pétroliers. Avec un BPA de 208 FCFA, le PER de 17,4x indique que les investisseurs acceptent de payer une prime par rapport à la moyenne du marché BRVM (8-12x), ce qui traduit une confiance dans la stabilité des bénéfices futurs, bien que cette valorisation soit exigeante. Le P/B de 4,19x confirme cette prime, le marché valorisant le titre à plus de quatre fois sa valeur comptable, signe d'une forte confiance dans la qualité des actifs et la rentabilité future. Enfin, l'EV/EBITDA de 7,4x se situe dans une fourchette raisonnable (5-10x), indiquant que la valeur totale de l'entreprise par rapport à sa capacité opérationnelle reste mesurée, ce qui tempère quelque peu la cherté relative du titre sur les autres ratios.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TTLS affiche une progression de +10,67%, avec une dernière séance particulièrement dynamique en hausse de +3,71% à 3 630 FCFA. Le titre a évolué dans une fourchette large de 2 845 à 4 500 FCFA, démontrant une volatilité significative sur la période. La moyenne du cours sur 100 jours est de 3 430 FCFA, légèrement supérieure à la médiane de 3 350 FCFA, ce qui, combiné à un skewness positif de 0,980, indique une distribution asymétrique avec des journées plus fréquentes sous la moyenne mais des mouvements haussiers ponctuels importants. L'écart-type de 372 FCFA, soit un coefficient de variation de 10,8%, révèle une dispersion modérée des prix autour de la moyenne. Le kurtosis de 0,420, proche d'une distribution normale, suggère un risque de pics limité. La volatilité annualisée de 50,2% classe le titre comme très volatil, un niveau élevé qui reflète l'incertitude du marché et les réactions aux nouvelles fondamentales.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3 630 FCFA se situe sous la MM20 (3 856 FCFA) et la MM50 (3 706,6 FCFA), indiquant une pression baissière à court et moyen terme. Cependant, la décision globale est "Achat", ce qui suggère que les moyennes mobiles pourraient être en train de se réorganiser pour un mouvement haussier, ou que le signal est basé sur la tendance de fond plutôt que sur la position relative immédiate.</w:t>
      </w:r>
    </w:p>
    <w:p>
      <w:pPr>
        <w:spacing w:after="120" w:line="276" w:lineRule="auto"/>
      </w:pPr>
      <w:r>
        <w:t>**Bandes de Bollinger** : Le prix évolue dans la partie inférieure des bandes, entre la borne inférieure à 3 312 FCFA et la borne supérieure à 4 400 FCFA, avec une position actuelle de 3 630 FCFA. La décision "Neutre" indique que le marché n'est pas encore dans une zone de surachat ou de survente extrême, mais la proximité de la borne inférieure suggère un potentiel de rebond technique.</w:t>
      </w:r>
    </w:p>
    <w:p>
      <w:pPr>
        <w:spacing w:after="120" w:line="276" w:lineRule="auto"/>
      </w:pPr>
      <w:r>
        <w:t>**MACD** : La valeur MACD de -57,4 est inférieure à son signal de -9,5, confirmant une dynamique baissière à court terme. Cette configuration indique que le momentum est négatif, ce qui justifie la décision "Vente". Cependant, l'écart entre la valeur et le signal pourrait se réduire, signalant un possible retournement.</w:t>
      </w:r>
    </w:p>
    <w:p>
      <w:pPr>
        <w:spacing w:after="120" w:line="276" w:lineRule="auto"/>
      </w:pPr>
      <w:r>
        <w:t>**RSI** : Le RSI à 26,7 est en zone de survente (sous 30), ce qui suggère que le titre est techniquement survendu et pourrait connaître un rebond. La décision "Achat" est cohérente avec cette lecture, indiquant que les vendeurs pourraient être épuisés à ces niveaux.</w:t>
      </w:r>
    </w:p>
    <w:p>
      <w:pPr>
        <w:spacing w:after="120" w:line="276" w:lineRule="auto"/>
      </w:pPr>
      <w:r>
        <w:t>**Stochastique** : Le %K à 26,3 et le %D à 10,9 montrent que le titre est également en zone de survente, mais la décision "Neutre" suggère que le croisement haussier n'est pas encore confirmé. Un croisement du %K au-dessus du %D serait un signal d'achat plus fort.</w:t>
      </w:r>
    </w:p>
    <w:p>
      <w:pPr>
        <w:spacing w:after="120" w:line="276" w:lineRule="auto"/>
      </w:pPr>
      <w:r>
        <w:t>**Conclusion technique** : Les indicateurs sont mitigés, avec un MACD baissier mais un RSI et un Stochastique en zone de survente. La position sous les moyennes mobiles indique une tendance baissière à court terme, mais les conditions de survente pourraient déclencher un rebond technique. La prudence est de mise, mais un scénario de stabilisation est plausible.</w:t>
      </w:r>
    </w:p>
    <w:p>
      <w:pPr>
        <w:spacing w:after="120" w:line="276" w:lineRule="auto"/>
      </w:pPr>
      <w:r>
        <w:t>---</w:t>
      </w:r>
    </w:p>
    <w:p>
      <w:pPr>
        <w:spacing w:after="120" w:line="276" w:lineRule="auto"/>
      </w:pPr>
      <w:r>
        <w:t>### PARTIE 3 : ANALYSE FONDAMENTALE (SECTION CRITIQUE)</w:t>
      </w:r>
    </w:p>
    <w:p>
      <w:pPr>
        <w:spacing w:after="120" w:line="276" w:lineRule="auto"/>
      </w:pPr>
      <w:r>
        <w:t>En 2025, TTLS a réalisé un chiffre d'affaires de 455,2 milliards FCFA, en baisse de 6,1% par rapport à 2024 (484,9 milliards), principalement due à l'arrêt stratégique de la commercialisation du fuel lourd. Le résultat net s'établit à 6,779 milliards FCFA, en repli de 5,1% par rapport à 2024 (7,140 milliards), malgré une amélioration du résultat d'exploitation à 8,693 milliards FCFA. La marge nette est faible à 1,49%, typique du secteur de distribution, mais le ROE est excellent à 24,0%, démontrant une utilisation efficace des capitaux propres (28,2 milliards FCFA). Le BFR est négatif à -36,9 milliards FCFA, ce qui est favorable pour la trésorerie, et la trésorerie nette s'est considérablement améliorée à 13,9 milliards FCFA. Les délais clients de 47 jours et fournisseurs de 98 jours indiquent une gestion saine du cycle d'exploitation. Sur la base du rapport T1 2026 (CA en baisse de 10% à 99,9 milliards FCFA mais résultat net en hausse de 5% à 1,585 milliards), on estime que l'exercice 2026 pourrait voir une stabilisation de la rentabilité malgré la pression réglementaire sur les prix. Les rapports de 2025 et T1 2026 recommandent tous "Conserver", soulignant la résilience opérationnelle mais la prudence face à la baisse des volumes et la dépendance aux décisions étatiques.</w:t>
      </w:r>
    </w:p>
    <w:p>
      <w:pPr>
        <w:spacing w:after="120" w:line="276" w:lineRule="auto"/>
      </w:pPr>
      <w:r>
        <w:t>---</w:t>
      </w:r>
    </w:p>
    <w:p>
      <w:pPr>
        <w:spacing w:after="120" w:line="276" w:lineRule="auto"/>
      </w:pPr>
      <w:r>
        <w:t>### PARTIE 4 : CONCLUSION D'INVESTISSEMENT</w:t>
      </w:r>
    </w:p>
    <w:p>
      <w:pPr>
        <w:spacing w:after="120" w:line="276" w:lineRule="auto"/>
      </w:pPr>
      <w:r>
        <w:t>La valorisation de TTLS est exigeante avec un PER de 17,4x et un P/B de 4,19x, indiquant que le marché paie une prime pour la stabilité et la position dominante de l'entreprise, bien que l'EV/EBITDA de 7,4x reste raisonnable. Le comportement du cours montre une tendance haussière sur 100 jours (+10,67%) mais avec une volatilité très élevée (50,2%) et une asymétrie positive, suggérant des mouvements erratiques. Les signaux techniques sont mitigés : le MACD est baissier, mais le RSI et le Stochastique en survente suggèrent un potentiel de rebond, tandis que la position sous les moyennes mobiles indique une pression à court terme. Les fondamentaux sont solides avec un ROE de 24%, une trésorerie améliorée et un BFR négatif favorable, mais la baisse du CA et la dépendance réglementaire sont des risques. Les prédictions IA pour les 10 prochains jours (3 498 à 3 329 FCFA) confirment une tendance baissière à court terme, en ligne avec les signaux techniques. **Recommandation finale : CONSERVER**, avec un niveau de confiance Moyen et un risque global Élevé. L'horizon d'investissement optimal est le moyen terme (3-12 mois), en attendant une clarification sur la politique de dividendes et une stabilisation des volumes.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501.37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 titres</w:t>
            </w:r>
          </w:p>
        </w:tc>
        <w:tc>
          <w:tcPr>
            <w:tcW w:type="dxa" w:w="2268"/>
            <w:shd w:fill="FFF2CC" w:val="clear"/>
          </w:tcPr>
          <w:p>
            <w:r>
              <w:rPr>
                <w:b/>
                <w:color w:val="503200"/>
                <w:sz w:val="16"/>
              </w:rPr>
              <w:t xml:space="preserve">Cours actuel : </w:t>
            </w:r>
            <w:r>
              <w:rPr>
                <w:color w:val="000000"/>
                <w:sz w:val="17"/>
              </w:rPr>
              <w:t>54,595 FCFA</w:t>
            </w:r>
          </w:p>
          <w:p>
            <w:r>
              <w:rPr>
                <w:b/>
                <w:color w:val="503200"/>
                <w:sz w:val="16"/>
              </w:rPr>
              <w:t xml:space="preserve">Var. 100 jours : </w:t>
            </w:r>
            <w:r>
              <w:rPr>
                <w:b/>
                <w:color w:val="B40000"/>
                <w:sz w:val="17"/>
              </w:rPr>
              <w:t>-22.01%</w:t>
            </w:r>
          </w:p>
          <w:p>
            <w:r>
              <w:rPr>
                <w:b/>
                <w:color w:val="503200"/>
                <w:sz w:val="16"/>
              </w:rPr>
              <w:t xml:space="preserve">Plus haut 100j : </w:t>
            </w:r>
            <w:r>
              <w:rPr>
                <w:color w:val="000000"/>
                <w:sz w:val="17"/>
              </w:rPr>
              <w:t>72,000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32.8/100 → Moyen</w:t>
      </w:r>
    </w:p>
    <w:p>
      <w:pPr>
        <w:spacing w:before="40" w:after="80"/>
      </w:pPr>
      <w:r>
        <w:rPr>
          <w:rFonts w:ascii="Courier New" w:hAnsi="Courier New"/>
          <w:color w:val="825A00"/>
          <w:sz w:val="18"/>
        </w:rPr>
        <w:t>██████░░░░░░░░░░░░░░  32.8/100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8.36% (Moyenne) — μ=57,723 FCFA, σ=4,827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β=2.1871 (Très agressif) — Cov=0.000078, Var(idx)=0.000036, ρ=0.301,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FFEB9C" w:val="clear"/>
          </w:tcPr>
          <w:p>
            <w:r>
              <w:rPr>
                <w:b/>
                <w:sz w:val="15"/>
              </w:rPr>
              <w:t>28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σ_j=4.34%/j (Modérée) — Vol. annualisée≈68.9%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53/100  (Moyen)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2026-08-06</w:t>
            </w:r>
          </w:p>
        </w:tc>
        <w:tc>
          <w:tcPr>
            <w:tcW w:type="dxa" w:w="1440"/>
            <w:shd w:fill="FAFAFA" w:val="clear"/>
          </w:tcPr>
          <w:p>
            <w:r>
              <w:rPr>
                <w:sz w:val="17"/>
              </w:rPr>
              <w:t>51,567</w:t>
            </w:r>
          </w:p>
        </w:tc>
        <w:tc>
          <w:tcPr>
            <w:tcW w:type="dxa" w:w="1440"/>
            <w:shd w:fill="FAFAFA" w:val="clear"/>
          </w:tcPr>
          <w:p>
            <w:r>
              <w:rPr>
                <w:b/>
                <w:sz w:val="17"/>
              </w:rPr>
              <w:t>54,892</w:t>
            </w:r>
          </w:p>
        </w:tc>
        <w:tc>
          <w:tcPr>
            <w:tcW w:type="dxa" w:w="1440"/>
            <w:shd w:fill="FAFAFA" w:val="clear"/>
          </w:tcPr>
          <w:p>
            <w:r>
              <w:rPr>
                <w:sz w:val="17"/>
              </w:rPr>
              <w:t>58,218</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2026-08-10</w:t>
            </w:r>
          </w:p>
        </w:tc>
        <w:tc>
          <w:tcPr>
            <w:tcW w:type="dxa" w:w="1440"/>
            <w:shd w:fill="FAFAFA" w:val="clear"/>
          </w:tcPr>
          <w:p>
            <w:r>
              <w:rPr>
                <w:sz w:val="17"/>
              </w:rPr>
              <w:t>50,800</w:t>
            </w:r>
          </w:p>
        </w:tc>
        <w:tc>
          <w:tcPr>
            <w:tcW w:type="dxa" w:w="1440"/>
            <w:shd w:fill="FAFAFA" w:val="clear"/>
          </w:tcPr>
          <w:p>
            <w:r>
              <w:rPr>
                <w:b/>
                <w:sz w:val="17"/>
              </w:rPr>
              <w:t>55,560</w:t>
            </w:r>
          </w:p>
        </w:tc>
        <w:tc>
          <w:tcPr>
            <w:tcW w:type="dxa" w:w="1440"/>
            <w:shd w:fill="FAFAFA" w:val="clear"/>
          </w:tcPr>
          <w:p>
            <w:r>
              <w:rPr>
                <w:sz w:val="17"/>
              </w:rPr>
              <w:t>60,320</w:t>
            </w:r>
          </w:p>
        </w:tc>
        <w:tc>
          <w:tcPr>
            <w:tcW w:type="dxa" w:w="1440"/>
            <w:shd w:fill="FAFAFA" w:val="clear"/>
          </w:tcPr>
          <w:p>
            <w:r>
              <w:rPr>
                <w:b/>
                <w:color w:val="008000"/>
                <w:sz w:val="17"/>
              </w:rPr>
              <w:t>+1.8%</w:t>
            </w:r>
          </w:p>
        </w:tc>
      </w:tr>
      <w:tr>
        <w:tc>
          <w:tcPr>
            <w:tcW w:type="dxa" w:w="1440"/>
            <w:shd w:fill="C6EFCE" w:val="clear"/>
          </w:tcPr>
          <w:p>
            <w:r>
              <w:rPr>
                <w:sz w:val="17"/>
              </w:rPr>
              <w:t>J+3  ⭐</w:t>
            </w:r>
          </w:p>
        </w:tc>
        <w:tc>
          <w:tcPr>
            <w:tcW w:type="dxa" w:w="1440"/>
            <w:shd w:fill="C6EFCE" w:val="clear"/>
          </w:tcPr>
          <w:p>
            <w:r>
              <w:rPr>
                <w:sz w:val="17"/>
              </w:rPr>
              <w:t>2026-08-11</w:t>
            </w:r>
          </w:p>
        </w:tc>
        <w:tc>
          <w:tcPr>
            <w:tcW w:type="dxa" w:w="1440"/>
            <w:shd w:fill="C6EFCE" w:val="clear"/>
          </w:tcPr>
          <w:p>
            <w:r>
              <w:rPr>
                <w:sz w:val="17"/>
              </w:rPr>
              <w:t>50,303</w:t>
            </w:r>
          </w:p>
        </w:tc>
        <w:tc>
          <w:tcPr>
            <w:tcW w:type="dxa" w:w="1440"/>
            <w:shd w:fill="C6EFCE" w:val="clear"/>
          </w:tcPr>
          <w:p>
            <w:r>
              <w:rPr>
                <w:b/>
                <w:sz w:val="17"/>
              </w:rPr>
              <w:t>56,200</w:t>
            </w:r>
          </w:p>
        </w:tc>
        <w:tc>
          <w:tcPr>
            <w:tcW w:type="dxa" w:w="1440"/>
            <w:shd w:fill="C6EFCE" w:val="clear"/>
          </w:tcPr>
          <w:p>
            <w:r>
              <w:rPr>
                <w:sz w:val="17"/>
              </w:rPr>
              <w:t>62,097</w:t>
            </w:r>
          </w:p>
        </w:tc>
        <w:tc>
          <w:tcPr>
            <w:tcW w:type="dxa" w:w="1440"/>
            <w:shd w:fill="C6EFCE" w:val="clear"/>
          </w:tcPr>
          <w:p>
            <w:r>
              <w:rPr>
                <w:b/>
                <w:color w:val="008000"/>
                <w:sz w:val="17"/>
              </w:rPr>
              <w:t>+2.9%</w:t>
            </w:r>
          </w:p>
        </w:tc>
      </w:tr>
      <w:tr>
        <w:tc>
          <w:tcPr>
            <w:tcW w:type="dxa" w:w="1440"/>
            <w:shd w:fill="C6EFCE" w:val="clear"/>
          </w:tcPr>
          <w:p>
            <w:r>
              <w:rPr>
                <w:sz w:val="17"/>
              </w:rPr>
              <w:t>J+4  ⭐</w:t>
            </w:r>
          </w:p>
        </w:tc>
        <w:tc>
          <w:tcPr>
            <w:tcW w:type="dxa" w:w="1440"/>
            <w:shd w:fill="C6EFCE" w:val="clear"/>
          </w:tcPr>
          <w:p>
            <w:r>
              <w:rPr>
                <w:sz w:val="17"/>
              </w:rPr>
              <w:t>2026-08-12</w:t>
            </w:r>
          </w:p>
        </w:tc>
        <w:tc>
          <w:tcPr>
            <w:tcW w:type="dxa" w:w="1440"/>
            <w:shd w:fill="C6EFCE" w:val="clear"/>
          </w:tcPr>
          <w:p>
            <w:r>
              <w:rPr>
                <w:sz w:val="17"/>
              </w:rPr>
              <w:t>49,952</w:t>
            </w:r>
          </w:p>
        </w:tc>
        <w:tc>
          <w:tcPr>
            <w:tcW w:type="dxa" w:w="1440"/>
            <w:shd w:fill="C6EFCE" w:val="clear"/>
          </w:tcPr>
          <w:p>
            <w:r>
              <w:rPr>
                <w:b/>
                <w:sz w:val="17"/>
              </w:rPr>
              <w:t>56,839</w:t>
            </w:r>
          </w:p>
        </w:tc>
        <w:tc>
          <w:tcPr>
            <w:tcW w:type="dxa" w:w="1440"/>
            <w:shd w:fill="C6EFCE" w:val="clear"/>
          </w:tcPr>
          <w:p>
            <w:r>
              <w:rPr>
                <w:sz w:val="17"/>
              </w:rPr>
              <w:t>63,725</w:t>
            </w:r>
          </w:p>
        </w:tc>
        <w:tc>
          <w:tcPr>
            <w:tcW w:type="dxa" w:w="1440"/>
            <w:shd w:fill="C6EFCE" w:val="clear"/>
          </w:tcPr>
          <w:p>
            <w:r>
              <w:rPr>
                <w:b/>
                <w:color w:val="008000"/>
                <w:sz w:val="17"/>
              </w:rPr>
              <w:t>+4.1%</w:t>
            </w:r>
          </w:p>
        </w:tc>
      </w:tr>
      <w:tr>
        <w:tc>
          <w:tcPr>
            <w:tcW w:type="dxa" w:w="1440"/>
            <w:shd w:fill="C6EFCE" w:val="clear"/>
          </w:tcPr>
          <w:p>
            <w:r>
              <w:rPr>
                <w:sz w:val="17"/>
              </w:rPr>
              <w:t>J+5  ⭐</w:t>
            </w:r>
          </w:p>
        </w:tc>
        <w:tc>
          <w:tcPr>
            <w:tcW w:type="dxa" w:w="1440"/>
            <w:shd w:fill="C6EFCE" w:val="clear"/>
          </w:tcPr>
          <w:p>
            <w:r>
              <w:rPr>
                <w:sz w:val="17"/>
              </w:rPr>
              <w:t>2026-08-13</w:t>
            </w:r>
          </w:p>
        </w:tc>
        <w:tc>
          <w:tcPr>
            <w:tcW w:type="dxa" w:w="1440"/>
            <w:shd w:fill="C6EFCE" w:val="clear"/>
          </w:tcPr>
          <w:p>
            <w:r>
              <w:rPr>
                <w:sz w:val="17"/>
              </w:rPr>
              <w:t>49,694</w:t>
            </w:r>
          </w:p>
        </w:tc>
        <w:tc>
          <w:tcPr>
            <w:tcW w:type="dxa" w:w="1440"/>
            <w:shd w:fill="C6EFCE" w:val="clear"/>
          </w:tcPr>
          <w:p>
            <w:r>
              <w:rPr>
                <w:b/>
                <w:sz w:val="17"/>
              </w:rPr>
              <w:t>57,481</w:t>
            </w:r>
          </w:p>
        </w:tc>
        <w:tc>
          <w:tcPr>
            <w:tcW w:type="dxa" w:w="1440"/>
            <w:shd w:fill="C6EFCE" w:val="clear"/>
          </w:tcPr>
          <w:p>
            <w:r>
              <w:rPr>
                <w:sz w:val="17"/>
              </w:rPr>
              <w:t>65,268</w:t>
            </w:r>
          </w:p>
        </w:tc>
        <w:tc>
          <w:tcPr>
            <w:tcW w:type="dxa" w:w="1440"/>
            <w:shd w:fill="C6EFCE" w:val="clear"/>
          </w:tcPr>
          <w:p>
            <w:r>
              <w:rPr>
                <w:b/>
                <w:color w:val="008000"/>
                <w:sz w:val="17"/>
              </w:rPr>
              <w:t>+5.3%</w:t>
            </w:r>
          </w:p>
        </w:tc>
      </w:tr>
      <w:tr>
        <w:tc>
          <w:tcPr>
            <w:tcW w:type="dxa" w:w="1440"/>
            <w:shd w:fill="C6EFCE" w:val="clear"/>
          </w:tcPr>
          <w:p>
            <w:r>
              <w:rPr>
                <w:sz w:val="17"/>
              </w:rPr>
              <w:t>J+6  ⭐</w:t>
            </w:r>
          </w:p>
        </w:tc>
        <w:tc>
          <w:tcPr>
            <w:tcW w:type="dxa" w:w="1440"/>
            <w:shd w:fill="C6EFCE" w:val="clear"/>
          </w:tcPr>
          <w:p>
            <w:r>
              <w:rPr>
                <w:sz w:val="17"/>
              </w:rPr>
              <w:t>2026-08-14</w:t>
            </w:r>
          </w:p>
        </w:tc>
        <w:tc>
          <w:tcPr>
            <w:tcW w:type="dxa" w:w="1440"/>
            <w:shd w:fill="C6EFCE" w:val="clear"/>
          </w:tcPr>
          <w:p>
            <w:r>
              <w:rPr>
                <w:sz w:val="17"/>
              </w:rPr>
              <w:t>49,501</w:t>
            </w:r>
          </w:p>
        </w:tc>
        <w:tc>
          <w:tcPr>
            <w:tcW w:type="dxa" w:w="1440"/>
            <w:shd w:fill="C6EFCE" w:val="clear"/>
          </w:tcPr>
          <w:p>
            <w:r>
              <w:rPr>
                <w:b/>
                <w:sz w:val="17"/>
              </w:rPr>
              <w:t>58,127</w:t>
            </w:r>
          </w:p>
        </w:tc>
        <w:tc>
          <w:tcPr>
            <w:tcW w:type="dxa" w:w="1440"/>
            <w:shd w:fill="C6EFCE" w:val="clear"/>
          </w:tcPr>
          <w:p>
            <w:r>
              <w:rPr>
                <w:sz w:val="17"/>
              </w:rPr>
              <w:t>66,753</w:t>
            </w:r>
          </w:p>
        </w:tc>
        <w:tc>
          <w:tcPr>
            <w:tcW w:type="dxa" w:w="1440"/>
            <w:shd w:fill="C6EFCE" w:val="clear"/>
          </w:tcPr>
          <w:p>
            <w:r>
              <w:rPr>
                <w:b/>
                <w:color w:val="008000"/>
                <w:sz w:val="17"/>
              </w:rPr>
              <w:t>+6.5%</w:t>
            </w:r>
          </w:p>
        </w:tc>
      </w:tr>
      <w:tr>
        <w:tc>
          <w:tcPr>
            <w:tcW w:type="dxa" w:w="1440"/>
            <w:shd w:fill="C6EFCE" w:val="clear"/>
          </w:tcPr>
          <w:p>
            <w:r>
              <w:rPr>
                <w:sz w:val="17"/>
              </w:rPr>
              <w:t>J+7  ⭐</w:t>
            </w:r>
          </w:p>
        </w:tc>
        <w:tc>
          <w:tcPr>
            <w:tcW w:type="dxa" w:w="1440"/>
            <w:shd w:fill="C6EFCE" w:val="clear"/>
          </w:tcPr>
          <w:p>
            <w:r>
              <w:rPr>
                <w:sz w:val="17"/>
              </w:rPr>
              <w:t>2026-08-17</w:t>
            </w:r>
          </w:p>
        </w:tc>
        <w:tc>
          <w:tcPr>
            <w:tcW w:type="dxa" w:w="1440"/>
            <w:shd w:fill="C6EFCE" w:val="clear"/>
          </w:tcPr>
          <w:p>
            <w:r>
              <w:rPr>
                <w:sz w:val="17"/>
              </w:rPr>
              <w:t>49,355</w:t>
            </w:r>
          </w:p>
        </w:tc>
        <w:tc>
          <w:tcPr>
            <w:tcW w:type="dxa" w:w="1440"/>
            <w:shd w:fill="C6EFCE" w:val="clear"/>
          </w:tcPr>
          <w:p>
            <w:r>
              <w:rPr>
                <w:b/>
                <w:sz w:val="17"/>
              </w:rPr>
              <w:t>58,776</w:t>
            </w:r>
          </w:p>
        </w:tc>
        <w:tc>
          <w:tcPr>
            <w:tcW w:type="dxa" w:w="1440"/>
            <w:shd w:fill="C6EFCE" w:val="clear"/>
          </w:tcPr>
          <w:p>
            <w:r>
              <w:rPr>
                <w:sz w:val="17"/>
              </w:rPr>
              <w:t>68,197</w:t>
            </w:r>
          </w:p>
        </w:tc>
        <w:tc>
          <w:tcPr>
            <w:tcW w:type="dxa" w:w="1440"/>
            <w:shd w:fill="C6EFCE" w:val="clear"/>
          </w:tcPr>
          <w:p>
            <w:r>
              <w:rPr>
                <w:b/>
                <w:color w:val="008000"/>
                <w:sz w:val="17"/>
              </w:rPr>
              <w:t>+7.7%</w:t>
            </w:r>
          </w:p>
        </w:tc>
      </w:tr>
      <w:tr>
        <w:tc>
          <w:tcPr>
            <w:tcW w:type="dxa" w:w="1440"/>
            <w:shd w:fill="C6EFCE" w:val="clear"/>
          </w:tcPr>
          <w:p>
            <w:r>
              <w:rPr>
                <w:sz w:val="17"/>
              </w:rPr>
              <w:t>J+8  ⭐</w:t>
            </w:r>
          </w:p>
        </w:tc>
        <w:tc>
          <w:tcPr>
            <w:tcW w:type="dxa" w:w="1440"/>
            <w:shd w:fill="C6EFCE" w:val="clear"/>
          </w:tcPr>
          <w:p>
            <w:r>
              <w:rPr>
                <w:sz w:val="17"/>
              </w:rPr>
              <w:t>2026-08-18</w:t>
            </w:r>
          </w:p>
        </w:tc>
        <w:tc>
          <w:tcPr>
            <w:tcW w:type="dxa" w:w="1440"/>
            <w:shd w:fill="C6EFCE" w:val="clear"/>
          </w:tcPr>
          <w:p>
            <w:r>
              <w:rPr>
                <w:sz w:val="17"/>
              </w:rPr>
              <w:t>49,244</w:t>
            </w:r>
          </w:p>
        </w:tc>
        <w:tc>
          <w:tcPr>
            <w:tcW w:type="dxa" w:w="1440"/>
            <w:shd w:fill="C6EFCE" w:val="clear"/>
          </w:tcPr>
          <w:p>
            <w:r>
              <w:rPr>
                <w:b/>
                <w:sz w:val="17"/>
              </w:rPr>
              <w:t>59,427</w:t>
            </w:r>
          </w:p>
        </w:tc>
        <w:tc>
          <w:tcPr>
            <w:tcW w:type="dxa" w:w="1440"/>
            <w:shd w:fill="C6EFCE" w:val="clear"/>
          </w:tcPr>
          <w:p>
            <w:r>
              <w:rPr>
                <w:sz w:val="17"/>
              </w:rPr>
              <w:t>69,610</w:t>
            </w:r>
          </w:p>
        </w:tc>
        <w:tc>
          <w:tcPr>
            <w:tcW w:type="dxa" w:w="1440"/>
            <w:shd w:fill="C6EFCE" w:val="clear"/>
          </w:tcPr>
          <w:p>
            <w:r>
              <w:rPr>
                <w:b/>
                <w:color w:val="008000"/>
                <w:sz w:val="17"/>
              </w:rPr>
              <w:t>+8.9%</w:t>
            </w:r>
          </w:p>
        </w:tc>
      </w:tr>
      <w:tr>
        <w:tc>
          <w:tcPr>
            <w:tcW w:type="dxa" w:w="1440"/>
            <w:shd w:fill="C6EFCE" w:val="clear"/>
          </w:tcPr>
          <w:p>
            <w:r>
              <w:rPr>
                <w:sz w:val="17"/>
              </w:rPr>
              <w:t>J+9  ⭐</w:t>
            </w:r>
          </w:p>
        </w:tc>
        <w:tc>
          <w:tcPr>
            <w:tcW w:type="dxa" w:w="1440"/>
            <w:shd w:fill="C6EFCE" w:val="clear"/>
          </w:tcPr>
          <w:p>
            <w:r>
              <w:rPr>
                <w:sz w:val="17"/>
              </w:rPr>
              <w:t>2026-08-19</w:t>
            </w:r>
          </w:p>
        </w:tc>
        <w:tc>
          <w:tcPr>
            <w:tcW w:type="dxa" w:w="1440"/>
            <w:shd w:fill="C6EFCE" w:val="clear"/>
          </w:tcPr>
          <w:p>
            <w:r>
              <w:rPr>
                <w:sz w:val="17"/>
              </w:rPr>
              <w:t>49,162</w:t>
            </w:r>
          </w:p>
        </w:tc>
        <w:tc>
          <w:tcPr>
            <w:tcW w:type="dxa" w:w="1440"/>
            <w:shd w:fill="C6EFCE" w:val="clear"/>
          </w:tcPr>
          <w:p>
            <w:r>
              <w:rPr>
                <w:b/>
                <w:sz w:val="17"/>
              </w:rPr>
              <w:t>60,081</w:t>
            </w:r>
          </w:p>
        </w:tc>
        <w:tc>
          <w:tcPr>
            <w:tcW w:type="dxa" w:w="1440"/>
            <w:shd w:fill="C6EFCE" w:val="clear"/>
          </w:tcPr>
          <w:p>
            <w:r>
              <w:rPr>
                <w:sz w:val="17"/>
              </w:rPr>
              <w:t>71,001</w:t>
            </w:r>
          </w:p>
        </w:tc>
        <w:tc>
          <w:tcPr>
            <w:tcW w:type="dxa" w:w="1440"/>
            <w:shd w:fill="C6EFCE" w:val="clear"/>
          </w:tcPr>
          <w:p>
            <w:r>
              <w:rPr>
                <w:b/>
                <w:color w:val="008000"/>
                <w:sz w:val="17"/>
              </w:rPr>
              <w:t>+10.0%</w:t>
            </w:r>
          </w:p>
        </w:tc>
      </w:tr>
      <w:tr>
        <w:tc>
          <w:tcPr>
            <w:tcW w:type="dxa" w:w="1440"/>
            <w:shd w:fill="C6EFCE" w:val="clear"/>
          </w:tcPr>
          <w:p>
            <w:r>
              <w:rPr>
                <w:sz w:val="17"/>
              </w:rPr>
              <w:t>J+10  ⭐</w:t>
            </w:r>
          </w:p>
        </w:tc>
        <w:tc>
          <w:tcPr>
            <w:tcW w:type="dxa" w:w="1440"/>
            <w:shd w:fill="C6EFCE" w:val="clear"/>
          </w:tcPr>
          <w:p>
            <w:r>
              <w:rPr>
                <w:sz w:val="17"/>
              </w:rPr>
              <w:t>2026-08-20</w:t>
            </w:r>
          </w:p>
        </w:tc>
        <w:tc>
          <w:tcPr>
            <w:tcW w:type="dxa" w:w="1440"/>
            <w:shd w:fill="C6EFCE" w:val="clear"/>
          </w:tcPr>
          <w:p>
            <w:r>
              <w:rPr>
                <w:sz w:val="17"/>
              </w:rPr>
              <w:t>49,102</w:t>
            </w:r>
          </w:p>
        </w:tc>
        <w:tc>
          <w:tcPr>
            <w:tcW w:type="dxa" w:w="1440"/>
            <w:shd w:fill="C6EFCE" w:val="clear"/>
          </w:tcPr>
          <w:p>
            <w:r>
              <w:rPr>
                <w:b/>
                <w:sz w:val="17"/>
              </w:rPr>
              <w:t>60,738</w:t>
            </w:r>
          </w:p>
        </w:tc>
        <w:tc>
          <w:tcPr>
            <w:tcW w:type="dxa" w:w="1440"/>
            <w:shd w:fill="C6EFCE" w:val="clear"/>
          </w:tcPr>
          <w:p>
            <w:r>
              <w:rPr>
                <w:sz w:val="17"/>
              </w:rPr>
              <w:t>72,373</w:t>
            </w:r>
          </w:p>
        </w:tc>
        <w:tc>
          <w:tcPr>
            <w:tcW w:type="dxa" w:w="1440"/>
            <w:shd w:fill="C6EFCE" w:val="clear"/>
          </w:tcPr>
          <w:p>
            <w:r>
              <w:rPr>
                <w:b/>
                <w:color w:val="008000"/>
                <w:sz w:val="17"/>
              </w:rPr>
              <w:t>+11.3%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501,37 milliards FCFA, un niveau qui la positionne parmi les valeurs moyennes de la BRVM, reflétant une taille significative mais inférieure aux géants du marché comme Sonatel. Les ratios de valorisation (BPA, PER, P/B, EV/EBITDA) ne sont pas calculables en raison de l'absence de données financières structurées récentes dans la base, ce qui constitue une limite importante pour évaluer le caractère attractif ou non du titre. En l'absence de ces multiples, l'investisseur doit se tourner vers les données fondamentales historiques et l'analyse technique pour se forger une opinion. La capitalisation actuelle, combinée à une perte nette historique de 6,4 milliards FCFA en 2022 et un bénéfice modeste de 640 millions FCFA en 2023, suggère que le marché valorise principalement la marque et le potentiel de redressement plutôt que la rentabilité immédiate. Une analyse fondamentale approfondie est donc indispensable pour déterminer si le cours de 54 595 FCFA reflète une sous-évaluation ou une surévaluation relative aux actifs et aux perspectives de la société.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UNLC a enregistré une baisse significative de 22,01%, avec une légère variation négative de 0,19% lors de la dernière séance, indiquant une pression vendeuse persistante. Le cours a évolué dans une fourchette large, oscillant entre un plus bas de 49 630 FCFA et un plus haut de 72 000 FCFA, illustrant une volatilité intra-période très marquée. La moyenne du cours sur la période (57 723 FCFA) est supérieure à la médiane (57 092 FCFA), et le skewness positif de 1,010 confirme une asymétrie avec des journées plus nombreuses sous la moyenne, typique d'une tendance baissière dominante. L'écart-type de 4 851 FCFA (CV = 8,4%) révèle une dispersion modérée, mais le kurtosis excédentaire de 1,088 (leptokurtique) signale un risque de mouvements extrêmes et de pics de volatilité. La volatilité annualisée de 68,9% est extrêmement élevée, bien au-dessus du seuil de 30% considéré comme risqué, ce qui classe UNLC parmi les titres les plus spéculatifs de la BRVM. Cette combinaison de forte baisse, d'asymétrie positive et de volatilité excessive traduit un marché incertain et des investisseurs nerveux.</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54 595 FCFA se situe au-dessus de la MM20 (52 880,25 FCFA) mais très légèrement sous la MM50 (54 954,9 FCFA). Cette configuration, avec un cours qui tente de dépasser la moyenne à long terme, génère un signal de vente car la tendance de fond reste baissière tant que le cours n'a pas franchi la MM50 de manière décisive. La convergence des moyennes mobiles suggère une possible stabilisation, mais la prudence reste de mise.</w:t>
      </w:r>
    </w:p>
    <w:p>
      <w:pPr>
        <w:spacing w:after="120" w:line="276" w:lineRule="auto"/>
      </w:pPr>
      <w:r>
        <w:t>**Bandes de Bollinger** : Le prix se positionne dans la partie supérieure du canal, entre la borne inférieure (49 563 FCFA) et la borne supérieure (56 197,5 FCFA), plus près de cette dernière. La décision neutre indique que le cours n'est pas en situation de surachat ou de survente extrême. La largeur des bandes reflète la volatilité élevée du titre, et un éventuel resserrement pourrait précéder un mouvement directionnel important.</w:t>
      </w:r>
    </w:p>
    <w:p>
      <w:pPr>
        <w:spacing w:after="120" w:line="276" w:lineRule="auto"/>
      </w:pPr>
      <w:r>
        <w:t>**MACD** : La valeur du MACD (-421,31) est négative mais supérieure à sa ligne de signal (-766,32), formant un croisement haussier. Ce signal d'achat, bien que précoce, suggère un ralentissement de la dynamique baissière et une possible inversion de tendance à court terme. Le momentum semble s'améliorer, mais la prudence est requise tant que le MACD reste en territoire négatif.</w:t>
      </w:r>
    </w:p>
    <w:p>
      <w:pPr>
        <w:spacing w:after="120" w:line="276" w:lineRule="auto"/>
      </w:pPr>
      <w:r>
        <w:t>**RSI** : À 49,02, le RSI se situe exactement dans la zone neutre (30-70), indiquant un équilibre entre les forces acheteuses et vendeuses. Cette valeur ne montre ni surachat ni survente, laissant place à une interprétation hésitante. Le RSI n'apporte donc pas de signal directionnel clair pour le moment.</w:t>
      </w:r>
    </w:p>
    <w:p>
      <w:pPr>
        <w:spacing w:after="120" w:line="276" w:lineRule="auto"/>
      </w:pPr>
      <w:r>
        <w:t>**Stochastique** : Le %K (76,19) est nettement supérieur au %D (54,67), formant un croisement haussier en zone de surachat naissant. Cette configuration suggère une dynamique positive à très court terme, mais le niveau élevé du %K pourrait indiquer une correction imminente. La décision neutre reflète cette ambiguïté entre momentum positif et risque de retournement.</w:t>
      </w:r>
    </w:p>
    <w:p>
      <w:pPr>
        <w:spacing w:after="120" w:line="276" w:lineRule="auto"/>
      </w:pPr>
      <w:r>
        <w:t>**Conclusion technique** : La convergence des signaux est mitigée, avec un MACD haussier et un Stochastique positif contrastant avec des moyennes mobiles baissières et un RSI neutre. L'ensemble suggère une phase de transition, avec un potentiel de rebond technique à court terme, mais sans confirmation d'un retournement de tendance majeur. La prudence est donc recommandée, avec un biais légèrement positif à très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pour UNLC ne sont pas disponibles dans la base, mais les rapports officiels fournis permettent une analyse approfondie. Le rapport daté du 31 décembre 2024 (couvrant l'exercice 2023) indique un chiffre d'affaires stable de 24,336 milliards FCFA, un bénéfice net de 640 millions FCFA (marge nette de 2,63%), et un résultat d'exploitation positif de 3,34 milliards FCFA, marquant une amélioration significative par rapport à la perte nette de 6,9 milliards FCFA en 2022. Cependant, les capitaux propres restent négatifs à -10,658 milliards FCFA, et les dettes financières s'élèvent à 4,379 milliards FCFA, indiquant une structure financière fragile. Le rapport du 31 décembre 2023 (exercice 2022) confirme la perte massive de 6,38 milliards FCFA avec une marge nette de -26,2%, tandis que le rapport du 31 décembre 2022 (exercice 2021) montre un bénéfice de 6,09 milliards FCFA, illustrant une forte volatilité des résultats. L'évolution sur trois ans est chaotique : bénéfice en 2021, perte massive en 2022, puis retour à un bénéfice modeste en 2023. Les rapports datant d'avant 2025, ils ne reflètent pas la performance récente de 2024-2025, mais ils indiquent une entreprise en phase de redressement fragile, avec une absence de dividende et un endettement préoccupant. Les perspectives de croissance restent incertaines, dépendantes de la capacité d'UNLC à stabiliser sa rentabilité et à reconstituer ses capitaux propres.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d'UNLC ne peut être évaluée précisément faute de ratios PER/P/B disponibles, mais la capitalisation de 501 milliards FCFA semble élevée au regard des bénéfices historiques modestes et des capitaux propres négatifs. Le comportement du cours est préoccupant avec une baisse de 22% sur 100 jours, une volatilité annualisée de 68,9% et une asymétrie positive indiquant une distribution instable, bien que le kurtosis élevé suggère des mouvements extrêmes possibles dans les deux sens. Les signaux techniques sont mitigés, avec un MACD et un Stochastique haussiers contrastant avec des moyennes mobiles baissières, suggérant un potentiel de rebond technique à court terme mais sans confirmation de tendance. Les fondamentaux restent fragiles avec un redressement modeste en 2023 mais des capitaux propres négatifs et une absence de dividende. Les prédictions IA pour les 10 prochains jours (54 892 à 57 481 FCFA) indiquent une trajectoire haussière, contredisant la tendance baissière récente mais confirmant les signaux techniques de court terme. En synthèse, la convergence entre les signaux techniques positifs et les prédictions IA suggère un rebond technique possible, mais les fondamentaux fragiles et la volatilité extrême imposent une grande prudence. **Recommandation finale : CONSERVER**, avec un niveau de confiance **Faible** et un risque global **Élevé**. L'horizon d'investissement optimal serait le **court terme (&lt;3 mois)** pour profiter d'un éventuel rebond technique, mais une surveillance étroite des résultats semestriels 2025 est indispensable pour valider un redressement durable avant d'envisager un renforcement de position.</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39.32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12,527 titres</w:t>
            </w:r>
          </w:p>
        </w:tc>
        <w:tc>
          <w:tcPr>
            <w:tcW w:type="dxa" w:w="2268"/>
            <w:shd w:fill="FFF2CC" w:val="clear"/>
          </w:tcPr>
          <w:p>
            <w:r>
              <w:rPr>
                <w:b/>
                <w:color w:val="503200"/>
                <w:sz w:val="16"/>
              </w:rPr>
              <w:t xml:space="preserve">Cours actuel : </w:t>
            </w:r>
            <w:r>
              <w:rPr>
                <w:color w:val="000000"/>
                <w:sz w:val="17"/>
              </w:rPr>
              <w:t>1,895 FCFA</w:t>
            </w:r>
          </w:p>
          <w:p>
            <w:r>
              <w:rPr>
                <w:b/>
                <w:color w:val="503200"/>
                <w:sz w:val="16"/>
              </w:rPr>
              <w:t xml:space="preserve">Var. 100 jours : </w:t>
            </w:r>
            <w:r>
              <w:rPr>
                <w:b/>
                <w:color w:val="B40000"/>
                <w:sz w:val="17"/>
              </w:rPr>
              <w:t>-9.76%</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19.8/100 → Faible</w:t>
      </w:r>
    </w:p>
    <w:p>
      <w:pPr>
        <w:spacing w:before="40" w:after="80"/>
      </w:pPr>
      <w:r>
        <w:rPr>
          <w:rFonts w:ascii="Courier New" w:hAnsi="Courier New"/>
          <w:color w:val="006400"/>
          <w:sz w:val="18"/>
        </w:rPr>
        <w:t>███░░░░░░░░░░░░░░░░░  19.8/100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9.06% (Moyenne) — μ=1,870 FCFA, σ=169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β=-0.7130 (Contre-cyclique) — Cov=-0.000026, Var(idx)=0.000036, ρ=-0.139,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12,527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annualisée≈49.0%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2026-08-06</w:t>
            </w:r>
          </w:p>
        </w:tc>
        <w:tc>
          <w:tcPr>
            <w:tcW w:type="dxa" w:w="1440"/>
            <w:shd w:fill="FAFAFA" w:val="clear"/>
          </w:tcPr>
          <w:p>
            <w:r>
              <w:rPr>
                <w:sz w:val="17"/>
              </w:rPr>
              <w:t>1,737</w:t>
            </w:r>
          </w:p>
        </w:tc>
        <w:tc>
          <w:tcPr>
            <w:tcW w:type="dxa" w:w="1440"/>
            <w:shd w:fill="FAFAFA" w:val="clear"/>
          </w:tcPr>
          <w:p>
            <w:r>
              <w:rPr>
                <w:b/>
                <w:sz w:val="17"/>
              </w:rPr>
              <w:t>1,878</w:t>
            </w:r>
          </w:p>
        </w:tc>
        <w:tc>
          <w:tcPr>
            <w:tcW w:type="dxa" w:w="1440"/>
            <w:shd w:fill="FAFAFA" w:val="clear"/>
          </w:tcPr>
          <w:p>
            <w:r>
              <w:rPr>
                <w:sz w:val="17"/>
              </w:rPr>
              <w:t>2,019</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2026-08-10</w:t>
            </w:r>
          </w:p>
        </w:tc>
        <w:tc>
          <w:tcPr>
            <w:tcW w:type="dxa" w:w="1440"/>
            <w:shd w:fill="FAFAFA" w:val="clear"/>
          </w:tcPr>
          <w:p>
            <w:r>
              <w:rPr>
                <w:sz w:val="17"/>
              </w:rPr>
              <w:t>1,668</w:t>
            </w:r>
          </w:p>
        </w:tc>
        <w:tc>
          <w:tcPr>
            <w:tcW w:type="dxa" w:w="1440"/>
            <w:shd w:fill="FAFAFA" w:val="clear"/>
          </w:tcPr>
          <w:p>
            <w:r>
              <w:rPr>
                <w:b/>
                <w:sz w:val="17"/>
              </w:rPr>
              <w:t>1,869</w:t>
            </w:r>
          </w:p>
        </w:tc>
        <w:tc>
          <w:tcPr>
            <w:tcW w:type="dxa" w:w="1440"/>
            <w:shd w:fill="FAFAFA" w:val="clear"/>
          </w:tcPr>
          <w:p>
            <w:r>
              <w:rPr>
                <w:sz w:val="17"/>
              </w:rPr>
              <w:t>2,070</w:t>
            </w:r>
          </w:p>
        </w:tc>
        <w:tc>
          <w:tcPr>
            <w:tcW w:type="dxa" w:w="1440"/>
            <w:shd w:fill="FAFAFA" w:val="clear"/>
          </w:tcPr>
          <w:p>
            <w:r>
              <w:rPr>
                <w:b/>
                <w:color w:val="C00000"/>
                <w:sz w:val="17"/>
              </w:rPr>
              <w:t>-1.4%</w:t>
            </w:r>
          </w:p>
        </w:tc>
      </w:tr>
      <w:tr>
        <w:tc>
          <w:tcPr>
            <w:tcW w:type="dxa" w:w="1440"/>
            <w:shd w:fill="FAFAFA" w:val="clear"/>
          </w:tcPr>
          <w:p>
            <w:r>
              <w:rPr>
                <w:sz w:val="17"/>
              </w:rPr>
              <w:t>J+3  Moyenne</w:t>
            </w:r>
          </w:p>
        </w:tc>
        <w:tc>
          <w:tcPr>
            <w:tcW w:type="dxa" w:w="1440"/>
            <w:shd w:fill="FAFAFA" w:val="clear"/>
          </w:tcPr>
          <w:p>
            <w:r>
              <w:rPr>
                <w:sz w:val="17"/>
              </w:rPr>
              <w:t>2026-08-11</w:t>
            </w:r>
          </w:p>
        </w:tc>
        <w:tc>
          <w:tcPr>
            <w:tcW w:type="dxa" w:w="1440"/>
            <w:shd w:fill="FAFAFA" w:val="clear"/>
          </w:tcPr>
          <w:p>
            <w:r>
              <w:rPr>
                <w:sz w:val="17"/>
              </w:rPr>
              <w:t>1,615</w:t>
            </w:r>
          </w:p>
        </w:tc>
        <w:tc>
          <w:tcPr>
            <w:tcW w:type="dxa" w:w="1440"/>
            <w:shd w:fill="FAFAFA" w:val="clear"/>
          </w:tcPr>
          <w:p>
            <w:r>
              <w:rPr>
                <w:b/>
                <w:sz w:val="17"/>
              </w:rPr>
              <w:t>1,860</w:t>
            </w:r>
          </w:p>
        </w:tc>
        <w:tc>
          <w:tcPr>
            <w:tcW w:type="dxa" w:w="1440"/>
            <w:shd w:fill="FAFAFA" w:val="clear"/>
          </w:tcPr>
          <w:p>
            <w:r>
              <w:rPr>
                <w:sz w:val="17"/>
              </w:rPr>
              <w:t>2,105</w:t>
            </w:r>
          </w:p>
        </w:tc>
        <w:tc>
          <w:tcPr>
            <w:tcW w:type="dxa" w:w="1440"/>
            <w:shd w:fill="FAFAFA" w:val="clear"/>
          </w:tcPr>
          <w:p>
            <w:r>
              <w:rPr>
                <w:b/>
                <w:color w:val="C00000"/>
                <w:sz w:val="17"/>
              </w:rPr>
              <w:t>-1.9%</w:t>
            </w:r>
          </w:p>
        </w:tc>
      </w:tr>
      <w:tr>
        <w:tc>
          <w:tcPr>
            <w:tcW w:type="dxa" w:w="1440"/>
            <w:shd w:fill="FFDCE0" w:val="clear"/>
          </w:tcPr>
          <w:p>
            <w:r>
              <w:rPr>
                <w:sz w:val="17"/>
              </w:rPr>
              <w:t>J+4  ⭐</w:t>
            </w:r>
          </w:p>
        </w:tc>
        <w:tc>
          <w:tcPr>
            <w:tcW w:type="dxa" w:w="1440"/>
            <w:shd w:fill="FFDCE0" w:val="clear"/>
          </w:tcPr>
          <w:p>
            <w:r>
              <w:rPr>
                <w:sz w:val="17"/>
              </w:rPr>
              <w:t>2026-08-12</w:t>
            </w:r>
          </w:p>
        </w:tc>
        <w:tc>
          <w:tcPr>
            <w:tcW w:type="dxa" w:w="1440"/>
            <w:shd w:fill="FFDCE0" w:val="clear"/>
          </w:tcPr>
          <w:p>
            <w:r>
              <w:rPr>
                <w:sz w:val="17"/>
              </w:rPr>
              <w:t>1,569</w:t>
            </w:r>
          </w:p>
        </w:tc>
        <w:tc>
          <w:tcPr>
            <w:tcW w:type="dxa" w:w="1440"/>
            <w:shd w:fill="FFDCE0" w:val="clear"/>
          </w:tcPr>
          <w:p>
            <w:r>
              <w:rPr>
                <w:b/>
                <w:sz w:val="17"/>
              </w:rPr>
              <w:t>1,851</w:t>
            </w:r>
          </w:p>
        </w:tc>
        <w:tc>
          <w:tcPr>
            <w:tcW w:type="dxa" w:w="1440"/>
            <w:shd w:fill="FFDCE0" w:val="clear"/>
          </w:tcPr>
          <w:p>
            <w:r>
              <w:rPr>
                <w:sz w:val="17"/>
              </w:rPr>
              <w:t>2,132</w:t>
            </w:r>
          </w:p>
        </w:tc>
        <w:tc>
          <w:tcPr>
            <w:tcW w:type="dxa" w:w="1440"/>
            <w:shd w:fill="FFDCE0" w:val="clear"/>
          </w:tcPr>
          <w:p>
            <w:r>
              <w:rPr>
                <w:b/>
                <w:color w:val="C00000"/>
                <w:sz w:val="17"/>
              </w:rPr>
              <w:t>-2.3%</w:t>
            </w:r>
          </w:p>
        </w:tc>
      </w:tr>
      <w:tr>
        <w:tc>
          <w:tcPr>
            <w:tcW w:type="dxa" w:w="1440"/>
            <w:shd w:fill="FFDCE0" w:val="clear"/>
          </w:tcPr>
          <w:p>
            <w:r>
              <w:rPr>
                <w:sz w:val="17"/>
              </w:rPr>
              <w:t>J+5  ⭐</w:t>
            </w:r>
          </w:p>
        </w:tc>
        <w:tc>
          <w:tcPr>
            <w:tcW w:type="dxa" w:w="1440"/>
            <w:shd w:fill="FFDCE0" w:val="clear"/>
          </w:tcPr>
          <w:p>
            <w:r>
              <w:rPr>
                <w:sz w:val="17"/>
              </w:rPr>
              <w:t>2026-08-13</w:t>
            </w:r>
          </w:p>
        </w:tc>
        <w:tc>
          <w:tcPr>
            <w:tcW w:type="dxa" w:w="1440"/>
            <w:shd w:fill="FFDCE0" w:val="clear"/>
          </w:tcPr>
          <w:p>
            <w:r>
              <w:rPr>
                <w:sz w:val="17"/>
              </w:rPr>
              <w:t>1,529</w:t>
            </w:r>
          </w:p>
        </w:tc>
        <w:tc>
          <w:tcPr>
            <w:tcW w:type="dxa" w:w="1440"/>
            <w:shd w:fill="FFDCE0" w:val="clear"/>
          </w:tcPr>
          <w:p>
            <w:r>
              <w:rPr>
                <w:b/>
                <w:sz w:val="17"/>
              </w:rPr>
              <w:t>1,842</w:t>
            </w:r>
          </w:p>
        </w:tc>
        <w:tc>
          <w:tcPr>
            <w:tcW w:type="dxa" w:w="1440"/>
            <w:shd w:fill="FFDCE0" w:val="clear"/>
          </w:tcPr>
          <w:p>
            <w:r>
              <w:rPr>
                <w:sz w:val="17"/>
              </w:rPr>
              <w:t>2,154</w:t>
            </w:r>
          </w:p>
        </w:tc>
        <w:tc>
          <w:tcPr>
            <w:tcW w:type="dxa" w:w="1440"/>
            <w:shd w:fill="FFDCE0" w:val="clear"/>
          </w:tcPr>
          <w:p>
            <w:r>
              <w:rPr>
                <w:b/>
                <w:color w:val="C00000"/>
                <w:sz w:val="17"/>
              </w:rPr>
              <w:t>-2.8%</w:t>
            </w:r>
          </w:p>
        </w:tc>
      </w:tr>
      <w:tr>
        <w:tc>
          <w:tcPr>
            <w:tcW w:type="dxa" w:w="1440"/>
            <w:shd w:fill="FFDCE0" w:val="clear"/>
          </w:tcPr>
          <w:p>
            <w:r>
              <w:rPr>
                <w:sz w:val="17"/>
              </w:rPr>
              <w:t>J+6  ⭐</w:t>
            </w:r>
          </w:p>
        </w:tc>
        <w:tc>
          <w:tcPr>
            <w:tcW w:type="dxa" w:w="1440"/>
            <w:shd w:fill="FFDCE0" w:val="clear"/>
          </w:tcPr>
          <w:p>
            <w:r>
              <w:rPr>
                <w:sz w:val="17"/>
              </w:rPr>
              <w:t>2026-08-14</w:t>
            </w:r>
          </w:p>
        </w:tc>
        <w:tc>
          <w:tcPr>
            <w:tcW w:type="dxa" w:w="1440"/>
            <w:shd w:fill="FFDCE0" w:val="clear"/>
          </w:tcPr>
          <w:p>
            <w:r>
              <w:rPr>
                <w:sz w:val="17"/>
              </w:rPr>
              <w:t>1,492</w:t>
            </w:r>
          </w:p>
        </w:tc>
        <w:tc>
          <w:tcPr>
            <w:tcW w:type="dxa" w:w="1440"/>
            <w:shd w:fill="FFDCE0" w:val="clear"/>
          </w:tcPr>
          <w:p>
            <w:r>
              <w:rPr>
                <w:b/>
                <w:sz w:val="17"/>
              </w:rPr>
              <w:t>1,833</w:t>
            </w:r>
          </w:p>
        </w:tc>
        <w:tc>
          <w:tcPr>
            <w:tcW w:type="dxa" w:w="1440"/>
            <w:shd w:fill="FFDCE0" w:val="clear"/>
          </w:tcPr>
          <w:p>
            <w:r>
              <w:rPr>
                <w:sz w:val="17"/>
              </w:rPr>
              <w:t>2,174</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2026-08-17</w:t>
            </w:r>
          </w:p>
        </w:tc>
        <w:tc>
          <w:tcPr>
            <w:tcW w:type="dxa" w:w="1440"/>
            <w:shd w:fill="FFDCE0" w:val="clear"/>
          </w:tcPr>
          <w:p>
            <w:r>
              <w:rPr>
                <w:sz w:val="17"/>
              </w:rPr>
              <w:t>1,457</w:t>
            </w:r>
          </w:p>
        </w:tc>
        <w:tc>
          <w:tcPr>
            <w:tcW w:type="dxa" w:w="1440"/>
            <w:shd w:fill="FFDCE0" w:val="clear"/>
          </w:tcPr>
          <w:p>
            <w:r>
              <w:rPr>
                <w:b/>
                <w:sz w:val="17"/>
              </w:rPr>
              <w:t>1,824</w:t>
            </w:r>
          </w:p>
        </w:tc>
        <w:tc>
          <w:tcPr>
            <w:tcW w:type="dxa" w:w="1440"/>
            <w:shd w:fill="FFDCE0" w:val="clear"/>
          </w:tcPr>
          <w:p>
            <w:r>
              <w:rPr>
                <w:sz w:val="17"/>
              </w:rPr>
              <w:t>2,190</w:t>
            </w:r>
          </w:p>
        </w:tc>
        <w:tc>
          <w:tcPr>
            <w:tcW w:type="dxa" w:w="1440"/>
            <w:shd w:fill="FFDCE0" w:val="clear"/>
          </w:tcPr>
          <w:p>
            <w:r>
              <w:rPr>
                <w:b/>
                <w:color w:val="C00000"/>
                <w:sz w:val="17"/>
              </w:rPr>
              <w:t>-3.8%</w:t>
            </w:r>
          </w:p>
        </w:tc>
      </w:tr>
      <w:tr>
        <w:tc>
          <w:tcPr>
            <w:tcW w:type="dxa" w:w="1440"/>
            <w:shd w:fill="FFDCE0" w:val="clear"/>
          </w:tcPr>
          <w:p>
            <w:r>
              <w:rPr>
                <w:sz w:val="17"/>
              </w:rPr>
              <w:t>J+8  ⭐</w:t>
            </w:r>
          </w:p>
        </w:tc>
        <w:tc>
          <w:tcPr>
            <w:tcW w:type="dxa" w:w="1440"/>
            <w:shd w:fill="FFDCE0" w:val="clear"/>
          </w:tcPr>
          <w:p>
            <w:r>
              <w:rPr>
                <w:sz w:val="17"/>
              </w:rPr>
              <w:t>2026-08-18</w:t>
            </w:r>
          </w:p>
        </w:tc>
        <w:tc>
          <w:tcPr>
            <w:tcW w:type="dxa" w:w="1440"/>
            <w:shd w:fill="FFDCE0" w:val="clear"/>
          </w:tcPr>
          <w:p>
            <w:r>
              <w:rPr>
                <w:sz w:val="17"/>
              </w:rPr>
              <w:t>1,425</w:t>
            </w:r>
          </w:p>
        </w:tc>
        <w:tc>
          <w:tcPr>
            <w:tcW w:type="dxa" w:w="1440"/>
            <w:shd w:fill="FFDCE0" w:val="clear"/>
          </w:tcPr>
          <w:p>
            <w:r>
              <w:rPr>
                <w:b/>
                <w:sz w:val="17"/>
              </w:rPr>
              <w:t>1,815</w:t>
            </w:r>
          </w:p>
        </w:tc>
        <w:tc>
          <w:tcPr>
            <w:tcW w:type="dxa" w:w="1440"/>
            <w:shd w:fill="FFDCE0" w:val="clear"/>
          </w:tcPr>
          <w:p>
            <w:r>
              <w:rPr>
                <w:sz w:val="17"/>
              </w:rPr>
              <w:t>2,205</w:t>
            </w:r>
          </w:p>
        </w:tc>
        <w:tc>
          <w:tcPr>
            <w:tcW w:type="dxa" w:w="1440"/>
            <w:shd w:fill="FFDCE0" w:val="clear"/>
          </w:tcPr>
          <w:p>
            <w:r>
              <w:rPr>
                <w:b/>
                <w:color w:val="C00000"/>
                <w:sz w:val="17"/>
              </w:rPr>
              <w:t>-4.2%</w:t>
            </w:r>
          </w:p>
        </w:tc>
      </w:tr>
      <w:tr>
        <w:tc>
          <w:tcPr>
            <w:tcW w:type="dxa" w:w="1440"/>
            <w:shd w:fill="FFDCE0" w:val="clear"/>
          </w:tcPr>
          <w:p>
            <w:r>
              <w:rPr>
                <w:sz w:val="17"/>
              </w:rPr>
              <w:t>J+9  ⭐</w:t>
            </w:r>
          </w:p>
        </w:tc>
        <w:tc>
          <w:tcPr>
            <w:tcW w:type="dxa" w:w="1440"/>
            <w:shd w:fill="FFDCE0" w:val="clear"/>
          </w:tcPr>
          <w:p>
            <w:r>
              <w:rPr>
                <w:sz w:val="17"/>
              </w:rPr>
              <w:t>2026-08-19</w:t>
            </w:r>
          </w:p>
        </w:tc>
        <w:tc>
          <w:tcPr>
            <w:tcW w:type="dxa" w:w="1440"/>
            <w:shd w:fill="FFDCE0" w:val="clear"/>
          </w:tcPr>
          <w:p>
            <w:r>
              <w:rPr>
                <w:sz w:val="17"/>
              </w:rPr>
              <w:t>1,394</w:t>
            </w:r>
          </w:p>
        </w:tc>
        <w:tc>
          <w:tcPr>
            <w:tcW w:type="dxa" w:w="1440"/>
            <w:shd w:fill="FFDCE0" w:val="clear"/>
          </w:tcPr>
          <w:p>
            <w:r>
              <w:rPr>
                <w:b/>
                <w:sz w:val="17"/>
              </w:rPr>
              <w:t>1,806</w:t>
            </w:r>
          </w:p>
        </w:tc>
        <w:tc>
          <w:tcPr>
            <w:tcW w:type="dxa" w:w="1440"/>
            <w:shd w:fill="FFDCE0" w:val="clear"/>
          </w:tcPr>
          <w:p>
            <w:r>
              <w:rPr>
                <w:sz w:val="17"/>
              </w:rPr>
              <w:t>2,218</w:t>
            </w:r>
          </w:p>
        </w:tc>
        <w:tc>
          <w:tcPr>
            <w:tcW w:type="dxa" w:w="1440"/>
            <w:shd w:fill="FFDCE0" w:val="clear"/>
          </w:tcPr>
          <w:p>
            <w:r>
              <w:rPr>
                <w:b/>
                <w:color w:val="C00000"/>
                <w:sz w:val="17"/>
              </w:rPr>
              <w:t>-4.7%</w:t>
            </w:r>
          </w:p>
        </w:tc>
      </w:tr>
      <w:tr>
        <w:tc>
          <w:tcPr>
            <w:tcW w:type="dxa" w:w="1440"/>
            <w:shd w:fill="FFDCE0" w:val="clear"/>
          </w:tcPr>
          <w:p>
            <w:r>
              <w:rPr>
                <w:sz w:val="17"/>
              </w:rPr>
              <w:t>J+10  ⭐</w:t>
            </w:r>
          </w:p>
        </w:tc>
        <w:tc>
          <w:tcPr>
            <w:tcW w:type="dxa" w:w="1440"/>
            <w:shd w:fill="FFDCE0" w:val="clear"/>
          </w:tcPr>
          <w:p>
            <w:r>
              <w:rPr>
                <w:sz w:val="17"/>
              </w:rPr>
              <w:t>2026-08-20</w:t>
            </w:r>
          </w:p>
        </w:tc>
        <w:tc>
          <w:tcPr>
            <w:tcW w:type="dxa" w:w="1440"/>
            <w:shd w:fill="FFDCE0" w:val="clear"/>
          </w:tcPr>
          <w:p>
            <w:r>
              <w:rPr>
                <w:sz w:val="17"/>
              </w:rPr>
              <w:t>1,366</w:t>
            </w:r>
          </w:p>
        </w:tc>
        <w:tc>
          <w:tcPr>
            <w:tcW w:type="dxa" w:w="1440"/>
            <w:shd w:fill="FFDCE0" w:val="clear"/>
          </w:tcPr>
          <w:p>
            <w:r>
              <w:rPr>
                <w:b/>
                <w:sz w:val="17"/>
              </w:rPr>
              <w:t>1,797</w:t>
            </w:r>
          </w:p>
        </w:tc>
        <w:tc>
          <w:tcPr>
            <w:tcW w:type="dxa" w:w="1440"/>
            <w:shd w:fill="FFDCE0" w:val="clear"/>
          </w:tcPr>
          <w:p>
            <w:r>
              <w:rPr>
                <w:sz w:val="17"/>
              </w:rPr>
              <w:t>2,229</w:t>
            </w:r>
          </w:p>
        </w:tc>
        <w:tc>
          <w:tcPr>
            <w:tcW w:type="dxa" w:w="1440"/>
            <w:shd w:fill="FFDCE0" w:val="clear"/>
          </w:tcPr>
          <w:p>
            <w:r>
              <w:rPr>
                <w:b/>
                <w:color w:val="C00000"/>
                <w:sz w:val="17"/>
              </w:rPr>
              <w:t>-5.2%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 — BRVM**</w:t>
      </w:r>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39,32 milliards FCFA, un niveau modeste qui la positionne comme une valeur de seconde ligne sur la BRVM. Le BPA est négatif à -105 FCFA, ce qui reflète la perte nette de 2,189 milliards FCFA enregistrée en 2024. Par conséquent, le PER est négatif (-18,0x), une situation qui rend ce ratio inexploitable pour évaluer la cherté du titre ; les investisseurs ne peuvent pas valoriser la société sur la base de ses bénéfices actuels. Le P/B de 2,52x indique que le marché valorise l'actif net de la société avec une prime substantielle (2 à 4 fois la valeur comptable), ce qui suggère que les investisseurs anticipent une amélioration future de la rentabilité. En l'absence de données sur l'EBITDA, le ratio EV/EBITDA ne peut être calculé, mais la combinaison d'un PER négatif et d'un P/B élevé signale une valorisation spéculative, basée sur des perspectives de redressement plutôt que sur les performances financières actuelles.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UNXC a enregistré une baisse de 9,76%, avec un cours actuel de 1 895 FCFA, bien que la dernière séance ait affiché une légère hausse de 0,26%. Le titre a évolué dans une fourchette de 1 250 FCFA (plus bas) à 2 100 FCFA (plus haut), démontrant une amplitude de trading de 850 FCFA, ce qui traduit une volatilité significative. La moyenne (1 870 FCFA) est inférieure à la médiane (1 900 FCFA), indiquant une distribution légèrement asymétrique, tandis que le mode à 1 970 FCFA suggère que le cours a souvent été échangé à des niveaux supérieurs à la moyenne. L'écart-type de 170 FCFA (CV=9,1%) montre une dispersion modérée des prix autour de la moyenne. Le kurtosis élevé (3,282) signale un risque de mouvements extrêmes, et le skewness négatif (-1,711) révèle que les journées de baisse sont plus fréquentes que celles de hausse, malgré des pics occasionnels. La volatilité annualisée de 49,0% est très élevée, classant UNXC comme un actif à haut risque, nécessitant une gestion prudente.</w:t>
      </w:r>
    </w:p>
    <w:p>
      <w:pPr>
        <w:spacing w:after="120" w:line="276" w:lineRule="auto" w:before="240"/>
      </w:pPr>
      <w:r>
        <w:rPr>
          <w:b/>
          <w:color w:val="003366"/>
          <w:sz w:val="24"/>
        </w:rPr>
        <w:t>**PARTIE 2 : ANALYSE TECHNIQUE DÉTAILLÉE**</w:t>
      </w:r>
    </w:p>
    <w:p>
      <w:pPr>
        <w:spacing w:after="120" w:line="276" w:lineRule="auto"/>
      </w:pPr>
      <w:r>
        <w:t>**Moyennes Mobiles** : La MM20 (1 776,5 FCFA) et la MM50 (1 804,2 FCFA) sont toutes deux inférieures au cours actuel de 1 895 FCFA, ce qui indique une dynamique positive à court terme. Cependant, la MM20 est en dessous de la MM50, signalant une tendance baissière à moyen terme. La décision de "Vente" est justifiée par cette configuration, car elle suggère que le récent rebond pourrait être temporaire.</w:t>
      </w:r>
    </w:p>
    <w:p>
      <w:pPr>
        <w:spacing w:after="120" w:line="276" w:lineRule="auto"/>
      </w:pPr>
      <w:r>
        <w:t>**Bandes de Bollinger** : Le cours à 1 895 FCFA se situe dans la partie médiane des bandes, entre la borne inférieure (1 350,4 FCFA) et supérieure (2 202,6 FCFA). Cette position neutre indique une volatilité modérée, sans pression haussière ou baissière excessive. La décision "Neutre" est cohérente avec l'absence de cassure des bornes.</w:t>
      </w:r>
    </w:p>
    <w:p>
      <w:pPr>
        <w:spacing w:after="120" w:line="276" w:lineRule="auto"/>
      </w:pPr>
      <w:r>
        <w:t>**MACD** : Le MACD (50,662) est supérieur à son signal (36,765), formant un croisement haussier. Cette configuration indique un momentum positif, avec une accélération de la dynamique des prix. La décision "Achat" est justifiée par cette divergence positive, qui suggère une poursuite de la hausse à court terme.</w:t>
      </w:r>
    </w:p>
    <w:p>
      <w:pPr>
        <w:spacing w:after="120" w:line="276" w:lineRule="auto"/>
      </w:pPr>
      <w:r>
        <w:t>**RSI** : Le RSI à 61,856 se situe dans la zone neutre (30-70), indiquant un équilibre entre les forces acheteuses et vendeuses. Bien qu'il approche la zone de surachat (&gt;70), il n'y a pas encore de signal de retournement. La décision "Neutre" est appropriée, car le titre n'est ni survendu ni suracheté.</w:t>
      </w:r>
    </w:p>
    <w:p>
      <w:pPr>
        <w:spacing w:after="120" w:line="276" w:lineRule="auto"/>
      </w:pPr>
      <w:r>
        <w:t>**Stochastique** : Le %K (46,429) est inférieur au %D (60,581), formant un croisement baissier. Cette configuration suggère un affaiblissement du momentum haussier, bien que les deux lignes restent en zone neutre. La décision "Neutre" reflète cette ambiguïté, avec un risque de consolidation à court terme.</w:t>
      </w:r>
    </w:p>
    <w:p>
      <w:pPr>
        <w:spacing w:after="120" w:line="276" w:lineRule="auto"/>
      </w:pPr>
      <w:r>
        <w:t>**Conclusion technique** : Les indicateurs sont mitigés : le MACD est haussier, mais les moyennes mobiles et le stochastique sont baissiers ou neutres. Le RSI et les bandes de Bollinger n'apportent pas de signal clair. Cette divergence suggère une phase de consolidation, avec un biais légèrement positif à court terme. La prudence est de mise, car le titre pourrait évoluer latéralement avant de choisir une direction.</w:t>
      </w:r>
    </w:p>
    <w:p>
      <w:pPr>
        <w:spacing w:after="120" w:line="276" w:lineRule="auto" w:before="240"/>
      </w:pPr>
      <w:r>
        <w:rPr>
          <w:b/>
          <w:color w:val="003366"/>
          <w:sz w:val="24"/>
        </w:rPr>
        <w:t>**PARTIE 3 : ANALYSE FONDAMENTALE (SECTION CRITIQUE)**</w:t>
      </w:r>
    </w:p>
    <w:p>
      <w:pPr>
        <w:spacing w:after="120" w:line="276" w:lineRule="auto"/>
      </w:pPr>
      <w:r>
        <w:t>En 2024, UNIWAX a enregistré un chiffre d'affaires de 27,333 milliards FCFA, en hausse de 15,4% par rapport à 2023, mais le résultat net est une perte de 2,189 milliards FCFA, contre un bénéfice de 4,188 milliards en 2023 (selon les états financiers 2024). Cette dégradation s'explique par une hausse des charges d'exploitation et des dotations aux amortissements. Le ROE est négatif à -14,04% et le ROA à -6,39%, reflétant une rentabilité déficitaire. Le BFR est positif à 2,149 milliards FCFA, indiquant un besoin de financement, avec un délai clients de 51 jours et un délai fournisseurs de 268 jours, ce qui est favorable pour la trésorerie. Les rapports trimestriels de 2025 montrent une amélioration : au S1 2025, le CA atteint 15,711 milliards FCFA (+12,5%), mais le résultat net de 8,217 milliards est artificiel, dû à la cession-bail du terrain (produit exceptionnel de 9,994 milliards). Le résultat des activités ordinaires reste déficitaire à -330 millions. Au T3 2025, le CA cumulé est de 22,474 milliards (+13%), avec un bénéfice net de 8,143 milliards, toujours porté par l'exceptionnel. La direction annonce une absence de perte au T3 seul, suggérant une possible inflexion vers l'équilibre opérationnel. On estime que l'exercice 2025 devrait afficher un bénéfice net exceptionnel, mais la rentabilité récurrente reste fragile, dépendante de la capacité à stabiliser l'exploitation.</w:t>
      </w:r>
    </w:p>
    <w:p>
      <w:pPr>
        <w:spacing w:after="120" w:line="276" w:lineRule="auto" w:before="240"/>
      </w:pPr>
      <w:r>
        <w:rPr>
          <w:b/>
          <w:color w:val="003366"/>
          <w:sz w:val="24"/>
        </w:rPr>
        <w:t>**PARTIE 4 : CONCLUSION D'INVESTISSEMENT**</w:t>
      </w:r>
    </w:p>
    <w:p>
      <w:pPr>
        <w:spacing w:after="120" w:line="276" w:lineRule="auto"/>
      </w:pPr>
      <w:r>
        <w:t>La valorisation d'UNXC est spéculative, avec un PER négatif et un P/B de 2,52x, indiquant que le marché anticipe un redressement futur. Le comportement du cours est préoccupant : baisse de 9,76% sur 100 jours, volatilité élevée (49%) et skewness négatif, signalant des risques de baisse. Les signaux techniques sont mitigés, avec un MACD haussier mais des moyennes mobiles baissières, suggérant une consolidation. Fondamentalement, la société est déficitaire en 2024, mais les rapports 2025 montrent une amélioration commerciale (+13% de CA) et une réduction des pertes opérationnelles, bien que le bénéfice net soit artificiel. Les prédictions IA indiquent une baisse progressive du cours de 1 878 à 1 842 FCFA sur 10 jours, contredisant les signaux techniques haussiers. En synthèse, la convergence est faible : la valorisation et les fondamentaux sont fragiles, la technique est neutre, et les prédictions sont baissières. **Recommandation : CONSERVER**, avec un niveau de confiance Moyen et un risque global Élevé. L'horizon optimal est le moyen terme (3-12 mois), en attendant une confirmation de la rentabilité opérationnelle durable et une clarification de la stratégie post-cession.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l'effondrement de la rentabilit\u00e9, l'entreprise maintient son chiffre d'affaires et anticipe une am\u00e9lioration au T4. La situation difficile est conjoncturelle et li\u00e9e aux crises externes."}</w:t>
      </w:r>
    </w:p>
    <w:p>
      <w:pPr>
        <w:spacing w:before="40"/>
        <w:ind w:left="400"/>
      </w:pPr>
      <w:r>
        <w:rPr>
          <w:sz w:val="18"/>
        </w:rPr>
        <w:t>UNIWAX S.A., entreprise ivoirienne du secteur textile, affiche un chiffre d'affaires stable au 3ème trimestre 2022 (29,25 milliards FCFA vs 29,07 milliards en 2021). Cependant, la rentabilité s'effondre avec un résultat d'exploitation en chute de 77,5% et un résultat net en baisse de 80,6%. Cette dégradation s'explique par la flambée des coûts des matières premières suite aux crises post-Covid et ukrainienne. L'entreprise n'a pas pu répercuter intégralement ces hausses de coûts sur ses prix de vente. Les perspectives du 4ème trimestre restent prudentes malgré les célébrations de fin d'année.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'4,15 milliards FCFA', 'resultat_financier': '-73 millions FCFA', 'resultat_exploitation': '452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296 millions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29,25 milliards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au T3 2022 : 29,25 milliards FCFA (+0,6%)</w:t>
      </w:r>
    </w:p>
    <w:p>
      <w:pPr>
        <w:pStyle w:val="ListBullet"/>
        <w:spacing w:before="20" w:after="20"/>
        <w:ind w:left="700"/>
      </w:pPr>
      <w:r>
        <w:rPr>
          <w:sz w:val="18"/>
        </w:rPr>
        <w:t>Effondrement du résultat d'exploitation : -77,5% à 452 millions FCFA</w:t>
      </w:r>
    </w:p>
    <w:p>
      <w:pPr>
        <w:pStyle w:val="ListBullet"/>
        <w:spacing w:before="20" w:after="20"/>
        <w:ind w:left="700"/>
      </w:pPr>
      <w:r>
        <w:rPr>
          <w:sz w:val="18"/>
        </w:rPr>
        <w:t>Résultat net en forte baisse : -80,6% à 296 millions FCFA</w:t>
      </w:r>
    </w:p>
    <w:p>
      <w:pPr>
        <w:pStyle w:val="ListBullet"/>
        <w:spacing w:before="20" w:after="20"/>
        <w:ind w:left="700"/>
      </w:pPr>
      <w:r>
        <w:rPr>
          <w:sz w:val="18"/>
        </w:rPr>
        <w:t>Résultat financier négatif de -73 millions FCFA contre +22 millions en 2021</w:t>
      </w:r>
    </w:p>
    <w:p>
      <w:pPr>
        <w:pStyle w:val="ListBullet"/>
        <w:spacing w:before="20" w:after="20"/>
        <w:ind w:left="700"/>
      </w:pPr>
      <w:r>
        <w:rPr>
          <w:sz w:val="18"/>
        </w:rPr>
        <w:t>Flambée des coûts de matières premières non compensée par les prix de vente</w:t>
      </w:r>
    </w:p>
    <w:p>
      <w:pPr>
        <w:pStyle w:val="ListBullet"/>
        <w:spacing w:before="20" w:after="20"/>
        <w:ind w:left="700"/>
      </w:pPr>
      <w:r>
        <w:rPr>
          <w:sz w:val="18"/>
        </w:rPr>
        <w:t>Impact négatif des crises post-Covid et ukrainienne sur la rentabilité</w:t>
      </w:r>
    </w:p>
    <w:p>
      <w:pPr>
        <w:spacing w:before="40"/>
        <w:ind w:left="400"/>
      </w:pPr>
      <w:r>
        <w:rPr>
          <w:b/>
          <w:color w:val="C05000"/>
          <w:sz w:val="18"/>
        </w:rPr>
        <w:t xml:space="preserve">⚠️ Risques : </w:t>
      </w:r>
      <w:r>
        <w:rPr>
          <w:sz w:val="18"/>
        </w:rPr>
        <w:t>["Volatilit\u00e9 continue des cours des mati\u00e8res premi\u00e8res impactant les marges", "Difficult\u00e9s \u00e0 r\u00e9percuter les hausses de co\u00fbts sur les prix de vente", "Contexte \u00e9conomique global incertain et march\u00e9s volatils"]</w:t>
      </w:r>
    </w:p>
    <w:p>
      <w:pPr>
        <w:spacing w:before="40"/>
        <w:ind w:left="400"/>
      </w:pPr>
      <w:r>
        <w:rPr>
          <w:b/>
          <w:color w:val="0064A0"/>
          <w:sz w:val="18"/>
        </w:rPr>
        <w:t xml:space="preserve">🔮 Perspectives : </w:t>
      </w:r>
      <w:r>
        <w:rPr>
          <w:sz w:val="18"/>
        </w:rPr>
        <w:t>La direction anticipe un 4ème trimestre plus favorable grâce aux célébrations de fin d'année et aux efforts de réduction des coûts. Cependant, l'entreprise reste vigilante face à la volatilité des marchés et au contexte économique global incertain.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d'activit\u00e9, la soci\u00e9t\u00e9 maintient sa rentabilit\u00e9 et engage des actions correctives. Les perspectives d'am\u00e9lioration saisonni\u00e8re et les initiatives commerciales justifient une approche prudente."}</w:t>
      </w:r>
    </w:p>
    <w:p>
      <w:pPr>
        <w:spacing w:before="40"/>
        <w:ind w:left="400"/>
      </w:pPr>
      <w:r>
        <w:rPr>
          <w:sz w:val="18"/>
        </w:rPr>
        <w:t>UNIWAX S.A. affiche une performance contrastée au T1 2023 avec un chiffre d'affaires en baisse de 16% à 9,4 milliards FCFA impacté par la faiblesse de la demande locale et export. Le résultat d'exploitation chute drastiquement de 90% à 71,6 millions FCFA, reflétant les difficultés macro-économiques. Malgré cette contraction opérationnelle, la société parvient à dégager un résultat net positif de 48,2 millions FCFA contre 527 millions en 2022. L'entreprise textile ivoirienne fait face à un environnement économique difficile mais mise sur l'optimisation des coûts et l'ouverture d'une boutique Uniwax. La société reste prudente quant aux perspectives dans un contexte socio-économique volatil.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'4 150 000 000 FCFA', 'resultat_financier': '-7 242 975 FCFA', 'resultat_exploitation': '71 554 797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48 233 867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9 397 016 068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15,97% à 9,4 milliards FCFA au T1 2023</w:t>
      </w:r>
    </w:p>
    <w:p>
      <w:pPr>
        <w:pStyle w:val="ListBullet"/>
        <w:spacing w:before="20" w:after="20"/>
        <w:ind w:left="700"/>
      </w:pPr>
      <w:r>
        <w:rPr>
          <w:sz w:val="18"/>
        </w:rPr>
        <w:t>Résultat d'exploitation en chute libre de 89,90% à 71,6 millions FCFA</w:t>
      </w:r>
    </w:p>
    <w:p>
      <w:pPr>
        <w:pStyle w:val="ListBullet"/>
        <w:spacing w:before="20" w:after="20"/>
        <w:ind w:left="700"/>
      </w:pPr>
      <w:r>
        <w:rPr>
          <w:sz w:val="18"/>
        </w:rPr>
        <w:t>Résultat net positif maintenu à 48,2 millions FCFA malgré la baisse de 90,85%</w:t>
      </w:r>
    </w:p>
    <w:p>
      <w:pPr>
        <w:pStyle w:val="ListBullet"/>
        <w:spacing w:before="20" w:after="20"/>
        <w:ind w:left="700"/>
      </w:pPr>
      <w:r>
        <w:rPr>
          <w:sz w:val="18"/>
        </w:rPr>
        <w:t>Baisse des volumes vendus due aux difficultés macro-économiques</w:t>
      </w:r>
    </w:p>
    <w:p>
      <w:pPr>
        <w:pStyle w:val="ListBullet"/>
        <w:spacing w:before="20" w:after="20"/>
        <w:ind w:left="700"/>
      </w:pPr>
      <w:r>
        <w:rPr>
          <w:sz w:val="18"/>
        </w:rPr>
        <w:t>Impact négatif sur les marchés local et export</w:t>
      </w:r>
    </w:p>
    <w:p>
      <w:pPr>
        <w:pStyle w:val="ListBullet"/>
        <w:spacing w:before="20" w:after="20"/>
        <w:ind w:left="700"/>
      </w:pPr>
      <w:r>
        <w:rPr>
          <w:sz w:val="18"/>
        </w:rPr>
        <w:t>Ouverture de la première boutique Uniwax pour renforcer la visibilité de la marque</w:t>
      </w:r>
    </w:p>
    <w:p>
      <w:pPr>
        <w:spacing w:before="40"/>
        <w:ind w:left="400"/>
      </w:pPr>
      <w:r>
        <w:rPr>
          <w:b/>
          <w:color w:val="C05000"/>
          <w:sz w:val="18"/>
        </w:rPr>
        <w:t xml:space="preserve">⚠️ Risques : </w:t>
      </w:r>
      <w:r>
        <w:rPr>
          <w:sz w:val="18"/>
        </w:rPr>
        <w:t>["Volatilit\u00e9 persistante du contexte socio-\u00e9conomique impactant la demande", "Forte d\u00e9pendance aux march\u00e9s local et export en difficult\u00e9", "Pression continue sur les marges op\u00e9rationnelles"]</w:t>
      </w:r>
    </w:p>
    <w:p>
      <w:pPr>
        <w:spacing w:before="40"/>
        <w:ind w:left="400"/>
      </w:pPr>
      <w:r>
        <w:rPr>
          <w:b/>
          <w:color w:val="0064A0"/>
          <w:sz w:val="18"/>
        </w:rPr>
        <w:t xml:space="preserve">🔮 Perspectives : </w:t>
      </w:r>
      <w:r>
        <w:rPr>
          <w:sz w:val="18"/>
        </w:rPr>
        <w:t>La direction mise sur la saisonnalité favorable du deuxième trimestre et les efforts d'optimisation des coûts pour améliorer la performance. L'ouverture de la première boutique Uniwax devrait contribuer au renforcement de la visibilité de la marque. Cependant, la société reste vigilante face aux flu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