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20/09/2026 à 09:22</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HAUSSIER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BOAC  (score 86/100)</w:t>
      </w:r>
    </w:p>
    <w:p>
      <w:pPr>
        <w:spacing w:before="20" w:after="20"/>
        <w:ind w:left="360" w:right="360"/>
        <w:shd w:val="clear" w:color="auto" w:fill="EBF5FB"/>
      </w:pPr>
      <w:r>
        <w:rPr>
          <w:b/>
          <w:sz w:val="19"/>
        </w:rPr>
        <w:t xml:space="preserve">Secteur surperformant :  </w:t>
      </w:r>
      <w:r>
        <w:rPr>
          <w:color w:val="008000"/>
          <w:sz w:val="19"/>
        </w:rPr>
        <w:t>SERVICES PUBLICS  (+94.2%)</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10 sociétés — vérifier avant d'investir</w:t>
      </w:r>
    </w:p>
    <w:p>
      <w:pPr>
        <w:spacing w:before="20" w:after="20"/>
        <w:ind w:left="360" w:right="360"/>
        <w:shd w:val="clear" w:color="auto" w:fill="EBF5FB"/>
      </w:pPr>
      <w:r>
        <w:rPr>
          <w:b/>
          <w:sz w:val="19"/>
        </w:rPr>
        <w:t xml:space="preserve">⚠️ Liquidité réduite :  </w:t>
      </w:r>
      <w:r>
        <w:rPr>
          <w:color w:val="C00000"/>
          <w:sz w:val="19"/>
        </w:rPr>
        <w:t>10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553.71 points </w:t>
      </w:r>
      <w:r>
        <w:rPr>
          <w:color w:val="008000"/>
        </w:rPr>
        <w:t>(+1.03%)</w:t>
      </w:r>
      <w:r>
        <w:t xml:space="preserve"> sur la séance. </w:t>
      </w:r>
      <w:r>
        <w:t>La capitalisation globale du marché atteint 21 351,610 milliards FCFA.</w:t>
      </w:r>
    </w:p>
    <w:p/>
    <w:p>
      <w:pPr>
        <w:pStyle w:val="Heading3"/>
      </w:pPr>
      <w:r>
        <w:t>📊 Évolution de l'indice BRVM Composite (100 derniers jours)</w:t>
      </w:r>
    </w:p>
    <w:p>
      <w:r>
        <w:rPr>
          <w:b/>
        </w:rPr>
        <w:t xml:space="preserve">BRVM Composite — </w:t>
      </w:r>
      <w:r>
        <w:t xml:space="preserve">Sur les 100 derniers jours de cotation (2026-04-24 au 2026-09-18), l'indice BRVM Composite a évolué de </w:t>
      </w:r>
      <w:r>
        <w:rPr>
          <w:b/>
          <w:color w:val="008000"/>
        </w:rPr>
        <w:t>+37.54%</w:t>
      </w:r>
      <w:r>
        <w:t>, passant de 402.59 pts à 553.71 pts. Le plus haut atteint est 555.90 pts et le plus bas 401.60 pts. Sur l'ensemble de la période, la moyenne de l'indice s'établit à 469.31 pts, la médiane à 470.48 pts et le mode à 401.60 pts</w:t>
      </w:r>
      <w:r>
        <w:t xml:space="preserve"> (asymétrie positive — plus de jours sous la moyenne). </w:t>
      </w:r>
      <w:r>
        <w:t xml:space="preserve">L'écart-type de 47.52 pts (CV=10.1%) traduit une modérée dispersion des cotations. Le kurtosis de -0.99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+37.67%</w:t>
      </w:r>
      <w:r>
        <w:t xml:space="preserve"> sur la période, passant de 15 509,021 Mds FCFA à 21 351,610 Mds FCFA. Le pic de capitalisation observé est de 21 436,336 Mds FCFA et le plancher de 15 482,993 Mds FCFA. La moyenne de la capitalisation sur la période s'établit à 18 088,083 Mds FCFA, la médiane à 18 124,243 Mds FCFA et le mode à 15 482,993 Mds FCFA</w:t>
      </w:r>
      <w:r>
        <w:t xml:space="preserve"> (asymétrie positive). </w:t>
      </w:r>
      <w:r>
        <w:t>L'écart-type de 1 834,704 Mds FCFA (CV=10.1%) reflète une modérée variabilité de la valorisation du marché. Le kurtosis de -0.99 indique une distribution distribution normale.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CFAC - CFAC - CFAO MOTORS CI</w:t>
      </w:r>
      <w:r>
        <w:t xml:space="preserve"> | Prix: 1630 FCFA | </w:t>
      </w:r>
      <w:r>
        <w:rPr>
          <w:b/>
          <w:color w:val="008000"/>
        </w:rPr>
        <w:t>ACHAT FORT</w:t>
      </w:r>
      <w:r>
        <w:t xml:space="preserve"> | Confiance: Élevée | Risque: Faible</w:t>
      </w:r>
    </w:p>
    <w:p>
      <w:pPr>
        <w:pStyle w:val="ListNumber"/>
      </w:pPr>
      <w:r>
        <w:rPr>
          <w:b/>
        </w:rPr>
        <w:t>ETIT - ETIT - Ecobank Transnational Incorporated Togo</w:t>
      </w:r>
      <w:r>
        <w:t xml:space="preserve"> | Prix: 70 FCFA | </w:t>
      </w:r>
      <w:r>
        <w:rPr>
          <w:b/>
          <w:color w:val="008000"/>
        </w:rPr>
        <w:t>ACHAT FORT</w:t>
      </w:r>
      <w:r>
        <w:t xml:space="preserve"> | Confiance: Élevée | Risque: Moyen</w:t>
      </w:r>
    </w:p>
    <w:p>
      <w:pPr>
        <w:pStyle w:val="ListNumber"/>
      </w:pPr>
      <w:r>
        <w:rPr>
          <w:b/>
        </w:rPr>
        <w:t>ABJC - ABJC - SERVAIR ABIDJAN CI</w:t>
      </w:r>
      <w:r>
        <w:t xml:space="preserve"> | Prix: 3930 FCFA | </w:t>
      </w:r>
      <w:r>
        <w:rPr>
          <w:b/>
          <w:color w:val="008000"/>
        </w:rPr>
        <w:t>ACHAT</w:t>
      </w:r>
      <w:r>
        <w:t xml:space="preserve"> | Confiance: Moyen | Risque: Faible</w:t>
      </w:r>
    </w:p>
    <w:p>
      <w:pPr>
        <w:pStyle w:val="ListNumber"/>
      </w:pPr>
      <w:r>
        <w:rPr>
          <w:b/>
        </w:rPr>
        <w:t>BICB - BIIC BN - Banque internationale pour le commerce du benin</w:t>
      </w:r>
      <w:r>
        <w:t xml:space="preserve"> | Prix: 10110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31675 FCFA | </w:t>
      </w:r>
      <w:r>
        <w:rPr>
          <w:b/>
          <w:color w:val="008000"/>
        </w:rPr>
        <w:t>ACHAT</w:t>
      </w:r>
      <w:r>
        <w:t xml:space="preserve"> | Confiance: Moyen | Risque: Moyen</w:t>
      </w:r>
    </w:p>
    <w:p>
      <w:pPr>
        <w:pStyle w:val="ListNumber"/>
      </w:pPr>
      <w:r>
        <w:rPr>
          <w:b/>
        </w:rPr>
        <w:t>BNBC - BNBC - BERNABE CI</w:t>
      </w:r>
      <w:r>
        <w:t xml:space="preserve"> | Prix: 2000 FCFA | </w:t>
      </w:r>
      <w:r>
        <w:rPr>
          <w:b/>
          <w:color w:val="008000"/>
        </w:rPr>
        <w:t>ACHAT</w:t>
      </w:r>
      <w:r>
        <w:t xml:space="preserve"> | Confiance: Élevée | Risque: Faible</w:t>
      </w:r>
    </w:p>
    <w:p>
      <w:pPr>
        <w:pStyle w:val="ListNumber"/>
      </w:pPr>
      <w:r>
        <w:rPr>
          <w:b/>
        </w:rPr>
        <w:t>BOAB - BANK OF AFRICA BENIN</w:t>
      </w:r>
      <w:r>
        <w:t xml:space="preserve"> | Prix: 9850 FCFA | </w:t>
      </w:r>
      <w:r>
        <w:rPr>
          <w:b/>
          <w:color w:val="008000"/>
        </w:rPr>
        <w:t>ACHAT</w:t>
      </w:r>
      <w:r>
        <w:t xml:space="preserve"> | Confiance: Élevée | Risque: Moyen</w:t>
      </w:r>
    </w:p>
    <w:p>
      <w:pPr>
        <w:pStyle w:val="ListNumber"/>
      </w:pPr>
      <w:r>
        <w:rPr>
          <w:b/>
        </w:rPr>
        <w:t>BOABF - BANK OF AFRICA BURKINA FASO</w:t>
      </w:r>
      <w:r>
        <w:t xml:space="preserve"> | Prix: 7800 FCFA | </w:t>
      </w:r>
      <w:r>
        <w:rPr>
          <w:b/>
          <w:color w:val="008000"/>
        </w:rPr>
        <w:t>ACHAT</w:t>
      </w:r>
      <w:r>
        <w:t xml:space="preserve"> | Confiance: Élevée | Risque: Moyen</w:t>
      </w:r>
    </w:p>
    <w:p>
      <w:pPr>
        <w:pStyle w:val="ListNumber"/>
      </w:pPr>
      <w:r>
        <w:rPr>
          <w:b/>
        </w:rPr>
        <w:t>BOAC - BANK OF AFRICA COTE D'IVOIRE</w:t>
      </w:r>
      <w:r>
        <w:t xml:space="preserve"> | Prix: 11805 FCFA | </w:t>
      </w:r>
      <w:r>
        <w:rPr>
          <w:b/>
          <w:color w:val="008000"/>
        </w:rPr>
        <w:t>ACHAT</w:t>
      </w:r>
      <w:r>
        <w:t xml:space="preserve"> | Confiance: Élevée | Risque: Moyen</w:t>
      </w:r>
    </w:p>
    <w:p>
      <w:pPr>
        <w:pStyle w:val="ListNumber"/>
      </w:pPr>
      <w:r>
        <w:rPr>
          <w:b/>
        </w:rPr>
        <w:t>BOAM - BANK OF AFRICA MALI</w:t>
      </w:r>
      <w:r>
        <w:t xml:space="preserve"> | Prix: 6705 FCFA | </w:t>
      </w:r>
      <w:r>
        <w:rPr>
          <w:b/>
          <w:color w:val="008000"/>
        </w:rPr>
        <w:t>ACHAT</w:t>
      </w:r>
      <w:r>
        <w:t xml:space="preserve"> | Confiance: Moyen | Risque: Faible</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94.20%</w:t>
      </w:r>
      <w:r>
        <w:t xml:space="preserve">  |  </w:t>
      </w:r>
      <w:r>
        <w:rPr>
          <w:b/>
        </w:rPr>
        <w:t xml:space="preserve">vs BRVM Composite: </w:t>
      </w:r>
      <w:r>
        <w:rPr>
          <w:b/>
          <w:color w:val="008000"/>
        </w:rPr>
        <w:t>+56.66%  🟢 Surperformance</w:t>
      </w:r>
      <w:r>
        <w:br/>
      </w:r>
      <w:r>
        <w:rPr>
          <w:b/>
        </w:rPr>
        <w:t xml:space="preserve">Sentiment général: </w:t>
      </w:r>
      <w:r>
        <w:t xml:space="preserve">ACHAT  |  </w:t>
      </w:r>
      <w:r>
        <w:rPr>
          <w:b/>
        </w:rPr>
        <w:t xml:space="preserve">Risque moyen: </w:t>
      </w:r>
      <w:r>
        <w:t xml:space="preserve">Moyen  |  </w:t>
      </w:r>
      <w:r>
        <w:rPr>
          <w:b/>
        </w:rPr>
        <w:t xml:space="preserve">Prix moyen: </w:t>
      </w:r>
      <w:r>
        <w:t>9468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45.23%</w:t>
      </w:r>
      <w:r>
        <w:t xml:space="preserve">  |  </w:t>
      </w:r>
      <w:r>
        <w:rPr>
          <w:b/>
        </w:rPr>
        <w:t xml:space="preserve">vs BRVM Composite: </w:t>
      </w:r>
      <w:r>
        <w:rPr>
          <w:b/>
          <w:color w:val="008000"/>
        </w:rPr>
        <w:t>+7.70%  🟢 Surperformance</w:t>
      </w:r>
      <w:r>
        <w:br/>
      </w:r>
      <w:r>
        <w:rPr>
          <w:b/>
        </w:rPr>
        <w:t xml:space="preserve">Sentiment général: </w:t>
      </w:r>
      <w:r>
        <w:t xml:space="preserve">ACHAT  |  </w:t>
      </w:r>
      <w:r>
        <w:rPr>
          <w:b/>
        </w:rPr>
        <w:t xml:space="preserve">Risque moyen: </w:t>
      </w:r>
      <w:r>
        <w:t xml:space="preserve">Moyen  |  </w:t>
      </w:r>
      <w:r>
        <w:rPr>
          <w:b/>
        </w:rPr>
        <w:t xml:space="preserve">Prix moyen: </w:t>
      </w:r>
      <w:r>
        <w:t>13939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34.68%</w:t>
      </w:r>
      <w:r>
        <w:t xml:space="preserve">  |  </w:t>
      </w:r>
      <w:r>
        <w:rPr>
          <w:b/>
        </w:rPr>
        <w:t xml:space="preserve">vs BRVM Composite: </w:t>
      </w:r>
      <w:r>
        <w:rPr>
          <w:b/>
          <w:color w:val="C00000"/>
        </w:rPr>
        <w:t>-2.86%  🔴 Sous-performance</w:t>
      </w:r>
      <w:r>
        <w:br/>
      </w:r>
      <w:r>
        <w:rPr>
          <w:b/>
        </w:rPr>
        <w:t xml:space="preserve">Sentiment général: </w:t>
      </w:r>
      <w:r>
        <w:t xml:space="preserve">ACHAT  |  </w:t>
      </w:r>
      <w:r>
        <w:rPr>
          <w:b/>
        </w:rPr>
        <w:t xml:space="preserve">Risque moyen: </w:t>
      </w:r>
      <w:r>
        <w:t xml:space="preserve">Moyen  |  </w:t>
      </w:r>
      <w:r>
        <w:rPr>
          <w:b/>
        </w:rPr>
        <w:t xml:space="preserve">Prix moyen: </w:t>
      </w:r>
      <w:r>
        <w:t>22430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32.38%</w:t>
      </w:r>
      <w:r>
        <w:t xml:space="preserve">  |  </w:t>
      </w:r>
      <w:r>
        <w:rPr>
          <w:b/>
        </w:rPr>
        <w:t xml:space="preserve">vs BRVM Composite: </w:t>
      </w:r>
      <w:r>
        <w:rPr>
          <w:b/>
          <w:color w:val="C00000"/>
        </w:rPr>
        <w:t>-5.16%  🔴 Sous-performance</w:t>
      </w:r>
      <w:r>
        <w:br/>
      </w:r>
      <w:r>
        <w:rPr>
          <w:b/>
        </w:rPr>
        <w:t xml:space="preserve">Sentiment général: </w:t>
      </w:r>
      <w:r>
        <w:t xml:space="preserve">ACHAT  |  </w:t>
      </w:r>
      <w:r>
        <w:rPr>
          <w:b/>
        </w:rPr>
        <w:t xml:space="preserve">Risque moyen: </w:t>
      </w:r>
      <w:r>
        <w:t xml:space="preserve">Moyen  |  </w:t>
      </w:r>
      <w:r>
        <w:rPr>
          <w:b/>
        </w:rPr>
        <w:t xml:space="preserve">Prix moyen: </w:t>
      </w:r>
      <w:r>
        <w:t>6718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21.63%</w:t>
      </w:r>
      <w:r>
        <w:t xml:space="preserve">  |  </w:t>
      </w:r>
      <w:r>
        <w:rPr>
          <w:b/>
        </w:rPr>
        <w:t xml:space="preserve">vs BRVM Composite: </w:t>
      </w:r>
      <w:r>
        <w:rPr>
          <w:b/>
          <w:color w:val="C00000"/>
        </w:rPr>
        <w:t>-15.90%  🔴 Sous-performance</w:t>
      </w:r>
      <w:r>
        <w:br/>
      </w:r>
      <w:r>
        <w:rPr>
          <w:b/>
        </w:rPr>
        <w:t xml:space="preserve">Sentiment général: </w:t>
      </w:r>
      <w:r>
        <w:t xml:space="preserve">ACHAT  |  </w:t>
      </w:r>
      <w:r>
        <w:rPr>
          <w:b/>
        </w:rPr>
        <w:t xml:space="preserve">Risque moyen: </w:t>
      </w:r>
      <w:r>
        <w:t xml:space="preserve">Faible  |  </w:t>
      </w:r>
      <w:r>
        <w:rPr>
          <w:b/>
        </w:rPr>
        <w:t xml:space="preserve">Prix moyen: </w:t>
      </w:r>
      <w:r>
        <w:t>18207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13.87%</w:t>
      </w:r>
      <w:r>
        <w:t xml:space="preserve">  |  </w:t>
      </w:r>
      <w:r>
        <w:rPr>
          <w:b/>
        </w:rPr>
        <w:t xml:space="preserve">vs BRVM Composite: </w:t>
      </w:r>
      <w:r>
        <w:rPr>
          <w:b/>
          <w:color w:val="C00000"/>
        </w:rPr>
        <w:t>-23.67%  🔴 Sous-performance</w:t>
      </w:r>
      <w:r>
        <w:br/>
      </w:r>
      <w:r>
        <w:rPr>
          <w:b/>
        </w:rPr>
        <w:t xml:space="preserve">Sentiment général: </w:t>
      </w:r>
      <w:r>
        <w:t xml:space="preserve">ACHAT  |  </w:t>
      </w:r>
      <w:r>
        <w:rPr>
          <w:b/>
        </w:rPr>
        <w:t xml:space="preserve">Risque moyen: </w:t>
      </w:r>
      <w:r>
        <w:t xml:space="preserve">Faible  |  </w:t>
      </w:r>
      <w:r>
        <w:rPr>
          <w:b/>
        </w:rPr>
        <w:t xml:space="preserve">Prix moyen: </w:t>
      </w:r>
      <w:r>
        <w:t>2965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-1.90%</w:t>
      </w:r>
      <w:r>
        <w:t xml:space="preserve">  |  </w:t>
      </w:r>
      <w:r>
        <w:rPr>
          <w:b/>
        </w:rPr>
        <w:t xml:space="preserve">vs BRVM Composite: </w:t>
      </w:r>
      <w:r>
        <w:rPr>
          <w:b/>
          <w:color w:val="C00000"/>
        </w:rPr>
        <w:t>-39.44%  🔴 Sous-performance</w:t>
      </w:r>
      <w:r>
        <w:br/>
      </w:r>
      <w:r>
        <w:rPr>
          <w:b/>
        </w:rPr>
        <w:t xml:space="preserve">Sentiment général: </w:t>
      </w:r>
      <w:r>
        <w:t xml:space="preserve">ACHAT  |  </w:t>
      </w:r>
      <w:r>
        <w:rPr>
          <w:b/>
        </w:rPr>
        <w:t xml:space="preserve">Risque moyen: </w:t>
      </w:r>
      <w:r>
        <w:t xml:space="preserve">Faible  |  </w:t>
      </w:r>
      <w:r>
        <w:rPr>
          <w:b/>
        </w:rPr>
        <w:t xml:space="preserve">Prix moyen: </w:t>
      </w:r>
      <w:r>
        <w:t>2392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BNBC, BOAB, BOABF, BOAC, BOAN, BOAS, CFAC, CIEC, FTSC, NEIC, NSBC, NTLC, ORGT, SAFC, SDCC, SDSC, SHEC, SIVC, SMBC, SOGC, SPHC, STAC, TTLC, TTLS,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BICB, BICC, BOAM, ECOC, ETIT, ORAC, PALC, SCRC, SEMC, SIBC, STBC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CABC, CBIBF, LNBB, ONTBF, PRSC, SGBC, SICC, SLBC, SNTS,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2084120</w:t>
            </w:r>
          </w:p>
        </w:tc>
        <w:tc>
          <w:tcPr>
            <w:tcW w:type="dxa" w:w="1728"/>
          </w:tcPr>
          <w:p>
            <w:r>
              <w:t>141012558 FCFA</w:t>
            </w:r>
          </w:p>
        </w:tc>
        <w:tc>
          <w:tcPr>
            <w:tcW w:type="dxa" w:w="1728"/>
          </w:tcPr>
          <w:p>
            <w:r>
              <w:t>141.38%</w:t>
            </w:r>
          </w:p>
        </w:tc>
        <w:tc>
          <w:tcPr>
            <w:tcW w:type="dxa" w:w="1728"/>
          </w:tcPr>
          <w:p>
            <w:r>
              <w:t>ACHAT FORT</w:t>
            </w:r>
          </w:p>
        </w:tc>
      </w:tr>
      <w:tr>
        <w:tc>
          <w:tcPr>
            <w:tcW w:type="dxa" w:w="1728"/>
          </w:tcPr>
          <w:p>
            <w:r>
              <w:t>SDSC (SDSC - AFRICA GLOBAL LOGISTICS CI)</w:t>
            </w:r>
          </w:p>
        </w:tc>
        <w:tc>
          <w:tcPr>
            <w:tcW w:type="dxa" w:w="1728"/>
          </w:tcPr>
          <w:p>
            <w:r>
              <w:t>17050</w:t>
            </w:r>
          </w:p>
        </w:tc>
        <w:tc>
          <w:tcPr>
            <w:tcW w:type="dxa" w:w="1728"/>
          </w:tcPr>
          <w:p>
            <w:r>
              <w:t>49171092 FCFA</w:t>
            </w:r>
          </w:p>
        </w:tc>
        <w:tc>
          <w:tcPr>
            <w:tcW w:type="dxa" w:w="1728"/>
          </w:tcPr>
          <w:p>
            <w:r>
              <w:t>58.15%</w:t>
            </w:r>
          </w:p>
        </w:tc>
        <w:tc>
          <w:tcPr>
            <w:tcW w:type="dxa" w:w="1728"/>
          </w:tcPr>
          <w:p>
            <w:r>
              <w:t>ACHAT</w:t>
            </w:r>
          </w:p>
        </w:tc>
      </w:tr>
      <w:tr>
        <w:tc>
          <w:tcPr>
            <w:tcW w:type="dxa" w:w="1728"/>
          </w:tcPr>
          <w:p>
            <w:r>
              <w:t>SNTS (SNTS - SONATEL SN)</w:t>
            </w:r>
          </w:p>
        </w:tc>
        <w:tc>
          <w:tcPr>
            <w:tcW w:type="dxa" w:w="1728"/>
          </w:tcPr>
          <w:p>
            <w:r>
              <w:t>15883</w:t>
            </w:r>
          </w:p>
        </w:tc>
        <w:tc>
          <w:tcPr>
            <w:tcW w:type="dxa" w:w="1728"/>
          </w:tcPr>
          <w:p>
            <w:r>
              <w:t>615533726 FCFA</w:t>
            </w:r>
          </w:p>
        </w:tc>
        <w:tc>
          <w:tcPr>
            <w:tcW w:type="dxa" w:w="1728"/>
          </w:tcPr>
          <w:p>
            <w:r>
              <w:t>48.04%</w:t>
            </w:r>
          </w:p>
        </w:tc>
        <w:tc>
          <w:tcPr>
            <w:tcW w:type="dxa" w:w="1728"/>
          </w:tcPr>
          <w:p>
            <w:r>
              <w:t>ACHAT</w:t>
            </w:r>
          </w:p>
        </w:tc>
      </w:tr>
      <w:tr>
        <w:tc>
          <w:tcPr>
            <w:tcW w:type="dxa" w:w="1728"/>
          </w:tcPr>
          <w:p>
            <w:r>
              <w:t>SIBC (SIBC - SOCIETE IVOIRIENNE DE BANQUE)</w:t>
            </w:r>
          </w:p>
        </w:tc>
        <w:tc>
          <w:tcPr>
            <w:tcW w:type="dxa" w:w="1728"/>
          </w:tcPr>
          <w:p>
            <w:r>
              <w:t>14833</w:t>
            </w:r>
          </w:p>
        </w:tc>
        <w:tc>
          <w:tcPr>
            <w:tcW w:type="dxa" w:w="1728"/>
          </w:tcPr>
          <w:p>
            <w:r>
              <w:t>135500702 FCFA</w:t>
            </w:r>
          </w:p>
        </w:tc>
        <w:tc>
          <w:tcPr>
            <w:tcW w:type="dxa" w:w="1728"/>
          </w:tcPr>
          <w:p>
            <w:r>
              <w:t>31.21%</w:t>
            </w:r>
          </w:p>
        </w:tc>
        <w:tc>
          <w:tcPr>
            <w:tcW w:type="dxa" w:w="1728"/>
          </w:tcPr>
          <w:p>
            <w:r>
              <w:t>ACHAT</w:t>
            </w:r>
          </w:p>
        </w:tc>
      </w:tr>
      <w:tr>
        <w:tc>
          <w:tcPr>
            <w:tcW w:type="dxa" w:w="1728"/>
          </w:tcPr>
          <w:p>
            <w:r>
              <w:t>BOAS (BANK OF AFRICA SENEGAL)</w:t>
            </w:r>
          </w:p>
        </w:tc>
        <w:tc>
          <w:tcPr>
            <w:tcW w:type="dxa" w:w="1728"/>
          </w:tcPr>
          <w:p>
            <w:r>
              <w:t>13850</w:t>
            </w:r>
          </w:p>
        </w:tc>
        <w:tc>
          <w:tcPr>
            <w:tcW w:type="dxa" w:w="1728"/>
          </w:tcPr>
          <w:p>
            <w:r>
              <w:t>114076094 FCFA</w:t>
            </w:r>
          </w:p>
        </w:tc>
        <w:tc>
          <w:tcPr>
            <w:tcW w:type="dxa" w:w="1728"/>
          </w:tcPr>
          <w:p>
            <w:r>
              <w:t>16.67%</w:t>
            </w:r>
          </w:p>
        </w:tc>
        <w:tc>
          <w:tcPr>
            <w:tcW w:type="dxa" w:w="1728"/>
          </w:tcPr>
          <w:p>
            <w:r>
              <w:t>ACHAT</w:t>
            </w:r>
          </w:p>
        </w:tc>
      </w:tr>
      <w:tr>
        <w:tc>
          <w:tcPr>
            <w:tcW w:type="dxa" w:w="1728"/>
          </w:tcPr>
          <w:p>
            <w:r>
              <w:t>UNXC (UNXC - UNIWAX COTE D'IVOIRE)</w:t>
            </w:r>
          </w:p>
        </w:tc>
        <w:tc>
          <w:tcPr>
            <w:tcW w:type="dxa" w:w="1728"/>
          </w:tcPr>
          <w:p>
            <w:r>
              <w:t>12145</w:t>
            </w:r>
          </w:p>
        </w:tc>
        <w:tc>
          <w:tcPr>
            <w:tcW w:type="dxa" w:w="1728"/>
          </w:tcPr>
          <w:p>
            <w:r>
              <w:t>29112380 FCFA</w:t>
            </w:r>
          </w:p>
        </w:tc>
        <w:tc>
          <w:tcPr>
            <w:tcW w:type="dxa" w:w="1728"/>
          </w:tcPr>
          <w:p>
            <w:r>
              <w:t>11.27%</w:t>
            </w:r>
          </w:p>
        </w:tc>
        <w:tc>
          <w:tcPr>
            <w:tcW w:type="dxa" w:w="1728"/>
          </w:tcPr>
          <w:p>
            <w:r>
              <w:t>ACHAT</w:t>
            </w:r>
          </w:p>
        </w:tc>
      </w:tr>
      <w:tr>
        <w:tc>
          <w:tcPr>
            <w:tcW w:type="dxa" w:w="1728"/>
          </w:tcPr>
          <w:p>
            <w:r>
              <w:t>SAFC (SAFCA CI)</w:t>
            </w:r>
          </w:p>
        </w:tc>
        <w:tc>
          <w:tcPr>
            <w:tcW w:type="dxa" w:w="1728"/>
          </w:tcPr>
          <w:p>
            <w:r>
              <w:t>12115</w:t>
            </w:r>
          </w:p>
        </w:tc>
        <w:tc>
          <w:tcPr>
            <w:tcW w:type="dxa" w:w="1728"/>
          </w:tcPr>
          <w:p>
            <w:r>
              <w:t>66892354 FCFA</w:t>
            </w:r>
          </w:p>
        </w:tc>
        <w:tc>
          <w:tcPr>
            <w:tcW w:type="dxa" w:w="1728"/>
          </w:tcPr>
          <w:p>
            <w:r>
              <w:t>19.28%</w:t>
            </w:r>
          </w:p>
        </w:tc>
        <w:tc>
          <w:tcPr>
            <w:tcW w:type="dxa" w:w="1728"/>
          </w:tcPr>
          <w:p>
            <w:r>
              <w:t>ACHAT</w:t>
            </w:r>
          </w:p>
        </w:tc>
      </w:tr>
      <w:tr>
        <w:tc>
          <w:tcPr>
            <w:tcW w:type="dxa" w:w="1728"/>
          </w:tcPr>
          <w:p>
            <w:r>
              <w:t>BICB (BIIC BN - Banque internationale pour le commerce du benin)</w:t>
            </w:r>
          </w:p>
        </w:tc>
        <w:tc>
          <w:tcPr>
            <w:tcW w:type="dxa" w:w="1728"/>
          </w:tcPr>
          <w:p>
            <w:r>
              <w:t>11361</w:t>
            </w:r>
          </w:p>
        </w:tc>
        <w:tc>
          <w:tcPr>
            <w:tcW w:type="dxa" w:w="1728"/>
          </w:tcPr>
          <w:p>
            <w:r>
              <w:t>110681186 FCFA</w:t>
            </w:r>
          </w:p>
        </w:tc>
        <w:tc>
          <w:tcPr>
            <w:tcW w:type="dxa" w:w="1728"/>
          </w:tcPr>
          <w:p>
            <w:r>
              <w:t>94.42%</w:t>
            </w:r>
          </w:p>
        </w:tc>
        <w:tc>
          <w:tcPr>
            <w:tcW w:type="dxa" w:w="1728"/>
          </w:tcPr>
          <w:p>
            <w:r>
              <w:t>ACHAT</w:t>
            </w:r>
          </w:p>
        </w:tc>
      </w:tr>
      <w:tr>
        <w:tc>
          <w:tcPr>
            <w:tcW w:type="dxa" w:w="1728"/>
          </w:tcPr>
          <w:p>
            <w:r>
              <w:t>BOAC (BANK OF AFRICA COTE D'IVOIRE)</w:t>
            </w:r>
          </w:p>
        </w:tc>
        <w:tc>
          <w:tcPr>
            <w:tcW w:type="dxa" w:w="1728"/>
          </w:tcPr>
          <w:p>
            <w:r>
              <w:t>10168</w:t>
            </w:r>
          </w:p>
        </w:tc>
        <w:tc>
          <w:tcPr>
            <w:tcW w:type="dxa" w:w="1728"/>
          </w:tcPr>
          <w:p>
            <w:r>
              <w:t>126561474 FCFA</w:t>
            </w:r>
          </w:p>
        </w:tc>
        <w:tc>
          <w:tcPr>
            <w:tcW w:type="dxa" w:w="1728"/>
          </w:tcPr>
          <w:p>
            <w:r>
              <w:t>37.27%</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ABJC (ABJC - SERVAIR ABIDJAN CI)</w:t>
            </w:r>
          </w:p>
        </w:tc>
        <w:tc>
          <w:tcPr>
            <w:tcW w:type="dxa" w:w="1728"/>
          </w:tcPr>
          <w:p>
            <w:r>
              <w:t>4040</w:t>
            </w:r>
          </w:p>
        </w:tc>
        <w:tc>
          <w:tcPr>
            <w:tcW w:type="dxa" w:w="1728"/>
          </w:tcPr>
          <w:p>
            <w:r>
              <w:t>15536710 FCFA</w:t>
            </w:r>
          </w:p>
        </w:tc>
        <w:tc>
          <w:tcPr>
            <w:tcW w:type="dxa" w:w="1728"/>
          </w:tcPr>
          <w:p>
            <w:r>
              <w:t>7.52%</w:t>
            </w:r>
          </w:p>
        </w:tc>
        <w:tc>
          <w:tcPr>
            <w:tcW w:type="dxa" w:w="1728"/>
          </w:tcPr>
          <w:p>
            <w:r>
              <w:t>ACHAT</w:t>
            </w:r>
          </w:p>
        </w:tc>
      </w:tr>
      <w:tr>
        <w:tc>
          <w:tcPr>
            <w:tcW w:type="dxa" w:w="1728"/>
          </w:tcPr>
          <w:p>
            <w:r>
              <w:t>SOGC (SOGC - Société des caoutchoucs de Grand-Béréby)</w:t>
            </w:r>
          </w:p>
        </w:tc>
        <w:tc>
          <w:tcPr>
            <w:tcW w:type="dxa" w:w="1728"/>
          </w:tcPr>
          <w:p>
            <w:r>
              <w:t>3878</w:t>
            </w:r>
          </w:p>
        </w:tc>
        <w:tc>
          <w:tcPr>
            <w:tcW w:type="dxa" w:w="1728"/>
          </w:tcPr>
          <w:p>
            <w:r>
              <w:t>32058207 FCFA</w:t>
            </w:r>
          </w:p>
        </w:tc>
        <w:tc>
          <w:tcPr>
            <w:tcW w:type="dxa" w:w="1728"/>
          </w:tcPr>
          <w:p>
            <w:r>
              <w:t>2.01%</w:t>
            </w:r>
          </w:p>
        </w:tc>
        <w:tc>
          <w:tcPr>
            <w:tcW w:type="dxa" w:w="1728"/>
          </w:tcPr>
          <w:p>
            <w:r>
              <w:t>ACHAT</w:t>
            </w:r>
          </w:p>
        </w:tc>
      </w:tr>
      <w:tr>
        <w:tc>
          <w:tcPr>
            <w:tcW w:type="dxa" w:w="1728"/>
          </w:tcPr>
          <w:p>
            <w:r>
              <w:t>STBC (STBC - SITAB COTE D'IVOIRE)</w:t>
            </w:r>
          </w:p>
        </w:tc>
        <w:tc>
          <w:tcPr>
            <w:tcW w:type="dxa" w:w="1728"/>
          </w:tcPr>
          <w:p>
            <w:r>
              <w:t>3868</w:t>
            </w:r>
          </w:p>
        </w:tc>
        <w:tc>
          <w:tcPr>
            <w:tcW w:type="dxa" w:w="1728"/>
          </w:tcPr>
          <w:p>
            <w:r>
              <w:t>84805130 FCFA</w:t>
            </w:r>
          </w:p>
        </w:tc>
        <w:tc>
          <w:tcPr>
            <w:tcW w:type="dxa" w:w="1728"/>
          </w:tcPr>
          <w:p>
            <w:r>
              <w:t>7.07%</w:t>
            </w:r>
          </w:p>
        </w:tc>
        <w:tc>
          <w:tcPr>
            <w:tcW w:type="dxa" w:w="1728"/>
          </w:tcPr>
          <w:p>
            <w:r>
              <w:t>ACHAT</w:t>
            </w:r>
          </w:p>
        </w:tc>
      </w:tr>
      <w:tr>
        <w:tc>
          <w:tcPr>
            <w:tcW w:type="dxa" w:w="1728"/>
          </w:tcPr>
          <w:p>
            <w:r>
              <w:t>CFAC (CFAC - CFAO MOTORS CI)</w:t>
            </w:r>
          </w:p>
        </w:tc>
        <w:tc>
          <w:tcPr>
            <w:tcW w:type="dxa" w:w="1728"/>
          </w:tcPr>
          <w:p>
            <w:r>
              <w:t>3816</w:t>
            </w:r>
          </w:p>
        </w:tc>
        <w:tc>
          <w:tcPr>
            <w:tcW w:type="dxa" w:w="1728"/>
          </w:tcPr>
          <w:p>
            <w:r>
              <w:t>6553494 FCFA</w:t>
            </w:r>
          </w:p>
        </w:tc>
        <w:tc>
          <w:tcPr>
            <w:tcW w:type="dxa" w:w="1728"/>
          </w:tcPr>
          <w:p>
            <w:r>
              <w:t>2.19%</w:t>
            </w:r>
          </w:p>
        </w:tc>
        <w:tc>
          <w:tcPr>
            <w:tcW w:type="dxa" w:w="1728"/>
          </w:tcPr>
          <w:p>
            <w:r>
              <w:t>ACHAT FORT</w:t>
            </w:r>
          </w:p>
        </w:tc>
      </w:tr>
      <w:tr>
        <w:tc>
          <w:tcPr>
            <w:tcW w:type="dxa" w:w="1728"/>
          </w:tcPr>
          <w:p>
            <w:r>
              <w:t>ECOC (ECOC - ECOBANK COTE D'IVOIRE)</w:t>
            </w:r>
          </w:p>
        </w:tc>
        <w:tc>
          <w:tcPr>
            <w:tcW w:type="dxa" w:w="1728"/>
          </w:tcPr>
          <w:p>
            <w:r>
              <w:t>3613</w:t>
            </w:r>
          </w:p>
        </w:tc>
        <w:tc>
          <w:tcPr>
            <w:tcW w:type="dxa" w:w="1728"/>
          </w:tcPr>
          <w:p>
            <w:r>
              <w:t>61052542 FCFA</w:t>
            </w:r>
          </w:p>
        </w:tc>
        <w:tc>
          <w:tcPr>
            <w:tcW w:type="dxa" w:w="1728"/>
          </w:tcPr>
          <w:p>
            <w:r>
              <w:t>4.26%</w:t>
            </w:r>
          </w:p>
        </w:tc>
        <w:tc>
          <w:tcPr>
            <w:tcW w:type="dxa" w:w="1728"/>
          </w:tcPr>
          <w:p>
            <w:r>
              <w:t>ACHAT</w:t>
            </w:r>
          </w:p>
        </w:tc>
      </w:tr>
      <w:tr>
        <w:tc>
          <w:tcPr>
            <w:tcW w:type="dxa" w:w="1728"/>
          </w:tcPr>
          <w:p>
            <w:r>
              <w:t>PALC (PALC - PALM COTE D'IVOIRE)</w:t>
            </w:r>
          </w:p>
        </w:tc>
        <w:tc>
          <w:tcPr>
            <w:tcW w:type="dxa" w:w="1728"/>
          </w:tcPr>
          <w:p>
            <w:r>
              <w:t>3574</w:t>
            </w:r>
          </w:p>
        </w:tc>
        <w:tc>
          <w:tcPr>
            <w:tcW w:type="dxa" w:w="1728"/>
          </w:tcPr>
          <w:p>
            <w:r>
              <w:t>31171922 FCFA</w:t>
            </w:r>
          </w:p>
        </w:tc>
        <w:tc>
          <w:tcPr>
            <w:tcW w:type="dxa" w:w="1728"/>
          </w:tcPr>
          <w:p>
            <w:r>
              <w:t>8.96%</w:t>
            </w:r>
          </w:p>
        </w:tc>
        <w:tc>
          <w:tcPr>
            <w:tcW w:type="dxa" w:w="1728"/>
          </w:tcPr>
          <w:p>
            <w:r>
              <w:t>ACHAT</w:t>
            </w:r>
          </w:p>
        </w:tc>
      </w:tr>
      <w:tr>
        <w:tc>
          <w:tcPr>
            <w:tcW w:type="dxa" w:w="1728"/>
          </w:tcPr>
          <w:p>
            <w:r>
              <w:t>FTSC (FTSC - FILTISAC COTE D'IVOIRE)</w:t>
            </w:r>
          </w:p>
        </w:tc>
        <w:tc>
          <w:tcPr>
            <w:tcW w:type="dxa" w:w="1728"/>
          </w:tcPr>
          <w:p>
            <w:r>
              <w:t>3238</w:t>
            </w:r>
          </w:p>
        </w:tc>
        <w:tc>
          <w:tcPr>
            <w:tcW w:type="dxa" w:w="1728"/>
          </w:tcPr>
          <w:p>
            <w:r>
              <w:t>6891022 FCFA</w:t>
            </w:r>
          </w:p>
        </w:tc>
        <w:tc>
          <w:tcPr>
            <w:tcW w:type="dxa" w:w="1728"/>
          </w:tcPr>
          <w:p>
            <w:r>
              <w:t>-0.71%</w:t>
            </w:r>
          </w:p>
        </w:tc>
        <w:tc>
          <w:tcPr>
            <w:tcW w:type="dxa" w:w="1728"/>
          </w:tcPr>
          <w:p>
            <w:r>
              <w:t>ACHAT</w:t>
            </w:r>
          </w:p>
        </w:tc>
      </w:tr>
      <w:tr>
        <w:tc>
          <w:tcPr>
            <w:tcW w:type="dxa" w:w="1728"/>
          </w:tcPr>
          <w:p>
            <w:r>
              <w:t>NEIC (NEIC - NEI-CEDA CI)</w:t>
            </w:r>
          </w:p>
        </w:tc>
        <w:tc>
          <w:tcPr>
            <w:tcW w:type="dxa" w:w="1728"/>
          </w:tcPr>
          <w:p>
            <w:r>
              <w:t>2801</w:t>
            </w:r>
          </w:p>
        </w:tc>
        <w:tc>
          <w:tcPr>
            <w:tcW w:type="dxa" w:w="1728"/>
          </w:tcPr>
          <w:p>
            <w:r>
              <w:t>7804096 FCFA</w:t>
            </w:r>
          </w:p>
        </w:tc>
        <w:tc>
          <w:tcPr>
            <w:tcW w:type="dxa" w:w="1728"/>
          </w:tcPr>
          <w:p>
            <w:r>
              <w:t>57.59%</w:t>
            </w:r>
          </w:p>
        </w:tc>
        <w:tc>
          <w:tcPr>
            <w:tcW w:type="dxa" w:w="1728"/>
          </w:tcPr>
          <w:p>
            <w:r>
              <w:t>ACHAT</w:t>
            </w:r>
          </w:p>
        </w:tc>
      </w:tr>
      <w:tr>
        <w:tc>
          <w:tcPr>
            <w:tcW w:type="dxa" w:w="1728"/>
          </w:tcPr>
          <w:p>
            <w:r>
              <w:t>TTLS (TTLS - TOTAL ENERGIES MARKETING SENEGAL)</w:t>
            </w:r>
          </w:p>
        </w:tc>
        <w:tc>
          <w:tcPr>
            <w:tcW w:type="dxa" w:w="1728"/>
          </w:tcPr>
          <w:p>
            <w:r>
              <w:t>2373</w:t>
            </w:r>
          </w:p>
        </w:tc>
        <w:tc>
          <w:tcPr>
            <w:tcW w:type="dxa" w:w="1728"/>
          </w:tcPr>
          <w:p>
            <w:r>
              <w:t>9142217 FCFA</w:t>
            </w:r>
          </w:p>
        </w:tc>
        <w:tc>
          <w:tcPr>
            <w:tcW w:type="dxa" w:w="1728"/>
          </w:tcPr>
          <w:p>
            <w:r>
              <w:t>21.73%</w:t>
            </w:r>
          </w:p>
        </w:tc>
        <w:tc>
          <w:tcPr>
            <w:tcW w:type="dxa" w:w="1728"/>
          </w:tcPr>
          <w:p>
            <w:r>
              <w:t>ACHAT</w:t>
            </w:r>
          </w:p>
        </w:tc>
      </w:tr>
      <w:tr>
        <w:tc>
          <w:tcPr>
            <w:tcW w:type="dxa" w:w="1728"/>
          </w:tcPr>
          <w:p>
            <w:r>
              <w:t>CABC (CABC - SICABLE COTE D'IVOIRE)</w:t>
            </w:r>
          </w:p>
        </w:tc>
        <w:tc>
          <w:tcPr>
            <w:tcW w:type="dxa" w:w="1728"/>
          </w:tcPr>
          <w:p>
            <w:r>
              <w:t>2340</w:t>
            </w:r>
          </w:p>
        </w:tc>
        <w:tc>
          <w:tcPr>
            <w:tcW w:type="dxa" w:w="1728"/>
          </w:tcPr>
          <w:p>
            <w:r>
              <w:t>8159933 FCFA</w:t>
            </w:r>
          </w:p>
        </w:tc>
        <w:tc>
          <w:tcPr>
            <w:tcW w:type="dxa" w:w="1728"/>
          </w:tcPr>
          <w:p>
            <w:r>
              <w:t>-5.42%</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CBIBF - CBIBF - CORIS BANK INTERNATIONAL BURKINA FASO</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UNLC - UNLC - UNILEVER COTE D'IVOIRE</w:t>
      </w:r>
    </w:p>
    <w:p>
      <w:r>
        <w:rPr>
          <w:b/>
        </w:rPr>
        <w:t xml:space="preserve">Score de divergence: </w:t>
      </w:r>
      <w:r>
        <w:t>5/8</w:t>
        <w:br/>
      </w:r>
      <w:r>
        <w:rPr>
          <w:b/>
        </w:rPr>
        <w:t xml:space="preserve">Description: </w:t>
      </w:r>
      <w:r>
        <w:t>Signaux de vente: MM, MACD | Recommandation finale: ACHAT</w:t>
        <w:br/>
      </w:r>
    </w:p>
    <w:p/>
    <w:p>
      <w:pPr>
        <w:pStyle w:val="Heading3"/>
      </w:pPr>
      <w:r>
        <w:t>3.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4. LNBB - LNBB - LOTERIE NATIONALE DU BENIN</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5. ONTBF - ONTBF - ONATEL BURKINA FASO</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6. PRSC - PRSC - TRACTAFRIC MOTORS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7. SGBC - SGBC - SOCIETE GENERALE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8.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SLBC - SLBC - SOLIBRA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SNTS - SNTS - SONATEL SN</w:t>
      </w:r>
    </w:p>
    <w:p>
      <w:r>
        <w:rPr>
          <w:b/>
        </w:rPr>
        <w:t xml:space="preserve">Score de divergence: </w:t>
      </w:r>
      <w:r>
        <w:t>4/8</w:t>
        <w:br/>
      </w:r>
      <w:r>
        <w:rPr>
          <w:b/>
        </w:rPr>
        <w:t xml:space="preserve">Description: </w:t>
      </w:r>
      <w:r>
        <w:t>Signaux d'achat: MM, MACD | Signaux de vente: Bollinger, RSI,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24</w:t>
            </w:r>
          </w:p>
        </w:tc>
        <w:tc>
          <w:tcPr>
            <w:tcW w:type="dxa" w:w="2160"/>
          </w:tcPr>
          <w:p>
            <w:r>
              <w:t>0</w:t>
            </w:r>
          </w:p>
        </w:tc>
      </w:tr>
      <w:tr>
        <w:tc>
          <w:tcPr>
            <w:tcW w:type="dxa" w:w="2160"/>
          </w:tcPr>
          <w:p>
            <w:r>
              <w:t>Risque Moyen</w:t>
            </w:r>
          </w:p>
        </w:tc>
        <w:tc>
          <w:tcPr>
            <w:tcW w:type="dxa" w:w="2160"/>
          </w:tcPr>
          <w:p>
            <w:r>
              <w:t>0</w:t>
            </w:r>
          </w:p>
        </w:tc>
        <w:tc>
          <w:tcPr>
            <w:tcW w:type="dxa" w:w="2160"/>
          </w:tcPr>
          <w:p>
            <w:r>
              <w:t>23</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008000"/>
          <w:sz w:val="18"/>
        </w:rPr>
        <w:t>**BCE** : hausse des taux directeurs pour lutter contre l'inflation (15/09), avec effet ambivalent sur immobilier/épargne en zone euro. Le président de la BCE nuance : les taux ne montent pas mécaniquement avec les prix de l'énergie (18/09).</w:t>
      </w:r>
    </w:p>
    <w:p>
      <w:pPr>
        <w:pStyle w:val="ListBullet"/>
        <w:spacing w:before="20" w:after="20"/>
        <w:ind w:left="360"/>
      </w:pPr>
      <w:r>
        <w:rPr>
          <w:sz w:val="18"/>
        </w:rPr>
        <w:t>**Matières premières** : mouvement latéral, indice MXV quasi inchangé (18/09) — absence de signal directionnel fort.</w:t>
      </w:r>
    </w:p>
    <w:p>
      <w:pPr>
        <w:pStyle w:val="ListBullet"/>
        <w:spacing w:before="20" w:after="20"/>
        <w:ind w:left="360"/>
      </w:pPr>
      <w:r>
        <w:rPr>
          <w:sz w:val="18"/>
        </w:rPr>
        <w:t>**Stocks stratégiques** : proposition Mélenchon de "stocks publics" de matières premières essentielles pour stabiliser les prix (18/09).</w:t>
      </w:r>
    </w:p>
    <w:p>
      <w:pPr>
        <w:pStyle w:val="Heading3"/>
      </w:pPr>
      <w:r>
        <w:rPr>
          <w:color w:val="500050"/>
        </w:rPr>
        <w:t>⚡ Impact estimé sur la BRVM</w:t>
      </w:r>
    </w:p>
    <w:p>
      <w:pPr>
        <w:spacing w:before="20" w:after="40"/>
        <w:ind w:left="280"/>
      </w:pPr>
      <w:r>
        <w:rPr>
          <w:i/>
          <w:sz w:val="18"/>
        </w:rPr>
        <w:t>Le resserrement BCE pèse sur l'appétit pour le risque des investisseurs européens, mais la stabilité des matières premières limite la pression sur les coûts des industriels BRVM (SIVC, STAC, FTSC). Neutre à légèrement négatif pour les valeurs cycliques.</w:t>
      </w:r>
    </w:p>
    <w:p>
      <w:pPr>
        <w:pStyle w:val="Heading2"/>
      </w:pPr>
      <w:r>
        <w:rPr>
          <w:color w:val="006E32"/>
        </w:rPr>
        <w:t>🌍 Plan Africain</w:t>
      </w:r>
    </w:p>
    <w:p>
      <w:pPr>
        <w:pStyle w:val="ListBullet"/>
        <w:spacing w:before="20" w:after="20"/>
        <w:ind w:left="360"/>
      </w:pPr>
      <w:r>
        <w:rPr>
          <w:color w:val="008000"/>
          <w:sz w:val="18"/>
        </w:rPr>
        <w:t>**Sénégal-FMI** : accord sur un programme d'aide d'environ 1,9 Md€ (01-02/09), signal positif de soutien budgétaire.</w:t>
      </w:r>
    </w:p>
    <w:p>
      <w:pPr>
        <w:pStyle w:val="ListBullet"/>
        <w:spacing w:before="20" w:after="20"/>
        <w:ind w:left="360"/>
      </w:pPr>
      <w:r>
        <w:rPr>
          <w:sz w:val="18"/>
        </w:rPr>
        <w:t>**Afrique du Sud** : Goldman Sachs anticipe un retour en "Investment grade" dès 2028 (02/09).</w:t>
      </w:r>
    </w:p>
    <w:p>
      <w:pPr>
        <w:pStyle w:val="ListBullet"/>
        <w:spacing w:before="20" w:after="20"/>
        <w:ind w:left="360"/>
      </w:pPr>
      <w:r>
        <w:rPr>
          <w:sz w:val="18"/>
        </w:rPr>
        <w:t>**Mali** : budget 2027 arrêté à plus de 4 400 Mds FCFA (18/09).</w:t>
      </w:r>
    </w:p>
    <w:p>
      <w:pPr>
        <w:pStyle w:val="Heading3"/>
      </w:pPr>
      <w:r>
        <w:rPr>
          <w:color w:val="500050"/>
        </w:rPr>
        <w:t>⚡ Impact estimé sur la BRVM</w:t>
      </w:r>
    </w:p>
    <w:p>
      <w:pPr>
        <w:spacing w:before="20" w:after="40"/>
        <w:ind w:left="280"/>
      </w:pPr>
      <w:r>
        <w:rPr>
          <w:i/>
          <w:sz w:val="18"/>
        </w:rPr>
        <w:t>Le soutien FMI au Sénégal rassure sur la stabilité macro UEMOA et bénéficie indirectement à SNTS (Sonatel, forte exposition sénégalaise) et aux banques régionales (BOAB, BOAS, BOAC).</w:t>
      </w:r>
    </w:p>
    <w:p>
      <w:pPr>
        <w:pStyle w:val="Heading2"/>
      </w:pPr>
      <w:r>
        <w:rPr>
          <w:color w:val="145A28"/>
        </w:rPr>
        <w:t>🌍 Plan Afrique de l'Ouest</w:t>
      </w:r>
    </w:p>
    <w:p>
      <w:pPr>
        <w:pStyle w:val="ListBullet"/>
        <w:spacing w:before="20" w:after="20"/>
        <w:ind w:left="360"/>
      </w:pPr>
      <w:r>
        <w:rPr>
          <w:sz w:val="18"/>
        </w:rPr>
        <w:t>**Orpaillage illégal en Côte d'Ivoire** : fléau économique, pertes fiscales (18/09) — négatif.</w:t>
      </w:r>
    </w:p>
    <w:p>
      <w:pPr>
        <w:pStyle w:val="ListBullet"/>
        <w:spacing w:before="20" w:after="20"/>
        <w:ind w:left="360"/>
      </w:pPr>
      <w:r>
        <w:rPr>
          <w:sz w:val="18"/>
        </w:rPr>
        <w:t>**CEDEAO** : renforcement des capacités sécurité/justice en Côte d'Ivoire (17/09).</w:t>
      </w:r>
    </w:p>
    <w:p>
      <w:pPr>
        <w:pStyle w:val="ListBullet"/>
        <w:spacing w:before="20" w:after="20"/>
        <w:ind w:left="360"/>
      </w:pPr>
      <w:r>
        <w:rPr>
          <w:sz w:val="18"/>
        </w:rPr>
        <w:t>**NGX Nigeria** : plateforme de données boursières en direct (18/09) — neutre.</w:t>
      </w:r>
    </w:p>
    <w:p>
      <w:pPr>
        <w:pStyle w:val="Heading3"/>
      </w:pPr>
      <w:r>
        <w:rPr>
          <w:color w:val="500050"/>
        </w:rPr>
        <w:t>⚡ Impact estimé sur la BRVM</w:t>
      </w:r>
    </w:p>
    <w:p>
      <w:pPr>
        <w:spacing w:before="20" w:after="40"/>
        <w:ind w:left="280"/>
      </w:pPr>
      <w:r>
        <w:rPr>
          <w:i/>
          <w:sz w:val="18"/>
        </w:rPr>
        <w:t>L'orpaillage illégal fragilise les recettes ivoiriennes, principal marché de la BRVM, avec un risque diffus sur la consommation intérieure (UNXC, CFAC, NEIC).</w:t>
      </w:r>
    </w:p>
    <w:p>
      <w:pPr>
        <w:pStyle w:val="Heading2"/>
      </w:pPr>
      <w:r>
        <w:rPr>
          <w:color w:val="8C4600"/>
        </w:rPr>
        <w:t>🏦 Plan UEMOA / Zone Franc</w:t>
      </w:r>
    </w:p>
    <w:p>
      <w:pPr>
        <w:pStyle w:val="ListBullet"/>
        <w:spacing w:before="20" w:after="20"/>
        <w:ind w:left="360"/>
      </w:pPr>
      <w:r>
        <w:rPr>
          <w:sz w:val="18"/>
        </w:rPr>
        <w:t>**Panne d'électricité majeure au Sénégal** : tensions autour des 11 Mds FCFA engagés dans le secteur énergétique (19/09) — négatif.</w:t>
      </w:r>
    </w:p>
    <w:p>
      <w:pPr>
        <w:pStyle w:val="ListBullet"/>
        <w:spacing w:before="20" w:after="20"/>
        <w:ind w:left="360"/>
      </w:pPr>
      <w:r>
        <w:rPr>
          <w:color w:val="008000"/>
          <w:sz w:val="18"/>
        </w:rPr>
        <w:t>**Sonatel** : franchit 42 000 FCFA avant fractionnement (20/09) — positif.</w:t>
      </w:r>
    </w:p>
    <w:p>
      <w:pPr>
        <w:pStyle w:val="ListBullet"/>
        <w:spacing w:before="20" w:after="20"/>
        <w:ind w:left="360"/>
      </w:pPr>
      <w:r>
        <w:rPr>
          <w:color w:val="008000"/>
          <w:sz w:val="18"/>
        </w:rPr>
        <w:t>**Mali** : budget 2027 en hausse.</w:t>
      </w:r>
    </w:p>
    <w:p>
      <w:pPr>
        <w:pStyle w:val="Heading3"/>
      </w:pPr>
      <w:r>
        <w:rPr>
          <w:color w:val="500050"/>
        </w:rPr>
        <w:t>⚡ Impact estimé sur la BRVM</w:t>
      </w:r>
    </w:p>
    <w:p>
      <w:pPr>
        <w:spacing w:before="20" w:after="40"/>
        <w:ind w:left="280"/>
      </w:pPr>
      <w:r>
        <w:rPr>
          <w:i/>
          <w:sz w:val="18"/>
        </w:rPr>
        <w:t>La crise énergétique sénégalaise pèse sur les coûts opérationnels des entreprises locales (SNTS, industries) mais le dynamisme de Sonatel soutient l'indice. Impact sectoriel mitigé : négatif pour l'énergie/industriels, positif pour les télécoms.</w:t>
      </w:r>
    </w:p>
    <w:p>
      <w:pPr>
        <w:pStyle w:val="Heading2"/>
      </w:pPr>
      <w:r>
        <w:rPr>
          <w:color w:val="003366"/>
        </w:rPr>
        <w:t>📈 Plan BRVM</w:t>
      </w:r>
    </w:p>
    <w:p>
      <w:pPr>
        <w:pStyle w:val="ListBullet"/>
        <w:spacing w:before="20" w:after="20"/>
        <w:ind w:left="360"/>
      </w:pPr>
      <w:r>
        <w:rPr>
          <w:sz w:val="18"/>
        </w:rPr>
        <w:t>Résultats encourageants des sociétés cotées ivoiriennes (09/06).</w:t>
      </w:r>
    </w:p>
    <w:p>
      <w:pPr>
        <w:pStyle w:val="ListBullet"/>
        <w:spacing w:before="20" w:after="20"/>
        <w:ind w:left="360"/>
      </w:pPr>
      <w:r>
        <w:rPr>
          <w:sz w:val="18"/>
        </w:rPr>
        <w:t>Sonatel en forte progression avant fractionnement.</w:t>
      </w:r>
    </w:p>
    <w:p>
      <w:pPr>
        <w:pStyle w:val="Heading3"/>
      </w:pPr>
      <w:r>
        <w:rPr>
          <w:color w:val="500050"/>
        </w:rPr>
        <w:t>⚡ Impact estimé sur la BRVM</w:t>
      </w:r>
    </w:p>
    <w:p>
      <w:pPr>
        <w:spacing w:before="20" w:after="40"/>
        <w:ind w:left="280"/>
      </w:pPr>
      <w:r>
        <w:rPr>
          <w:i/>
          <w:sz w:val="18"/>
        </w:rPr>
        <w:t>**SNTS** : momentum haussier, mais attention à l'effet dilution post-fractionnement. **SGBC/BICB** : stables, à surveiller sur les volumes. **SOGC/NTLC** : sensibles aux prix du cacao/caoutchouc, neutres. **SIVC/STAC** : sous pression des coûts énergétiques. Recommandation : conserver SNTS, accumuler progressivement les bancaires sur repli.</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**BCE** : débat sur la transmission des prix énergétiques aux taux (18/09).</w:t>
      </w:r>
    </w:p>
    <w:p>
      <w:pPr>
        <w:pStyle w:val="ListBullet"/>
        <w:spacing w:before="20" w:after="20"/>
        <w:ind w:left="360"/>
      </w:pPr>
      <w:r>
        <w:rPr>
          <w:sz w:val="18"/>
        </w:rPr>
        <w:t>**Panne électrique Sénégal** : dimension politique (Diomaye, Macky, ONU) autour des 11 Mds FCFA (19/09).</w:t>
      </w:r>
    </w:p>
    <w:p>
      <w:pPr>
        <w:pStyle w:val="Heading3"/>
      </w:pPr>
      <w:r>
        <w:rPr>
          <w:color w:val="500050"/>
        </w:rPr>
        <w:t>⚡ Impact estimé sur la BRVM</w:t>
      </w:r>
    </w:p>
    <w:p>
      <w:pPr>
        <w:spacing w:before="20" w:after="40"/>
        <w:ind w:left="280"/>
      </w:pPr>
      <w:r>
        <w:rPr>
          <w:i/>
          <w:sz w:val="18"/>
        </w:rPr>
        <w:t>L'incertitude monétaire européenne détourne marginalement les flux des marchés frontières. Impact limité mais réel sur la liquidité BRVM.</w:t>
      </w:r>
    </w:p>
    <w:p>
      <w:pPr>
        <w:pStyle w:val="Heading2"/>
      </w:pPr>
      <w:r>
        <w:rPr>
          <w:color w:val="006E32"/>
        </w:rPr>
        <w:t>🌍 Plan Africain</w:t>
      </w:r>
    </w:p>
    <w:p>
      <w:pPr>
        <w:pStyle w:val="ListBullet"/>
        <w:spacing w:before="20" w:after="20"/>
        <w:ind w:left="360"/>
      </w:pPr>
      <w:r>
        <w:rPr>
          <w:sz w:val="18"/>
        </w:rPr>
        <w:t>**Sénégal-FMI** : accord politique fort, consolidant la crédibilité réformiste du nouveau régime.</w:t>
      </w:r>
    </w:p>
    <w:p>
      <w:pPr>
        <w:pStyle w:val="ListBullet"/>
        <w:spacing w:before="20" w:after="20"/>
        <w:ind w:left="360"/>
      </w:pPr>
      <w:r>
        <w:rPr>
          <w:sz w:val="18"/>
        </w:rPr>
        <w:t>**Afrique du Sud** : perspective Investment grade = signal de normalisation politique économique.</w:t>
      </w:r>
    </w:p>
    <w:p>
      <w:pPr>
        <w:pStyle w:val="Heading3"/>
      </w:pPr>
      <w:r>
        <w:rPr>
          <w:color w:val="500050"/>
        </w:rPr>
        <w:t>⚡ Impact estimé sur la BRVM</w:t>
      </w:r>
    </w:p>
    <w:p>
      <w:pPr>
        <w:spacing w:before="20" w:after="40"/>
        <w:ind w:left="280"/>
      </w:pPr>
      <w:r>
        <w:rPr>
          <w:i/>
          <w:sz w:val="18"/>
        </w:rPr>
        <w:t>Amélioration de la perception risque Afrique, favorable aux flux de capitaux vers la BRVM, notamment sur les bancaires (BOAB, BOAC, BOAS).</w:t>
      </w:r>
    </w:p>
    <w:p>
      <w:pPr>
        <w:pStyle w:val="Heading2"/>
      </w:pPr>
      <w:r>
        <w:rPr>
          <w:color w:val="145A28"/>
        </w:rPr>
        <w:t>🌍 Plan Afrique de l'Ouest</w:t>
      </w:r>
    </w:p>
    <w:p>
      <w:pPr>
        <w:pStyle w:val="ListBullet"/>
        <w:spacing w:before="20" w:after="20"/>
        <w:ind w:left="360"/>
      </w:pPr>
      <w:r>
        <w:rPr>
          <w:sz w:val="18"/>
        </w:rPr>
        <w:t>**CEDEAO** : formation sécurité/justice en Côte d'Ivoire (17/09).</w:t>
      </w:r>
    </w:p>
    <w:p>
      <w:pPr>
        <w:pStyle w:val="ListBullet"/>
        <w:spacing w:before="20" w:after="20"/>
        <w:ind w:left="360"/>
      </w:pPr>
      <w:r>
        <w:rPr>
          <w:sz w:val="18"/>
        </w:rPr>
        <w:t>**Orpaillage illégal** : enjeu de gouvernance en Côte d'Ivoire.</w:t>
      </w:r>
    </w:p>
    <w:p>
      <w:pPr>
        <w:pStyle w:val="Heading3"/>
      </w:pPr>
      <w:r>
        <w:rPr>
          <w:color w:val="500050"/>
        </w:rPr>
        <w:t>⚡ Impact estimé sur la BRVM</w:t>
      </w:r>
    </w:p>
    <w:p>
      <w:pPr>
        <w:spacing w:before="20" w:after="40"/>
        <w:ind w:left="280"/>
      </w:pPr>
      <w:r>
        <w:rPr>
          <w:i/>
          <w:sz w:val="18"/>
        </w:rPr>
        <w:t>Renforcement institutionnel CEDEAO = facteur de stabilité pour les sociétés cotées opérant régionalement (SNTS, banques).</w:t>
      </w:r>
    </w:p>
    <w:p>
      <w:pPr>
        <w:pStyle w:val="Heading2"/>
      </w:pPr>
      <w:r>
        <w:rPr>
          <w:color w:val="8C4600"/>
        </w:rPr>
        <w:t>🏦 Plan UEMOA / Zone Franc</w:t>
      </w:r>
    </w:p>
    <w:p>
      <w:pPr>
        <w:pStyle w:val="ListBullet"/>
        <w:spacing w:before="20" w:after="20"/>
        <w:ind w:left="360"/>
      </w:pPr>
      <w:r>
        <w:rPr>
          <w:sz w:val="18"/>
        </w:rPr>
        <w:t>**Sénégal** : tensions politiques autour de la gestion énergétique (11 Mds FCFA).</w:t>
      </w:r>
    </w:p>
    <w:p>
      <w:pPr>
        <w:pStyle w:val="ListBullet"/>
        <w:spacing w:before="20" w:after="20"/>
        <w:ind w:left="360"/>
      </w:pPr>
      <w:r>
        <w:rPr>
          <w:sz w:val="18"/>
        </w:rPr>
        <w:t>**Mali** : budget 2027 en expansion.</w:t>
      </w:r>
    </w:p>
    <w:p>
      <w:pPr>
        <w:pStyle w:val="Heading3"/>
      </w:pPr>
      <w:r>
        <w:rPr>
          <w:color w:val="500050"/>
        </w:rPr>
        <w:t>⚡ Impact estimé sur la BRVM</w:t>
      </w:r>
    </w:p>
    <w:p>
      <w:pPr>
        <w:spacing w:before="20" w:after="40"/>
        <w:ind w:left="280"/>
      </w:pPr>
      <w:r>
        <w:rPr>
          <w:i/>
          <w:sz w:val="18"/>
        </w:rPr>
        <w:t>Risque politique sénégalais à surveiller pour SNTS et les banques sénégalaises (BOAS, BICB). Risque réglementaire modéré.</w:t>
      </w:r>
    </w:p>
    <w:p>
      <w:pPr>
        <w:pStyle w:val="Heading2"/>
      </w:pPr>
      <w:r>
        <w:rPr>
          <w:color w:val="003366"/>
        </w:rPr>
        <w:t>📈 Plan BRVM</w:t>
      </w:r>
    </w:p>
    <w:p>
      <w:pPr>
        <w:pStyle w:val="ListBullet"/>
        <w:spacing w:before="20" w:after="20"/>
        <w:ind w:left="360"/>
      </w:pPr>
      <w:r>
        <w:rPr>
          <w:sz w:val="18"/>
        </w:rPr>
        <w:t>Données insuffisantes sur la réglementation CREPMF et nouvelles cotations.</w:t>
      </w:r>
    </w:p>
    <w:p>
      <w:pPr>
        <w:pStyle w:val="Heading3"/>
      </w:pPr>
      <w:r>
        <w:rPr>
          <w:color w:val="500050"/>
        </w:rPr>
        <w:t>⚡ Impact estimé sur la BRVM</w:t>
      </w:r>
    </w:p>
    <w:p>
      <w:pPr>
        <w:spacing w:before="20" w:after="40"/>
        <w:ind w:left="280"/>
      </w:pPr>
      <w:r>
        <w:rPr>
          <w:i/>
          <w:sz w:val="18"/>
        </w:rPr>
        <w:t>Aucune décision réglementaire majeure identifiée dans les actualités fournies.</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color w:val="008000"/>
          <w:sz w:val="18"/>
        </w:rPr>
        <w:t>**BCE** : hausse des taux, impact immobilier/épargne zone euro (15/09).</w:t>
      </w:r>
    </w:p>
    <w:p>
      <w:pPr>
        <w:pStyle w:val="ListBullet"/>
        <w:spacing w:before="20" w:after="20"/>
        <w:ind w:left="360"/>
      </w:pPr>
      <w:r>
        <w:rPr>
          <w:sz w:val="18"/>
        </w:rPr>
        <w:t>**Matières premières** : MXV latéral (18/09).</w:t>
      </w:r>
    </w:p>
    <w:p>
      <w:pPr>
        <w:pStyle w:val="Heading3"/>
      </w:pPr>
      <w:r>
        <w:rPr>
          <w:color w:val="500050"/>
        </w:rPr>
        <w:t>⚡ Impact estimé sur la BRVM</w:t>
      </w:r>
    </w:p>
    <w:p>
      <w:pPr>
        <w:spacing w:before="20" w:after="40"/>
        <w:ind w:left="280"/>
      </w:pPr>
      <w:r>
        <w:rPr>
          <w:i/>
          <w:sz w:val="18"/>
        </w:rPr>
        <w:t>Corrélation limitée avec les marchés développés, mais le resserrement BCE réduit l'appétit global pour le risque émergent. Neutre à légèrement négatif.</w:t>
      </w:r>
    </w:p>
    <w:p>
      <w:pPr>
        <w:pStyle w:val="Heading2"/>
      </w:pPr>
      <w:r>
        <w:rPr>
          <w:color w:val="006E32"/>
        </w:rPr>
        <w:t>🌍 Plan Africain</w:t>
      </w:r>
    </w:p>
    <w:p>
      <w:pPr>
        <w:pStyle w:val="ListBullet"/>
        <w:spacing w:before="20" w:after="20"/>
        <w:ind w:left="360"/>
      </w:pPr>
      <w:r>
        <w:rPr>
          <w:sz w:val="18"/>
        </w:rPr>
        <w:t>**Afrique du Sud** : perspective Investment grade 2028 (Goldman Sachs).</w:t>
      </w:r>
    </w:p>
    <w:p>
      <w:pPr>
        <w:pStyle w:val="ListBullet"/>
        <w:spacing w:before="20" w:after="20"/>
        <w:ind w:left="360"/>
      </w:pPr>
      <w:r>
        <w:rPr>
          <w:sz w:val="18"/>
        </w:rPr>
        <w:t>**Sénégal** : accord FMI 1,9 Md€.</w:t>
      </w:r>
    </w:p>
    <w:p>
      <w:pPr>
        <w:pStyle w:val="Heading3"/>
      </w:pPr>
      <w:r>
        <w:rPr>
          <w:color w:val="500050"/>
        </w:rPr>
        <w:t>⚡ Impact estimé sur la BRVM</w:t>
      </w:r>
    </w:p>
    <w:p>
      <w:pPr>
        <w:spacing w:before="20" w:after="40"/>
        <w:ind w:left="280"/>
      </w:pPr>
      <w:r>
        <w:rPr>
          <w:i/>
          <w:sz w:val="18"/>
        </w:rPr>
        <w:t>Concurrence accrue de l'Afrique du Sud pour les capitaux africains, mais l'amélioration générale du risque souverain africain bénéficie à la BRVM.</w:t>
      </w:r>
    </w:p>
    <w:p>
      <w:pPr>
        <w:pStyle w:val="Heading2"/>
      </w:pPr>
      <w:r>
        <w:rPr>
          <w:color w:val="145A28"/>
        </w:rPr>
        <w:t>🌍 Plan Afrique de l'Ouest</w:t>
      </w:r>
    </w:p>
    <w:p>
      <w:pPr>
        <w:pStyle w:val="ListBullet"/>
        <w:spacing w:before="20" w:after="20"/>
        <w:ind w:left="360"/>
      </w:pPr>
      <w:r>
        <w:rPr>
          <w:sz w:val="18"/>
        </w:rPr>
        <w:t>**NGX Nigeria** : plateforme de données en direct (18/09).</w:t>
      </w:r>
    </w:p>
    <w:p>
      <w:pPr>
        <w:pStyle w:val="Heading3"/>
      </w:pPr>
      <w:r>
        <w:rPr>
          <w:color w:val="500050"/>
        </w:rPr>
        <w:t>⚡ Impact estimé sur la BRVM</w:t>
      </w:r>
    </w:p>
    <w:p>
      <w:pPr>
        <w:spacing w:before="20" w:after="40"/>
        <w:ind w:left="280"/>
      </w:pPr>
      <w:r>
        <w:rPr>
          <w:i/>
          <w:sz w:val="18"/>
        </w:rPr>
        <w:t>Modernisation des places ouest-africaines = pression concurrentielle modérée sur la BRVM pour attirer les capitaux régionaux.</w:t>
      </w:r>
    </w:p>
    <w:p>
      <w:pPr>
        <w:pStyle w:val="Heading2"/>
      </w:pPr>
      <w:r>
        <w:rPr>
          <w:color w:val="8C4600"/>
        </w:rPr>
        <w:t>🏦 Plan UEMOA / Zone Franc</w:t>
      </w:r>
    </w:p>
    <w:p>
      <w:pPr>
        <w:pStyle w:val="ListBullet"/>
        <w:spacing w:before="20" w:after="20"/>
        <w:ind w:left="360"/>
      </w:pPr>
      <w:r>
        <w:rPr>
          <w:sz w:val="18"/>
        </w:rPr>
        <w:t>**Sonatel** : franchissement des 42 000 FCFA (20/09).</w:t>
      </w:r>
    </w:p>
    <w:p>
      <w:pPr>
        <w:pStyle w:val="ListBullet"/>
        <w:spacing w:before="20" w:after="20"/>
        <w:ind w:left="360"/>
      </w:pPr>
      <w:r>
        <w:rPr>
          <w:color w:val="C00000"/>
          <w:sz w:val="18"/>
        </w:rPr>
        <w:t>**Panne électrique Sénégal** : risque sur les coûts opérationnels.</w:t>
      </w:r>
    </w:p>
    <w:p>
      <w:pPr>
        <w:pStyle w:val="Heading3"/>
      </w:pPr>
      <w:r>
        <w:rPr>
          <w:color w:val="500050"/>
        </w:rPr>
        <w:t>⚡ Impact estimé sur la BRVM</w:t>
      </w:r>
    </w:p>
    <w:p>
      <w:pPr>
        <w:spacing w:before="20" w:after="40"/>
        <w:ind w:left="280"/>
      </w:pPr>
      <w:r>
        <w:rPr>
          <w:i/>
          <w:sz w:val="18"/>
        </w:rPr>
        <w:t>Arbitrage titres publics/actions : avec des taux BCEAO stables, les actions à dividendes (SNTS, SGBC, BOAB) restent attractives face aux obligations souveraines.</w:t>
      </w:r>
    </w:p>
    <w:p>
      <w:pPr>
        <w:pStyle w:val="Heading2"/>
      </w:pPr>
      <w:r>
        <w:rPr>
          <w:color w:val="003366"/>
        </w:rPr>
        <w:t>📈 Plan BRVM</w:t>
      </w:r>
    </w:p>
    <w:p>
      <w:pPr>
        <w:pStyle w:val="ListBullet"/>
        <w:spacing w:before="20" w:after="20"/>
        <w:ind w:left="360"/>
      </w:pPr>
      <w:r>
        <w:rPr>
          <w:sz w:val="18"/>
        </w:rPr>
        <w:t>Indice BRVM Composite : 553,71.</w:t>
      </w:r>
    </w:p>
    <w:p>
      <w:pPr>
        <w:pStyle w:val="ListBullet"/>
        <w:spacing w:before="20" w:after="20"/>
        <w:ind w:left="360"/>
      </w:pPr>
      <w:r>
        <w:rPr>
          <w:sz w:val="18"/>
        </w:rPr>
        <w:t>Sonatel en tête des mouvements haussiers avant fractionnement.</w:t>
      </w:r>
    </w:p>
    <w:p>
      <w:pPr>
        <w:pStyle w:val="ListBullet"/>
        <w:spacing w:before="20" w:after="20"/>
        <w:ind w:left="360"/>
      </w:pPr>
      <w:r>
        <w:rPr>
          <w:sz w:val="18"/>
        </w:rPr>
        <w:t>Résultats ivoiriens encourageants (09/06).</w:t>
      </w:r>
    </w:p>
    <w:p>
      <w:pPr>
        <w:pStyle w:val="Heading3"/>
      </w:pPr>
      <w:r>
        <w:rPr>
          <w:color w:val="500050"/>
        </w:rPr>
        <w:t>⚡ Impact estimé sur la BRVM</w:t>
      </w:r>
    </w:p>
    <w:p>
      <w:pPr>
        <w:spacing w:before="20" w:after="40"/>
        <w:ind w:left="280"/>
      </w:pPr>
      <w:r>
        <w:rPr>
          <w:i/>
          <w:sz w:val="18"/>
        </w:rPr>
        <w:t>**SNTS** : ACHAT sur repli post-fractionnement. **SGBC/BICB/BOAB/BOAS/BOAC** : CONSERVER, dividendes attractifs. **SOGC/NTLC** : NEUTRE, dépendants des matières premières. **SIVC/STAC/FTSC** : PRUDENCE, coûts énergétiques. **UNXC/CFAC/NEIC** : NEUTRE, consommation soutenue mais orpaillage illégal pèse. **SPHC** : NEUTRE.</w:t>
      </w:r>
    </w:p>
    <w:p>
      <w:pPr>
        <w:spacing w:before="20" w:after="40"/>
        <w:ind w:left="280"/>
      </w:pPr>
      <w:r>
        <w:rPr>
          <w:i/>
          <w:sz w:val="18"/>
        </w:rPr>
        <w:t>---</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L'environnement BRVM reste globalement résilient (indice à 553,71, Sonatel en momentum haussier, résultats ivoiriens positifs), mais plusieurs facteurs incitent à la prudence : crise énergétique sénégalaise pesant sur les coûts, orpaillage illégal fragilisant l'économie ivoirienne, resserrement BCE réduisant l'appétit pour le risque émergent. Recommandation : privilégier les valeurs télécoms (SNTS) et bancaires à dividendes (SGBC, BOAB, BOAS, BOAC), éviter les industriels énergo-intensifs (SIVC, STAC) et surveiller l'effet dilution post-fractionnement de Sonatel.</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 xml:space="preserve">Marché des matières premières : Mouvement latéral, l'indice MXV reste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2026-09-18</w:t>
            </w:r>
          </w:p>
        </w:tc>
        <w:tc>
          <w:tcPr>
            <w:tcW w:type="dxa" w:w="1728"/>
          </w:tcPr>
          <w:p>
            <w:r>
              <w:rPr>
                <w:sz w:val="14"/>
              </w:rPr>
              <w:t>Pourquoi faut-il constituer des « stocks publics » de matières premièr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2026-09-15</w:t>
            </w:r>
          </w:p>
        </w:tc>
        <w:tc>
          <w:tcPr>
            <w:tcW w:type="dxa" w:w="1728"/>
          </w:tcPr>
          <w:p>
            <w:r>
              <w:rPr>
                <w:sz w:val="14"/>
              </w:rPr>
              <w:t xml:space="preserve">Décryptage. Hausse des taux de la BCE : immobilier, épargne... ce que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2026-09-17</w:t>
            </w:r>
          </w:p>
        </w:tc>
        <w:tc>
          <w:tcPr>
            <w:tcW w:type="dxa" w:w="1728"/>
          </w:tcPr>
          <w:p>
            <w:r>
              <w:rPr>
                <w:sz w:val="14"/>
              </w:rPr>
              <w:t>Bourse : l'Europe s'essouffle face aux Etats-Unis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NGX — Nigerian Exchange: Live Stock Prices &amp; Data - Dabafinance</w:t>
            </w:r>
          </w:p>
        </w:tc>
        <w:tc>
          <w:tcPr>
            <w:tcW w:type="dxa" w:w="1728"/>
          </w:tcPr>
          <w:p>
            <w:r>
              <w:rPr>
                <w:sz w:val="14"/>
              </w:rPr>
              <w:t>Neutre</w:t>
            </w:r>
          </w:p>
        </w:tc>
        <w:tc>
          <w:tcPr>
            <w:tcW w:type="dxa" w:w="1728"/>
          </w:tcPr>
          <w:p>
            <w:r>
              <w:rPr>
                <w:sz w:val="14"/>
              </w:rPr>
              <w:t>Neutre</w:t>
            </w:r>
          </w:p>
        </w:tc>
        <w:tc>
          <w:tcPr>
            <w:tcW w:type="dxa" w:w="1728"/>
          </w:tcPr>
          <w:p>
            <w:r>
              <w:rPr>
                <w:sz w:val="14"/>
              </w:rPr>
              <w:t>Google News — Nigeria Ghana fi</w:t>
            </w:r>
          </w:p>
        </w:tc>
      </w:tr>
      <w:tr>
        <w:tc>
          <w:tcPr>
            <w:tcW w:type="dxa" w:w="1728"/>
          </w:tcPr>
          <w:p>
            <w:r>
              <w:rPr>
                <w:sz w:val="14"/>
              </w:rPr>
              <w:t>2026-09-18</w:t>
            </w:r>
          </w:p>
        </w:tc>
        <w:tc>
          <w:tcPr>
            <w:tcW w:type="dxa" w:w="1728"/>
          </w:tcPr>
          <w:p>
            <w:r>
              <w:rPr>
                <w:sz w:val="14"/>
              </w:rPr>
              <w:t xml:space="preserve">Orpaillage illégal en Côte d’Ivoire : un fléau qui ronge l’économie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2026-09-17</w:t>
            </w:r>
          </w:p>
        </w:tc>
        <w:tc>
          <w:tcPr>
            <w:tcW w:type="dxa" w:w="1728"/>
          </w:tcPr>
          <w:p>
            <w:r>
              <w:rPr>
                <w:sz w:val="14"/>
              </w:rPr>
              <w:t>Côte d’Ivoire : La CEDEAO renforce les capacités des acteurs de la séc</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PORTRAIT – CEDEAO REPORT : le pari régional du président Bassirou Diom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2026-09-15</w:t>
            </w:r>
          </w:p>
        </w:tc>
        <w:tc>
          <w:tcPr>
            <w:tcW w:type="dxa" w:w="1728"/>
          </w:tcPr>
          <w:p>
            <w:r>
              <w:rPr>
                <w:sz w:val="14"/>
              </w:rPr>
              <w:t>Ouémé : la CEDEAO lance un audit de terrain de ses projets structurant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2026-09-15</w:t>
            </w:r>
          </w:p>
        </w:tc>
        <w:tc>
          <w:tcPr>
            <w:tcW w:type="dxa" w:w="1728"/>
          </w:tcPr>
          <w:p>
            <w:r>
              <w:rPr>
                <w:sz w:val="14"/>
              </w:rPr>
              <w:t>CEDEAO-Tunisie : Engagement en faveur d'une coopération renforcée - ko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2026-09-19</w:t>
            </w:r>
          </w:p>
        </w:tc>
        <w:tc>
          <w:tcPr>
            <w:tcW w:type="dxa" w:w="1728"/>
          </w:tcPr>
          <w:p>
            <w:r>
              <w:rPr>
                <w:sz w:val="14"/>
              </w:rPr>
              <w:t>Panne d'électricité au Sénégal : Diomaye, Macky, Mané et l'ONU face au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2026-09-20</w:t>
            </w:r>
          </w:p>
        </w:tc>
        <w:tc>
          <w:tcPr>
            <w:tcW w:type="dxa" w:w="1728"/>
          </w:tcPr>
          <w:p>
            <w:r>
              <w:rPr>
                <w:sz w:val="14"/>
              </w:rPr>
              <w:t>Sonatel franchit 42 000 FCFA à la BRVM avant le fractionnement - 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2026-09-18</w:t>
            </w:r>
          </w:p>
        </w:tc>
        <w:tc>
          <w:tcPr>
            <w:tcW w:type="dxa" w:w="1728"/>
          </w:tcPr>
          <w:p>
            <w:r>
              <w:rPr>
                <w:sz w:val="14"/>
              </w:rPr>
              <w:t>Mali : le budget 2027 arrêté à plus de 4 400 milliards de francs CFA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 xml:space="preserve">Sénégal - Un nouveau cap pour la gestion des ressources extractives -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2026-09-19</w:t>
            </w:r>
          </w:p>
        </w:tc>
        <w:tc>
          <w:tcPr>
            <w:tcW w:type="dxa" w:w="1728"/>
          </w:tcPr>
          <w:p>
            <w:r>
              <w:rPr>
                <w:sz w:val="14"/>
              </w:rPr>
              <w:t>Guerre des drones au Mali, interview exclusive de Fouzi Lekjaâ, les se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2026-09-19</w:t>
            </w:r>
          </w:p>
        </w:tc>
        <w:tc>
          <w:tcPr>
            <w:tcW w:type="dxa" w:w="1728"/>
          </w:tcPr>
          <w:p>
            <w:r>
              <w:rPr>
                <w:sz w:val="14"/>
              </w:rPr>
              <w:t>VIDÉO. Sport: Sénégal, la première sélection signée Patrick Vierra - 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2026-09-15</w:t>
            </w:r>
          </w:p>
        </w:tc>
        <w:tc>
          <w:tcPr>
            <w:tcW w:type="dxa" w:w="1728"/>
          </w:tcPr>
          <w:p>
            <w:r>
              <w:rPr>
                <w:sz w:val="14"/>
              </w:rPr>
              <w:t xml:space="preserve">Décryptage. Hausse des taux de la BCE : immobilier, épargne... ce que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2026-09-19</w:t>
            </w:r>
          </w:p>
        </w:tc>
        <w:tc>
          <w:tcPr>
            <w:tcW w:type="dxa" w:w="1728"/>
          </w:tcPr>
          <w:p>
            <w:r>
              <w:rPr>
                <w:sz w:val="14"/>
              </w:rPr>
              <w:t>Panne d'électricité au Sénégal : Diomaye, Macky, Mané et l'ONU face au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2026-09-18</w:t>
            </w:r>
          </w:p>
        </w:tc>
        <w:tc>
          <w:tcPr>
            <w:tcW w:type="dxa" w:w="1728"/>
          </w:tcPr>
          <w:p>
            <w:r>
              <w:rPr>
                <w:sz w:val="14"/>
              </w:rPr>
              <w:t>Mali : le budget 2027 arrêté à plus de 4 400 milliards de francs CFA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2026-09-19</w:t>
            </w:r>
          </w:p>
        </w:tc>
        <w:tc>
          <w:tcPr>
            <w:tcW w:type="dxa" w:w="1728"/>
          </w:tcPr>
          <w:p>
            <w:r>
              <w:rPr>
                <w:sz w:val="14"/>
              </w:rPr>
              <w:t>Panne d'électricité au Sénégal : Diomaye, Macky, Mané et l'ONU face au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2026-09-20</w:t>
            </w:r>
          </w:p>
        </w:tc>
        <w:tc>
          <w:tcPr>
            <w:tcW w:type="dxa" w:w="1728"/>
          </w:tcPr>
          <w:p>
            <w:r>
              <w:rPr>
                <w:sz w:val="14"/>
              </w:rPr>
              <w:t>Sonatel franchit 42 000 FCFA à la BRVM avant le fractionnement - 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2026-09-18</w:t>
            </w:r>
          </w:p>
        </w:tc>
        <w:tc>
          <w:tcPr>
            <w:tcW w:type="dxa" w:w="1728"/>
          </w:tcPr>
          <w:p>
            <w:r>
              <w:rPr>
                <w:sz w:val="14"/>
              </w:rPr>
              <w:t>NGX — Nigerian Exchange: Live Stock Prices &amp; Data - Dabafinance</w:t>
            </w:r>
          </w:p>
        </w:tc>
        <w:tc>
          <w:tcPr>
            <w:tcW w:type="dxa" w:w="1728"/>
          </w:tcPr>
          <w:p>
            <w:r>
              <w:rPr>
                <w:sz w:val="14"/>
              </w:rPr>
              <w:t>Neutre</w:t>
            </w:r>
          </w:p>
        </w:tc>
        <w:tc>
          <w:tcPr>
            <w:tcW w:type="dxa" w:w="1728"/>
          </w:tcPr>
          <w:p>
            <w:r>
              <w:rPr>
                <w:sz w:val="14"/>
              </w:rPr>
              <w:t>Neutre</w:t>
            </w:r>
          </w:p>
        </w:tc>
        <w:tc>
          <w:tcPr>
            <w:tcW w:type="dxa" w:w="1728"/>
          </w:tcPr>
          <w:p>
            <w:r>
              <w:rPr>
                <w:sz w:val="14"/>
              </w:rPr>
              <w:t>Google News — Nigeria Ghana fi</w:t>
            </w:r>
          </w:p>
        </w:tc>
      </w:tr>
      <w:tr>
        <w:tc>
          <w:tcPr>
            <w:tcW w:type="dxa" w:w="1728"/>
          </w:tcPr>
          <w:p>
            <w:r>
              <w:rPr>
                <w:sz w:val="14"/>
              </w:rPr>
              <w:t>2026-09-18</w:t>
            </w:r>
          </w:p>
        </w:tc>
        <w:tc>
          <w:tcPr>
            <w:tcW w:type="dxa" w:w="1728"/>
          </w:tcPr>
          <w:p>
            <w:r>
              <w:rPr>
                <w:sz w:val="14"/>
              </w:rPr>
              <w:t xml:space="preserve">Orpaillage illégal en Côte d’Ivoire : un fléau qui ronge l’économie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2026-09-19</w:t>
            </w:r>
          </w:p>
        </w:tc>
        <w:tc>
          <w:tcPr>
            <w:tcW w:type="dxa" w:w="1728"/>
          </w:tcPr>
          <w:p>
            <w:r>
              <w:rPr>
                <w:sz w:val="14"/>
              </w:rPr>
              <w:t>Panne d'électricité au Sénégal : Diomaye, Macky, Mané et l'ONU face au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2026-09-20</w:t>
            </w:r>
          </w:p>
        </w:tc>
        <w:tc>
          <w:tcPr>
            <w:tcW w:type="dxa" w:w="1728"/>
          </w:tcPr>
          <w:p>
            <w:r>
              <w:rPr>
                <w:sz w:val="14"/>
              </w:rPr>
              <w:t>Sonatel franchit 42 000 FCFA à la BRVM avant le fractionnement - 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2026-09-18</w:t>
            </w:r>
          </w:p>
        </w:tc>
        <w:tc>
          <w:tcPr>
            <w:tcW w:type="dxa" w:w="1728"/>
          </w:tcPr>
          <w:p>
            <w:r>
              <w:rPr>
                <w:sz w:val="14"/>
              </w:rPr>
              <w:t>NGX — Nigerian Exchange: Live Stock Prices &amp; Data - Dabafinance</w:t>
            </w:r>
          </w:p>
        </w:tc>
        <w:tc>
          <w:tcPr>
            <w:tcW w:type="dxa" w:w="1728"/>
          </w:tcPr>
          <w:p>
            <w:r>
              <w:rPr>
                <w:sz w:val="14"/>
              </w:rPr>
              <w:t>Neutre</w:t>
            </w:r>
          </w:p>
        </w:tc>
        <w:tc>
          <w:tcPr>
            <w:tcW w:type="dxa" w:w="1728"/>
          </w:tcPr>
          <w:p>
            <w:r>
              <w:rPr>
                <w:sz w:val="14"/>
              </w:rPr>
              <w:t>Neutre</w:t>
            </w:r>
          </w:p>
        </w:tc>
        <w:tc>
          <w:tcPr>
            <w:tcW w:type="dxa" w:w="1728"/>
          </w:tcPr>
          <w:p>
            <w:r>
              <w:rPr>
                <w:sz w:val="14"/>
              </w:rPr>
              <w:t>Google News — Nigeria Ghana fi</w:t>
            </w:r>
          </w:p>
        </w:tc>
      </w:tr>
      <w:tr>
        <w:tc>
          <w:tcPr>
            <w:tcW w:type="dxa" w:w="1728"/>
          </w:tcPr>
          <w:p>
            <w:r>
              <w:rPr>
                <w:sz w:val="14"/>
              </w:rPr>
              <w:t>2026-09-18</w:t>
            </w:r>
          </w:p>
        </w:tc>
        <w:tc>
          <w:tcPr>
            <w:tcW w:type="dxa" w:w="1728"/>
          </w:tcPr>
          <w:p>
            <w:r>
              <w:rPr>
                <w:sz w:val="14"/>
              </w:rPr>
              <w:t>Mali : le budget 2027 arrêté à plus de 4 400 milliards de francs CFA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2026-09-19</w:t>
            </w:r>
          </w:p>
        </w:tc>
        <w:tc>
          <w:tcPr>
            <w:tcW w:type="dxa" w:w="1728"/>
          </w:tcPr>
          <w:p>
            <w:r>
              <w:rPr>
                <w:sz w:val="14"/>
              </w:rPr>
              <w:t>Panne d'électricité au Sénégal : Diomaye, Macky, Mané et l'ONU face au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2026-09-20</w:t>
            </w:r>
          </w:p>
        </w:tc>
        <w:tc>
          <w:tcPr>
            <w:tcW w:type="dxa" w:w="1728"/>
          </w:tcPr>
          <w:p>
            <w:r>
              <w:rPr>
                <w:sz w:val="14"/>
              </w:rPr>
              <w:t>Sonatel franchit 42 000 FCFA à la BRVM avant le fractionnement - 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2026-09-18</w:t>
            </w:r>
          </w:p>
        </w:tc>
        <w:tc>
          <w:tcPr>
            <w:tcW w:type="dxa" w:w="1728"/>
          </w:tcPr>
          <w:p>
            <w:r>
              <w:rPr>
                <w:sz w:val="14"/>
              </w:rPr>
              <w:t>NGX — Nigerian Exchange: Live Stock Prices &amp; Data - Dabafinance</w:t>
            </w:r>
          </w:p>
        </w:tc>
        <w:tc>
          <w:tcPr>
            <w:tcW w:type="dxa" w:w="1728"/>
          </w:tcPr>
          <w:p>
            <w:r>
              <w:rPr>
                <w:sz w:val="14"/>
              </w:rPr>
              <w:t>Neutre</w:t>
            </w:r>
          </w:p>
        </w:tc>
        <w:tc>
          <w:tcPr>
            <w:tcW w:type="dxa" w:w="1728"/>
          </w:tcPr>
          <w:p>
            <w:r>
              <w:rPr>
                <w:sz w:val="14"/>
              </w:rPr>
              <w:t>Neutre</w:t>
            </w:r>
          </w:p>
        </w:tc>
        <w:tc>
          <w:tcPr>
            <w:tcW w:type="dxa" w:w="1728"/>
          </w:tcPr>
          <w:p>
            <w:r>
              <w:rPr>
                <w:sz w:val="14"/>
              </w:rPr>
              <w:t>Google News — Nigeria Ghana fi</w:t>
            </w:r>
          </w:p>
        </w:tc>
      </w:tr>
      <w:tr>
        <w:tc>
          <w:tcPr>
            <w:tcW w:type="dxa" w:w="1728"/>
          </w:tcPr>
          <w:p>
            <w:r>
              <w:rPr>
                <w:sz w:val="14"/>
              </w:rPr>
              <w:t>2026-09-18</w:t>
            </w:r>
          </w:p>
        </w:tc>
        <w:tc>
          <w:tcPr>
            <w:tcW w:type="dxa" w:w="1728"/>
          </w:tcPr>
          <w:p>
            <w:r>
              <w:rPr>
                <w:sz w:val="14"/>
              </w:rPr>
              <w:t xml:space="preserve">Orpaillage illégal en Côte d’Ivoire : un fléau qui ronge l’économie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2026-09-19</w:t>
            </w:r>
          </w:p>
        </w:tc>
        <w:tc>
          <w:tcPr>
            <w:tcW w:type="dxa" w:w="1728"/>
          </w:tcPr>
          <w:p>
            <w:r>
              <w:rPr>
                <w:sz w:val="14"/>
              </w:rPr>
              <w:t>Panne d'électricité au Sénégal : Diomaye, Macky, Mané et l'ONU face au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2026-09-20</w:t>
            </w:r>
          </w:p>
        </w:tc>
        <w:tc>
          <w:tcPr>
            <w:tcW w:type="dxa" w:w="1728"/>
          </w:tcPr>
          <w:p>
            <w:r>
              <w:rPr>
                <w:sz w:val="14"/>
              </w:rPr>
              <w:t>Sonatel franchit 42 000 FCFA à la BRVM avant le fractionnement - 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2026-09-18</w:t>
            </w:r>
          </w:p>
        </w:tc>
        <w:tc>
          <w:tcPr>
            <w:tcW w:type="dxa" w:w="1728"/>
          </w:tcPr>
          <w:p>
            <w:r>
              <w:rPr>
                <w:sz w:val="14"/>
              </w:rPr>
              <w:t>Mali : le budget 2027 arrêté à plus de 4 400 milliards de francs CFA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2026-09-19</w:t>
            </w:r>
          </w:p>
        </w:tc>
        <w:tc>
          <w:tcPr>
            <w:tcW w:type="dxa" w:w="1728"/>
          </w:tcPr>
          <w:p>
            <w:r>
              <w:rPr>
                <w:sz w:val="14"/>
              </w:rPr>
              <w:t>Guerre des drones au Mali, interview exclusive de Fouzi Lekjaâ, les se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 xml:space="preserve">Marché des matières premières : Mouvement latéral, l'indice MXV reste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2026-09-15</w:t>
            </w:r>
          </w:p>
        </w:tc>
        <w:tc>
          <w:tcPr>
            <w:tcW w:type="dxa" w:w="1728"/>
          </w:tcPr>
          <w:p>
            <w:r>
              <w:rPr>
                <w:sz w:val="14"/>
              </w:rPr>
              <w:t xml:space="preserve">Décryptage. Hausse des taux de la BCE : immobilier, épargne... ce que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2026-09-19</w:t>
            </w:r>
          </w:p>
        </w:tc>
        <w:tc>
          <w:tcPr>
            <w:tcW w:type="dxa" w:w="1728"/>
          </w:tcPr>
          <w:p>
            <w:r>
              <w:rPr>
                <w:sz w:val="14"/>
              </w:rPr>
              <w:t>Panne d'électricité au Sénégal : Diomaye, Macky, Mané et l'ONU face au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2026-09-20</w:t>
            </w:r>
          </w:p>
        </w:tc>
        <w:tc>
          <w:tcPr>
            <w:tcW w:type="dxa" w:w="1728"/>
          </w:tcPr>
          <w:p>
            <w:r>
              <w:rPr>
                <w:sz w:val="14"/>
              </w:rPr>
              <w:t>Sonatel franchit 42 000 FCFA à la BRVM avant le fractionnement - 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 xml:space="preserve">Marché des matières premières : Mouvement latéral, l'indice MXV reste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2026-09-15</w:t>
            </w:r>
          </w:p>
        </w:tc>
        <w:tc>
          <w:tcPr>
            <w:tcW w:type="dxa" w:w="1728"/>
          </w:tcPr>
          <w:p>
            <w:r>
              <w:rPr>
                <w:sz w:val="14"/>
              </w:rPr>
              <w:t xml:space="preserve">Décryptage. Hausse des taux de la BCE : immobilier, épargne... ce que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2026-09-19</w:t>
            </w:r>
          </w:p>
        </w:tc>
        <w:tc>
          <w:tcPr>
            <w:tcW w:type="dxa" w:w="1728"/>
          </w:tcPr>
          <w:p>
            <w:r>
              <w:rPr>
                <w:sz w:val="14"/>
              </w:rPr>
              <w:t>Panne d'électricité au Sénégal : Diomaye, Macky, Mané et l'ONU face au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2026-09-20</w:t>
            </w:r>
          </w:p>
        </w:tc>
        <w:tc>
          <w:tcPr>
            <w:tcW w:type="dxa" w:w="1728"/>
          </w:tcPr>
          <w:p>
            <w:r>
              <w:rPr>
                <w:sz w:val="14"/>
              </w:rPr>
              <w:t>Sonatel franchit 42 000 FCFA à la BRVM avant le fractionnement - 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 xml:space="preserve">Marché des matières premières : Mouvement latéral, l'indice MXV reste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2026-09-15</w:t>
            </w:r>
          </w:p>
        </w:tc>
        <w:tc>
          <w:tcPr>
            <w:tcW w:type="dxa" w:w="1728"/>
          </w:tcPr>
          <w:p>
            <w:r>
              <w:rPr>
                <w:sz w:val="14"/>
              </w:rPr>
              <w:t xml:space="preserve">Décryptage. Hausse des taux de la BCE : immobilier, épargne... ce que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2026-09-19</w:t>
            </w:r>
          </w:p>
        </w:tc>
        <w:tc>
          <w:tcPr>
            <w:tcW w:type="dxa" w:w="1728"/>
          </w:tcPr>
          <w:p>
            <w:r>
              <w:rPr>
                <w:sz w:val="14"/>
              </w:rPr>
              <w:t>Panne d'électricité au Sénégal : Diomaye, Macky, Mané et l'ONU face au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2026-09-20</w:t>
            </w:r>
          </w:p>
        </w:tc>
        <w:tc>
          <w:tcPr>
            <w:tcW w:type="dxa" w:w="1728"/>
          </w:tcPr>
          <w:p>
            <w:r>
              <w:rPr>
                <w:sz w:val="14"/>
              </w:rPr>
              <w:t>Sonatel franchit 42 000 FCFA à la BRVM avant le fractionnement - 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 xml:space="preserve">Marché des matières premières : Mouvement latéral, l'indice MXV reste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2026-09-15</w:t>
            </w:r>
          </w:p>
        </w:tc>
        <w:tc>
          <w:tcPr>
            <w:tcW w:type="dxa" w:w="1728"/>
          </w:tcPr>
          <w:p>
            <w:r>
              <w:rPr>
                <w:sz w:val="14"/>
              </w:rPr>
              <w:t xml:space="preserve">Décryptage. Hausse des taux de la BCE : immobilier, épargne... ce que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2026-09-19</w:t>
            </w:r>
          </w:p>
        </w:tc>
        <w:tc>
          <w:tcPr>
            <w:tcW w:type="dxa" w:w="1728"/>
          </w:tcPr>
          <w:p>
            <w:r>
              <w:rPr>
                <w:sz w:val="14"/>
              </w:rPr>
              <w:t>Panne d'électricité au Sénégal : Diomaye, Macky, Mané et l'ONU face au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2026-09-20</w:t>
            </w:r>
          </w:p>
        </w:tc>
        <w:tc>
          <w:tcPr>
            <w:tcW w:type="dxa" w:w="1728"/>
          </w:tcPr>
          <w:p>
            <w:r>
              <w:rPr>
                <w:sz w:val="14"/>
              </w:rPr>
              <w:t>Sonatel franchit 42 000 FCFA à la BRVM avant le fractionnement - 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 xml:space="preserve">Marché des matières premières : Mouvement latéral, l'indice MXV reste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2026-09-15</w:t>
            </w:r>
          </w:p>
        </w:tc>
        <w:tc>
          <w:tcPr>
            <w:tcW w:type="dxa" w:w="1728"/>
          </w:tcPr>
          <w:p>
            <w:r>
              <w:rPr>
                <w:sz w:val="14"/>
              </w:rPr>
              <w:t xml:space="preserve">Décryptage. Hausse des taux de la BCE : immobilier, épargne... ce que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2026-09-19</w:t>
            </w:r>
          </w:p>
        </w:tc>
        <w:tc>
          <w:tcPr>
            <w:tcW w:type="dxa" w:w="1728"/>
          </w:tcPr>
          <w:p>
            <w:r>
              <w:rPr>
                <w:sz w:val="14"/>
              </w:rPr>
              <w:t>Panne d'électricité au Sénégal : Diomaye, Macky, Mané et l'ONU face au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2026-09-20</w:t>
            </w:r>
          </w:p>
        </w:tc>
        <w:tc>
          <w:tcPr>
            <w:tcW w:type="dxa" w:w="1728"/>
          </w:tcPr>
          <w:p>
            <w:r>
              <w:rPr>
                <w:sz w:val="14"/>
              </w:rPr>
              <w:t>Sonatel franchit 42 000 FCFA à la BRVM avant le fractionnement - 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marche_financier  (3 alerte(s))</w:t>
      </w:r>
    </w:p>
    <w:p>
      <w:pPr>
        <w:spacing w:before="40" w:after="40"/>
        <w:ind w:left="360"/>
      </w:pPr>
      <w:r>
        <w:rPr>
          <w:color w:val="646464"/>
          <w:sz w:val="17"/>
        </w:rPr>
        <w:t xml:space="preserve">[20/09/2026] 🟢  </w:t>
      </w:r>
      <w:r>
        <w:rPr>
          <w:b/>
          <w:color w:val="008000"/>
          <w:sz w:val="18"/>
        </w:rPr>
        <w:t>Sonatel franchit 42 000 FCFA à la BRVM avant le fractionnement - africtelegraph.com</w:t>
      </w:r>
      <w:r>
        <w:rPr>
          <w:color w:val="787878"/>
          <w:sz w:val="15"/>
        </w:rPr>
        <w:t xml:space="preserve">  [marche_financier]</w:t>
      </w:r>
      <w:r>
        <w:rPr>
          <w:color w:val="B47800"/>
          <w:sz w:val="16"/>
        </w:rPr>
        <w:t xml:space="preserve">  ★ 50/10</w:t>
      </w:r>
    </w:p>
    <w:p>
      <w:pPr>
        <w:spacing w:before="0" w:after="20"/>
        <w:ind w:left="600"/>
      </w:pPr>
      <w:r>
        <w:rPr>
          <w:color w:val="323232"/>
          <w:sz w:val="17"/>
        </w:rPr>
        <w:t>L'action Sonatel a franchi le seuil symbolique de 42 000 FCFA à la BRVM, marquant une progression notable avant l'opération de fractionnement de son titre. Ce franchissement témoigne de l'intérêt soutenu des investisseurs pour la valeur, considérée comme un pilier du marché régional. Le fractionnement à venir devrait améliorer la liquidité et l'acc</w:t>
      </w:r>
    </w:p>
    <w:p>
      <w:pPr>
        <w:spacing w:before="0" w:after="40"/>
        <w:ind w:left="600"/>
      </w:pPr>
      <w:r>
        <w:rPr>
          <w:color w:val="00643C"/>
          <w:sz w:val="16"/>
        </w:rPr>
        <w:t>Points clés : Sonatel franchit le cap des 42 000 FCFA par action à la BRVM  •  L'événement intervient juste avant une opération de fractionnement du titre  •  Le fractionnement vise à accroître la liquidité et à attirer davantage d'investisseurs  •  Sonatel confirme son statut de valeur phare du marché régional</w:t>
      </w:r>
    </w:p>
    <w:p>
      <w:pPr>
        <w:spacing w:before="0" w:after="60"/>
        <w:ind w:left="600"/>
      </w:pPr>
      <w:r>
        <w:rPr>
          <w:color w:val="0064B4"/>
          <w:sz w:val="15"/>
        </w:rPr>
        <w:t>Source : https://news.google.com/rss/articles/CBMimwFBVV95cUxOYjRuLUE5NGhvbHFSRkI1X3FKVTY</w:t>
      </w:r>
    </w:p>
    <w:p>
      <w:pPr>
        <w:spacing w:before="40" w:after="40"/>
        <w:ind w:left="360"/>
      </w:pPr>
      <w:r>
        <w:rPr>
          <w:color w:val="646464"/>
          <w:sz w:val="17"/>
        </w:rPr>
        <w:t xml:space="preserve">[18/09/2026] ⚪  </w:t>
      </w:r>
      <w:r>
        <w:rPr>
          <w:b/>
          <w:color w:val="505050"/>
          <w:sz w:val="18"/>
        </w:rPr>
        <w:t>NGX — Nigerian Exchange: Live Stock Prices &amp; Data - Dabafinance</w:t>
      </w:r>
      <w:r>
        <w:rPr>
          <w:color w:val="787878"/>
          <w:sz w:val="15"/>
        </w:rPr>
        <w:t xml:space="preserve">  [marche_financier]</w:t>
      </w:r>
      <w:r>
        <w:rPr>
          <w:color w:val="B47800"/>
          <w:sz w:val="16"/>
        </w:rPr>
        <w:t xml:space="preserve">  ★ 50/10</w:t>
      </w:r>
    </w:p>
    <w:p>
      <w:pPr>
        <w:spacing w:before="0" w:after="20"/>
        <w:ind w:left="600"/>
      </w:pPr>
      <w:r>
        <w:rPr>
          <w:color w:val="323232"/>
          <w:sz w:val="17"/>
        </w:rPr>
        <w:t>Cet article présente Dabafinance comme une plateforme offrant des cours en direct et des données boursières sur le Nigerian Exchange (NGX). Il s'agit d'un outil d'information financière destiné aux investisseurs souhaitant suivre les actions nigérianes en temps réel. Aucune actualité de marché, annonce de résultats ou événement macroéconomique n'es</w:t>
      </w:r>
    </w:p>
    <w:p>
      <w:pPr>
        <w:spacing w:before="0" w:after="40"/>
        <w:ind w:left="600"/>
      </w:pPr>
      <w:r>
        <w:rPr>
          <w:color w:val="00643C"/>
          <w:sz w:val="16"/>
        </w:rPr>
        <w:t>Points clés : Dabafinance fournit des cours en direct et des données sur le NGX  •  Outil destiné au suivi des actions nigérianes  •  Aucune actualité de marché ou donnée chiffrée spécifique  •  Contenu à visée informative et promotionnelle</w:t>
      </w:r>
    </w:p>
    <w:p>
      <w:pPr>
        <w:spacing w:before="0" w:after="60"/>
        <w:ind w:left="600"/>
      </w:pPr>
      <w:r>
        <w:rPr>
          <w:color w:val="0064B4"/>
          <w:sz w:val="15"/>
        </w:rPr>
        <w:t>Source : https://news.google.com/rss/articles/CBMiXkFVX3lxTE82cHNGZHlBVXkxNlQxR0lLUkhBU09</w:t>
      </w:r>
    </w:p>
    <w:p>
      <w:pPr>
        <w:spacing w:before="40" w:after="40"/>
        <w:ind w:left="360"/>
      </w:pPr>
      <w:r>
        <w:rPr>
          <w:color w:val="646464"/>
          <w:sz w:val="17"/>
        </w:rPr>
        <w:t xml:space="preserve">[17/09/2026] 🔴  </w:t>
      </w:r>
      <w:r>
        <w:rPr>
          <w:b/>
          <w:color w:val="C00000"/>
          <w:sz w:val="18"/>
        </w:rPr>
        <w:t>Bourse : l'Europe s'essouffle face aux Etats-Unis - Les Echos</w:t>
      </w:r>
      <w:r>
        <w:rPr>
          <w:color w:val="787878"/>
          <w:sz w:val="15"/>
        </w:rPr>
        <w:t xml:space="preserve">  [marche_financier]</w:t>
      </w:r>
      <w:r>
        <w:rPr>
          <w:color w:val="B47800"/>
          <w:sz w:val="16"/>
        </w:rPr>
        <w:t xml:space="preserve">  ★ 50/10</w:t>
      </w:r>
    </w:p>
    <w:p>
      <w:pPr>
        <w:spacing w:before="0" w:after="20"/>
        <w:ind w:left="600"/>
      </w:pPr>
      <w:r>
        <w:rPr>
          <w:color w:val="323232"/>
          <w:sz w:val="17"/>
        </w:rPr>
        <w:t>Les marchés européens montrent des signes d'essoufflement face à la performance des marchés américains, selon Les Echos. Cette divergence reflète des dynamiques économiques et des politiques monétaires différentes entre les deux régions. Les investisseurs semblent privilégier les actifs américains, pénalisant ainsi les indices européens.</w:t>
      </w:r>
    </w:p>
    <w:p>
      <w:pPr>
        <w:spacing w:before="0" w:after="40"/>
        <w:ind w:left="600"/>
      </w:pPr>
      <w:r>
        <w:rPr>
          <w:color w:val="00643C"/>
          <w:sz w:val="16"/>
        </w:rPr>
        <w:t>Points clés : L'Europe boursière perd de son élan comparée aux États-Unis  •  Divergence de performance entre les deux zones  •  Préférence des investisseurs pour les actifs américains</w:t>
      </w:r>
    </w:p>
    <w:p>
      <w:pPr>
        <w:spacing w:before="0" w:after="60"/>
        <w:ind w:left="600"/>
      </w:pPr>
      <w:r>
        <w:rPr>
          <w:color w:val="0064B4"/>
          <w:sz w:val="15"/>
        </w:rPr>
        <w:t>Source : https://news.google.com/rss/articles/CBMisgFBVV95cUxOemhpRmJ6V2VZUDl3MlNHLS15YlV</w:t>
      </w:r>
    </w:p>
    <w:p>
      <w:pPr>
        <w:spacing w:before="120" w:after="40"/>
      </w:pPr>
      <w:r>
        <w:rPr>
          <w:b/>
          <w:color w:val="00467F"/>
          <w:sz w:val="20"/>
        </w:rPr>
        <w:t>🔑 politique  (11 alerte(s))</w:t>
      </w:r>
    </w:p>
    <w:p>
      <w:pPr>
        <w:spacing w:before="40" w:after="40"/>
        <w:ind w:left="360"/>
      </w:pPr>
      <w:r>
        <w:rPr>
          <w:color w:val="646464"/>
          <w:sz w:val="17"/>
        </w:rPr>
        <w:t xml:space="preserve">[19/09/2026] 🔴  </w:t>
      </w:r>
      <w:r>
        <w:rPr>
          <w:b/>
          <w:color w:val="C00000"/>
          <w:sz w:val="18"/>
        </w:rPr>
        <w:t>Panne d'électricité au Sénégal : Diomaye, Macky, Mané et l'ONU face aux 11 milliards engagés - SeneNews</w:t>
      </w:r>
      <w:r>
        <w:rPr>
          <w:color w:val="787878"/>
          <w:sz w:val="15"/>
        </w:rPr>
        <w:t xml:space="preserve">  [politique]</w:t>
      </w:r>
      <w:r>
        <w:rPr>
          <w:color w:val="B47800"/>
          <w:sz w:val="16"/>
        </w:rPr>
        <w:t xml:space="preserve">  ★ 50/10</w:t>
      </w:r>
    </w:p>
    <w:p>
      <w:pPr>
        <w:spacing w:before="0" w:after="20"/>
        <w:ind w:left="600"/>
      </w:pPr>
      <w:r>
        <w:rPr>
          <w:color w:val="323232"/>
          <w:sz w:val="17"/>
        </w:rPr>
        <w:t>Le Sénégal fait face à une panne d'électricité majeure qui met en lumière les tensions autour des 11 milliards FCFA engagés dans le secteur énergétique. Les anciens présidents Diomaye et Macky Sall, ainsi que Sadio Mané et l'ONU, sont cités dans cette controverse. Cette situation pourrait affecter la confiance des investisseurs dans le secteur de l</w:t>
      </w:r>
    </w:p>
    <w:p>
      <w:pPr>
        <w:spacing w:before="0" w:after="40"/>
        <w:ind w:left="600"/>
      </w:pPr>
      <w:r>
        <w:rPr>
          <w:color w:val="00643C"/>
          <w:sz w:val="16"/>
        </w:rPr>
        <w:t>Points clés : Panne d'électricité généralisée au Sénégal  •  11 milliards FCFA engagés dans le secteur énergétique  •  Implication d'anciens présidents, de Sadio Mané et de l'ONU  •  Risque de dégradation de la confiance des investisseurs</w:t>
      </w:r>
    </w:p>
    <w:p>
      <w:pPr>
        <w:spacing w:before="0" w:after="60"/>
        <w:ind w:left="600"/>
      </w:pPr>
      <w:r>
        <w:rPr>
          <w:color w:val="0064B4"/>
          <w:sz w:val="15"/>
        </w:rPr>
        <w:t>Source : https://news.google.com/rss/articles/CBMi0AFBVV95cUxNYjdxR3V5SDRCQWlCb3ZvVFFUVjJ</w:t>
      </w:r>
    </w:p>
    <w:p>
      <w:pPr>
        <w:spacing w:before="40" w:after="40"/>
        <w:ind w:left="360"/>
      </w:pPr>
      <w:r>
        <w:rPr>
          <w:color w:val="646464"/>
          <w:sz w:val="17"/>
        </w:rPr>
        <w:t xml:space="preserve">[19/09/2026] ⚪  </w:t>
      </w:r>
      <w:r>
        <w:rPr>
          <w:b/>
          <w:color w:val="505050"/>
          <w:sz w:val="18"/>
        </w:rPr>
        <w:t>Guerre des drones au Mali, interview exclusive de Fouzi Lekjaâ, les secrets du renseignement camerounais… Les 5 infos qu</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présente un tour d'horizon de cinq informations marquantes du continent africain, notamment la guerre des drones au Mali, une interview exclusive de Fouzi Lekjaâ et les secrets du renseignement camerounais. Ces sujets couvrent principalement des questions de sécurité, de défense et de gouvernance dans plusieurs pays afric</w:t>
      </w:r>
    </w:p>
    <w:p>
      <w:pPr>
        <w:spacing w:before="0" w:after="40"/>
        <w:ind w:left="600"/>
      </w:pPr>
      <w:r>
        <w:rPr>
          <w:color w:val="00643C"/>
          <w:sz w:val="16"/>
        </w:rPr>
        <w:t>Points clés : Guerre des drones au Mali  •  Interview exclusive de Fouzi Lekjaâ  •  Secrets du renseignement camerounais  •  Tour d'horizon de l'actualité africaine</w:t>
      </w:r>
    </w:p>
    <w:p>
      <w:pPr>
        <w:spacing w:before="0" w:after="60"/>
        <w:ind w:left="600"/>
      </w:pPr>
      <w:r>
        <w:rPr>
          <w:color w:val="0064B4"/>
          <w:sz w:val="15"/>
        </w:rPr>
        <w:t>Source : https://news.google.com/rss/articles/CBMimgJBVV95cUxPd0IwTXd3ZVJKRTRjWVNEYnhiSnV</w:t>
      </w:r>
    </w:p>
    <w:p>
      <w:pPr>
        <w:spacing w:before="40" w:after="40"/>
        <w:ind w:left="360"/>
      </w:pPr>
      <w:r>
        <w:rPr>
          <w:color w:val="646464"/>
          <w:sz w:val="17"/>
        </w:rPr>
        <w:t xml:space="preserve">[19/09/2026] ⚪  </w:t>
      </w:r>
      <w:r>
        <w:rPr>
          <w:b/>
          <w:color w:val="505050"/>
          <w:sz w:val="18"/>
        </w:rPr>
        <w:t>VIDÉO. Sport: Sénégal, la première sélection signée Patrick Vierra - tv5monde</w:t>
      </w:r>
      <w:r>
        <w:rPr>
          <w:color w:val="787878"/>
          <w:sz w:val="15"/>
        </w:rPr>
        <w:t xml:space="preserve">  [politique]</w:t>
      </w:r>
      <w:r>
        <w:rPr>
          <w:color w:val="B47800"/>
          <w:sz w:val="16"/>
        </w:rPr>
        <w:t xml:space="preserve">  ★ 50/10</w:t>
      </w:r>
    </w:p>
    <w:p>
      <w:pPr>
        <w:spacing w:before="0" w:after="20"/>
        <w:ind w:left="600"/>
      </w:pPr>
      <w:r>
        <w:rPr>
          <w:color w:val="323232"/>
          <w:sz w:val="17"/>
        </w:rPr>
        <w:t>La vidéo de TV5 Monde annonce la première sélection de l'équipe du Sénégal sous la direction de Patrick Vieira. Il s'agit d'une actualité sportive concernant le football sénégalais. Aucun lien direct avec les marchés financiers ou les sociétés cotées à la BRVM n'est établi. L'information reste anecdotique pour les investisseurs de la zone UEMOA.</w:t>
      </w:r>
    </w:p>
    <w:p>
      <w:pPr>
        <w:spacing w:before="0" w:after="40"/>
        <w:ind w:left="600"/>
      </w:pPr>
      <w:r>
        <w:rPr>
          <w:color w:val="00643C"/>
          <w:sz w:val="16"/>
        </w:rPr>
        <w:t>Points clés : Patrick Vieira dévoile sa première liste de joueurs pour le Sénégal  •  Actualité sportive sans incidence économique directe  •  Aucun impact identifié sur les entreprises cotées à la BRVM</w:t>
      </w:r>
    </w:p>
    <w:p>
      <w:pPr>
        <w:spacing w:before="0" w:after="60"/>
        <w:ind w:left="600"/>
      </w:pPr>
      <w:r>
        <w:rPr>
          <w:color w:val="0064B4"/>
          <w:sz w:val="15"/>
        </w:rPr>
        <w:t>Source : https://news.google.com/rss/articles/CBMirwFBVV95cUxPWkQtREdoVV9sNTk1QjU0RDZuZWt</w:t>
      </w:r>
    </w:p>
    <w:p>
      <w:pPr>
        <w:spacing w:before="40" w:after="40"/>
        <w:ind w:left="360"/>
      </w:pPr>
      <w:r>
        <w:rPr>
          <w:color w:val="646464"/>
          <w:sz w:val="17"/>
        </w:rPr>
        <w:t xml:space="preserve">[18/09/2026] ⚪  </w:t>
      </w:r>
      <w:r>
        <w:rPr>
          <w:b/>
          <w:color w:val="505050"/>
          <w:sz w:val="18"/>
        </w:rPr>
        <w:t>Mali : le budget 2027 arrêté à plus de 4 400 milliards de francs CFA - Alwihda Info</w:t>
      </w:r>
      <w:r>
        <w:rPr>
          <w:color w:val="787878"/>
          <w:sz w:val="15"/>
        </w:rPr>
        <w:t xml:space="preserve">  [politique]</w:t>
      </w:r>
      <w:r>
        <w:rPr>
          <w:color w:val="B47800"/>
          <w:sz w:val="16"/>
        </w:rPr>
        <w:t xml:space="preserve">  ★ 50/10</w:t>
      </w:r>
    </w:p>
    <w:p>
      <w:pPr>
        <w:spacing w:before="0" w:after="20"/>
        <w:ind w:left="600"/>
      </w:pPr>
      <w:r>
        <w:rPr>
          <w:color w:val="323232"/>
          <w:sz w:val="17"/>
        </w:rPr>
        <w:t>Le gouvernement malien a arrêté le budget de l'État pour l'exercice 2027 à plus de 4 400 milliards de francs CFA. Cette enveloppe traduit une hausse des dépenses publiques prévues, dans un contexte de pressions sécuritaires et sociales persistantes. Le financement de ce budget reste un enjeu majeur pour Bamako, qui doit mobiliser des ressources int</w:t>
      </w:r>
    </w:p>
    <w:p>
      <w:pPr>
        <w:spacing w:before="0" w:after="40"/>
        <w:ind w:left="600"/>
      </w:pPr>
      <w:r>
        <w:rPr>
          <w:color w:val="00643C"/>
          <w:sz w:val="16"/>
        </w:rPr>
        <w:t>Points clés : Budget 2027 du Mali fixé à plus de 4 400 milliards FCFA  •  Hausse attendue des dépenses publiques maliennes  •  Enjeu de financement dans un contexte sécuritaire et budgétaire tendu  •  Possible recours aux marchés financiers de l'UEMOA</w:t>
      </w:r>
    </w:p>
    <w:p>
      <w:pPr>
        <w:spacing w:before="0" w:after="60"/>
        <w:ind w:left="600"/>
      </w:pPr>
      <w:r>
        <w:rPr>
          <w:color w:val="0064B4"/>
          <w:sz w:val="15"/>
        </w:rPr>
        <w:t>Source : https://news.google.com/rss/articles/CBMimwFBVV95cUxNemhsNWRaYmp4eWduVW5SSE56R2x</w:t>
      </w:r>
    </w:p>
    <w:p>
      <w:pPr>
        <w:spacing w:before="40" w:after="40"/>
        <w:ind w:left="360"/>
      </w:pPr>
      <w:r>
        <w:rPr>
          <w:color w:val="646464"/>
          <w:sz w:val="17"/>
        </w:rPr>
        <w:t xml:space="preserve">[18/09/2026] 🟢  </w:t>
      </w:r>
      <w:r>
        <w:rPr>
          <w:b/>
          <w:color w:val="008000"/>
          <w:sz w:val="18"/>
        </w:rPr>
        <w:t>Sénégal - Un nouveau cap pour la gestion des ressources extractives - allAfrica.fr</w:t>
      </w:r>
      <w:r>
        <w:rPr>
          <w:color w:val="787878"/>
          <w:sz w:val="15"/>
        </w:rPr>
        <w:t xml:space="preserve">  [politique]</w:t>
      </w:r>
      <w:r>
        <w:rPr>
          <w:color w:val="B47800"/>
          <w:sz w:val="16"/>
        </w:rPr>
        <w:t xml:space="preserve">  ★ 50/10</w:t>
      </w:r>
    </w:p>
    <w:p>
      <w:pPr>
        <w:spacing w:before="0" w:after="20"/>
        <w:ind w:left="600"/>
      </w:pPr>
      <w:r>
        <w:rPr>
          <w:color w:val="323232"/>
          <w:sz w:val="17"/>
        </w:rPr>
        <w:t>Le Sénégal annonce une nouvelle orientation dans la gestion de ses ressources extractives, visant une meilleure transparence et répartition des revenus. Cette réforme pourrait concerner le pétrole, le gaz et les mines, secteurs clés pour l'économie sénégalaise. Elle intervient dans un contexte de pression pour une gouvernance plus responsable des i</w:t>
      </w:r>
    </w:p>
    <w:p>
      <w:pPr>
        <w:spacing w:before="0" w:after="40"/>
        <w:ind w:left="600"/>
      </w:pPr>
      <w:r>
        <w:rPr>
          <w:color w:val="00643C"/>
          <w:sz w:val="16"/>
        </w:rPr>
        <w:t>Points clés : Nouvelle stratégie de gestion des ressources extractives au Sénégal  •  Objectif de transparence et de meilleure répartition des revenus  •  Secteurs concernés : pétrole, gaz et mines  •  Contexte de gouvernance responsable en Afrique de l'Ouest</w:t>
      </w:r>
    </w:p>
    <w:p>
      <w:pPr>
        <w:spacing w:before="0" w:after="60"/>
        <w:ind w:left="600"/>
      </w:pPr>
      <w:r>
        <w:rPr>
          <w:color w:val="0064B4"/>
          <w:sz w:val="15"/>
        </w:rPr>
        <w:t>Source : https://news.google.com/rss/articles/CBMib0FVX3lxTE5yYmQtSGNHUlgxRjRZS0pTRU1vN3p</w:t>
      </w:r>
    </w:p>
    <w:p>
      <w:pPr>
        <w:spacing w:before="120" w:after="40"/>
      </w:pPr>
      <w:r>
        <w:rPr>
          <w:b/>
          <w:color w:val="00467F"/>
          <w:sz w:val="20"/>
        </w:rPr>
        <w:t>🔑 politique_monetaire  (2 alerte(s))</w:t>
      </w:r>
    </w:p>
    <w:p>
      <w:pPr>
        <w:spacing w:before="40" w:after="40"/>
        <w:ind w:left="360"/>
      </w:pPr>
      <w:r>
        <w:rPr>
          <w:color w:val="646464"/>
          <w:sz w:val="17"/>
        </w:rPr>
        <w:t xml:space="preserve">[18/09/2026] ⚪  </w:t>
      </w:r>
      <w:r>
        <w:rPr>
          <w:b/>
          <w:color w:val="505050"/>
          <w:sz w:val="18"/>
        </w:rPr>
        <w:t>La BCEAO maintient ses taux directeurs en vigueur depuis mars 2026 - aNiamey.com</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La BCEAO a décidé de maintenir ses taux directeurs inchangés, prolongeant ainsi la politique monétaire en vigueur depuis mars 2026. Cette décision s'inscrit dans un contexte de stabilité des prix et de suivi de la croissance économique dans l'espace UEMOA. Le statu quo monétaire vise à soutenir l'activité économique tout en maîtrisant l'inflation. </w:t>
      </w:r>
    </w:p>
    <w:p>
      <w:pPr>
        <w:spacing w:before="0" w:after="40"/>
        <w:ind w:left="600"/>
      </w:pPr>
      <w:r>
        <w:rPr>
          <w:color w:val="00643C"/>
          <w:sz w:val="16"/>
        </w:rPr>
        <w:t>Points clés : Maintien des taux directeurs de la BCEAO  •  Politique monétaire inchangée depuis mars 2026  •  Statu quo visant à équilibrer croissance et maîtrise de l'inflation</w:t>
      </w:r>
    </w:p>
    <w:p>
      <w:pPr>
        <w:spacing w:before="0" w:after="60"/>
        <w:ind w:left="600"/>
      </w:pPr>
      <w:r>
        <w:rPr>
          <w:color w:val="0064B4"/>
          <w:sz w:val="15"/>
        </w:rPr>
        <w:t>Source : https://news.google.com/rss/articles/CBMiTkFVX3lxTE9vYk9VREx0ZG43TlVIaTdVTnh5SHB</w:t>
      </w:r>
    </w:p>
    <w:p>
      <w:pPr>
        <w:spacing w:before="40" w:after="40"/>
        <w:ind w:left="360"/>
      </w:pPr>
      <w:r>
        <w:rPr>
          <w:color w:val="646464"/>
          <w:sz w:val="17"/>
        </w:rPr>
        <w:t xml:space="preserve">[18/09/2026] ⚪  </w:t>
      </w:r>
      <w:r>
        <w:rPr>
          <w:b/>
          <w:color w:val="505050"/>
          <w:sz w:val="18"/>
        </w:rPr>
        <w:t>Président de la BCE : Les taux d’intérêt n’augmentent pas nécessairement avec les prix de l’énergie. - Vietnam.vn</w:t>
      </w:r>
      <w:r>
        <w:rPr>
          <w:color w:val="787878"/>
          <w:sz w:val="15"/>
        </w:rPr>
        <w:t xml:space="preserve">  [politique_monetaire]</w:t>
      </w:r>
      <w:r>
        <w:rPr>
          <w:color w:val="B47800"/>
          <w:sz w:val="16"/>
        </w:rPr>
        <w:t xml:space="preserve">  ★ 50/10</w:t>
      </w:r>
    </w:p>
    <w:p>
      <w:pPr>
        <w:spacing w:before="0" w:after="20"/>
        <w:ind w:left="600"/>
      </w:pPr>
      <w:r>
        <w:rPr>
          <w:color w:val="323232"/>
          <w:sz w:val="17"/>
        </w:rPr>
        <w:t>Le président de la Banque centrale européenne (BCE) a déclaré que les taux d'intérêt n'augmentent pas nécessairement en réponse à la hausse des prix de l'énergie. Cette prise de position suggère que la BCE pourrait ne pas réagir de manière automatique aux chocs énergétiques en relevant ses taux. Cela marque une distinction entre l'inflation sous-ja</w:t>
      </w:r>
    </w:p>
    <w:p>
      <w:pPr>
        <w:spacing w:before="0" w:after="40"/>
        <w:ind w:left="600"/>
      </w:pPr>
      <w:r>
        <w:rPr>
          <w:color w:val="00643C"/>
          <w:sz w:val="16"/>
        </w:rPr>
        <w:t>Points clés : Les taux d'intérêt ne suivent pas mécaniquement les prix de l'énergie.  •  La BCE privilégie une analyse des effets de second tour.  •  Signal d'une possible pause ou d'une approche flexible de la politique monétaire.</w:t>
      </w:r>
    </w:p>
    <w:p>
      <w:pPr>
        <w:spacing w:before="0" w:after="60"/>
        <w:ind w:left="600"/>
      </w:pPr>
      <w:r>
        <w:rPr>
          <w:color w:val="0064B4"/>
          <w:sz w:val="15"/>
        </w:rPr>
        <w:t>Source : https://news.google.com/rss/articles/CBMikwFBVV95cUxNeEdHdzhaZ3VISzQ1R19pYzUtSUs</w:t>
      </w:r>
    </w:p>
    <w:p>
      <w:pPr>
        <w:spacing w:before="120" w:after="40"/>
      </w:pPr>
      <w:r>
        <w:rPr>
          <w:b/>
          <w:color w:val="00467F"/>
          <w:sz w:val="20"/>
        </w:rPr>
        <w:t>🔑 matieres_premieres  (3 alerte(s))</w:t>
      </w:r>
    </w:p>
    <w:p>
      <w:pPr>
        <w:spacing w:before="40" w:after="40"/>
        <w:ind w:left="360"/>
      </w:pPr>
      <w:r>
        <w:rPr>
          <w:color w:val="646464"/>
          <w:sz w:val="17"/>
        </w:rPr>
        <w:t xml:space="preserve">[18/09/2026] 🟢  </w:t>
      </w:r>
      <w:r>
        <w:rPr>
          <w:b/>
          <w:color w:val="008000"/>
          <w:sz w:val="18"/>
        </w:rPr>
        <w:t xml:space="preserve">Pourquoi faut-il constituer des « stocks publics » de matières premières essentielles pour stabiliser les prix comme le </w:t>
      </w:r>
      <w:r>
        <w:rPr>
          <w:color w:val="787878"/>
          <w:sz w:val="15"/>
        </w:rPr>
        <w:t xml:space="preserve">  [matieres_premieres]</w:t>
      </w:r>
      <w:r>
        <w:rPr>
          <w:color w:val="B47800"/>
          <w:sz w:val="16"/>
        </w:rPr>
        <w:t xml:space="preserve">  ★ 50/10</w:t>
      </w:r>
    </w:p>
    <w:p>
      <w:pPr>
        <w:spacing w:before="0" w:after="20"/>
        <w:ind w:left="600"/>
      </w:pPr>
      <w:r>
        <w:rPr>
          <w:color w:val="323232"/>
          <w:sz w:val="17"/>
        </w:rPr>
        <w:t>Jean-Luc Mélenchon propose la constitution de « stocks publics » de matières premières essentielles afin de stabiliser les prix et de lutter contre la spéculation. Cette mesure viserait à protéger les consommateurs et les industries des fortes volatilités des cours mondiaux. Elle s'inscrit dans une volonté de reprise en main publique de secteurs st</w:t>
      </w:r>
    </w:p>
    <w:p>
      <w:pPr>
        <w:spacing w:before="0" w:after="40"/>
        <w:ind w:left="600"/>
      </w:pPr>
      <w:r>
        <w:rPr>
          <w:color w:val="00643C"/>
          <w:sz w:val="16"/>
        </w:rPr>
        <w:t>Points clés : Proposition de stocks publics de matières premières essentielles  •  Objectif de stabilisation des prix face à la spéculation  •  Mesure de souveraineté économique et de protection des consommateurs</w:t>
      </w:r>
    </w:p>
    <w:p>
      <w:pPr>
        <w:spacing w:before="0" w:after="60"/>
        <w:ind w:left="600"/>
      </w:pPr>
      <w:r>
        <w:rPr>
          <w:color w:val="0064B4"/>
          <w:sz w:val="15"/>
        </w:rPr>
        <w:t>Source : https://news.google.com/rss/articles/CBMihgJBVV95cUxOZ1NVM0RaQWVEWXR6QlVhYldKV2t</w:t>
      </w:r>
    </w:p>
    <w:p>
      <w:pPr>
        <w:spacing w:before="40" w:after="40"/>
        <w:ind w:left="360"/>
      </w:pPr>
      <w:r>
        <w:rPr>
          <w:color w:val="646464"/>
          <w:sz w:val="17"/>
        </w:rPr>
        <w:t xml:space="preserve">[18/09/2026] ⚪  </w:t>
      </w:r>
      <w:r>
        <w:rPr>
          <w:b/>
          <w:color w:val="505050"/>
          <w:sz w:val="18"/>
        </w:rPr>
        <w:t>Marché des matières premières : Mouvement latéral, l'indice MXV reste quasiment inchangé. - Vietnam.vn</w:t>
      </w:r>
      <w:r>
        <w:rPr>
          <w:color w:val="787878"/>
          <w:sz w:val="15"/>
        </w:rPr>
        <w:t xml:space="preserve">  [matieres_premieres]</w:t>
      </w:r>
      <w:r>
        <w:rPr>
          <w:color w:val="B47800"/>
          <w:sz w:val="16"/>
        </w:rPr>
        <w:t xml:space="preserve">  ★ 50/10</w:t>
      </w:r>
    </w:p>
    <w:p>
      <w:pPr>
        <w:spacing w:before="0" w:after="20"/>
        <w:ind w:left="600"/>
      </w:pPr>
      <w:r>
        <w:rPr>
          <w:color w:val="323232"/>
          <w:sz w:val="17"/>
        </w:rPr>
        <w:t>L'article rapporte que le marché des matières premières a évolué en mouvement latéral, l'indice MXV restant quasiment inchangé. Aucune variation significative n'est signalée sur les principales matières premières. Cette stabilité relative suggère un équilibre entre l'offre et la demande à court terme. L'information provient du site vietnamien Vietn</w:t>
      </w:r>
    </w:p>
    <w:p>
      <w:pPr>
        <w:spacing w:before="0" w:after="40"/>
        <w:ind w:left="600"/>
      </w:pPr>
      <w:r>
        <w:rPr>
          <w:color w:val="00643C"/>
          <w:sz w:val="16"/>
        </w:rPr>
        <w:t>Points clés : L'indice MXV reste quasiment inchangé  •  Mouvement latéral du marché des matières premières  •  Absence de volatilité notable</w:t>
      </w:r>
    </w:p>
    <w:p>
      <w:pPr>
        <w:spacing w:before="0" w:after="60"/>
        <w:ind w:left="600"/>
      </w:pPr>
      <w:r>
        <w:rPr>
          <w:color w:val="0064B4"/>
          <w:sz w:val="15"/>
        </w:rPr>
        <w:t>Source : https://news.google.com/rss/articles/CBMinwFBVV95cUxPS3Y4UE9ZMmVTSlYyV0VISHU2b09</w:t>
      </w:r>
    </w:p>
    <w:p>
      <w:pPr>
        <w:spacing w:before="40" w:after="40"/>
        <w:ind w:left="360"/>
      </w:pPr>
      <w:r>
        <w:rPr>
          <w:color w:val="646464"/>
          <w:sz w:val="17"/>
        </w:rPr>
        <w:t xml:space="preserve">[17/09/2026] 🔴  </w:t>
      </w:r>
      <w:r>
        <w:rPr>
          <w:b/>
          <w:color w:val="C00000"/>
          <w:sz w:val="18"/>
        </w:rPr>
        <w:t>Face à la flambée des prix du carburant, les Français renoncent de plus en plus à la voiture - Les Echos</w:t>
      </w:r>
      <w:r>
        <w:rPr>
          <w:color w:val="787878"/>
          <w:sz w:val="15"/>
        </w:rPr>
        <w:t xml:space="preserve">  [matieres_premieres]</w:t>
      </w:r>
      <w:r>
        <w:rPr>
          <w:color w:val="B47800"/>
          <w:sz w:val="16"/>
        </w:rPr>
        <w:t xml:space="preserve">  ★ 50/10</w:t>
      </w:r>
    </w:p>
    <w:p>
      <w:pPr>
        <w:spacing w:before="0" w:after="20"/>
        <w:ind w:left="600"/>
      </w:pPr>
      <w:r>
        <w:rPr>
          <w:color w:val="323232"/>
          <w:sz w:val="17"/>
        </w:rPr>
        <w:t>Les prix du carburant en France connaissent une flambée qui pousse de plus en plus de Français à renoncer à l'usage de la voiture. Cette tendance reflète une pression sur le pouvoir d'achat des ménages et pourrait modifier durablement les habitudes de mobilité. Elle s'inscrit dans un contexte de volatilité des prix des matières premières énergétiqu</w:t>
      </w:r>
    </w:p>
    <w:p>
      <w:pPr>
        <w:spacing w:before="0" w:after="40"/>
        <w:ind w:left="600"/>
      </w:pPr>
      <w:r>
        <w:rPr>
          <w:color w:val="00643C"/>
          <w:sz w:val="16"/>
        </w:rPr>
        <w:t>Points clés : Flambée des prix du carburant en France  •  Renoncement croissant à la voiture par les Français  •  Pression sur le pouvoir d'achat des ménages  •  Possible changement durable des habitudes de mobilité</w:t>
      </w:r>
    </w:p>
    <w:p>
      <w:pPr>
        <w:spacing w:before="0" w:after="60"/>
        <w:ind w:left="600"/>
      </w:pPr>
      <w:r>
        <w:rPr>
          <w:color w:val="0064B4"/>
          <w:sz w:val="15"/>
        </w:rPr>
        <w:t>Source : https://news.google.com/rss/articles/CBMi4wFBVV95cUxQTzJYQzVJOV9HQTg2UDJLM3N1UF9</w:t>
      </w:r>
    </w:p>
    <w:p>
      <w:pPr>
        <w:spacing w:before="120" w:after="40"/>
      </w:pPr>
      <w:r>
        <w:rPr>
          <w:b/>
          <w:color w:val="00467F"/>
          <w:sz w:val="20"/>
        </w:rPr>
        <w:t>🔑 économique  (1 alerte(s))</w:t>
      </w:r>
    </w:p>
    <w:p>
      <w:pPr>
        <w:spacing w:before="40" w:after="40"/>
        <w:ind w:left="360"/>
      </w:pPr>
      <w:r>
        <w:rPr>
          <w:color w:val="646464"/>
          <w:sz w:val="17"/>
        </w:rPr>
        <w:t xml:space="preserve">[18/09/2026] 🔴  </w:t>
      </w:r>
      <w:r>
        <w:rPr>
          <w:b/>
          <w:color w:val="C00000"/>
          <w:sz w:val="18"/>
        </w:rPr>
        <w:t>Orpaillage illégal en Côte d’Ivoire : un fléau qui ronge l’économie - Africtelegraph</w:t>
      </w:r>
      <w:r>
        <w:rPr>
          <w:color w:val="787878"/>
          <w:sz w:val="15"/>
        </w:rPr>
        <w:t xml:space="preserve">  [économique]</w:t>
      </w:r>
      <w:r>
        <w:rPr>
          <w:color w:val="B47800"/>
          <w:sz w:val="16"/>
        </w:rPr>
        <w:t xml:space="preserve">  ★ 50/10</w:t>
      </w:r>
    </w:p>
    <w:p>
      <w:pPr>
        <w:spacing w:before="0" w:after="20"/>
        <w:ind w:left="600"/>
      </w:pPr>
      <w:r>
        <w:rPr>
          <w:color w:val="323232"/>
          <w:sz w:val="17"/>
        </w:rPr>
        <w:t xml:space="preserve">L'orpaillage illégal en Côte d'Ivoire est un fléau qui ronge l'économie du pays. Cette activité minière clandestine échappe à tout contrôle fiscal et réglementaire, privant l'État de recettes importantes. Elle cause également des dommages environnementaux et sociaux considérables, notamment la pollution des cours d'eau et la destruction des terres </w:t>
      </w:r>
    </w:p>
    <w:p>
      <w:pPr>
        <w:spacing w:before="0" w:after="40"/>
        <w:ind w:left="600"/>
      </w:pPr>
      <w:r>
        <w:rPr>
          <w:color w:val="00643C"/>
          <w:sz w:val="16"/>
        </w:rPr>
        <w:t>Points clés : L'orpaillage illégal prive l'État ivoirien de recettes fiscales et minières significatives  •  Il cause des dommages environnementaux graves (pollution, déforestation, destruction des sols)  •  Le phénomène est difficile à contrôler et menace l'économie formelle et l'agriculture</w:t>
      </w:r>
    </w:p>
    <w:p>
      <w:pPr>
        <w:spacing w:before="0" w:after="60"/>
        <w:ind w:left="600"/>
      </w:pPr>
      <w:r>
        <w:rPr>
          <w:color w:val="0064B4"/>
          <w:sz w:val="15"/>
        </w:rPr>
        <w:t>Source : https://news.google.com/rss/articles/CBMinAFBVV95cUxNeFRzRk8zWmN2VjdsSXZWOUJVODR</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11,805</w:t>
            </w:r>
          </w:p>
        </w:tc>
        <w:tc>
          <w:tcPr>
            <w:tcW w:type="dxa" w:w="1080"/>
            <w:shd w:fill="C6EFCE" w:val="clear"/>
          </w:tcPr>
          <w:p>
            <w:r>
              <w:rPr>
                <w:b/>
                <w:sz w:val="16"/>
              </w:rPr>
              <w:t>86/100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2,320</w:t>
            </w:r>
          </w:p>
        </w:tc>
        <w:tc>
          <w:tcPr>
            <w:tcW w:type="dxa" w:w="1080"/>
            <w:shd w:fill="C6EFCE" w:val="clear"/>
          </w:tcPr>
          <w:p>
            <w:r>
              <w:rPr>
                <w:b/>
                <w:sz w:val="16"/>
              </w:rPr>
              <w:t>82/100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1,630</w:t>
            </w:r>
          </w:p>
        </w:tc>
        <w:tc>
          <w:tcPr>
            <w:tcW w:type="dxa" w:w="1080"/>
            <w:shd w:fill="C6EFCE" w:val="clear"/>
          </w:tcPr>
          <w:p>
            <w:r>
              <w:rPr>
                <w:b/>
                <w:sz w:val="16"/>
              </w:rPr>
              <w:t>81/100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4</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9,850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2,490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2,175</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7,800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7,800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2,275</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8,050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42,190</w:t>
            </w:r>
          </w:p>
        </w:tc>
        <w:tc>
          <w:tcPr>
            <w:tcW w:type="dxa" w:w="1080"/>
            <w:shd w:fill="C6EFCE" w:val="clear"/>
          </w:tcPr>
          <w:p>
            <w:r>
              <w:rPr>
                <w:b/>
                <w:sz w:val="16"/>
              </w:rPr>
              <w:t>75/100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2,910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SOGC</w:t>
            </w:r>
          </w:p>
        </w:tc>
        <w:tc>
          <w:tcPr>
            <w:tcW w:type="dxa" w:w="1080"/>
            <w:shd w:fill="C6EFCE" w:val="clear"/>
          </w:tcPr>
          <w:p>
            <w:r>
              <w:rPr>
                <w:sz w:val="16"/>
              </w:rPr>
              <w:t>CONSOMMATION DE BA</w:t>
            </w:r>
          </w:p>
        </w:tc>
        <w:tc>
          <w:tcPr>
            <w:tcW w:type="dxa" w:w="1080"/>
            <w:shd w:fill="C6EFCE" w:val="clear"/>
          </w:tcPr>
          <w:p>
            <w:r>
              <w:rPr>
                <w:sz w:val="16"/>
              </w:rPr>
              <w:t>7,855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2,090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16,000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3,205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3,085</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2,760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3,950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8,390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12,485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17,000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24</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3,160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25</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5,350</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26</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6,450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27</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24,500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28</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4,980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29</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9,185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70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31</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10,110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16,995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38,900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3,930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6,705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3,405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4,080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21,950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22,200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4,305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33,840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31,675</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52,380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2,320</w:t>
            </w:r>
          </w:p>
        </w:tc>
        <w:tc>
          <w:tcPr>
            <w:tcW w:type="dxa" w:w="1728"/>
            <w:shd w:fill="DEEAF1" w:val="clear"/>
          </w:tcPr>
          <w:p>
            <w:r>
              <w:rPr>
                <w:sz w:val="17"/>
              </w:rPr>
              <w:t>82/100</w:t>
            </w:r>
          </w:p>
        </w:tc>
        <w:tc>
          <w:tcPr>
            <w:tcW w:type="dxa" w:w="1728"/>
            <w:shd w:fill="DEEAF1" w:val="clear"/>
          </w:tcPr>
          <w:p>
            <w:r>
              <w:rPr>
                <w:sz w:val="17"/>
              </w:rPr>
              <w:t>10.6%</w:t>
            </w:r>
          </w:p>
        </w:tc>
      </w:tr>
      <w:tr>
        <w:tc>
          <w:tcPr>
            <w:tcW w:type="dxa" w:w="1728"/>
            <w:shd w:fill="DEEAF1" w:val="clear"/>
          </w:tcPr>
          <w:p>
            <w:r>
              <w:rPr>
                <w:sz w:val="17"/>
              </w:rPr>
              <w:t>CFAC</w:t>
            </w:r>
          </w:p>
        </w:tc>
        <w:tc>
          <w:tcPr>
            <w:tcW w:type="dxa" w:w="1728"/>
            <w:shd w:fill="DEEAF1" w:val="clear"/>
          </w:tcPr>
          <w:p>
            <w:r>
              <w:rPr>
                <w:sz w:val="17"/>
              </w:rPr>
              <w:t>CFAC - CFAO MOTORS CI</w:t>
            </w:r>
          </w:p>
        </w:tc>
        <w:tc>
          <w:tcPr>
            <w:tcW w:type="dxa" w:w="1728"/>
            <w:shd w:fill="DEEAF1" w:val="clear"/>
          </w:tcPr>
          <w:p>
            <w:r>
              <w:rPr>
                <w:sz w:val="17"/>
              </w:rPr>
              <w:t>1,630</w:t>
            </w:r>
          </w:p>
        </w:tc>
        <w:tc>
          <w:tcPr>
            <w:tcW w:type="dxa" w:w="1728"/>
            <w:shd w:fill="DEEAF1" w:val="clear"/>
          </w:tcPr>
          <w:p>
            <w:r>
              <w:rPr>
                <w:sz w:val="17"/>
              </w:rPr>
              <w:t>81/100</w:t>
            </w:r>
          </w:p>
        </w:tc>
        <w:tc>
          <w:tcPr>
            <w:tcW w:type="dxa" w:w="1728"/>
            <w:shd w:fill="DEEAF1" w:val="clear"/>
          </w:tcPr>
          <w:p>
            <w:r>
              <w:rPr>
                <w:sz w:val="17"/>
              </w:rPr>
              <w:t>10.6%</w:t>
            </w:r>
          </w:p>
        </w:tc>
      </w:tr>
      <w:tr>
        <w:tc>
          <w:tcPr>
            <w:tcW w:type="dxa" w:w="1728"/>
            <w:shd w:fill="DEEAF1" w:val="clear"/>
          </w:tcPr>
          <w:p>
            <w:r>
              <w:rPr>
                <w:sz w:val="17"/>
              </w:rPr>
              <w:t>NEIC</w:t>
            </w:r>
          </w:p>
        </w:tc>
        <w:tc>
          <w:tcPr>
            <w:tcW w:type="dxa" w:w="1728"/>
            <w:shd w:fill="DEEAF1" w:val="clear"/>
          </w:tcPr>
          <w:p>
            <w:r>
              <w:rPr>
                <w:sz w:val="17"/>
              </w:rPr>
              <w:t>NEIC - NEI-CEDA CI</w:t>
            </w:r>
          </w:p>
        </w:tc>
        <w:tc>
          <w:tcPr>
            <w:tcW w:type="dxa" w:w="1728"/>
            <w:shd w:fill="DEEAF1" w:val="clear"/>
          </w:tcPr>
          <w:p>
            <w:r>
              <w:rPr>
                <w:sz w:val="17"/>
              </w:rPr>
              <w:t>2,490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SIVC</w:t>
            </w:r>
          </w:p>
        </w:tc>
        <w:tc>
          <w:tcPr>
            <w:tcW w:type="dxa" w:w="1728"/>
            <w:shd w:fill="DEEAF1" w:val="clear"/>
          </w:tcPr>
          <w:p>
            <w:r>
              <w:rPr>
                <w:sz w:val="17"/>
              </w:rPr>
              <w:t>SIVC - ERIUM CI (Ex AIR LIQU</w:t>
            </w:r>
          </w:p>
        </w:tc>
        <w:tc>
          <w:tcPr>
            <w:tcW w:type="dxa" w:w="1728"/>
            <w:shd w:fill="DEEAF1" w:val="clear"/>
          </w:tcPr>
          <w:p>
            <w:r>
              <w:rPr>
                <w:sz w:val="17"/>
              </w:rPr>
              <w:t>2,175</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SPHC</w:t>
            </w:r>
          </w:p>
        </w:tc>
        <w:tc>
          <w:tcPr>
            <w:tcW w:type="dxa" w:w="1728"/>
            <w:shd w:fill="DEEAF1" w:val="clear"/>
          </w:tcPr>
          <w:p>
            <w:r>
              <w:rPr>
                <w:sz w:val="17"/>
              </w:rPr>
              <w:t xml:space="preserve">SPHC - Société Africaine de </w:t>
            </w:r>
          </w:p>
        </w:tc>
        <w:tc>
          <w:tcPr>
            <w:tcW w:type="dxa" w:w="1728"/>
            <w:shd w:fill="DEEAF1" w:val="clear"/>
          </w:tcPr>
          <w:p>
            <w:r>
              <w:rPr>
                <w:sz w:val="17"/>
              </w:rPr>
              <w:t>7,800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8,050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SOGC</w:t>
            </w:r>
          </w:p>
        </w:tc>
        <w:tc>
          <w:tcPr>
            <w:tcW w:type="dxa" w:w="1728"/>
            <w:shd w:fill="DEEAF1" w:val="clear"/>
          </w:tcPr>
          <w:p>
            <w:r>
              <w:rPr>
                <w:sz w:val="17"/>
              </w:rPr>
              <w:t>SOGC - Société des caoutchou</w:t>
            </w:r>
          </w:p>
        </w:tc>
        <w:tc>
          <w:tcPr>
            <w:tcW w:type="dxa" w:w="1728"/>
            <w:shd w:fill="DEEAF1" w:val="clear"/>
          </w:tcPr>
          <w:p>
            <w:r>
              <w:rPr>
                <w:sz w:val="17"/>
              </w:rPr>
              <w:t>7,855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2,090</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11,805</w:t>
            </w:r>
          </w:p>
        </w:tc>
        <w:tc>
          <w:tcPr>
            <w:tcW w:type="dxa" w:w="1728"/>
            <w:shd w:fill="E2EFDA" w:val="clear"/>
          </w:tcPr>
          <w:p>
            <w:r>
              <w:rPr>
                <w:sz w:val="17"/>
              </w:rPr>
              <w:t>86/100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2,320</w:t>
            </w:r>
          </w:p>
        </w:tc>
        <w:tc>
          <w:tcPr>
            <w:tcW w:type="dxa" w:w="1728"/>
            <w:shd w:fill="E2EFDA" w:val="clear"/>
          </w:tcPr>
          <w:p>
            <w:r>
              <w:rPr>
                <w:sz w:val="17"/>
              </w:rPr>
              <w:t>82/100</w:t>
            </w:r>
          </w:p>
        </w:tc>
        <w:tc>
          <w:tcPr>
            <w:tcW w:type="dxa" w:w="1728"/>
            <w:shd w:fill="E2EFDA" w:val="clear"/>
          </w:tcPr>
          <w:p>
            <w:r>
              <w:rPr>
                <w:sz w:val="17"/>
              </w:rPr>
              <w:t>11.2%</w:t>
            </w:r>
          </w:p>
        </w:tc>
      </w:tr>
      <w:tr>
        <w:tc>
          <w:tcPr>
            <w:tcW w:type="dxa" w:w="1728"/>
            <w:shd w:fill="E2EFDA" w:val="clear"/>
          </w:tcPr>
          <w:p>
            <w:r>
              <w:rPr>
                <w:sz w:val="17"/>
              </w:rPr>
              <w:t>CFAC</w:t>
            </w:r>
          </w:p>
        </w:tc>
        <w:tc>
          <w:tcPr>
            <w:tcW w:type="dxa" w:w="1728"/>
            <w:shd w:fill="E2EFDA" w:val="clear"/>
          </w:tcPr>
          <w:p>
            <w:r>
              <w:rPr>
                <w:sz w:val="17"/>
              </w:rPr>
              <w:t>CFAC - CFAO MOTORS CI</w:t>
            </w:r>
          </w:p>
        </w:tc>
        <w:tc>
          <w:tcPr>
            <w:tcW w:type="dxa" w:w="1728"/>
            <w:shd w:fill="E2EFDA" w:val="clear"/>
          </w:tcPr>
          <w:p>
            <w:r>
              <w:rPr>
                <w:sz w:val="17"/>
              </w:rPr>
              <w:t>1,630</w:t>
            </w:r>
          </w:p>
        </w:tc>
        <w:tc>
          <w:tcPr>
            <w:tcW w:type="dxa" w:w="1728"/>
            <w:shd w:fill="E2EFDA" w:val="clear"/>
          </w:tcPr>
          <w:p>
            <w:r>
              <w:rPr>
                <w:sz w:val="17"/>
              </w:rPr>
              <w:t>81/100</w:t>
            </w:r>
          </w:p>
        </w:tc>
        <w:tc>
          <w:tcPr>
            <w:tcW w:type="dxa" w:w="1728"/>
            <w:shd w:fill="E2EFDA" w:val="clear"/>
          </w:tcPr>
          <w:p>
            <w:r>
              <w:rPr>
                <w:sz w:val="17"/>
              </w:rPr>
              <w:t>11.2%</w:t>
            </w:r>
          </w:p>
        </w:tc>
      </w:tr>
      <w:tr>
        <w:tc>
          <w:tcPr>
            <w:tcW w:type="dxa" w:w="1728"/>
            <w:shd w:fill="E2EFDA" w:val="clear"/>
          </w:tcPr>
          <w:p>
            <w:r>
              <w:rPr>
                <w:sz w:val="17"/>
              </w:rPr>
              <w:t>BOAB</w:t>
            </w:r>
          </w:p>
        </w:tc>
        <w:tc>
          <w:tcPr>
            <w:tcW w:type="dxa" w:w="1728"/>
            <w:shd w:fill="E2EFDA" w:val="clear"/>
          </w:tcPr>
          <w:p>
            <w:r>
              <w:rPr>
                <w:sz w:val="17"/>
              </w:rPr>
              <w:t>BANK OF AFRICA BENIN</w:t>
            </w:r>
          </w:p>
        </w:tc>
        <w:tc>
          <w:tcPr>
            <w:tcW w:type="dxa" w:w="1728"/>
            <w:shd w:fill="E2EFDA" w:val="clear"/>
          </w:tcPr>
          <w:p>
            <w:r>
              <w:rPr>
                <w:sz w:val="17"/>
              </w:rPr>
              <w:t>9,850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2,490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SIVC</w:t>
            </w:r>
          </w:p>
        </w:tc>
        <w:tc>
          <w:tcPr>
            <w:tcW w:type="dxa" w:w="1728"/>
            <w:shd w:fill="E2EFDA" w:val="clear"/>
          </w:tcPr>
          <w:p>
            <w:r>
              <w:rPr>
                <w:sz w:val="17"/>
              </w:rPr>
              <w:t>SIVC - ERIUM CI (Ex AIR LIQU</w:t>
            </w:r>
          </w:p>
        </w:tc>
        <w:tc>
          <w:tcPr>
            <w:tcW w:type="dxa" w:w="1728"/>
            <w:shd w:fill="E2EFDA" w:val="clear"/>
          </w:tcPr>
          <w:p>
            <w:r>
              <w:rPr>
                <w:sz w:val="17"/>
              </w:rPr>
              <w:t>2,175</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SPHC</w:t>
            </w:r>
          </w:p>
        </w:tc>
        <w:tc>
          <w:tcPr>
            <w:tcW w:type="dxa" w:w="1728"/>
            <w:shd w:fill="E2EFDA" w:val="clear"/>
          </w:tcPr>
          <w:p>
            <w:r>
              <w:rPr>
                <w:sz w:val="17"/>
              </w:rPr>
              <w:t xml:space="preserve">SPHC - Société Africaine de </w:t>
            </w:r>
          </w:p>
        </w:tc>
        <w:tc>
          <w:tcPr>
            <w:tcW w:type="dxa" w:w="1728"/>
            <w:shd w:fill="E2EFDA" w:val="clear"/>
          </w:tcPr>
          <w:p>
            <w:r>
              <w:rPr>
                <w:sz w:val="17"/>
              </w:rPr>
              <w:t>7,800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BOABF</w:t>
            </w:r>
          </w:p>
        </w:tc>
        <w:tc>
          <w:tcPr>
            <w:tcW w:type="dxa" w:w="1728"/>
            <w:shd w:fill="E2EFDA" w:val="clear"/>
          </w:tcPr>
          <w:p>
            <w:r>
              <w:rPr>
                <w:sz w:val="17"/>
              </w:rPr>
              <w:t>BANK OF AFRICA BURKINA FASO</w:t>
            </w:r>
          </w:p>
        </w:tc>
        <w:tc>
          <w:tcPr>
            <w:tcW w:type="dxa" w:w="1728"/>
            <w:shd w:fill="E2EFDA" w:val="clear"/>
          </w:tcPr>
          <w:p>
            <w:r>
              <w:rPr>
                <w:sz w:val="17"/>
              </w:rPr>
              <w:t>7,800</w:t>
            </w:r>
          </w:p>
        </w:tc>
        <w:tc>
          <w:tcPr>
            <w:tcW w:type="dxa" w:w="1728"/>
            <w:shd w:fill="E2EFDA" w:val="clear"/>
          </w:tcPr>
          <w:p>
            <w:r>
              <w:rPr>
                <w:sz w:val="17"/>
              </w:rPr>
              <w:t>77/100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11,805</w:t>
            </w:r>
          </w:p>
        </w:tc>
        <w:tc>
          <w:tcPr>
            <w:tcW w:type="dxa" w:w="1728"/>
            <w:shd w:fill="FCE4D6" w:val="clear"/>
          </w:tcPr>
          <w:p>
            <w:r>
              <w:rPr>
                <w:sz w:val="17"/>
              </w:rPr>
              <w:t>86/100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2,320</w:t>
            </w:r>
          </w:p>
        </w:tc>
        <w:tc>
          <w:tcPr>
            <w:tcW w:type="dxa" w:w="1728"/>
            <w:shd w:fill="FCE4D6" w:val="clear"/>
          </w:tcPr>
          <w:p>
            <w:r>
              <w:rPr>
                <w:sz w:val="17"/>
              </w:rPr>
              <w:t>82/100</w:t>
            </w:r>
          </w:p>
        </w:tc>
        <w:tc>
          <w:tcPr>
            <w:tcW w:type="dxa" w:w="1728"/>
            <w:shd w:fill="FCE4D6" w:val="clear"/>
          </w:tcPr>
          <w:p>
            <w:r>
              <w:rPr>
                <w:sz w:val="17"/>
              </w:rPr>
              <w:t>11.9%</w:t>
            </w:r>
          </w:p>
        </w:tc>
      </w:tr>
      <w:tr>
        <w:tc>
          <w:tcPr>
            <w:tcW w:type="dxa" w:w="1728"/>
            <w:shd w:fill="FCE4D6" w:val="clear"/>
          </w:tcPr>
          <w:p>
            <w:r>
              <w:rPr>
                <w:sz w:val="17"/>
              </w:rPr>
              <w:t>CFAC</w:t>
            </w:r>
          </w:p>
        </w:tc>
        <w:tc>
          <w:tcPr>
            <w:tcW w:type="dxa" w:w="1728"/>
            <w:shd w:fill="FCE4D6" w:val="clear"/>
          </w:tcPr>
          <w:p>
            <w:r>
              <w:rPr>
                <w:sz w:val="17"/>
              </w:rPr>
              <w:t>CFAC - CFAO MOTORS CI</w:t>
            </w:r>
          </w:p>
        </w:tc>
        <w:tc>
          <w:tcPr>
            <w:tcW w:type="dxa" w:w="1728"/>
            <w:shd w:fill="FCE4D6" w:val="clear"/>
          </w:tcPr>
          <w:p>
            <w:r>
              <w:rPr>
                <w:sz w:val="17"/>
              </w:rPr>
              <w:t>1,630</w:t>
            </w:r>
          </w:p>
        </w:tc>
        <w:tc>
          <w:tcPr>
            <w:tcW w:type="dxa" w:w="1728"/>
            <w:shd w:fill="FCE4D6" w:val="clear"/>
          </w:tcPr>
          <w:p>
            <w:r>
              <w:rPr>
                <w:sz w:val="17"/>
              </w:rPr>
              <w:t>81/100</w:t>
            </w:r>
          </w:p>
        </w:tc>
        <w:tc>
          <w:tcPr>
            <w:tcW w:type="dxa" w:w="1728"/>
            <w:shd w:fill="FCE4D6" w:val="clear"/>
          </w:tcPr>
          <w:p>
            <w:r>
              <w:rPr>
                <w:sz w:val="17"/>
              </w:rPr>
              <w:t>11.9%</w:t>
            </w:r>
          </w:p>
        </w:tc>
      </w:tr>
      <w:tr>
        <w:tc>
          <w:tcPr>
            <w:tcW w:type="dxa" w:w="1728"/>
            <w:shd w:fill="FCE4D6" w:val="clear"/>
          </w:tcPr>
          <w:p>
            <w:r>
              <w:rPr>
                <w:sz w:val="17"/>
              </w:rPr>
              <w:t>BOAB</w:t>
            </w:r>
          </w:p>
        </w:tc>
        <w:tc>
          <w:tcPr>
            <w:tcW w:type="dxa" w:w="1728"/>
            <w:shd w:fill="FCE4D6" w:val="clear"/>
          </w:tcPr>
          <w:p>
            <w:r>
              <w:rPr>
                <w:sz w:val="17"/>
              </w:rPr>
              <w:t>BANK OF AFRICA BENIN</w:t>
            </w:r>
          </w:p>
        </w:tc>
        <w:tc>
          <w:tcPr>
            <w:tcW w:type="dxa" w:w="1728"/>
            <w:shd w:fill="FCE4D6" w:val="clear"/>
          </w:tcPr>
          <w:p>
            <w:r>
              <w:rPr>
                <w:sz w:val="17"/>
              </w:rPr>
              <w:t>9,850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2,490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SIVC</w:t>
            </w:r>
          </w:p>
        </w:tc>
        <w:tc>
          <w:tcPr>
            <w:tcW w:type="dxa" w:w="1728"/>
            <w:shd w:fill="FCE4D6" w:val="clear"/>
          </w:tcPr>
          <w:p>
            <w:r>
              <w:rPr>
                <w:sz w:val="17"/>
              </w:rPr>
              <w:t>SIVC - ERIUM CI (Ex AIR LIQU</w:t>
            </w:r>
          </w:p>
        </w:tc>
        <w:tc>
          <w:tcPr>
            <w:tcW w:type="dxa" w:w="1728"/>
            <w:shd w:fill="FCE4D6" w:val="clear"/>
          </w:tcPr>
          <w:p>
            <w:r>
              <w:rPr>
                <w:sz w:val="17"/>
              </w:rPr>
              <w:t>2,175</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SPHC</w:t>
            </w:r>
          </w:p>
        </w:tc>
        <w:tc>
          <w:tcPr>
            <w:tcW w:type="dxa" w:w="1728"/>
            <w:shd w:fill="FCE4D6" w:val="clear"/>
          </w:tcPr>
          <w:p>
            <w:r>
              <w:rPr>
                <w:sz w:val="17"/>
              </w:rPr>
              <w:t xml:space="preserve">SPHC - Société Africaine de </w:t>
            </w:r>
          </w:p>
        </w:tc>
        <w:tc>
          <w:tcPr>
            <w:tcW w:type="dxa" w:w="1728"/>
            <w:shd w:fill="FCE4D6" w:val="clear"/>
          </w:tcPr>
          <w:p>
            <w:r>
              <w:rPr>
                <w:sz w:val="17"/>
              </w:rPr>
              <w:t>7,800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BOABF</w:t>
            </w:r>
          </w:p>
        </w:tc>
        <w:tc>
          <w:tcPr>
            <w:tcW w:type="dxa" w:w="1728"/>
            <w:shd w:fill="FCE4D6" w:val="clear"/>
          </w:tcPr>
          <w:p>
            <w:r>
              <w:rPr>
                <w:sz w:val="17"/>
              </w:rPr>
              <w:t>BANK OF AFRICA BURKINA FASO</w:t>
            </w:r>
          </w:p>
        </w:tc>
        <w:tc>
          <w:tcPr>
            <w:tcW w:type="dxa" w:w="1728"/>
            <w:shd w:fill="FCE4D6" w:val="clear"/>
          </w:tcPr>
          <w:p>
            <w:r>
              <w:rPr>
                <w:sz w:val="17"/>
              </w:rPr>
              <w:t>7,800</w:t>
            </w:r>
          </w:p>
        </w:tc>
        <w:tc>
          <w:tcPr>
            <w:tcW w:type="dxa" w:w="1728"/>
            <w:shd w:fill="FCE4D6" w:val="clear"/>
          </w:tcPr>
          <w:p>
            <w:r>
              <w:rPr>
                <w:sz w:val="17"/>
              </w:rPr>
              <w:t>77/100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CBIBF — CBIBF - CORIS BANK INTERNATIONAL BURKINA FASO</w:t>
      </w:r>
    </w:p>
    <w:p>
      <w:pPr>
        <w:pStyle w:val="ListBullet"/>
        <w:spacing w:before="20"/>
        <w:ind w:left="400"/>
      </w:pPr>
      <w:r>
        <w:rPr>
          <w:sz w:val="18"/>
        </w:rPr>
        <w:t>🔴 RSI surachat (77.0 &gt; 70) — risque de correction</w:t>
      </w:r>
    </w:p>
    <w:p>
      <w:pPr>
        <w:pStyle w:val="ListBullet"/>
        <w:spacing w:before="20"/>
        <w:ind w:left="400"/>
      </w:pPr>
      <w:r>
        <w:rPr>
          <w:sz w:val="18"/>
        </w:rPr>
        <w:t>⚠️ Cours à 1.8% du plus haut 100j (34,450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(88.0 &gt; 70) — risque de correction</w:t>
      </w:r>
    </w:p>
    <w:p>
      <w:pPr>
        <w:pStyle w:val="ListBullet"/>
        <w:spacing w:before="20"/>
        <w:ind w:left="400"/>
      </w:pPr>
      <w:r>
        <w:rPr>
          <w:sz w:val="18"/>
        </w:rPr>
        <w:t>⚠️ Cours à 0.0% du plus haut 100j (42,190 FCFA)</w:t>
      </w:r>
    </w:p>
    <w:p>
      <w:pPr>
        <w:pStyle w:val="ListBullet"/>
        <w:spacing w:before="20"/>
        <w:ind w:left="400"/>
      </w:pPr>
      <w:r>
        <w:rPr>
          <w:sz w:val="18"/>
        </w:rPr>
        <w:t>🟠 Divergence tech(VENTE) / fond(ACHAT) — recommandation ajustée à ACHAT</w:t>
      </w:r>
    </w:p>
    <w:p>
      <w:pPr>
        <w:spacing w:before="120"/>
      </w:pPr>
      <w:r>
        <w:rPr>
          <w:b/>
          <w:color w:val="0050A0"/>
          <w:sz w:val="20"/>
        </w:rPr>
        <w:t>CABC — CABC - SICABLE COTE D'IVOIRE</w:t>
      </w:r>
    </w:p>
    <w:p>
      <w:pPr>
        <w:pStyle w:val="ListBullet"/>
        <w:spacing w:before="20"/>
        <w:ind w:left="400"/>
      </w:pPr>
      <w:r>
        <w:rPr>
          <w:sz w:val="18"/>
        </w:rPr>
        <w:t>⚠️ Cours à 0.1% du plus bas 100j (3,400 FCFA)</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1.0% du plus haut 100j (39,300 FCFA)</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RSI survente (21.1 &lt; 30) — opportunité potentielle</w:t>
      </w:r>
    </w:p>
    <w:p>
      <w:pPr>
        <w:pStyle w:val="ListBullet"/>
        <w:spacing w:before="20"/>
        <w:ind w:left="400"/>
      </w:pPr>
      <w:r>
        <w:rPr>
          <w:sz w:val="18"/>
        </w:rPr>
        <w:t>⚠️ Cours à 0.0% du plus bas 100j (2,275 FCFA)</w:t>
      </w:r>
    </w:p>
    <w:p>
      <w:pPr>
        <w:spacing w:before="120"/>
      </w:pPr>
      <w:r>
        <w:rPr>
          <w:b/>
          <w:color w:val="0050A0"/>
          <w:sz w:val="20"/>
        </w:rPr>
        <w:t>BOABF — BANK OF AFRICA BURKINA FASO</w:t>
      </w:r>
    </w:p>
    <w:p>
      <w:pPr>
        <w:pStyle w:val="ListBullet"/>
        <w:spacing w:before="20"/>
        <w:ind w:left="400"/>
      </w:pPr>
      <w:r>
        <w:rPr>
          <w:sz w:val="18"/>
        </w:rPr>
        <w:t>🟢 RSI survente (19.3 &lt; 30) — opportunité potentielle</w:t>
      </w:r>
    </w:p>
    <w:p>
      <w:pPr>
        <w:spacing w:before="120"/>
      </w:pPr>
      <w:r>
        <w:rPr>
          <w:b/>
          <w:color w:val="0050A0"/>
          <w:sz w:val="20"/>
        </w:rPr>
        <w:t>BOAC — BANK OF AFRICA COTE D'IVOIRE</w:t>
      </w:r>
    </w:p>
    <w:p>
      <w:pPr>
        <w:pStyle w:val="ListBullet"/>
        <w:spacing w:before="20"/>
        <w:ind w:left="400"/>
      </w:pPr>
      <w:r>
        <w:rPr>
          <w:sz w:val="18"/>
        </w:rPr>
        <w:t>🟢 RSI survente (23.1 &lt; 30) — opportunité potentielle</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(27.3 &lt; 30) — opportunité potentielle</w:t>
      </w:r>
    </w:p>
    <w:p>
      <w:pPr>
        <w:spacing w:before="120"/>
      </w:pPr>
      <w:r>
        <w:rPr>
          <w:b/>
          <w:color w:val="0050A0"/>
          <w:sz w:val="20"/>
        </w:rPr>
        <w:t>NSBC — NSBC - NSIA BANQUE COTE D'IVOIRE</w:t>
      </w:r>
    </w:p>
    <w:p>
      <w:pPr>
        <w:pStyle w:val="ListBullet"/>
        <w:spacing w:before="20"/>
        <w:ind w:left="400"/>
      </w:pPr>
      <w:r>
        <w:rPr>
          <w:sz w:val="18"/>
        </w:rPr>
        <w:t>⚠️ Cours à 1.5% du plus haut 100j (24,885 FCFA)</w:t>
      </w:r>
    </w:p>
    <w:p>
      <w:pPr>
        <w:spacing w:before="120"/>
      </w:pPr>
      <w:r>
        <w:rPr>
          <w:b/>
          <w:color w:val="0050A0"/>
          <w:sz w:val="20"/>
        </w:rPr>
        <w:t>ONTBF — ONTBF - ONATEL BURKINA FASO</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Cours à 1.3% du plus haut 100j (22,500 FCFA)</w:t>
      </w:r>
    </w:p>
    <w:p>
      <w:pPr>
        <w:spacing w:before="120"/>
      </w:pPr>
      <w:r>
        <w:rPr>
          <w:b/>
          <w:color w:val="0050A0"/>
          <w:sz w:val="20"/>
        </w:rPr>
        <w:t>PALC — PALC - PALM COTE D'IVOIRE</w:t>
      </w:r>
    </w:p>
    <w:p>
      <w:pPr>
        <w:pStyle w:val="ListBullet"/>
        <w:spacing w:before="20"/>
        <w:ind w:left="400"/>
      </w:pPr>
      <w:r>
        <w:rPr>
          <w:sz w:val="18"/>
        </w:rPr>
        <w:t>🟢 RSI survente (24.6 &lt; 30) — opportunité potentielle</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survente (29.7 &lt; 30) — opportunité potentielle</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survente (26.9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24 société(s) (51%)</w:t>
            </w:r>
          </w:p>
        </w:tc>
        <w:tc>
          <w:tcPr>
            <w:tcW w:type="dxa" w:w="1644"/>
            <w:shd w:fill="FFEB9C" w:val="clear"/>
          </w:tcPr>
          <w:p>
            <w:r>
              <w:rPr>
                <w:b/>
                <w:color w:val="825A00"/>
                <w:sz w:val="19"/>
              </w:rPr>
              <w:t>23 société(s) (49%)</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20.4/100</w:t>
            </w:r>
          </w:p>
        </w:tc>
        <w:tc>
          <w:tcPr>
            <w:tcW w:type="dxa" w:w="1644"/>
            <w:shd w:fill="DEEAF1" w:val="clear"/>
          </w:tcPr>
          <w:p>
            <w:r>
              <w:rPr>
                <w:b/>
                <w:color w:val="000000"/>
                <w:sz w:val="19"/>
              </w:rPr>
              <w:t>19.3/100</w:t>
            </w:r>
          </w:p>
        </w:tc>
      </w:tr>
    </w:tbl>
    <w:p/>
    <w:p>
      <w:r>
        <w:rPr>
          <w:i/>
          <w:color w:val="006400"/>
          <w:sz w:val="18"/>
        </w:rPr>
        <w:t>✅ Le marché BRVM présente globalement un profil de risque FAIBLE (score moyen 20.4/100).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29.8/100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NSBC (31.3/100 — Moyen) : </w:t>
      </w:r>
      <w:r>
        <w:rPr>
          <w:sz w:val="17"/>
        </w:rPr>
        <w:t>Volatilité=Élevée | Bêta=Agressif | Liquidité=Bonne | Divergence signaux=taux divergence=20% (Mixte ⚠️) | Stabilité=Stable</w:t>
      </w:r>
    </w:p>
    <w:p>
      <w:pPr>
        <w:pStyle w:val="ListBullet"/>
      </w:pPr>
      <w:r>
        <w:rPr>
          <w:b/>
          <w:color w:val="B40000"/>
          <w:sz w:val="18"/>
        </w:rPr>
        <w:t xml:space="preserve">#4 SAFC (30.8/100 — Moyen) : </w:t>
      </w:r>
      <w:r>
        <w:rPr>
          <w:sz w:val="17"/>
        </w:rPr>
        <w:t>Volatilité=Élevée | Bêta=Contre-cyclique | Liquidité=Bonne | Divergence signaux=taux divergence=20% (Mixte ⚠️) | Stabilité=Modérée</w:t>
      </w:r>
    </w:p>
    <w:p>
      <w:pPr>
        <w:pStyle w:val="ListBullet"/>
      </w:pPr>
      <w:r>
        <w:rPr>
          <w:b/>
          <w:color w:val="B40000"/>
          <w:sz w:val="18"/>
        </w:rPr>
        <w:t xml:space="preserve">#5 CIEC (29.8/100 — Moyen) : </w:t>
      </w:r>
      <w:r>
        <w:rPr>
          <w:sz w:val="17"/>
        </w:rPr>
        <w:t>Volatilité=Élevée | Bêta=Neutre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27.6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26.0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-1.95%  |  Médiane : -2.36%</w:t>
            </w:r>
          </w:p>
        </w:tc>
      </w:tr>
      <w:tr>
        <w:tc>
          <w:tcPr>
            <w:tcW w:type="dxa" w:w="2835"/>
            <w:shd w:fill="DEEAF1" w:val="clear"/>
          </w:tcPr>
          <w:p>
            <w:r>
              <w:rPr>
                <w:b/>
                <w:sz w:val="18"/>
              </w:rPr>
              <w:t>Répartition</w:t>
            </w:r>
          </w:p>
        </w:tc>
        <w:tc>
          <w:tcPr>
            <w:tcW w:type="dxa" w:w="7370"/>
          </w:tcPr>
          <w:p>
            <w:r>
              <w:rPr>
                <w:b/>
                <w:sz w:val="18"/>
              </w:rPr>
              <w:t>📈 13 sociétés en hausse (&gt;+1%)   📉 28 en baisse (&lt;-1%)   ➡️ 6 neutres</w:t>
            </w:r>
          </w:p>
        </w:tc>
      </w:tr>
      <w:tr>
        <w:tc>
          <w:tcPr>
            <w:tcW w:type="dxa" w:w="2835"/>
            <w:shd w:fill="DEEAF1" w:val="clear"/>
          </w:tcPr>
          <w:p>
            <w:r>
              <w:rPr>
                <w:b/>
                <w:sz w:val="18"/>
              </w:rPr>
              <w:t>Confiance globale</w:t>
            </w:r>
          </w:p>
        </w:tc>
        <w:tc>
          <w:tcPr>
            <w:tcW w:type="dxa" w:w="7370"/>
          </w:tcPr>
          <w:p>
            <w:r>
              <w:rPr>
                <w:b/>
                <w:sz w:val="18"/>
              </w:rPr>
              <w:t>Élevée : 0 sociétés (0%)   Moyenne : 14   Faible : 33 (70%)   → Confiance dominante : Faible</w:t>
            </w:r>
          </w:p>
        </w:tc>
      </w:tr>
    </w:tbl>
    <w:p/>
    <w:p>
      <w:r>
        <w:rPr>
          <w:i/>
          <w:color w:val="282828"/>
          <w:sz w:val="18"/>
        </w:rPr>
        <w:t>📝 Analyse : Légère tendance baissière avec signal mixte : 28 sociétés en baisse vs 13 en hausse. Variation moyenne : -1.95%.</w:t>
      </w:r>
    </w:p>
    <w:p>
      <w:r>
        <w:rPr>
          <w:i/>
          <w:color w:val="282828"/>
          <w:sz w:val="18"/>
        </w:rPr>
        <w:t>🎯 Fiabilité : ⚠️ La confiance est globalement FAIBLE (70%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21,950 FCFA</w:t>
            </w:r>
          </w:p>
        </w:tc>
        <w:tc>
          <w:tcPr>
            <w:tcW w:type="dxa" w:w="1417"/>
            <w:shd w:fill="FFFFFF" w:val="clear"/>
          </w:tcPr>
          <w:p>
            <w:r>
              <w:rPr>
                <w:sz w:val="16"/>
              </w:rPr>
              <w:t>24,444 FCFA</w:t>
            </w:r>
          </w:p>
        </w:tc>
        <w:tc>
          <w:tcPr>
            <w:tcW w:type="dxa" w:w="1134"/>
            <w:shd w:fill="C6EFCE" w:val="clear"/>
          </w:tcPr>
          <w:p>
            <w:r>
              <w:rPr>
                <w:b/>
                <w:color w:val="007800"/>
                <w:sz w:val="16"/>
              </w:rPr>
              <w:t>+11.36%</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3,085 FCFA</w:t>
            </w:r>
          </w:p>
        </w:tc>
        <w:tc>
          <w:tcPr>
            <w:tcW w:type="dxa" w:w="1417"/>
            <w:shd w:fill="FFFFFF" w:val="clear"/>
          </w:tcPr>
          <w:p>
            <w:r>
              <w:rPr>
                <w:sz w:val="16"/>
              </w:rPr>
              <w:t>3,421 FCFA</w:t>
            </w:r>
          </w:p>
        </w:tc>
        <w:tc>
          <w:tcPr>
            <w:tcW w:type="dxa" w:w="1134"/>
            <w:shd w:fill="C6EFCE" w:val="clear"/>
          </w:tcPr>
          <w:p>
            <w:r>
              <w:rPr>
                <w:b/>
                <w:color w:val="007800"/>
                <w:sz w:val="16"/>
              </w:rPr>
              <w:t>+10.90%</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SDCC — SDCC - Société de Distribution d'Ea...</w:t>
            </w:r>
          </w:p>
        </w:tc>
        <w:tc>
          <w:tcPr>
            <w:tcW w:type="dxa" w:w="1701"/>
            <w:shd w:fill="FFFFFF" w:val="clear"/>
          </w:tcPr>
          <w:p>
            <w:r>
              <w:rPr>
                <w:sz w:val="16"/>
              </w:rPr>
              <w:t>SERVICES PUBLICS</w:t>
            </w:r>
          </w:p>
        </w:tc>
        <w:tc>
          <w:tcPr>
            <w:tcW w:type="dxa" w:w="1417"/>
            <w:shd w:fill="FFFFFF" w:val="clear"/>
          </w:tcPr>
          <w:p>
            <w:r>
              <w:rPr>
                <w:sz w:val="16"/>
              </w:rPr>
              <w:t>12,485 FCFA</w:t>
            </w:r>
          </w:p>
        </w:tc>
        <w:tc>
          <w:tcPr>
            <w:tcW w:type="dxa" w:w="1417"/>
            <w:shd w:fill="FFFFFF" w:val="clear"/>
          </w:tcPr>
          <w:p>
            <w:r>
              <w:rPr>
                <w:sz w:val="16"/>
              </w:rPr>
              <w:t>13,835 FCFA</w:t>
            </w:r>
          </w:p>
        </w:tc>
        <w:tc>
          <w:tcPr>
            <w:tcW w:type="dxa" w:w="1134"/>
            <w:shd w:fill="C6EFCE" w:val="clear"/>
          </w:tcPr>
          <w:p>
            <w:r>
              <w:rPr>
                <w:b/>
                <w:color w:val="007800"/>
                <w:sz w:val="16"/>
              </w:rPr>
              <w:t>+10.81%</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38,000 FCFA</w:t>
            </w:r>
          </w:p>
        </w:tc>
        <w:tc>
          <w:tcPr>
            <w:tcW w:type="dxa" w:w="1417"/>
            <w:shd w:fill="FFFFFF" w:val="clear"/>
          </w:tcPr>
          <w:p>
            <w:r>
              <w:rPr>
                <w:sz w:val="16"/>
              </w:rPr>
              <w:t>41,452 FCFA</w:t>
            </w:r>
          </w:p>
        </w:tc>
        <w:tc>
          <w:tcPr>
            <w:tcW w:type="dxa" w:w="1134"/>
            <w:shd w:fill="C6EFCE" w:val="clear"/>
          </w:tcPr>
          <w:p>
            <w:r>
              <w:rPr>
                <w:b/>
                <w:color w:val="007800"/>
                <w:sz w:val="16"/>
              </w:rPr>
              <w:t>+9.08%</w:t>
            </w:r>
          </w:p>
        </w:tc>
        <w:tc>
          <w:tcPr>
            <w:tcW w:type="dxa" w:w="1020"/>
            <w:shd w:fill="FFEB9C" w:val="clear"/>
          </w:tcPr>
          <w:p>
            <w:r>
              <w:rPr>
                <w:sz w:val="16"/>
              </w:rPr>
              <w:t>Moyenne</w:t>
            </w:r>
          </w:p>
        </w:tc>
      </w:tr>
      <w:tr>
        <w:tc>
          <w:tcPr>
            <w:tcW w:type="dxa" w:w="680"/>
            <w:shd w:fill="FFFFFF" w:val="clear"/>
          </w:tcPr>
          <w:p>
            <w:r>
              <w:rPr>
                <w:b/>
                <w:sz w:val="16"/>
              </w:rPr>
              <w:t>#5</w:t>
            </w:r>
          </w:p>
        </w:tc>
        <w:tc>
          <w:tcPr>
            <w:tcW w:type="dxa" w:w="2835"/>
            <w:shd w:fill="C6EF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6,705 FCFA</w:t>
            </w:r>
          </w:p>
        </w:tc>
        <w:tc>
          <w:tcPr>
            <w:tcW w:type="dxa" w:w="1417"/>
            <w:shd w:fill="FFFFFF" w:val="clear"/>
          </w:tcPr>
          <w:p>
            <w:r>
              <w:rPr>
                <w:sz w:val="16"/>
              </w:rPr>
              <w:t>7,037 FCFA</w:t>
            </w:r>
          </w:p>
        </w:tc>
        <w:tc>
          <w:tcPr>
            <w:tcW w:type="dxa" w:w="1134"/>
            <w:shd w:fill="C6EFCE" w:val="clear"/>
          </w:tcPr>
          <w:p>
            <w:r>
              <w:rPr>
                <w:b/>
                <w:color w:val="007800"/>
                <w:sz w:val="16"/>
              </w:rPr>
              <w:t>+4.96%</w:t>
            </w:r>
          </w:p>
        </w:tc>
        <w:tc>
          <w:tcPr>
            <w:tcW w:type="dxa" w:w="1020"/>
            <w:shd w:fill="FFC7CE" w:val="clear"/>
          </w:tcPr>
          <w:p>
            <w:r>
              <w:rPr>
                <w:sz w:val="16"/>
              </w:rPr>
              <w:t>Faible</w:t>
            </w:r>
          </w:p>
        </w:tc>
      </w:tr>
    </w:tbl>
    <w:p/>
    <w:p>
      <w:pPr>
        <w:pStyle w:val="ListBullet"/>
      </w:pPr>
      <w:r>
        <w:rPr>
          <w:b/>
          <w:color w:val="006400"/>
          <w:sz w:val="18"/>
        </w:rPr>
        <w:t xml:space="preserve">#1 STBC </w:t>
      </w:r>
      <w:r>
        <w:rPr>
          <w:sz w:val="17"/>
        </w:rPr>
        <w:t>(STBC - SITAB COTE D'IVOIRE) — hausse significative (+11.4%) — potentiel de revalorisation notable. Trajectoire : 📈 Hausse continue. Cours actuel : 21,950 FCFA → prédit J+10 : 24,444 FCFA. ⚠️ Confiance limitée — volatilité élevée ou données insuffisantes. Résultat indicatif uniquement.</w:t>
      </w:r>
    </w:p>
    <w:p>
      <w:pPr>
        <w:pStyle w:val="ListBullet"/>
      </w:pPr>
      <w:r>
        <w:rPr>
          <w:b/>
          <w:color w:val="006400"/>
          <w:sz w:val="18"/>
        </w:rPr>
        <w:t xml:space="preserve">#2 SCRC </w:t>
      </w:r>
      <w:r>
        <w:rPr>
          <w:sz w:val="17"/>
        </w:rPr>
        <w:t>(SCRC - SUCRIVOIRE) — hausse significative (+10.9%) — potentiel de revalorisation notable. Trajectoire : 📈 Hausse continue. Cours actuel : 3,085 FCFA → prédit J+10 : 3,421 FCFA. ⚠️ Confiance limitée — volatilité élevée ou données insuffisantes. Résultat indicatif uniquement.</w:t>
      </w:r>
    </w:p>
    <w:p>
      <w:pPr>
        <w:pStyle w:val="ListBullet"/>
      </w:pPr>
      <w:r>
        <w:rPr>
          <w:b/>
          <w:color w:val="006400"/>
          <w:sz w:val="18"/>
        </w:rPr>
        <w:t xml:space="preserve">#3 SDCC </w:t>
      </w:r>
      <w:r>
        <w:rPr>
          <w:sz w:val="17"/>
        </w:rPr>
        <w:t>(SDCC - Société de Distribution d'Eau de ) — hausse significative (+10.8%) — potentiel de revalorisation notable. Trajectoire : 📈 Hausse continue. Cours actuel : 12,485 FCFA → prédit J+10 : 13,835 FCFA. ⚠️ Confiance limitée — volatilité élevée ou données insuffisantes. Résultat indicatif uniquement.</w:t>
      </w:r>
    </w:p>
    <w:p>
      <w:pPr>
        <w:pStyle w:val="ListBullet"/>
      </w:pPr>
      <w:r>
        <w:rPr>
          <w:b/>
          <w:color w:val="006400"/>
          <w:sz w:val="18"/>
        </w:rPr>
        <w:t xml:space="preserve">#4 SLBC </w:t>
      </w:r>
      <w:r>
        <w:rPr>
          <w:sz w:val="17"/>
        </w:rPr>
        <w:t>(SLBC - SOLIBRA COTE D'IVOIRE) — hausse modérée (+9.1%) — signal raisonnable et crédible. Trajectoire : 📈 Hausse continue. Cours actuel : 38,000 FCFA → prédit J+10 : 41,452 FCFA. Confiance partielle — les premiers jours sont fiables, les jours lointains moins précis.</w:t>
      </w:r>
    </w:p>
    <w:p>
      <w:pPr>
        <w:pStyle w:val="ListBullet"/>
      </w:pPr>
      <w:r>
        <w:rPr>
          <w:b/>
          <w:color w:val="006400"/>
          <w:sz w:val="18"/>
        </w:rPr>
        <w:t xml:space="preserve">#5 BOAM </w:t>
      </w:r>
      <w:r>
        <w:rPr>
          <w:sz w:val="17"/>
        </w:rPr>
        <w:t>(BANK OF AFRICA MALI) — légère hausse (+5.0%) — progression graduelle attendue. Trajectoire : 📈 Hausse continue. Cours actuel : 6,705 FCFA → prédit J+10 : 7,037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2,760 FCFA</w:t>
            </w:r>
          </w:p>
        </w:tc>
        <w:tc>
          <w:tcPr>
            <w:tcW w:type="dxa" w:w="1417"/>
            <w:shd w:fill="FFFFFF" w:val="clear"/>
          </w:tcPr>
          <w:p>
            <w:r>
              <w:rPr>
                <w:sz w:val="16"/>
              </w:rPr>
              <w:t>2,283 FCFA</w:t>
            </w:r>
          </w:p>
        </w:tc>
        <w:tc>
          <w:tcPr>
            <w:tcW w:type="dxa" w:w="1134"/>
            <w:shd w:fill="FFC7CE" w:val="clear"/>
          </w:tcPr>
          <w:p>
            <w:r>
              <w:rPr>
                <w:b/>
                <w:color w:val="B40000"/>
                <w:sz w:val="16"/>
              </w:rPr>
              <w:t>-17.27%</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33,840 FCFA</w:t>
            </w:r>
          </w:p>
        </w:tc>
        <w:tc>
          <w:tcPr>
            <w:tcW w:type="dxa" w:w="1417"/>
            <w:shd w:fill="FFFFFF" w:val="clear"/>
          </w:tcPr>
          <w:p>
            <w:r>
              <w:rPr>
                <w:sz w:val="16"/>
              </w:rPr>
              <w:t>28,559 FCFA</w:t>
            </w:r>
          </w:p>
        </w:tc>
        <w:tc>
          <w:tcPr>
            <w:tcW w:type="dxa" w:w="1134"/>
            <w:shd w:fill="FFC7CE" w:val="clear"/>
          </w:tcPr>
          <w:p>
            <w:r>
              <w:rPr>
                <w:b/>
                <w:color w:val="B40000"/>
                <w:sz w:val="16"/>
              </w:rPr>
              <w:t>-15.61%</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FFC7CE" w:val="clear"/>
          </w:tcPr>
          <w:p>
            <w:r>
              <w:rPr>
                <w:sz w:val="16"/>
              </w:rPr>
              <w:t>SICC — SICC - SICOR COTE D'IVOIRE</w:t>
            </w:r>
          </w:p>
        </w:tc>
        <w:tc>
          <w:tcPr>
            <w:tcW w:type="dxa" w:w="1701"/>
            <w:shd w:fill="FFFFFF" w:val="clear"/>
          </w:tcPr>
          <w:p>
            <w:r>
              <w:rPr>
                <w:sz w:val="16"/>
              </w:rPr>
              <w:t>CONSOMMATION DE BASE</w:t>
            </w:r>
          </w:p>
        </w:tc>
        <w:tc>
          <w:tcPr>
            <w:tcW w:type="dxa" w:w="1417"/>
            <w:shd w:fill="FFFFFF" w:val="clear"/>
          </w:tcPr>
          <w:p>
            <w:r>
              <w:rPr>
                <w:sz w:val="16"/>
              </w:rPr>
              <w:t>8,400 FCFA</w:t>
            </w:r>
          </w:p>
        </w:tc>
        <w:tc>
          <w:tcPr>
            <w:tcW w:type="dxa" w:w="1417"/>
            <w:shd w:fill="FFFFFF" w:val="clear"/>
          </w:tcPr>
          <w:p>
            <w:r>
              <w:rPr>
                <w:sz w:val="16"/>
              </w:rPr>
              <w:t>7,239 FCFA</w:t>
            </w:r>
          </w:p>
        </w:tc>
        <w:tc>
          <w:tcPr>
            <w:tcW w:type="dxa" w:w="1134"/>
            <w:shd w:fill="FFC7CE" w:val="clear"/>
          </w:tcPr>
          <w:p>
            <w:r>
              <w:rPr>
                <w:b/>
                <w:color w:val="B40000"/>
                <w:sz w:val="16"/>
              </w:rPr>
              <w:t>-13.82%</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3,930 FCFA</w:t>
            </w:r>
          </w:p>
        </w:tc>
        <w:tc>
          <w:tcPr>
            <w:tcW w:type="dxa" w:w="1417"/>
            <w:shd w:fill="FFFFFF" w:val="clear"/>
          </w:tcPr>
          <w:p>
            <w:r>
              <w:rPr>
                <w:sz w:val="16"/>
              </w:rPr>
              <w:t>3,539 FCFA</w:t>
            </w:r>
          </w:p>
        </w:tc>
        <w:tc>
          <w:tcPr>
            <w:tcW w:type="dxa" w:w="1134"/>
            <w:shd w:fill="FFC7CE" w:val="clear"/>
          </w:tcPr>
          <w:p>
            <w:r>
              <w:rPr>
                <w:b/>
                <w:color w:val="B40000"/>
                <w:sz w:val="16"/>
              </w:rPr>
              <w:t>-9.95%</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6,450 FCFA</w:t>
            </w:r>
          </w:p>
        </w:tc>
        <w:tc>
          <w:tcPr>
            <w:tcW w:type="dxa" w:w="1417"/>
            <w:shd w:fill="FFFFFF" w:val="clear"/>
          </w:tcPr>
          <w:p>
            <w:r>
              <w:rPr>
                <w:sz w:val="16"/>
              </w:rPr>
              <w:t>5,942 FCFA</w:t>
            </w:r>
          </w:p>
        </w:tc>
        <w:tc>
          <w:tcPr>
            <w:tcW w:type="dxa" w:w="1134"/>
            <w:shd w:fill="FFC7CE" w:val="clear"/>
          </w:tcPr>
          <w:p>
            <w:r>
              <w:rPr>
                <w:b/>
                <w:color w:val="B40000"/>
                <w:sz w:val="16"/>
              </w:rPr>
              <w:t>-7.87%</w:t>
            </w:r>
          </w:p>
        </w:tc>
        <w:tc>
          <w:tcPr>
            <w:tcW w:type="dxa" w:w="1020"/>
            <w:shd w:fill="FFC7CE" w:val="clear"/>
          </w:tcPr>
          <w:p>
            <w:r>
              <w:rPr>
                <w:sz w:val="16"/>
              </w:rPr>
              <w:t>Faible</w:t>
            </w:r>
          </w:p>
        </w:tc>
      </w:tr>
    </w:tbl>
    <w:p/>
    <w:p>
      <w:pPr>
        <w:pStyle w:val="ListBullet"/>
      </w:pPr>
      <w:r>
        <w:rPr>
          <w:b/>
          <w:color w:val="B40000"/>
          <w:sz w:val="18"/>
        </w:rPr>
        <w:t xml:space="preserve">#1 SHEC </w:t>
      </w:r>
      <w:r>
        <w:rPr>
          <w:sz w:val="17"/>
        </w:rPr>
        <w:t>(SHEC - VIVO ENERGY COTE D'IVOIRE) — correction importante (-17.3%) — signal de dégradation significative. Trajectoire : 📉 Baisse continue. Cours actuel : 2,760 FCFA → prédit J+10 : 2,283 FCFA. ⚠️ Confiance limitée — volatilité élevée. Ne pas agir sur ce seul signal.</w:t>
      </w:r>
    </w:p>
    <w:p>
      <w:pPr>
        <w:pStyle w:val="ListBullet"/>
      </w:pPr>
      <w:r>
        <w:rPr>
          <w:b/>
          <w:color w:val="B40000"/>
          <w:sz w:val="18"/>
        </w:rPr>
        <w:t xml:space="preserve">#2 CBIBF </w:t>
      </w:r>
      <w:r>
        <w:rPr>
          <w:sz w:val="17"/>
        </w:rPr>
        <w:t>(CBIBF - CORIS BANK INTERNATIONAL BURKINA) — correction importante (-15.6%) — signal de dégradation significative. Trajectoire : 📉 Baisse continue. Cours actuel : 33,840 FCFA → prédit J+10 : 28,559 FCFA. Confiance partielle — surveiller l'évolution réelle des premiers jours.</w:t>
      </w:r>
    </w:p>
    <w:p>
      <w:pPr>
        <w:pStyle w:val="ListBullet"/>
      </w:pPr>
      <w:r>
        <w:rPr>
          <w:b/>
          <w:color w:val="B40000"/>
          <w:sz w:val="18"/>
        </w:rPr>
        <w:t xml:space="preserve">#3 SICC </w:t>
      </w:r>
      <w:r>
        <w:rPr>
          <w:sz w:val="17"/>
        </w:rPr>
        <w:t>(SICC - SICOR COTE D'IVOIRE) — baisse modérée (-13.8%) — repli technique attendu. Trajectoire : 📉 Baisse continue. Cours actuel : 8,400 FCFA → prédit J+10 : 7,239 FCFA. ⚠️ Confiance limitée — volatilité élevée. Ne pas agir sur ce seul signal.</w:t>
      </w:r>
    </w:p>
    <w:p>
      <w:pPr>
        <w:pStyle w:val="ListBullet"/>
      </w:pPr>
      <w:r>
        <w:rPr>
          <w:b/>
          <w:color w:val="B40000"/>
          <w:sz w:val="18"/>
        </w:rPr>
        <w:t xml:space="preserve">#4 ABJC </w:t>
      </w:r>
      <w:r>
        <w:rPr>
          <w:sz w:val="17"/>
        </w:rPr>
        <w:t>(ABJC - SERVAIR ABIDJAN CI) — baisse modérée (-9.9%) — repli technique attendu. Trajectoire : 📉 Baisse continue. Cours actuel : 3,930 FCFA → prédit J+10 : 3,539 FCFA. ⚠️ Confiance limitée — volatilité élevée. Ne pas agir sur ce seul signal.</w:t>
      </w:r>
    </w:p>
    <w:p>
      <w:pPr>
        <w:pStyle w:val="ListBullet"/>
      </w:pPr>
      <w:r>
        <w:rPr>
          <w:b/>
          <w:color w:val="B40000"/>
          <w:sz w:val="18"/>
        </w:rPr>
        <w:t xml:space="preserve">#5 CIEC </w:t>
      </w:r>
      <w:r>
        <w:rPr>
          <w:sz w:val="17"/>
        </w:rPr>
        <w:t>(CIEC - Compagnie Ivoirienne d'Electricit) — baisse modérée (-7.9%) — repli technique attendu. Trajectoire : 📉 Baisse continue. Cours actuel : 6,450 FCFA → prédit J+10 : 5,942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21,950</w:t>
            </w:r>
          </w:p>
        </w:tc>
        <w:tc>
          <w:tcPr>
            <w:tcW w:type="dxa" w:w="1417"/>
            <w:shd w:fill="FFFFFF" w:val="clear"/>
          </w:tcPr>
          <w:p>
            <w:r>
              <w:rPr>
                <w:sz w:val="16"/>
              </w:rPr>
              <w:t>24,444</w:t>
            </w:r>
          </w:p>
        </w:tc>
        <w:tc>
          <w:tcPr>
            <w:tcW w:type="dxa" w:w="1134"/>
            <w:shd w:fill="C6EFCE" w:val="clear"/>
          </w:tcPr>
          <w:p>
            <w:r>
              <w:rPr>
                <w:b/>
                <w:color w:val="007800"/>
                <w:sz w:val="16"/>
              </w:rPr>
              <w:t>+11.36%</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3,085</w:t>
            </w:r>
          </w:p>
        </w:tc>
        <w:tc>
          <w:tcPr>
            <w:tcW w:type="dxa" w:w="1417"/>
            <w:shd w:fill="FFFFFF" w:val="clear"/>
          </w:tcPr>
          <w:p>
            <w:r>
              <w:rPr>
                <w:sz w:val="16"/>
              </w:rPr>
              <w:t>3,421</w:t>
            </w:r>
          </w:p>
        </w:tc>
        <w:tc>
          <w:tcPr>
            <w:tcW w:type="dxa" w:w="1134"/>
            <w:shd w:fill="C6EFCE" w:val="clear"/>
          </w:tcPr>
          <w:p>
            <w:r>
              <w:rPr>
                <w:b/>
                <w:color w:val="007800"/>
                <w:sz w:val="16"/>
              </w:rPr>
              <w:t>+10.90%</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12,485</w:t>
            </w:r>
          </w:p>
        </w:tc>
        <w:tc>
          <w:tcPr>
            <w:tcW w:type="dxa" w:w="1417"/>
            <w:shd w:fill="FFFFFF" w:val="clear"/>
          </w:tcPr>
          <w:p>
            <w:r>
              <w:rPr>
                <w:sz w:val="16"/>
              </w:rPr>
              <w:t>13,835</w:t>
            </w:r>
          </w:p>
        </w:tc>
        <w:tc>
          <w:tcPr>
            <w:tcW w:type="dxa" w:w="1134"/>
            <w:shd w:fill="C6EFCE" w:val="clear"/>
          </w:tcPr>
          <w:p>
            <w:r>
              <w:rPr>
                <w:b/>
                <w:color w:val="007800"/>
                <w:sz w:val="16"/>
              </w:rPr>
              <w:t>+10.81%</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38,000</w:t>
            </w:r>
          </w:p>
        </w:tc>
        <w:tc>
          <w:tcPr>
            <w:tcW w:type="dxa" w:w="1417"/>
            <w:shd w:fill="FFFFFF" w:val="clear"/>
          </w:tcPr>
          <w:p>
            <w:r>
              <w:rPr>
                <w:sz w:val="16"/>
              </w:rPr>
              <w:t>41,452</w:t>
            </w:r>
          </w:p>
        </w:tc>
        <w:tc>
          <w:tcPr>
            <w:tcW w:type="dxa" w:w="1134"/>
            <w:shd w:fill="C6EFCE" w:val="clear"/>
          </w:tcPr>
          <w:p>
            <w:r>
              <w:rPr>
                <w:b/>
                <w:color w:val="007800"/>
                <w:sz w:val="16"/>
              </w:rPr>
              <w:t>+9.08%</w:t>
            </w:r>
          </w:p>
        </w:tc>
        <w:tc>
          <w:tcPr>
            <w:tcW w:type="dxa" w:w="1134"/>
            <w:shd w:fill="FFEB9C" w:val="clear"/>
          </w:tcPr>
          <w:p>
            <w:r>
              <w:rPr>
                <w:sz w:val="16"/>
              </w:rPr>
              <w:t>Moyenne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6,705</w:t>
            </w:r>
          </w:p>
        </w:tc>
        <w:tc>
          <w:tcPr>
            <w:tcW w:type="dxa" w:w="1417"/>
            <w:shd w:fill="FFFFFF" w:val="clear"/>
          </w:tcPr>
          <w:p>
            <w:r>
              <w:rPr>
                <w:sz w:val="16"/>
              </w:rPr>
              <w:t>7,037</w:t>
            </w:r>
          </w:p>
        </w:tc>
        <w:tc>
          <w:tcPr>
            <w:tcW w:type="dxa" w:w="1134"/>
            <w:shd w:fill="C6EFCE" w:val="clear"/>
          </w:tcPr>
          <w:p>
            <w:r>
              <w:rPr>
                <w:b/>
                <w:color w:val="007800"/>
                <w:sz w:val="16"/>
              </w:rPr>
              <w:t>+4.96%</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7,800</w:t>
            </w:r>
          </w:p>
        </w:tc>
        <w:tc>
          <w:tcPr>
            <w:tcW w:type="dxa" w:w="1417"/>
            <w:shd w:fill="FFFFFF" w:val="clear"/>
          </w:tcPr>
          <w:p>
            <w:r>
              <w:rPr>
                <w:sz w:val="16"/>
              </w:rPr>
              <w:t>8,186</w:t>
            </w:r>
          </w:p>
        </w:tc>
        <w:tc>
          <w:tcPr>
            <w:tcW w:type="dxa" w:w="1134"/>
            <w:shd w:fill="C6EFCE" w:val="clear"/>
          </w:tcPr>
          <w:p>
            <w:r>
              <w:rPr>
                <w:b/>
                <w:color w:val="007800"/>
                <w:sz w:val="16"/>
              </w:rPr>
              <w:t>+4.95%</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1,630</w:t>
            </w:r>
          </w:p>
        </w:tc>
        <w:tc>
          <w:tcPr>
            <w:tcW w:type="dxa" w:w="1417"/>
            <w:shd w:fill="FFFFFF" w:val="clear"/>
          </w:tcPr>
          <w:p>
            <w:r>
              <w:rPr>
                <w:sz w:val="16"/>
              </w:rPr>
              <w:t>1,687</w:t>
            </w:r>
          </w:p>
        </w:tc>
        <w:tc>
          <w:tcPr>
            <w:tcW w:type="dxa" w:w="1134"/>
            <w:shd w:fill="C6EFCE" w:val="clear"/>
          </w:tcPr>
          <w:p>
            <w:r>
              <w:rPr>
                <w:b/>
                <w:color w:val="007800"/>
                <w:sz w:val="16"/>
              </w:rPr>
              <w:t>+3.51%</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4,980</w:t>
            </w:r>
          </w:p>
        </w:tc>
        <w:tc>
          <w:tcPr>
            <w:tcW w:type="dxa" w:w="1417"/>
            <w:shd w:fill="FFFFFF" w:val="clear"/>
          </w:tcPr>
          <w:p>
            <w:r>
              <w:rPr>
                <w:sz w:val="16"/>
              </w:rPr>
              <w:t>5,121</w:t>
            </w:r>
          </w:p>
        </w:tc>
        <w:tc>
          <w:tcPr>
            <w:tcW w:type="dxa" w:w="1134"/>
            <w:shd w:fill="C6EFCE" w:val="clear"/>
          </w:tcPr>
          <w:p>
            <w:r>
              <w:rPr>
                <w:b/>
                <w:color w:val="007800"/>
                <w:sz w:val="16"/>
              </w:rPr>
              <w:t>+2.83%</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16,000</w:t>
            </w:r>
          </w:p>
        </w:tc>
        <w:tc>
          <w:tcPr>
            <w:tcW w:type="dxa" w:w="1417"/>
            <w:shd w:fill="FFFFFF" w:val="clear"/>
          </w:tcPr>
          <w:p>
            <w:r>
              <w:rPr>
                <w:sz w:val="16"/>
              </w:rPr>
              <w:t>16,432</w:t>
            </w:r>
          </w:p>
        </w:tc>
        <w:tc>
          <w:tcPr>
            <w:tcW w:type="dxa" w:w="1134"/>
            <w:shd w:fill="C6EFCE" w:val="clear"/>
          </w:tcPr>
          <w:p>
            <w:r>
              <w:rPr>
                <w:b/>
                <w:color w:val="007800"/>
                <w:sz w:val="16"/>
              </w:rPr>
              <w:t>+2.70%</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4,080</w:t>
            </w:r>
          </w:p>
        </w:tc>
        <w:tc>
          <w:tcPr>
            <w:tcW w:type="dxa" w:w="1417"/>
            <w:shd w:fill="FFFFFF" w:val="clear"/>
          </w:tcPr>
          <w:p>
            <w:r>
              <w:rPr>
                <w:sz w:val="16"/>
              </w:rPr>
              <w:t>4,179</w:t>
            </w:r>
          </w:p>
        </w:tc>
        <w:tc>
          <w:tcPr>
            <w:tcW w:type="dxa" w:w="1134"/>
            <w:shd w:fill="C6EFCE" w:val="clear"/>
          </w:tcPr>
          <w:p>
            <w:r>
              <w:rPr>
                <w:b/>
                <w:color w:val="007800"/>
                <w:sz w:val="16"/>
              </w:rPr>
              <w:t>+2.42%</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2,910</w:t>
            </w:r>
          </w:p>
        </w:tc>
        <w:tc>
          <w:tcPr>
            <w:tcW w:type="dxa" w:w="1417"/>
            <w:shd w:fill="FFFFFF" w:val="clear"/>
          </w:tcPr>
          <w:p>
            <w:r>
              <w:rPr>
                <w:sz w:val="16"/>
              </w:rPr>
              <w:t>2,975</w:t>
            </w:r>
          </w:p>
        </w:tc>
        <w:tc>
          <w:tcPr>
            <w:tcW w:type="dxa" w:w="1134"/>
            <w:shd w:fill="C6EFCE" w:val="clear"/>
          </w:tcPr>
          <w:p>
            <w:r>
              <w:rPr>
                <w:b/>
                <w:color w:val="007800"/>
                <w:sz w:val="16"/>
              </w:rPr>
              <w:t>+2.22%</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3,205</w:t>
            </w:r>
          </w:p>
        </w:tc>
        <w:tc>
          <w:tcPr>
            <w:tcW w:type="dxa" w:w="1417"/>
            <w:shd w:fill="FFFFFF" w:val="clear"/>
          </w:tcPr>
          <w:p>
            <w:r>
              <w:rPr>
                <w:sz w:val="16"/>
              </w:rPr>
              <w:t>3,267</w:t>
            </w:r>
          </w:p>
        </w:tc>
        <w:tc>
          <w:tcPr>
            <w:tcW w:type="dxa" w:w="1134"/>
            <w:shd w:fill="C6EFCE" w:val="clear"/>
          </w:tcPr>
          <w:p>
            <w:r>
              <w:rPr>
                <w:b/>
                <w:color w:val="007800"/>
                <w:sz w:val="16"/>
              </w:rPr>
              <w:t>+1.94%</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16,995</w:t>
            </w:r>
          </w:p>
        </w:tc>
        <w:tc>
          <w:tcPr>
            <w:tcW w:type="dxa" w:w="1417"/>
            <w:shd w:fill="FFFFFF" w:val="clear"/>
          </w:tcPr>
          <w:p>
            <w:r>
              <w:rPr>
                <w:sz w:val="16"/>
              </w:rPr>
              <w:t>17,273</w:t>
            </w:r>
          </w:p>
        </w:tc>
        <w:tc>
          <w:tcPr>
            <w:tcW w:type="dxa" w:w="1134"/>
            <w:shd w:fill="C6EFCE" w:val="clear"/>
          </w:tcPr>
          <w:p>
            <w:r>
              <w:rPr>
                <w:b/>
                <w:color w:val="007800"/>
                <w:sz w:val="16"/>
              </w:rPr>
              <w:t>+1.63%</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17,000</w:t>
            </w:r>
          </w:p>
        </w:tc>
        <w:tc>
          <w:tcPr>
            <w:tcW w:type="dxa" w:w="1417"/>
            <w:shd w:fill="FFFFFF" w:val="clear"/>
          </w:tcPr>
          <w:p>
            <w:r>
              <w:rPr>
                <w:sz w:val="16"/>
              </w:rPr>
              <w:t>17,080</w:t>
            </w:r>
          </w:p>
        </w:tc>
        <w:tc>
          <w:tcPr>
            <w:tcW w:type="dxa" w:w="1134"/>
            <w:shd w:fill="FFEB9C" w:val="clear"/>
          </w:tcPr>
          <w:p>
            <w:r>
              <w:rPr>
                <w:b/>
                <w:color w:val="646400"/>
                <w:sz w:val="16"/>
              </w:rPr>
              <w:t>+0.47%</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7,855</w:t>
            </w:r>
          </w:p>
        </w:tc>
        <w:tc>
          <w:tcPr>
            <w:tcW w:type="dxa" w:w="1417"/>
            <w:shd w:fill="FFFFFF" w:val="clear"/>
          </w:tcPr>
          <w:p>
            <w:r>
              <w:rPr>
                <w:sz w:val="16"/>
              </w:rPr>
              <w:t>7,862</w:t>
            </w:r>
          </w:p>
        </w:tc>
        <w:tc>
          <w:tcPr>
            <w:tcW w:type="dxa" w:w="1134"/>
            <w:shd w:fill="FFEB9C" w:val="clear"/>
          </w:tcPr>
          <w:p>
            <w:r>
              <w:rPr>
                <w:b/>
                <w:color w:val="646400"/>
                <w:sz w:val="16"/>
              </w:rPr>
              <w:t>+0.09%</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22,200</w:t>
            </w:r>
          </w:p>
        </w:tc>
        <w:tc>
          <w:tcPr>
            <w:tcW w:type="dxa" w:w="1417"/>
            <w:shd w:fill="FFFFFF" w:val="clear"/>
          </w:tcPr>
          <w:p>
            <w:r>
              <w:rPr>
                <w:sz w:val="16"/>
              </w:rPr>
              <w:t>22,124</w:t>
            </w:r>
          </w:p>
        </w:tc>
        <w:tc>
          <w:tcPr>
            <w:tcW w:type="dxa" w:w="1134"/>
            <w:shd w:fill="FFEB9C" w:val="clear"/>
          </w:tcPr>
          <w:p>
            <w:r>
              <w:rPr>
                <w:b/>
                <w:color w:val="646400"/>
                <w:sz w:val="16"/>
              </w:rPr>
              <w:t>-0.34%</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24,500</w:t>
            </w:r>
          </w:p>
        </w:tc>
        <w:tc>
          <w:tcPr>
            <w:tcW w:type="dxa" w:w="1417"/>
            <w:shd w:fill="FFFFFF" w:val="clear"/>
          </w:tcPr>
          <w:p>
            <w:r>
              <w:rPr>
                <w:sz w:val="16"/>
              </w:rPr>
              <w:t>24,382</w:t>
            </w:r>
          </w:p>
        </w:tc>
        <w:tc>
          <w:tcPr>
            <w:tcW w:type="dxa" w:w="1134"/>
            <w:shd w:fill="FFEB9C" w:val="clear"/>
          </w:tcPr>
          <w:p>
            <w:r>
              <w:rPr>
                <w:b/>
                <w:color w:val="646400"/>
                <w:sz w:val="16"/>
              </w:rPr>
              <w:t>-0.48%</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5,350</w:t>
            </w:r>
          </w:p>
        </w:tc>
        <w:tc>
          <w:tcPr>
            <w:tcW w:type="dxa" w:w="1417"/>
            <w:shd w:fill="FFFFFF" w:val="clear"/>
          </w:tcPr>
          <w:p>
            <w:r>
              <w:rPr>
                <w:sz w:val="16"/>
              </w:rPr>
              <w:t>5,319</w:t>
            </w:r>
          </w:p>
        </w:tc>
        <w:tc>
          <w:tcPr>
            <w:tcW w:type="dxa" w:w="1134"/>
            <w:shd w:fill="FFEB9C" w:val="clear"/>
          </w:tcPr>
          <w:p>
            <w:r>
              <w:rPr>
                <w:b/>
                <w:color w:val="646400"/>
                <w:sz w:val="16"/>
              </w:rPr>
              <w:t>-0.58%</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7,800</w:t>
            </w:r>
          </w:p>
        </w:tc>
        <w:tc>
          <w:tcPr>
            <w:tcW w:type="dxa" w:w="1417"/>
            <w:shd w:fill="FFFFFF" w:val="clear"/>
          </w:tcPr>
          <w:p>
            <w:r>
              <w:rPr>
                <w:sz w:val="16"/>
              </w:rPr>
              <w:t>7,747</w:t>
            </w:r>
          </w:p>
        </w:tc>
        <w:tc>
          <w:tcPr>
            <w:tcW w:type="dxa" w:w="1134"/>
            <w:shd w:fill="FFEB9C" w:val="clear"/>
          </w:tcPr>
          <w:p>
            <w:r>
              <w:rPr>
                <w:b/>
                <w:color w:val="646400"/>
                <w:sz w:val="16"/>
              </w:rPr>
              <w:t>-0.68%</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8,390</w:t>
            </w:r>
          </w:p>
        </w:tc>
        <w:tc>
          <w:tcPr>
            <w:tcW w:type="dxa" w:w="1417"/>
            <w:shd w:fill="FFFFFF" w:val="clear"/>
          </w:tcPr>
          <w:p>
            <w:r>
              <w:rPr>
                <w:sz w:val="16"/>
              </w:rPr>
              <w:t>8,297</w:t>
            </w:r>
          </w:p>
        </w:tc>
        <w:tc>
          <w:tcPr>
            <w:tcW w:type="dxa" w:w="1134"/>
            <w:shd w:fill="FFC7CE" w:val="clear"/>
          </w:tcPr>
          <w:p>
            <w:r>
              <w:rPr>
                <w:b/>
                <w:color w:val="B40000"/>
                <w:sz w:val="16"/>
              </w:rPr>
              <w:t>-1.10%</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52,380</w:t>
            </w:r>
          </w:p>
        </w:tc>
        <w:tc>
          <w:tcPr>
            <w:tcW w:type="dxa" w:w="1417"/>
            <w:shd w:fill="FFFFFF" w:val="clear"/>
          </w:tcPr>
          <w:p>
            <w:r>
              <w:rPr>
                <w:sz w:val="16"/>
              </w:rPr>
              <w:t>51,668</w:t>
            </w:r>
          </w:p>
        </w:tc>
        <w:tc>
          <w:tcPr>
            <w:tcW w:type="dxa" w:w="1134"/>
            <w:shd w:fill="FFC7CE" w:val="clear"/>
          </w:tcPr>
          <w:p>
            <w:r>
              <w:rPr>
                <w:b/>
                <w:color w:val="B40000"/>
                <w:sz w:val="16"/>
              </w:rPr>
              <w:t>-1.36%</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4,305</w:t>
            </w:r>
          </w:p>
        </w:tc>
        <w:tc>
          <w:tcPr>
            <w:tcW w:type="dxa" w:w="1417"/>
            <w:shd w:fill="FFFFFF" w:val="clear"/>
          </w:tcPr>
          <w:p>
            <w:r>
              <w:rPr>
                <w:sz w:val="16"/>
              </w:rPr>
              <w:t>4,241</w:t>
            </w:r>
          </w:p>
        </w:tc>
        <w:tc>
          <w:tcPr>
            <w:tcW w:type="dxa" w:w="1134"/>
            <w:shd w:fill="FFC7CE" w:val="clear"/>
          </w:tcPr>
          <w:p>
            <w:r>
              <w:rPr>
                <w:b/>
                <w:color w:val="B40000"/>
                <w:sz w:val="16"/>
              </w:rPr>
              <w:t>-1.48%</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3,950</w:t>
            </w:r>
          </w:p>
        </w:tc>
        <w:tc>
          <w:tcPr>
            <w:tcW w:type="dxa" w:w="1417"/>
            <w:shd w:fill="FFFFFF" w:val="clear"/>
          </w:tcPr>
          <w:p>
            <w:r>
              <w:rPr>
                <w:sz w:val="16"/>
              </w:rPr>
              <w:t>3,878</w:t>
            </w:r>
          </w:p>
        </w:tc>
        <w:tc>
          <w:tcPr>
            <w:tcW w:type="dxa" w:w="1134"/>
            <w:shd w:fill="FFC7CE" w:val="clear"/>
          </w:tcPr>
          <w:p>
            <w:r>
              <w:rPr>
                <w:b/>
                <w:color w:val="B40000"/>
                <w:sz w:val="16"/>
              </w:rPr>
              <w:t>-1.82%</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31,675</w:t>
            </w:r>
          </w:p>
        </w:tc>
        <w:tc>
          <w:tcPr>
            <w:tcW w:type="dxa" w:w="1417"/>
            <w:shd w:fill="FFFFFF" w:val="clear"/>
          </w:tcPr>
          <w:p>
            <w:r>
              <w:rPr>
                <w:sz w:val="16"/>
              </w:rPr>
              <w:t>30,928</w:t>
            </w:r>
          </w:p>
        </w:tc>
        <w:tc>
          <w:tcPr>
            <w:tcW w:type="dxa" w:w="1134"/>
            <w:shd w:fill="FFC7CE" w:val="clear"/>
          </w:tcPr>
          <w:p>
            <w:r>
              <w:rPr>
                <w:b/>
                <w:color w:val="B40000"/>
                <w:sz w:val="16"/>
              </w:rPr>
              <w:t>-2.36%</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9,850</w:t>
            </w:r>
          </w:p>
        </w:tc>
        <w:tc>
          <w:tcPr>
            <w:tcW w:type="dxa" w:w="1417"/>
            <w:shd w:fill="FFFFFF" w:val="clear"/>
          </w:tcPr>
          <w:p>
            <w:r>
              <w:rPr>
                <w:sz w:val="16"/>
              </w:rPr>
              <w:t>9,592</w:t>
            </w:r>
          </w:p>
        </w:tc>
        <w:tc>
          <w:tcPr>
            <w:tcW w:type="dxa" w:w="1134"/>
            <w:shd w:fill="FFC7CE" w:val="clear"/>
          </w:tcPr>
          <w:p>
            <w:r>
              <w:rPr>
                <w:b/>
                <w:color w:val="B40000"/>
                <w:sz w:val="16"/>
              </w:rPr>
              <w:t>-2.62%</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2,900</w:t>
            </w:r>
          </w:p>
        </w:tc>
        <w:tc>
          <w:tcPr>
            <w:tcW w:type="dxa" w:w="1417"/>
            <w:shd w:fill="FFFFFF" w:val="clear"/>
          </w:tcPr>
          <w:p>
            <w:r>
              <w:rPr>
                <w:sz w:val="16"/>
              </w:rPr>
              <w:t>2,823</w:t>
            </w:r>
          </w:p>
        </w:tc>
        <w:tc>
          <w:tcPr>
            <w:tcW w:type="dxa" w:w="1134"/>
            <w:shd w:fill="FFC7CE" w:val="clear"/>
          </w:tcPr>
          <w:p>
            <w:r>
              <w:rPr>
                <w:b/>
                <w:color w:val="B40000"/>
                <w:sz w:val="16"/>
              </w:rPr>
              <w:t>-2.66%</w:t>
            </w:r>
          </w:p>
        </w:tc>
        <w:tc>
          <w:tcPr>
            <w:tcW w:type="dxa" w:w="1134"/>
            <w:shd w:fill="FFEB9C" w:val="clear"/>
          </w:tcPr>
          <w:p>
            <w:r>
              <w:rPr>
                <w:sz w:val="16"/>
              </w:rPr>
              <w:t>Moyenne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8,050</w:t>
            </w:r>
          </w:p>
        </w:tc>
        <w:tc>
          <w:tcPr>
            <w:tcW w:type="dxa" w:w="1417"/>
            <w:shd w:fill="FFFFFF" w:val="clear"/>
          </w:tcPr>
          <w:p>
            <w:r>
              <w:rPr>
                <w:sz w:val="16"/>
              </w:rPr>
              <w:t>7,807</w:t>
            </w:r>
          </w:p>
        </w:tc>
        <w:tc>
          <w:tcPr>
            <w:tcW w:type="dxa" w:w="1134"/>
            <w:shd w:fill="FFC7CE" w:val="clear"/>
          </w:tcPr>
          <w:p>
            <w:r>
              <w:rPr>
                <w:b/>
                <w:color w:val="B40000"/>
                <w:sz w:val="16"/>
              </w:rPr>
              <w:t>-3.01%</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2,320</w:t>
            </w:r>
          </w:p>
        </w:tc>
        <w:tc>
          <w:tcPr>
            <w:tcW w:type="dxa" w:w="1417"/>
            <w:shd w:fill="FFFFFF" w:val="clear"/>
          </w:tcPr>
          <w:p>
            <w:r>
              <w:rPr>
                <w:sz w:val="16"/>
              </w:rPr>
              <w:t>2,241</w:t>
            </w:r>
          </w:p>
        </w:tc>
        <w:tc>
          <w:tcPr>
            <w:tcW w:type="dxa" w:w="1134"/>
            <w:shd w:fill="FFC7CE" w:val="clear"/>
          </w:tcPr>
          <w:p>
            <w:r>
              <w:rPr>
                <w:b/>
                <w:color w:val="B40000"/>
                <w:sz w:val="16"/>
              </w:rPr>
              <w:t>-3.41%</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2,275</w:t>
            </w:r>
          </w:p>
        </w:tc>
        <w:tc>
          <w:tcPr>
            <w:tcW w:type="dxa" w:w="1417"/>
            <w:shd w:fill="FFFFFF" w:val="clear"/>
          </w:tcPr>
          <w:p>
            <w:r>
              <w:rPr>
                <w:sz w:val="16"/>
              </w:rPr>
              <w:t>2,193</w:t>
            </w:r>
          </w:p>
        </w:tc>
        <w:tc>
          <w:tcPr>
            <w:tcW w:type="dxa" w:w="1134"/>
            <w:shd w:fill="FFC7CE" w:val="clear"/>
          </w:tcPr>
          <w:p>
            <w:r>
              <w:rPr>
                <w:b/>
                <w:color w:val="B40000"/>
                <w:sz w:val="16"/>
              </w:rPr>
              <w:t>-3.59%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70</w:t>
            </w:r>
          </w:p>
        </w:tc>
        <w:tc>
          <w:tcPr>
            <w:tcW w:type="dxa" w:w="1417"/>
            <w:shd w:fill="FFFFFF" w:val="clear"/>
          </w:tcPr>
          <w:p>
            <w:r>
              <w:rPr>
                <w:sz w:val="16"/>
              </w:rPr>
              <w:t>67</w:t>
            </w:r>
          </w:p>
        </w:tc>
        <w:tc>
          <w:tcPr>
            <w:tcW w:type="dxa" w:w="1134"/>
            <w:shd w:fill="FFC7CE" w:val="clear"/>
          </w:tcPr>
          <w:p>
            <w:r>
              <w:rPr>
                <w:b/>
                <w:color w:val="B40000"/>
                <w:sz w:val="16"/>
              </w:rPr>
              <w:t>-3.66%</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1,495</w:t>
            </w:r>
          </w:p>
        </w:tc>
        <w:tc>
          <w:tcPr>
            <w:tcW w:type="dxa" w:w="1417"/>
            <w:shd w:fill="FFFFFF" w:val="clear"/>
          </w:tcPr>
          <w:p>
            <w:r>
              <w:rPr>
                <w:sz w:val="16"/>
              </w:rPr>
              <w:t>1,440</w:t>
            </w:r>
          </w:p>
        </w:tc>
        <w:tc>
          <w:tcPr>
            <w:tcW w:type="dxa" w:w="1134"/>
            <w:shd w:fill="FFC7CE" w:val="clear"/>
          </w:tcPr>
          <w:p>
            <w:r>
              <w:rPr>
                <w:b/>
                <w:color w:val="B40000"/>
                <w:sz w:val="16"/>
              </w:rPr>
              <w:t>-3.68%</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2,000</w:t>
            </w:r>
          </w:p>
        </w:tc>
        <w:tc>
          <w:tcPr>
            <w:tcW w:type="dxa" w:w="1417"/>
            <w:shd w:fill="FFFFFF" w:val="clear"/>
          </w:tcPr>
          <w:p>
            <w:r>
              <w:rPr>
                <w:sz w:val="16"/>
              </w:rPr>
              <w:t>1,926</w:t>
            </w:r>
          </w:p>
        </w:tc>
        <w:tc>
          <w:tcPr>
            <w:tcW w:type="dxa" w:w="1134"/>
            <w:shd w:fill="FFC7CE" w:val="clear"/>
          </w:tcPr>
          <w:p>
            <w:r>
              <w:rPr>
                <w:b/>
                <w:color w:val="B40000"/>
                <w:sz w:val="16"/>
              </w:rPr>
              <w:t>-3.72%</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2,175</w:t>
            </w:r>
          </w:p>
        </w:tc>
        <w:tc>
          <w:tcPr>
            <w:tcW w:type="dxa" w:w="1417"/>
            <w:shd w:fill="FFFFFF" w:val="clear"/>
          </w:tcPr>
          <w:p>
            <w:r>
              <w:rPr>
                <w:sz w:val="16"/>
              </w:rPr>
              <w:t>2,085</w:t>
            </w:r>
          </w:p>
        </w:tc>
        <w:tc>
          <w:tcPr>
            <w:tcW w:type="dxa" w:w="1134"/>
            <w:shd w:fill="FFC7CE" w:val="clear"/>
          </w:tcPr>
          <w:p>
            <w:r>
              <w:rPr>
                <w:b/>
                <w:color w:val="B40000"/>
                <w:sz w:val="16"/>
              </w:rPr>
              <w:t>-4.13%</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38,900</w:t>
            </w:r>
          </w:p>
        </w:tc>
        <w:tc>
          <w:tcPr>
            <w:tcW w:type="dxa" w:w="1417"/>
            <w:shd w:fill="FFFFFF" w:val="clear"/>
          </w:tcPr>
          <w:p>
            <w:r>
              <w:rPr>
                <w:sz w:val="16"/>
              </w:rPr>
              <w:t>37,181</w:t>
            </w:r>
          </w:p>
        </w:tc>
        <w:tc>
          <w:tcPr>
            <w:tcW w:type="dxa" w:w="1134"/>
            <w:shd w:fill="FFC7CE" w:val="clear"/>
          </w:tcPr>
          <w:p>
            <w:r>
              <w:rPr>
                <w:b/>
                <w:color w:val="B40000"/>
                <w:sz w:val="16"/>
              </w:rPr>
              <w:t>-4.42%</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2,490</w:t>
            </w:r>
          </w:p>
        </w:tc>
        <w:tc>
          <w:tcPr>
            <w:tcW w:type="dxa" w:w="1417"/>
            <w:shd w:fill="FFFFFF" w:val="clear"/>
          </w:tcPr>
          <w:p>
            <w:r>
              <w:rPr>
                <w:sz w:val="16"/>
              </w:rPr>
              <w:t>2,377</w:t>
            </w:r>
          </w:p>
        </w:tc>
        <w:tc>
          <w:tcPr>
            <w:tcW w:type="dxa" w:w="1134"/>
            <w:shd w:fill="FFC7CE" w:val="clear"/>
          </w:tcPr>
          <w:p>
            <w:r>
              <w:rPr>
                <w:b/>
                <w:color w:val="B40000"/>
                <w:sz w:val="16"/>
              </w:rPr>
              <w:t>-4.54%</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11,805</w:t>
            </w:r>
          </w:p>
        </w:tc>
        <w:tc>
          <w:tcPr>
            <w:tcW w:type="dxa" w:w="1417"/>
            <w:shd w:fill="FFFFFF" w:val="clear"/>
          </w:tcPr>
          <w:p>
            <w:r>
              <w:rPr>
                <w:sz w:val="16"/>
              </w:rPr>
              <w:t>11,172</w:t>
            </w:r>
          </w:p>
        </w:tc>
        <w:tc>
          <w:tcPr>
            <w:tcW w:type="dxa" w:w="1134"/>
            <w:shd w:fill="FFC7CE" w:val="clear"/>
          </w:tcPr>
          <w:p>
            <w:r>
              <w:rPr>
                <w:b/>
                <w:color w:val="B40000"/>
                <w:sz w:val="16"/>
              </w:rPr>
              <w:t>-5.36%</w:t>
            </w:r>
          </w:p>
        </w:tc>
        <w:tc>
          <w:tcPr>
            <w:tcW w:type="dxa" w:w="1134"/>
            <w:shd w:fill="FFEB9C" w:val="clear"/>
          </w:tcPr>
          <w:p>
            <w:r>
              <w:rPr>
                <w:sz w:val="16"/>
              </w:rPr>
              <w:t>Moyenne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3,405</w:t>
            </w:r>
          </w:p>
        </w:tc>
        <w:tc>
          <w:tcPr>
            <w:tcW w:type="dxa" w:w="1417"/>
            <w:shd w:fill="FFFFFF" w:val="clear"/>
          </w:tcPr>
          <w:p>
            <w:r>
              <w:rPr>
                <w:sz w:val="16"/>
              </w:rPr>
              <w:t>3,200</w:t>
            </w:r>
          </w:p>
        </w:tc>
        <w:tc>
          <w:tcPr>
            <w:tcW w:type="dxa" w:w="1134"/>
            <w:shd w:fill="FFC7CE" w:val="clear"/>
          </w:tcPr>
          <w:p>
            <w:r>
              <w:rPr>
                <w:b/>
                <w:color w:val="B40000"/>
                <w:sz w:val="16"/>
              </w:rPr>
              <w:t>-6.02%</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9,185</w:t>
            </w:r>
          </w:p>
        </w:tc>
        <w:tc>
          <w:tcPr>
            <w:tcW w:type="dxa" w:w="1417"/>
            <w:shd w:fill="FFFFFF" w:val="clear"/>
          </w:tcPr>
          <w:p>
            <w:r>
              <w:rPr>
                <w:sz w:val="16"/>
              </w:rPr>
              <w:t>8,561</w:t>
            </w:r>
          </w:p>
        </w:tc>
        <w:tc>
          <w:tcPr>
            <w:tcW w:type="dxa" w:w="1134"/>
            <w:shd w:fill="FFC7CE" w:val="clear"/>
          </w:tcPr>
          <w:p>
            <w:r>
              <w:rPr>
                <w:b/>
                <w:color w:val="B40000"/>
                <w:sz w:val="16"/>
              </w:rPr>
              <w:t>-6.79%</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42,190</w:t>
            </w:r>
          </w:p>
        </w:tc>
        <w:tc>
          <w:tcPr>
            <w:tcW w:type="dxa" w:w="1417"/>
            <w:shd w:fill="FFFFFF" w:val="clear"/>
          </w:tcPr>
          <w:p>
            <w:r>
              <w:rPr>
                <w:sz w:val="16"/>
              </w:rPr>
              <w:t>39,322</w:t>
            </w:r>
          </w:p>
        </w:tc>
        <w:tc>
          <w:tcPr>
            <w:tcW w:type="dxa" w:w="1134"/>
            <w:shd w:fill="FFC7CE" w:val="clear"/>
          </w:tcPr>
          <w:p>
            <w:r>
              <w:rPr>
                <w:b/>
                <w:color w:val="B40000"/>
                <w:sz w:val="16"/>
              </w:rPr>
              <w:t>-6.80%</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2,090</w:t>
            </w:r>
          </w:p>
        </w:tc>
        <w:tc>
          <w:tcPr>
            <w:tcW w:type="dxa" w:w="1417"/>
            <w:shd w:fill="FFFFFF" w:val="clear"/>
          </w:tcPr>
          <w:p>
            <w:r>
              <w:rPr>
                <w:sz w:val="16"/>
              </w:rPr>
              <w:t>1,943</w:t>
            </w:r>
          </w:p>
        </w:tc>
        <w:tc>
          <w:tcPr>
            <w:tcW w:type="dxa" w:w="1134"/>
            <w:shd w:fill="FFC7CE" w:val="clear"/>
          </w:tcPr>
          <w:p>
            <w:r>
              <w:rPr>
                <w:b/>
                <w:color w:val="B40000"/>
                <w:sz w:val="16"/>
              </w:rPr>
              <w:t>-7.05%</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10,110</w:t>
            </w:r>
          </w:p>
        </w:tc>
        <w:tc>
          <w:tcPr>
            <w:tcW w:type="dxa" w:w="1417"/>
            <w:shd w:fill="FFFFFF" w:val="clear"/>
          </w:tcPr>
          <w:p>
            <w:r>
              <w:rPr>
                <w:sz w:val="16"/>
              </w:rPr>
              <w:t>9,353</w:t>
            </w:r>
          </w:p>
        </w:tc>
        <w:tc>
          <w:tcPr>
            <w:tcW w:type="dxa" w:w="1134"/>
            <w:shd w:fill="FFC7CE" w:val="clear"/>
          </w:tcPr>
          <w:p>
            <w:r>
              <w:rPr>
                <w:b/>
                <w:color w:val="B40000"/>
                <w:sz w:val="16"/>
              </w:rPr>
              <w:t>-7.49%</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3,160</w:t>
            </w:r>
          </w:p>
        </w:tc>
        <w:tc>
          <w:tcPr>
            <w:tcW w:type="dxa" w:w="1417"/>
            <w:shd w:fill="FFFFFF" w:val="clear"/>
          </w:tcPr>
          <w:p>
            <w:r>
              <w:rPr>
                <w:sz w:val="16"/>
              </w:rPr>
              <w:t>2,911</w:t>
            </w:r>
          </w:p>
        </w:tc>
        <w:tc>
          <w:tcPr>
            <w:tcW w:type="dxa" w:w="1134"/>
            <w:shd w:fill="FFC7CE" w:val="clear"/>
          </w:tcPr>
          <w:p>
            <w:r>
              <w:rPr>
                <w:b/>
                <w:color w:val="B40000"/>
                <w:sz w:val="16"/>
              </w:rPr>
              <w:t>-7.86%</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6,450</w:t>
            </w:r>
          </w:p>
        </w:tc>
        <w:tc>
          <w:tcPr>
            <w:tcW w:type="dxa" w:w="1417"/>
            <w:shd w:fill="FFFFFF" w:val="clear"/>
          </w:tcPr>
          <w:p>
            <w:r>
              <w:rPr>
                <w:sz w:val="16"/>
              </w:rPr>
              <w:t>5,942</w:t>
            </w:r>
          </w:p>
        </w:tc>
        <w:tc>
          <w:tcPr>
            <w:tcW w:type="dxa" w:w="1134"/>
            <w:shd w:fill="FFC7CE" w:val="clear"/>
          </w:tcPr>
          <w:p>
            <w:r>
              <w:rPr>
                <w:b/>
                <w:color w:val="B40000"/>
                <w:sz w:val="16"/>
              </w:rPr>
              <w:t>-7.87%</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3,930</w:t>
            </w:r>
          </w:p>
        </w:tc>
        <w:tc>
          <w:tcPr>
            <w:tcW w:type="dxa" w:w="1417"/>
            <w:shd w:fill="FFFFFF" w:val="clear"/>
          </w:tcPr>
          <w:p>
            <w:r>
              <w:rPr>
                <w:sz w:val="16"/>
              </w:rPr>
              <w:t>3,539</w:t>
            </w:r>
          </w:p>
        </w:tc>
        <w:tc>
          <w:tcPr>
            <w:tcW w:type="dxa" w:w="1134"/>
            <w:shd w:fill="FFC7CE" w:val="clear"/>
          </w:tcPr>
          <w:p>
            <w:r>
              <w:rPr>
                <w:b/>
                <w:color w:val="B40000"/>
                <w:sz w:val="16"/>
              </w:rPr>
              <w:t>-9.95%</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8,400</w:t>
            </w:r>
          </w:p>
        </w:tc>
        <w:tc>
          <w:tcPr>
            <w:tcW w:type="dxa" w:w="1417"/>
            <w:shd w:fill="FFFFFF" w:val="clear"/>
          </w:tcPr>
          <w:p>
            <w:r>
              <w:rPr>
                <w:sz w:val="16"/>
              </w:rPr>
              <w:t>7,239</w:t>
            </w:r>
          </w:p>
        </w:tc>
        <w:tc>
          <w:tcPr>
            <w:tcW w:type="dxa" w:w="1134"/>
            <w:shd w:fill="FFC7CE" w:val="clear"/>
          </w:tcPr>
          <w:p>
            <w:r>
              <w:rPr>
                <w:b/>
                <w:color w:val="B40000"/>
                <w:sz w:val="16"/>
              </w:rPr>
              <w:t>-13.82%</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33,840</w:t>
            </w:r>
          </w:p>
        </w:tc>
        <w:tc>
          <w:tcPr>
            <w:tcW w:type="dxa" w:w="1417"/>
            <w:shd w:fill="FFFFFF" w:val="clear"/>
          </w:tcPr>
          <w:p>
            <w:r>
              <w:rPr>
                <w:sz w:val="16"/>
              </w:rPr>
              <w:t>28,559</w:t>
            </w:r>
          </w:p>
        </w:tc>
        <w:tc>
          <w:tcPr>
            <w:tcW w:type="dxa" w:w="1134"/>
            <w:shd w:fill="FFC7CE" w:val="clear"/>
          </w:tcPr>
          <w:p>
            <w:r>
              <w:rPr>
                <w:b/>
                <w:color w:val="B40000"/>
                <w:sz w:val="16"/>
              </w:rPr>
              <w:t>-15.61%</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2,760</w:t>
            </w:r>
          </w:p>
        </w:tc>
        <w:tc>
          <w:tcPr>
            <w:tcW w:type="dxa" w:w="1417"/>
            <w:shd w:fill="FFFFFF" w:val="clear"/>
          </w:tcPr>
          <w:p>
            <w:r>
              <w:rPr>
                <w:sz w:val="16"/>
              </w:rPr>
              <w:t>2,283</w:t>
            </w:r>
          </w:p>
        </w:tc>
        <w:tc>
          <w:tcPr>
            <w:tcW w:type="dxa" w:w="1134"/>
            <w:shd w:fill="FFC7CE" w:val="clear"/>
          </w:tcPr>
          <w:p>
            <w:r>
              <w:rPr>
                <w:b/>
                <w:color w:val="B40000"/>
                <w:sz w:val="16"/>
              </w:rPr>
              <w:t>-17.27%</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3,616 titres</w:t>
            </w:r>
          </w:p>
        </w:tc>
        <w:tc>
          <w:tcPr>
            <w:tcW w:type="dxa" w:w="2268"/>
            <w:shd w:fill="FFF2CC" w:val="clear"/>
          </w:tcPr>
          <w:p>
            <w:r>
              <w:rPr>
                <w:b/>
                <w:color w:val="503200"/>
                <w:sz w:val="16"/>
              </w:rPr>
              <w:t xml:space="preserve">Cours actuel : </w:t>
            </w:r>
            <w:r>
              <w:rPr>
                <w:color w:val="000000"/>
                <w:sz w:val="17"/>
              </w:rPr>
              <w:t>3,930 FCFA</w:t>
            </w:r>
          </w:p>
          <w:p>
            <w:r>
              <w:rPr>
                <w:b/>
                <w:color w:val="503200"/>
                <w:sz w:val="16"/>
              </w:rPr>
              <w:t xml:space="preserve">Var. 100 jours : </w:t>
            </w:r>
            <w:r>
              <w:rPr>
                <w:b/>
                <w:color w:val="007800"/>
                <w:sz w:val="17"/>
              </w:rPr>
              <w:t>+7.52%</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10.75% (Moyenne) — μ=3,291 FCFA, σ=354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β=0.5153 (Défensif) — Cov=0.000019, Var(idx)=0.000036, ρ=0.104,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σ_j=2.98%/j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3,731</w:t>
            </w:r>
          </w:p>
        </w:tc>
        <w:tc>
          <w:tcPr>
            <w:tcW w:type="dxa" w:w="1440"/>
            <w:shd w:fill="FAFAFA" w:val="clear"/>
          </w:tcPr>
          <w:p>
            <w:r>
              <w:rPr>
                <w:b/>
                <w:sz w:val="17"/>
              </w:rPr>
              <w:t>3,885</w:t>
            </w:r>
          </w:p>
        </w:tc>
        <w:tc>
          <w:tcPr>
            <w:tcW w:type="dxa" w:w="1440"/>
            <w:shd w:fill="FAFAFA" w:val="clear"/>
          </w:tcPr>
          <w:p>
            <w:r>
              <w:rPr>
                <w:sz w:val="17"/>
              </w:rPr>
              <w:t>4,038</w:t>
            </w:r>
          </w:p>
        </w:tc>
        <w:tc>
          <w:tcPr>
            <w:tcW w:type="dxa" w:w="1440"/>
            <w:shd w:fill="FAFAFA" w:val="clear"/>
          </w:tcPr>
          <w:p>
            <w:r>
              <w:rPr>
                <w:b/>
                <w:color w:val="C00000"/>
                <w:sz w:val="17"/>
              </w:rPr>
              <w:t>-1.2%</w:t>
            </w:r>
          </w:p>
        </w:tc>
      </w:tr>
      <w:tr>
        <w:tc>
          <w:tcPr>
            <w:tcW w:type="dxa" w:w="1440"/>
            <w:shd w:fill="FFDCE0" w:val="clear"/>
          </w:tcPr>
          <w:p>
            <w:r>
              <w:rPr>
                <w:sz w:val="17"/>
              </w:rPr>
              <w:t>J+2  Moyenne</w:t>
            </w:r>
          </w:p>
        </w:tc>
        <w:tc>
          <w:tcPr>
            <w:tcW w:type="dxa" w:w="1440"/>
            <w:shd w:fill="FFDCE0" w:val="clear"/>
          </w:tcPr>
          <w:p>
            <w:r>
              <w:rPr>
                <w:sz w:val="17"/>
              </w:rPr>
              <w:t>2026-09-22</w:t>
            </w:r>
          </w:p>
        </w:tc>
        <w:tc>
          <w:tcPr>
            <w:tcW w:type="dxa" w:w="1440"/>
            <w:shd w:fill="FFDCE0" w:val="clear"/>
          </w:tcPr>
          <w:p>
            <w:r>
              <w:rPr>
                <w:sz w:val="17"/>
              </w:rPr>
              <w:t>3,611</w:t>
            </w:r>
          </w:p>
        </w:tc>
        <w:tc>
          <w:tcPr>
            <w:tcW w:type="dxa" w:w="1440"/>
            <w:shd w:fill="FFDCE0" w:val="clear"/>
          </w:tcPr>
          <w:p>
            <w:r>
              <w:rPr>
                <w:b/>
                <w:sz w:val="17"/>
              </w:rPr>
              <w:t>3,825</w:t>
            </w:r>
          </w:p>
        </w:tc>
        <w:tc>
          <w:tcPr>
            <w:tcW w:type="dxa" w:w="1440"/>
            <w:shd w:fill="FFDCE0" w:val="clear"/>
          </w:tcPr>
          <w:p>
            <w:r>
              <w:rPr>
                <w:sz w:val="17"/>
              </w:rPr>
              <w:t>4,039</w:t>
            </w:r>
          </w:p>
        </w:tc>
        <w:tc>
          <w:tcPr>
            <w:tcW w:type="dxa" w:w="1440"/>
            <w:shd w:fill="FFDCE0" w:val="clear"/>
          </w:tcPr>
          <w:p>
            <w:r>
              <w:rPr>
                <w:b/>
                <w:color w:val="C00000"/>
                <w:sz w:val="17"/>
              </w:rPr>
              <w:t>-2.7%</w:t>
            </w:r>
          </w:p>
        </w:tc>
      </w:tr>
      <w:tr>
        <w:tc>
          <w:tcPr>
            <w:tcW w:type="dxa" w:w="1440"/>
            <w:shd w:fill="FFDCE0" w:val="clear"/>
          </w:tcPr>
          <w:p>
            <w:r>
              <w:rPr>
                <w:sz w:val="17"/>
              </w:rPr>
              <w:t>J+3  Moyenne</w:t>
            </w:r>
          </w:p>
        </w:tc>
        <w:tc>
          <w:tcPr>
            <w:tcW w:type="dxa" w:w="1440"/>
            <w:shd w:fill="FFDCE0" w:val="clear"/>
          </w:tcPr>
          <w:p>
            <w:r>
              <w:rPr>
                <w:sz w:val="17"/>
              </w:rPr>
              <w:t>2026-09-23</w:t>
            </w:r>
          </w:p>
        </w:tc>
        <w:tc>
          <w:tcPr>
            <w:tcW w:type="dxa" w:w="1440"/>
            <w:shd w:fill="FFDCE0" w:val="clear"/>
          </w:tcPr>
          <w:p>
            <w:r>
              <w:rPr>
                <w:sz w:val="17"/>
              </w:rPr>
              <w:t>3,520</w:t>
            </w:r>
          </w:p>
        </w:tc>
        <w:tc>
          <w:tcPr>
            <w:tcW w:type="dxa" w:w="1440"/>
            <w:shd w:fill="FFDCE0" w:val="clear"/>
          </w:tcPr>
          <w:p>
            <w:r>
              <w:rPr>
                <w:b/>
                <w:sz w:val="17"/>
              </w:rPr>
              <w:t>3,779</w:t>
            </w:r>
          </w:p>
        </w:tc>
        <w:tc>
          <w:tcPr>
            <w:tcW w:type="dxa" w:w="1440"/>
            <w:shd w:fill="FFDCE0" w:val="clear"/>
          </w:tcPr>
          <w:p>
            <w:r>
              <w:rPr>
                <w:sz w:val="17"/>
              </w:rPr>
              <w:t>4,038</w:t>
            </w:r>
          </w:p>
        </w:tc>
        <w:tc>
          <w:tcPr>
            <w:tcW w:type="dxa" w:w="1440"/>
            <w:shd w:fill="FFDCE0" w:val="clear"/>
          </w:tcPr>
          <w:p>
            <w:r>
              <w:rPr>
                <w:b/>
                <w:color w:val="C00000"/>
                <w:sz w:val="17"/>
              </w:rPr>
              <w:t>-3.8%</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3,442</w:t>
            </w:r>
          </w:p>
        </w:tc>
        <w:tc>
          <w:tcPr>
            <w:tcW w:type="dxa" w:w="1440"/>
            <w:shd w:fill="FFDCE0" w:val="clear"/>
          </w:tcPr>
          <w:p>
            <w:r>
              <w:rPr>
                <w:b/>
                <w:sz w:val="17"/>
              </w:rPr>
              <w:t>3,738</w:t>
            </w:r>
          </w:p>
        </w:tc>
        <w:tc>
          <w:tcPr>
            <w:tcW w:type="dxa" w:w="1440"/>
            <w:shd w:fill="FFDCE0" w:val="clear"/>
          </w:tcPr>
          <w:p>
            <w:r>
              <w:rPr>
                <w:sz w:val="17"/>
              </w:rPr>
              <w:t>4,034</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3,372</w:t>
            </w:r>
          </w:p>
        </w:tc>
        <w:tc>
          <w:tcPr>
            <w:tcW w:type="dxa" w:w="1440"/>
            <w:shd w:fill="FFDCE0" w:val="clear"/>
          </w:tcPr>
          <w:p>
            <w:r>
              <w:rPr>
                <w:b/>
                <w:sz w:val="17"/>
              </w:rPr>
              <w:t>3,700</w:t>
            </w:r>
          </w:p>
        </w:tc>
        <w:tc>
          <w:tcPr>
            <w:tcW w:type="dxa" w:w="1440"/>
            <w:shd w:fill="FFDCE0" w:val="clear"/>
          </w:tcPr>
          <w:p>
            <w:r>
              <w:rPr>
                <w:sz w:val="17"/>
              </w:rPr>
              <w:t>4,027</w:t>
            </w:r>
          </w:p>
        </w:tc>
        <w:tc>
          <w:tcPr>
            <w:tcW w:type="dxa" w:w="1440"/>
            <w:shd w:fill="FFDCE0" w:val="clear"/>
          </w:tcPr>
          <w:p>
            <w:r>
              <w:rPr>
                <w:b/>
                <w:color w:val="C00000"/>
                <w:sz w:val="17"/>
              </w:rPr>
              <w:t>-5.9%</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3,308</w:t>
            </w:r>
          </w:p>
        </w:tc>
        <w:tc>
          <w:tcPr>
            <w:tcW w:type="dxa" w:w="1440"/>
            <w:shd w:fill="FFDCE0" w:val="clear"/>
          </w:tcPr>
          <w:p>
            <w:r>
              <w:rPr>
                <w:b/>
                <w:sz w:val="17"/>
              </w:rPr>
              <w:t>3,664</w:t>
            </w:r>
          </w:p>
        </w:tc>
        <w:tc>
          <w:tcPr>
            <w:tcW w:type="dxa" w:w="1440"/>
            <w:shd w:fill="FFDCE0" w:val="clear"/>
          </w:tcPr>
          <w:p>
            <w:r>
              <w:rPr>
                <w:sz w:val="17"/>
              </w:rPr>
              <w:t>4,019</w:t>
            </w:r>
          </w:p>
        </w:tc>
        <w:tc>
          <w:tcPr>
            <w:tcW w:type="dxa" w:w="1440"/>
            <w:shd w:fill="FFDCE0" w:val="clear"/>
          </w:tcPr>
          <w:p>
            <w:r>
              <w:rPr>
                <w:b/>
                <w:color w:val="C00000"/>
                <w:sz w:val="17"/>
              </w:rPr>
              <w:t>-6.8%</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3,249</w:t>
            </w:r>
          </w:p>
        </w:tc>
        <w:tc>
          <w:tcPr>
            <w:tcW w:type="dxa" w:w="1440"/>
            <w:shd w:fill="FFDCE0" w:val="clear"/>
          </w:tcPr>
          <w:p>
            <w:r>
              <w:rPr>
                <w:b/>
                <w:sz w:val="17"/>
              </w:rPr>
              <w:t>3,630</w:t>
            </w:r>
          </w:p>
        </w:tc>
        <w:tc>
          <w:tcPr>
            <w:tcW w:type="dxa" w:w="1440"/>
            <w:shd w:fill="FFDCE0" w:val="clear"/>
          </w:tcPr>
          <w:p>
            <w:r>
              <w:rPr>
                <w:sz w:val="17"/>
              </w:rPr>
              <w:t>4,010</w:t>
            </w:r>
          </w:p>
        </w:tc>
        <w:tc>
          <w:tcPr>
            <w:tcW w:type="dxa" w:w="1440"/>
            <w:shd w:fill="FFDCE0" w:val="clear"/>
          </w:tcPr>
          <w:p>
            <w:r>
              <w:rPr>
                <w:b/>
                <w:color w:val="C00000"/>
                <w:sz w:val="17"/>
              </w:rPr>
              <w:t>-7.6%</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3,195</w:t>
            </w:r>
          </w:p>
        </w:tc>
        <w:tc>
          <w:tcPr>
            <w:tcW w:type="dxa" w:w="1440"/>
            <w:shd w:fill="FFDCE0" w:val="clear"/>
          </w:tcPr>
          <w:p>
            <w:r>
              <w:rPr>
                <w:b/>
                <w:sz w:val="17"/>
              </w:rPr>
              <w:t>3,598</w:t>
            </w:r>
          </w:p>
        </w:tc>
        <w:tc>
          <w:tcPr>
            <w:tcW w:type="dxa" w:w="1440"/>
            <w:shd w:fill="FFDCE0" w:val="clear"/>
          </w:tcPr>
          <w:p>
            <w:r>
              <w:rPr>
                <w:sz w:val="17"/>
              </w:rPr>
              <w:t>4,001</w:t>
            </w:r>
          </w:p>
        </w:tc>
        <w:tc>
          <w:tcPr>
            <w:tcW w:type="dxa" w:w="1440"/>
            <w:shd w:fill="FFDCE0" w:val="clear"/>
          </w:tcPr>
          <w:p>
            <w:r>
              <w:rPr>
                <w:b/>
                <w:color w:val="C00000"/>
                <w:sz w:val="17"/>
              </w:rPr>
              <w:t>-8.5%</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3,144</w:t>
            </w:r>
          </w:p>
        </w:tc>
        <w:tc>
          <w:tcPr>
            <w:tcW w:type="dxa" w:w="1440"/>
            <w:shd w:fill="FFDCE0" w:val="clear"/>
          </w:tcPr>
          <w:p>
            <w:r>
              <w:rPr>
                <w:b/>
                <w:sz w:val="17"/>
              </w:rPr>
              <w:t>3,568</w:t>
            </w:r>
          </w:p>
        </w:tc>
        <w:tc>
          <w:tcPr>
            <w:tcW w:type="dxa" w:w="1440"/>
            <w:shd w:fill="FFDCE0" w:val="clear"/>
          </w:tcPr>
          <w:p>
            <w:r>
              <w:rPr>
                <w:sz w:val="17"/>
              </w:rPr>
              <w:t>3,992</w:t>
            </w:r>
          </w:p>
        </w:tc>
        <w:tc>
          <w:tcPr>
            <w:tcW w:type="dxa" w:w="1440"/>
            <w:shd w:fill="FFDCE0" w:val="clear"/>
          </w:tcPr>
          <w:p>
            <w:r>
              <w:rPr>
                <w:b/>
                <w:color w:val="C00000"/>
                <w:sz w:val="17"/>
              </w:rPr>
              <w:t>-9.2%</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3,096</w:t>
            </w:r>
          </w:p>
        </w:tc>
        <w:tc>
          <w:tcPr>
            <w:tcW w:type="dxa" w:w="1440"/>
            <w:shd w:fill="FFDCE0" w:val="clear"/>
          </w:tcPr>
          <w:p>
            <w:r>
              <w:rPr>
                <w:b/>
                <w:sz w:val="17"/>
              </w:rPr>
              <w:t>3,539</w:t>
            </w:r>
          </w:p>
        </w:tc>
        <w:tc>
          <w:tcPr>
            <w:tcW w:type="dxa" w:w="1440"/>
            <w:shd w:fill="FFDCE0" w:val="clear"/>
          </w:tcPr>
          <w:p>
            <w:r>
              <w:rPr>
                <w:sz w:val="17"/>
              </w:rPr>
              <w:t>3,983</w:t>
            </w:r>
          </w:p>
        </w:tc>
        <w:tc>
          <w:tcPr>
            <w:tcW w:type="dxa" w:w="1440"/>
            <w:shd w:fill="FFDCE0" w:val="clear"/>
          </w:tcPr>
          <w:p>
            <w:r>
              <w:rPr>
                <w:b/>
                <w:color w:val="C00000"/>
                <w:sz w:val="17"/>
              </w:rPr>
              <w:t>-9.9%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42,88 Mds FCFA, Servair Abidjan se positionne comme une valeur de taille moyenne sur le compartiment BRVM, loin des poids lourds bancaires et télécoms mais suffisamment liquide pour intéresser les investisseurs institutionnels régionaux. Le BPA de 124 FCFA/action signifie que chaque titre génère un bénéfice net de 124 FCFA, ce qui, rapporté au cours actuel de 3 930 FCFA, aboutit à un PER de 31,8x — soit près de trois fois la moyenne du marché BRVM (8-12x), signalant que les investisseurs paient une prime très généreuse pour les bénéfices actuels, anticipant une croissance future ou traduisant une surévaluation manifeste. Le P/B de 8,31x confirme cette exubérance : le marché valorise la société à plus de huit fois sa valeur comptable, un niveau rarement justifié en dehors de secteurs à très forte rentabilité des capitaux propres (ROE de 26,2% ici). Enfin, l'EV/EBITDA de 16,4x, supérieur au seuil de 15x généralement considéré comme exigeant, indique que la valeur d'entreprise (incluant la dette nette quasi nulle) représente plus de seize années de résultat opérationnel brut — une valorisation tendue qui laisse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ABJC affiche une progression totale de +7,52%, mais la dernière séance (J-1) enregistre un repli marqué de -2,96%, signalant une pression vendeuse récente sur le titre. Le range de trading est particulièrement large, avec un plus haut à 4 095 FCFA et un plus bas à 2 800 FCFA, soit une amplitude de 46% entre les deux extrêmes — ce qui témoigne d'une forte volatilité intra-période. La tendance générale reste haussière sur la période, portée par le redressement des cours depuis le point bas de 2 800 FCFA, mais le repli récent suggère une possible consolidation après le rallye. Les statistiques descriptives révèlent une moyenne de 3 291 FCFA supérieure à la médiane de 3 182 FCFA, avec un mode à 3 150 FCFA : cet écart entre moyenne et médiane, combiné à un skewness positif de 0,835, indique une asymétrie à droite — la distribution comporte davantage de journées sous la moyenne, mais quelques séances de forte hausse tirent la moyenne vers le haut. L'écart-type de 356 FCFA (CV de 10,8%) traduit une dispersion modérée autour de la moyenne, tandis que le kurtosis de -0,370 (mésokurtique) suggère une distribution proche de la normale, sans risque excessif de pics extrêmes. La volatilité annualisée de 47,2% classe le titre dans la catégorie des valeurs à volatilité élevée (&gt;30%), ce qui implique un risque de prix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3 871,25 FCFA et la MM50 à 3 413,70 FCFA, toutes deux inférieures au cours actuel de 3 930 FCFA, ce qui place le titre au-dessus de ses deux moyennes mobiles — configuration haussière classique. L'écart positif entre le cours et la MM50 (+15,1%) confirme la dynamique ascendante de moyen terme, justifiant la décision technique d'**Achat** émise par le système.</w:t>
      </w:r>
    </w:p>
    <w:p>
      <w:pPr>
        <w:spacing w:after="120" w:line="276" w:lineRule="auto"/>
      </w:pPr>
      <w:r>
        <w:t>**Bandes de Bollinger** : Le cours actuel (3 930 FCFA) se situe entre la borne inférieure (3 484,95 FCFA) et la borne supérieure (4 257,55 FCFA), plus proche de la borne haute que de la borne basse. Cette position médiane-haute indique une volatilité contenue sans signal de surachat extrême, ce qui explique la décision **Neutre** — le titre n'est ni en zone d'achat agressive ni en zone de vente.</w:t>
      </w:r>
    </w:p>
    <w:p>
      <w:pPr>
        <w:spacing w:after="120" w:line="276" w:lineRule="auto"/>
      </w:pPr>
      <w:r>
        <w:t>**MACD** : La valeur du MACD (181,42) est inférieure à son signal (196,99), générant un croisement baissier qui traduit un essoufflement du momentum haussier. Cette divergence négative, bien que modérée, justifie la décision de **Vente** technique à court terme, suggérant que la dynamique positive s'essouffle.</w:t>
      </w:r>
    </w:p>
    <w:p>
      <w:pPr>
        <w:spacing w:after="120" w:line="276" w:lineRule="auto"/>
      </w:pPr>
      <w:r>
        <w:t>**RSI** : À 58,78, le RSI se situe dans la zone neutre (30-70), sans atteindre la zone de surachat (&gt;70) ni de survente (&lt;30). Cette position médiane indique un équilibre entre acheteurs et vendeurs, justifiant la décision **Neutre** — ni signal d'achat ni signal de vente.</w:t>
      </w:r>
    </w:p>
    <w:p>
      <w:pPr>
        <w:spacing w:after="120" w:line="276" w:lineRule="auto"/>
      </w:pPr>
      <w:r>
        <w:t>**Stochastique** : Le %K (45,90) est nettement inférieur au %D (72,52), avec un croisement baissier en zone haute, ce qui constitue un signal de retournement potentiel à la baisse. Cette configuration, bien que le système la classe **Neutre**, suggère une pression vendeuse croissante à court terme.</w:t>
      </w:r>
    </w:p>
    <w:p>
      <w:pPr>
        <w:spacing w:after="120" w:line="276" w:lineRule="auto"/>
      </w:pPr>
      <w:r>
        <w:t>**Conclusion technique** : Les indicateurs présentent une divergence notable — les moyennes mobiles restent haussières (cours &gt; MM20 &gt; MM50), mais le MACD et le stochastique émettent des signaux baissiers, tandis que le RSI et les Bollinger restent neutres. Cette configuration mixte plaide pour une consolidation à court terme, avec un support immédiat à 3 871 FCFA (MM20) et une résistance à 4 095 FCFA (plus haut récent). Le titre se trouve à un point d'inflexion où la poursuite de la tendance haussière dépendra de la capacité à se maintenir au-dessus de la MM20.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Servair Abidjan affiche un chiffre d'affaires de 13,298 Mds FCFA, en croissance de +6,67% par rapport à 2024, porté par la dynamique du trafic aéroportuaire et la diversification vers les activités non aériennes. Le résultat net s'établit à 1,351 Mds FCFA, en recul de 12,1% selon le rapport financier 2025, principalement en raison d'une charge d'impôt en forte hausse (+46,7% à 839,75 M FCFA). La rentabilité reste solide avec un ROE de 26,18% (excellent, &gt;15%) et un ROA de 14,64%, tandis que la marge nette se maintient à 10,16% et la marge opérationnelle à 16,38%. La structure financière est saine : autonomie financière de 55,92%, endettement financier quasi nul (dette financière totale de 65,89 M FCFA seulement), et trésorerie nette de 4,035 Mds FCFA. Le BFR est négatif à 257,45 M FCFA (favorable), mais le délai clients de 70,10 jours constitue un point de vigilance pour la trésorerie, compensé par un délai fournisseurs de 92,11 jours. Les rapports trimestriels révèlent une dégradation récente : le T1 2026 (rapport du 30/04/2026) montre une croissance du CA limitée à +1,9% (3,237 Mds FCFA) mais une chute du résultat net de -35,6% (222,6 M FCFA), affectée par les ajustements de redevances aéroportuaires depuis avril 2025 et les tensions géopolitiques au Moyen-Orient. Le T3 2025 (rapport du 30/09/2025) affichait pourtant un résultat net trimestriel de 1 325 M FCFA (+17,1%), illustrant la volatilité des performances trimestrielles. Sur la base du T1 2026, on estime que l'exercice 2026 pourrait enregistrer un résultat net annuel compris entre 900 M et 1,1 Md FCFA si la pression sur les marges persiste, contre 1,351 Md FCFA en 2025. La société conserve une structure financière robuste (capitaux propres de 5,159 Mds FCFA, liquidité générale de 218%), mais la dégradation de la rentabilité opérationnelle et la pression fiscale constituent des risques à surveiller. La recommandation fondamentale est de **Conserver** : la solidité bilancielle et la position dominante sur le marché aéroportuaire ivoirien soutiennent la valeur à moyen terme, mais la détérioration des marges et la valorisation exigeante limitent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Servair Abidjan apparaît nettement tendue : avec un PER de 31,8x (contre 8-12x pour la moyenne BRVM), un P/B de 8,31x et un EV/EBITDA de 16,4x, le marché intègre déjà une croissance future significative qui tarde à se matérialiser, comme en témoigne la baisse du résultat net de -35,6% au T1 2026. Le comportement du cours sur 100 jours est haussier (+7,52%) mais le repli de -2,96% en J-1 et la volatilité élevée (47,2% annualisée) avec un skewness positif (0,835) indiquent une asymétrie défavorable — les baisses sont plus fréquentes que les hausses, malgré quelques pics positifs. Les signaux techniques sont mitigés : les moyennes mobiles restent haussières (cours &gt; MM20 &gt; MM50), mais le MACD baissier et le stochastique en croisement négatif suggèrent un essoufflement à court terme, tandis que le RSI et les Bollinger restent neutres. Les fondamentaux révèlent une société solide (ROE de 26,18%, trésorerie nette de 4,035 Mds FCFA, endettement quasi nul) mais confrontée à une dégradation récente de sa rentabilité (résultat net en baisse de 12,1% en 2025 et de 35,6% au T1 2026) et à des défis réglementaires (litige BCEAO, ajustements de redevances). Les prédictions IA pour les 10 prochains jours ouvrables anticipent une baisse continue de 3 885 FCFA (J+1) à 3 700 FCFA (J+5), confirmant la pression baissière à court terme identifiée par les indicateurs techniques. Sur la base de cette synthèse globale, la recommandation finale est de **CONSERVER** avec un niveau de confiance **Moyen** et un risque global **Élevé**. La convergence entre la valorisation exigeante, les signaux techniques baissiers à court terme et la dégradation des fondamentaux récents plaide contre un achat immédiat, mais la solidité bilancielle et la position de leader sur un marché en croissance justifient de ne pas vendre. L'horizon d'investissement optimal est le **moyen terme (3-12 mois)**, en attendant la clarification sur la résolution du litige BCEAO, la stabilisation des marges et la confirmation de la trajectoire bénéficiaire — un retour à un PER plus raisonnable (20-25x) offrirait un point d'entrée plus attractif.</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583.95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13,095 titres</w:t>
            </w:r>
          </w:p>
        </w:tc>
        <w:tc>
          <w:tcPr>
            <w:tcW w:type="dxa" w:w="2268"/>
            <w:shd w:fill="FFF2CC" w:val="clear"/>
          </w:tcPr>
          <w:p>
            <w:r>
              <w:rPr>
                <w:b/>
                <w:color w:val="503200"/>
                <w:sz w:val="16"/>
              </w:rPr>
              <w:t xml:space="preserve">Cours actuel : </w:t>
            </w:r>
            <w:r>
              <w:rPr>
                <w:color w:val="000000"/>
                <w:sz w:val="17"/>
              </w:rPr>
              <w:t>10,110 FCFA</w:t>
            </w:r>
          </w:p>
          <w:p>
            <w:r>
              <w:rPr>
                <w:b/>
                <w:color w:val="503200"/>
                <w:sz w:val="16"/>
              </w:rPr>
              <w:t xml:space="preserve">Var. 100 jours : </w:t>
            </w:r>
            <w:r>
              <w:rPr>
                <w:b/>
                <w:color w:val="007800"/>
                <w:sz w:val="17"/>
              </w:rPr>
              <w:t>+94.42%</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35.1%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25.02% (Élevée) — μ=6,930 FCFA, σ=1,734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β=0.5703 (Défensif) — Cov=0.000021, Var(idx)=0.000036, ρ=0.157,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13,095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2026-09-21</w:t>
            </w:r>
          </w:p>
        </w:tc>
        <w:tc>
          <w:tcPr>
            <w:tcW w:type="dxa" w:w="1440"/>
            <w:shd w:fill="FFDCE0" w:val="clear"/>
          </w:tcPr>
          <w:p>
            <w:r>
              <w:rPr>
                <w:sz w:val="17"/>
              </w:rPr>
              <w:t>9,366</w:t>
            </w:r>
          </w:p>
        </w:tc>
        <w:tc>
          <w:tcPr>
            <w:tcW w:type="dxa" w:w="1440"/>
            <w:shd w:fill="FFDCE0" w:val="clear"/>
          </w:tcPr>
          <w:p>
            <w:r>
              <w:rPr>
                <w:b/>
                <w:sz w:val="17"/>
              </w:rPr>
              <w:t>9,759</w:t>
            </w:r>
          </w:p>
        </w:tc>
        <w:tc>
          <w:tcPr>
            <w:tcW w:type="dxa" w:w="1440"/>
            <w:shd w:fill="FFDCE0" w:val="clear"/>
          </w:tcPr>
          <w:p>
            <w:r>
              <w:rPr>
                <w:sz w:val="17"/>
              </w:rPr>
              <w:t>10,152</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2026-09-22</w:t>
            </w:r>
          </w:p>
        </w:tc>
        <w:tc>
          <w:tcPr>
            <w:tcW w:type="dxa" w:w="1440"/>
            <w:shd w:fill="FFDCE0" w:val="clear"/>
          </w:tcPr>
          <w:p>
            <w:r>
              <w:rPr>
                <w:sz w:val="17"/>
              </w:rPr>
              <w:t>9,140</w:t>
            </w:r>
          </w:p>
        </w:tc>
        <w:tc>
          <w:tcPr>
            <w:tcW w:type="dxa" w:w="1440"/>
            <w:shd w:fill="FFDCE0" w:val="clear"/>
          </w:tcPr>
          <w:p>
            <w:r>
              <w:rPr>
                <w:b/>
                <w:sz w:val="17"/>
              </w:rPr>
              <w:t>9,692</w:t>
            </w:r>
          </w:p>
        </w:tc>
        <w:tc>
          <w:tcPr>
            <w:tcW w:type="dxa" w:w="1440"/>
            <w:shd w:fill="FFDCE0" w:val="clear"/>
          </w:tcPr>
          <w:p>
            <w:r>
              <w:rPr>
                <w:sz w:val="17"/>
              </w:rPr>
              <w:t>10,245</w:t>
            </w:r>
          </w:p>
        </w:tc>
        <w:tc>
          <w:tcPr>
            <w:tcW w:type="dxa" w:w="1440"/>
            <w:shd w:fill="FFDCE0" w:val="clear"/>
          </w:tcPr>
          <w:p>
            <w:r>
              <w:rPr>
                <w:b/>
                <w:color w:val="C00000"/>
                <w:sz w:val="17"/>
              </w:rPr>
              <w:t>-4.1%</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8,953</w:t>
            </w:r>
          </w:p>
        </w:tc>
        <w:tc>
          <w:tcPr>
            <w:tcW w:type="dxa" w:w="1440"/>
            <w:shd w:fill="FFDCE0" w:val="clear"/>
          </w:tcPr>
          <w:p>
            <w:r>
              <w:rPr>
                <w:b/>
                <w:sz w:val="17"/>
              </w:rPr>
              <w:t>9,625</w:t>
            </w:r>
          </w:p>
        </w:tc>
        <w:tc>
          <w:tcPr>
            <w:tcW w:type="dxa" w:w="1440"/>
            <w:shd w:fill="FFDCE0" w:val="clear"/>
          </w:tcPr>
          <w:p>
            <w:r>
              <w:rPr>
                <w:sz w:val="17"/>
              </w:rPr>
              <w:t>10,297</w:t>
            </w:r>
          </w:p>
        </w:tc>
        <w:tc>
          <w:tcPr>
            <w:tcW w:type="dxa" w:w="1440"/>
            <w:shd w:fill="FFDCE0" w:val="clear"/>
          </w:tcPr>
          <w:p>
            <w:r>
              <w:rPr>
                <w:b/>
                <w:color w:val="C00000"/>
                <w:sz w:val="17"/>
              </w:rPr>
              <w:t>-4.8%</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8,794</w:t>
            </w:r>
          </w:p>
        </w:tc>
        <w:tc>
          <w:tcPr>
            <w:tcW w:type="dxa" w:w="1440"/>
            <w:shd w:fill="FFDCE0" w:val="clear"/>
          </w:tcPr>
          <w:p>
            <w:r>
              <w:rPr>
                <w:b/>
                <w:sz w:val="17"/>
              </w:rPr>
              <w:t>9,565</w:t>
            </w:r>
          </w:p>
        </w:tc>
        <w:tc>
          <w:tcPr>
            <w:tcW w:type="dxa" w:w="1440"/>
            <w:shd w:fill="FFDCE0" w:val="clear"/>
          </w:tcPr>
          <w:p>
            <w:r>
              <w:rPr>
                <w:sz w:val="17"/>
              </w:rPr>
              <w:t>10,336</w:t>
            </w:r>
          </w:p>
        </w:tc>
        <w:tc>
          <w:tcPr>
            <w:tcW w:type="dxa" w:w="1440"/>
            <w:shd w:fill="FFDCE0" w:val="clear"/>
          </w:tcPr>
          <w:p>
            <w:r>
              <w:rPr>
                <w:b/>
                <w:color w:val="C00000"/>
                <w:sz w:val="17"/>
              </w:rPr>
              <w:t>-5.4%</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8,656</w:t>
            </w:r>
          </w:p>
        </w:tc>
        <w:tc>
          <w:tcPr>
            <w:tcW w:type="dxa" w:w="1440"/>
            <w:shd w:fill="FFDCE0" w:val="clear"/>
          </w:tcPr>
          <w:p>
            <w:r>
              <w:rPr>
                <w:b/>
                <w:sz w:val="17"/>
              </w:rPr>
              <w:t>9,513</w:t>
            </w:r>
          </w:p>
        </w:tc>
        <w:tc>
          <w:tcPr>
            <w:tcW w:type="dxa" w:w="1440"/>
            <w:shd w:fill="FFDCE0" w:val="clear"/>
          </w:tcPr>
          <w:p>
            <w:r>
              <w:rPr>
                <w:sz w:val="17"/>
              </w:rPr>
              <w:t>10,371</w:t>
            </w:r>
          </w:p>
        </w:tc>
        <w:tc>
          <w:tcPr>
            <w:tcW w:type="dxa" w:w="1440"/>
            <w:shd w:fill="FFDCE0" w:val="clear"/>
          </w:tcPr>
          <w:p>
            <w:r>
              <w:rPr>
                <w:b/>
                <w:color w:val="C00000"/>
                <w:sz w:val="17"/>
              </w:rPr>
              <w:t>-5.9%</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8,535</w:t>
            </w:r>
          </w:p>
        </w:tc>
        <w:tc>
          <w:tcPr>
            <w:tcW w:type="dxa" w:w="1440"/>
            <w:shd w:fill="FFDCE0" w:val="clear"/>
          </w:tcPr>
          <w:p>
            <w:r>
              <w:rPr>
                <w:b/>
                <w:sz w:val="17"/>
              </w:rPr>
              <w:t>9,470</w:t>
            </w:r>
          </w:p>
        </w:tc>
        <w:tc>
          <w:tcPr>
            <w:tcW w:type="dxa" w:w="1440"/>
            <w:shd w:fill="FFDCE0" w:val="clear"/>
          </w:tcPr>
          <w:p>
            <w:r>
              <w:rPr>
                <w:sz w:val="17"/>
              </w:rPr>
              <w:t>10,404</w:t>
            </w:r>
          </w:p>
        </w:tc>
        <w:tc>
          <w:tcPr>
            <w:tcW w:type="dxa" w:w="1440"/>
            <w:shd w:fill="FFDCE0" w:val="clear"/>
          </w:tcPr>
          <w:p>
            <w:r>
              <w:rPr>
                <w:b/>
                <w:color w:val="C00000"/>
                <w:sz w:val="17"/>
              </w:rPr>
              <w:t>-6.3%</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8,427</w:t>
            </w:r>
          </w:p>
        </w:tc>
        <w:tc>
          <w:tcPr>
            <w:tcW w:type="dxa" w:w="1440"/>
            <w:shd w:fill="FFDCE0" w:val="clear"/>
          </w:tcPr>
          <w:p>
            <w:r>
              <w:rPr>
                <w:b/>
                <w:sz w:val="17"/>
              </w:rPr>
              <w:t>9,433</w:t>
            </w:r>
          </w:p>
        </w:tc>
        <w:tc>
          <w:tcPr>
            <w:tcW w:type="dxa" w:w="1440"/>
            <w:shd w:fill="FFDCE0" w:val="clear"/>
          </w:tcPr>
          <w:p>
            <w:r>
              <w:rPr>
                <w:sz w:val="17"/>
              </w:rPr>
              <w:t>10,438</w:t>
            </w:r>
          </w:p>
        </w:tc>
        <w:tc>
          <w:tcPr>
            <w:tcW w:type="dxa" w:w="1440"/>
            <w:shd w:fill="FFDCE0" w:val="clear"/>
          </w:tcPr>
          <w:p>
            <w:r>
              <w:rPr>
                <w:b/>
                <w:color w:val="C00000"/>
                <w:sz w:val="17"/>
              </w:rPr>
              <w:t>-6.7%</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8,330</w:t>
            </w:r>
          </w:p>
        </w:tc>
        <w:tc>
          <w:tcPr>
            <w:tcW w:type="dxa" w:w="1440"/>
            <w:shd w:fill="FFDCE0" w:val="clear"/>
          </w:tcPr>
          <w:p>
            <w:r>
              <w:rPr>
                <w:b/>
                <w:sz w:val="17"/>
              </w:rPr>
              <w:t>9,401</w:t>
            </w:r>
          </w:p>
        </w:tc>
        <w:tc>
          <w:tcPr>
            <w:tcW w:type="dxa" w:w="1440"/>
            <w:shd w:fill="FFDCE0" w:val="clear"/>
          </w:tcPr>
          <w:p>
            <w:r>
              <w:rPr>
                <w:sz w:val="17"/>
              </w:rPr>
              <w:t>10,473</w:t>
            </w:r>
          </w:p>
        </w:tc>
        <w:tc>
          <w:tcPr>
            <w:tcW w:type="dxa" w:w="1440"/>
            <w:shd w:fill="FFDCE0" w:val="clear"/>
          </w:tcPr>
          <w:p>
            <w:r>
              <w:rPr>
                <w:b/>
                <w:color w:val="C00000"/>
                <w:sz w:val="17"/>
              </w:rPr>
              <w:t>-7.0%</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8,242</w:t>
            </w:r>
          </w:p>
        </w:tc>
        <w:tc>
          <w:tcPr>
            <w:tcW w:type="dxa" w:w="1440"/>
            <w:shd w:fill="FFDCE0" w:val="clear"/>
          </w:tcPr>
          <w:p>
            <w:r>
              <w:rPr>
                <w:b/>
                <w:sz w:val="17"/>
              </w:rPr>
              <w:t>9,375</w:t>
            </w:r>
          </w:p>
        </w:tc>
        <w:tc>
          <w:tcPr>
            <w:tcW w:type="dxa" w:w="1440"/>
            <w:shd w:fill="FFDCE0" w:val="clear"/>
          </w:tcPr>
          <w:p>
            <w:r>
              <w:rPr>
                <w:sz w:val="17"/>
              </w:rPr>
              <w:t>10,508</w:t>
            </w:r>
          </w:p>
        </w:tc>
        <w:tc>
          <w:tcPr>
            <w:tcW w:type="dxa" w:w="1440"/>
            <w:shd w:fill="FFDCE0" w:val="clear"/>
          </w:tcPr>
          <w:p>
            <w:r>
              <w:rPr>
                <w:b/>
                <w:color w:val="C00000"/>
                <w:sz w:val="17"/>
              </w:rPr>
              <w:t>-7.3%</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8,161</w:t>
            </w:r>
          </w:p>
        </w:tc>
        <w:tc>
          <w:tcPr>
            <w:tcW w:type="dxa" w:w="1440"/>
            <w:shd w:fill="FFDCE0" w:val="clear"/>
          </w:tcPr>
          <w:p>
            <w:r>
              <w:rPr>
                <w:b/>
                <w:sz w:val="17"/>
              </w:rPr>
              <w:t>9,353</w:t>
            </w:r>
          </w:p>
        </w:tc>
        <w:tc>
          <w:tcPr>
            <w:tcW w:type="dxa" w:w="1440"/>
            <w:shd w:fill="FFDCE0" w:val="clear"/>
          </w:tcPr>
          <w:p>
            <w:r>
              <w:rPr>
                <w:sz w:val="17"/>
              </w:rPr>
              <w:t>10,545</w:t>
            </w:r>
          </w:p>
        </w:tc>
        <w:tc>
          <w:tcPr>
            <w:tcW w:type="dxa" w:w="1440"/>
            <w:shd w:fill="FFDCE0" w:val="clear"/>
          </w:tcPr>
          <w:p>
            <w:r>
              <w:rPr>
                <w:b/>
                <w:color w:val="C00000"/>
                <w:sz w:val="17"/>
              </w:rPr>
              <w:t>-7.5%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 RAPPORT D'ANALYSE FINANCIÈRE — BICB (BRVM)</w:t>
      </w:r>
    </w:p>
    <w:p>
      <w:pPr>
        <w:spacing w:after="120" w:line="276" w:lineRule="auto"/>
      </w:pPr>
      <w:r>
        <w:t>**Banque Internationale pour l'Industrie et le Commerce — Bénin**</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**583,95 milliards FCFA**, BICB se positionne parmi les valeurs les plus capitalisées de la cote BRVM, ce qui témoigne de sa stature de leader bancaire au Bénin et de sa liquidité relative sur le marché régional. Le **BPA de 627 FCFA/action** signifie que chaque titre génère près de 627 FCFA de bénéfice net, un niveau de rentabilité par action particulièrement élevé pour le secteur. Le **PER de 16,1x** situe le titre au-dessus de la moyenne BRVM (généralement 8-12x), indiquant que les investisseurs paient une prime pour la qualité de la franchise, sans pour autant tomber dans une zone de surévaluation spéculative. Le **P/B de 4,32x** révèle que le marché valorise BICB à plus de quatre fois sa valeur comptable — une prime exigeante qui se justifie par un ROE exceptionnel de 26,8%, bien supérieur au coût du capital. Enfin, l'**EV/EBITDA de 26,5x** apparaît très exigeant et suggère que la valeur d'entreprise intègre déjà une grande partie des anticipations de croissance, laissant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 enregistré une **progression spectaculaire de +94,42%**, passant d'un plus bas de **5 105 FCFA** à un plus haut de **10 790 FCFA**, pour un cours actuel de **10 110 FCFA** — soit une quasi-doublement de la valeur en un peu plus de trois mois. La dernière séance a toutefois accusé un **recul de -3,11%**, signalant une possible prise de bénéfices après cette ascension verticale. La tendance générale est donc nettement **haussière**, portée par un volume moyen quotidien de 13 095 titres qui témoigne d'un intérêt soutenu des investisseurs. Les statistiques descriptives révèlent une **moyenne de 6 930 FCFA** nettement supérieure à la **médiane de 6 355 FCFA**, confirmant une distribution asymétrique avec des pics de prix élevés qui tirent la moyenne vers le haut ; le **mode à 5 200 FCFA** indique que le niveau le plus fréquemment traité se situe bien en dessous du cours actuel, soulignant l'ampleur du rallye récent. L'**écart-type de 1 742 FCFA (CV = 25,1%)** traduit une dispersion modérée à élevée du cours, cohérente avec un titre en forte tendance. Le **kurtosis de -0,601** (mésokurtique) suggère une distribution proche de la normale, sans risque excessif de pics extrêmes, tandis que le **skewness de +0,808** (asymétrie positive) indique que les journées sous la moyenne ont été plus fréquentes que celles au-dessus — un profil typique d'un titre ayant connu une accélération récente. La **volatilité annualisée de 35,1%** classe BICB dans la catégorie des titres à volatilité **élevée** (&gt;30%), ce qui implique un risque de correction significatif et justifie une gestion prudente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**9 733 FCFA** et la MM50 à **8 335,6 FCFA**, toutes deux inférieures au cours actuel de 10 110 FCFA, ce qui confirme une configuration haussière avec le prix évoluant au-dessus de ses moyennes. L'écart positif entre la MM20 et la MM50 (1 397 FCFA) valide la dynamique ascendante, justifiant la décision technique d'**Achat**.</w:t>
      </w:r>
    </w:p>
    <w:p>
      <w:pPr>
        <w:spacing w:after="120" w:line="276" w:lineRule="auto"/>
      </w:pPr>
      <w:r>
        <w:t>**Bandes de Bollinger** : Le cours actuel (10 110 FCFA) se situe à l'intérieur des bandes, entre la borne inférieure (7 964,9 FCFA) et la borne supérieure (11 501,1 FCFA), mais plus proche de cette dernière. Cette position médiane-haute, couplée à un écart-type élevé, indique une volatilité importante sans signal de surachat extrême, justifiant la décision **Neutre**.</w:t>
      </w:r>
    </w:p>
    <w:p>
      <w:pPr>
        <w:spacing w:after="120" w:line="276" w:lineRule="auto"/>
      </w:pPr>
      <w:r>
        <w:t>**MACD** : La valeur du MACD (640,9) est légèrement inférieure à son signal (693,1), générant un croisement baissier qui suggère un essoufflement du momentum haussier. Cette divergence négative, bien que modérée, justifie la décision de **Vente** à court terme.</w:t>
      </w:r>
    </w:p>
    <w:p>
      <w:pPr>
        <w:spacing w:after="120" w:line="276" w:lineRule="auto"/>
      </w:pPr>
      <w:r>
        <w:t>**RSI** : À **67,5**, le RSI se situe en zone neutre-haute, proche du seuil de surachat (70) sans l'atteindre. Cette configuration indique que le titre conserve un potentiel haussier résiduel mais approche de niveaux où une consolidation est probable, justifiant la décision **Neutre**.</w:t>
      </w:r>
    </w:p>
    <w:p>
      <w:pPr>
        <w:spacing w:after="120" w:line="276" w:lineRule="auto"/>
      </w:pPr>
      <w:r>
        <w:t>**Stochastique** : Le %K (52,8) est nettement inférieur au %D (73,8), avec un croisement baissier en cours qui signale un ralentissement de la dynamique positive. Cette configuration, bien que non extrême, plaide pour une prudence à court terme, justifiant la décision **Neutre**.</w:t>
      </w:r>
    </w:p>
    <w:p>
      <w:pPr>
        <w:spacing w:after="120" w:line="276" w:lineRule="auto"/>
      </w:pPr>
      <w:r>
        <w:t>**Conclusion technique** : Les indicateurs présentent un tableau **mitigé** : les moyennes mobiles confirment la tendance haussière de fond, mais le MACD et le stochastique signalent un essoufflement du momentum à court terme. Le RSI et les bandes de Bollinger n'indiquent ni surachat ni survente, laissant le titre dans une zone de consolidation potentielle. La convergence des signaux suggère une **pause technique** après le rallye exceptionnel, avec un risque de correction modérée avant une reprise éventuelle.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BICB affiche un **Produit Net Bancaire (PNB) de 52,805 milliards FCFA**, en croissance de **16,49%** sur un an, porté par une expansion rapide des crédits (+37,3%) et des dépôts (+29,4%). Le **résultat net s'élève à 36,237 milliards FCFA**, générant un **ROE exceptionnel de 26,82%** et un **ROA de 1,96%**. Le **coefficient d'exploitation de 31,12%** — très inférieur au seuil de 60% — témoigne d'une efficacité opérationnelle remarquable. Le **coût du risque de 9,61%** (provisions/charges financières) reste un point de vigilance, reflétant un risque de crédit significatif. La structure financière montre une **autonomie financière de 7,33%** (capitaux propres/total bilan), typique d'une banque à fort effet de levier, avec un **ratio de solvabilité de 19,64%**, bien au-dessus du minimum réglementaire de 11,5%. Le **ratio crédits nets/dépôts de 97,5%** indique une transformation tendue, avec une liquidité réduite (11,03% d'actifs liquides nets sur ressources courtes).</w:t>
      </w:r>
    </w:p>
    <w:p>
      <w:pPr>
        <w:spacing w:after="120" w:line="276" w:lineRule="auto"/>
      </w:pPr>
      <w:r>
        <w:t>**Estimations basées sur les rapports trimestriels** : Le **rapport T1 2026** (publié en 2026) révèle une **accélération spectaculaire** : PNB de 14,6 milliards FCFA (+35%) et résultat net de 8,0 milliards FCFA (+48%), avec des dépôts en hausse de 6% à 1 248,3 milliards FCFA. Cette dynamique suggère que l'exercice 2026 devrait dépasser les performances de 2025, avec un PNB annualisé estimé à **~58-60 milliards FCFA** et un résultat net potentiel de **~40-42 milliards FCFA** si la tendance se maintient. Toutefois, le **rapport T3 2025** (publié en 2025) avait montré un recul de 9% du résultat net sur neuf mois, attribué à un « renforcement prudent du coût du risque » — un signal d'alerte sur la qualité du portefeuille de crédits en forte croissance. Le **rapport S1 2025** (publié en 2025) avait déjà relevé une explosion du coût du risque (+641%) et des lacunes du système d'information pour le déclassement automatique des créances, pointées par les commissaires aux comptes.</w:t>
      </w:r>
    </w:p>
    <w:p>
      <w:pPr>
        <w:spacing w:after="120" w:line="276" w:lineRule="auto"/>
      </w:pPr>
      <w:r>
        <w:t>**Recommandation fondamentale** : BICB présente des **fondamentaux solides** (ROE &gt;25%, coefficient d'exploitation &lt;35%, solvabilité robuste) et une **dynamique commerciale exceptionnelle** confirmée par le T1 2026. Cependant, la **qualité de la croissance** reste le principal risque : l'expansion très rapide des crédits (+37% en 2025) s'accompagne d'un coût du risque élevé et de tensions sur la liquidité. La recommandation fondamentale est de **CONSERVER** avec une surveillance attentive de la normalisation du coût du risque et de l'évolution du ratio crédits/dépôts.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La **valorisation (Partie 0)** affiche des ratios exigeants (PER 16,1x, P/B 4,32x, EV/EBITDA 26,5x) qui intègrent déjà une prime de qualité et une croissance anticipée, limitant le potentiel de revalorisation à court terme. Le **comportement du cours (Partie 1)** est exceptionnellement haussier (+94,42% en 100 jours) mais présente des signes de fatigue (recul J-1 de -3,11%, skewness positive, volatilité élevée de 35,1%), suggérant une consolidation imminente. Les **signaux techniques (Partie 2)** sont mitigés : les moyennes mobiles confirment la tendance de fond, mais le MACD et le stochastique signalent un essoufflement du momentum, plaidant pour une pause. Les **fondamentaux (Partie 3)** restent solides (ROE 26,8%, PNB +16,5% en 2025, T1 2026 en accélération avec +48% de résultat net), mais la qualité de la croissance est entachée par un coût du risque élevé et des tensions de liquidité. Les **prédictions IA (J+1 à J+10)** anticipent une **correction baissière** de 10 110 FCFA à 9 513 FCFA (-5,9%), ce qui **contredit** la dynamique fondamentale mais **confirme** les signaux techniques de consolidation.</w:t>
      </w:r>
    </w:p>
    <w:p>
      <w:pPr>
        <w:spacing w:after="120" w:line="276" w:lineRule="auto"/>
      </w:pPr>
      <w:r>
        <w:t>**Recommandation finale : CONSERVER**</w:t>
      </w:r>
    </w:p>
    <w:p>
      <w:pPr>
        <w:spacing w:after="120" w:line="276" w:lineRule="auto"/>
      </w:pPr>
      <w:r>
        <w:t>Cette recommandation reflète la **convergence** entre une valorisation exigeante, des signaux techniques de consolidation et des prédictions IA baissières à court terme, tempérés par des fondamentaux solides et une dynamique commerciale robuste. Le **niveau de confiance est Moyen** : les données fondamentales sont fiables, mais l'incertitude sur la qualité du crédit et la trajectoire des prédictions IA introduit une volatilité significative. Le **niveau de risque global est Élevé**, en raison de la volatilité du titre (35,1%), des tensions de liquidité et du risque de crédit. L'**horizon d'investissement optimal est moyen terme (3-12 mois)** : les investisseurs déjà en portefeuille devraient conserver leurs positions en attendant la confirmation de la normalisation du coût du risque et la publication des résultats annuels 2026, tandis que les nouveaux entrants devraient attendre une correction vers les 9 500-9 700 FCFA pour améliorer leur point d'entrée. Un **ACHAT** serait prématuré tant que la consolidation technique n'est pas achevée et que la qualité du portefeuille de crédits n'est pas clarifiée.</w:t>
      </w:r>
    </w:p>
    <w:p>
      <w:pPr>
        <w:spacing w:after="120" w:line="276" w:lineRule="auto"/>
      </w:pPr>
      <w:r>
        <w:t>---</w:t>
      </w:r>
    </w:p>
    <w:p>
      <w:pPr>
        <w:spacing w:after="120" w:line="276" w:lineRule="auto"/>
      </w:pPr>
      <w:r>
        <w:t>*Rapport généré le 21 septembre 2026 — Sources : BRVM, états financiers IFRS 2025, rapports trimestriels T1 2026 et T3 2025, analyses des commissaires aux comptes.*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527.92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667 titres</w:t>
            </w:r>
          </w:p>
        </w:tc>
        <w:tc>
          <w:tcPr>
            <w:tcW w:type="dxa" w:w="2268"/>
            <w:shd w:fill="FFF2CC" w:val="clear"/>
          </w:tcPr>
          <w:p>
            <w:r>
              <w:rPr>
                <w:b/>
                <w:color w:val="503200"/>
                <w:sz w:val="16"/>
              </w:rPr>
              <w:t xml:space="preserve">Cours actuel : </w:t>
            </w:r>
            <w:r>
              <w:rPr>
                <w:color w:val="000000"/>
                <w:sz w:val="17"/>
              </w:rPr>
              <w:t>31,675 FCFA</w:t>
            </w:r>
          </w:p>
          <w:p>
            <w:r>
              <w:rPr>
                <w:b/>
                <w:color w:val="503200"/>
                <w:sz w:val="16"/>
              </w:rPr>
              <w:t xml:space="preserve">Var. 100 jours : </w:t>
            </w:r>
            <w:r>
              <w:rPr>
                <w:b/>
                <w:color w:val="007800"/>
                <w:sz w:val="17"/>
              </w:rPr>
              <w:t>+33.31%</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23,760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7.11% (Moyenne) — μ=28,593 FCFA, σ=2,032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β=0.6052 (Défensif) — Cov=0.000022, Var(idx)=0.000036, ρ=0.201,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667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30,324</w:t>
            </w:r>
          </w:p>
        </w:tc>
        <w:tc>
          <w:tcPr>
            <w:tcW w:type="dxa" w:w="1440"/>
            <w:shd w:fill="FAFAFA" w:val="clear"/>
          </w:tcPr>
          <w:p>
            <w:r>
              <w:rPr>
                <w:b/>
                <w:sz w:val="17"/>
              </w:rPr>
              <w:t>31,478</w:t>
            </w:r>
          </w:p>
        </w:tc>
        <w:tc>
          <w:tcPr>
            <w:tcW w:type="dxa" w:w="1440"/>
            <w:shd w:fill="FAFAFA" w:val="clear"/>
          </w:tcPr>
          <w:p>
            <w:r>
              <w:rPr>
                <w:sz w:val="17"/>
              </w:rPr>
              <w:t>32,631</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29,810</w:t>
            </w:r>
          </w:p>
        </w:tc>
        <w:tc>
          <w:tcPr>
            <w:tcW w:type="dxa" w:w="1440"/>
            <w:shd w:fill="FAFAFA" w:val="clear"/>
          </w:tcPr>
          <w:p>
            <w:r>
              <w:rPr>
                <w:b/>
                <w:sz w:val="17"/>
              </w:rPr>
              <w:t>31,439</w:t>
            </w:r>
          </w:p>
        </w:tc>
        <w:tc>
          <w:tcPr>
            <w:tcW w:type="dxa" w:w="1440"/>
            <w:shd w:fill="FAFAFA" w:val="clear"/>
          </w:tcPr>
          <w:p>
            <w:r>
              <w:rPr>
                <w:sz w:val="17"/>
              </w:rPr>
              <w:t>33,069</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29,382</w:t>
            </w:r>
          </w:p>
        </w:tc>
        <w:tc>
          <w:tcPr>
            <w:tcW w:type="dxa" w:w="1440"/>
            <w:shd w:fill="FAFAFA" w:val="clear"/>
          </w:tcPr>
          <w:p>
            <w:r>
              <w:rPr>
                <w:b/>
                <w:sz w:val="17"/>
              </w:rPr>
              <w:t>31,373</w:t>
            </w:r>
          </w:p>
        </w:tc>
        <w:tc>
          <w:tcPr>
            <w:tcW w:type="dxa" w:w="1440"/>
            <w:shd w:fill="FAFAFA" w:val="clear"/>
          </w:tcPr>
          <w:p>
            <w:r>
              <w:rPr>
                <w:sz w:val="17"/>
              </w:rPr>
              <w:t>33,364</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29,008</w:t>
            </w:r>
          </w:p>
        </w:tc>
        <w:tc>
          <w:tcPr>
            <w:tcW w:type="dxa" w:w="1440"/>
            <w:shd w:fill="FAFAFA" w:val="clear"/>
          </w:tcPr>
          <w:p>
            <w:r>
              <w:rPr>
                <w:b/>
                <w:sz w:val="17"/>
              </w:rPr>
              <w:t>31,302</w:t>
            </w:r>
          </w:p>
        </w:tc>
        <w:tc>
          <w:tcPr>
            <w:tcW w:type="dxa" w:w="1440"/>
            <w:shd w:fill="FAFAFA" w:val="clear"/>
          </w:tcPr>
          <w:p>
            <w:r>
              <w:rPr>
                <w:sz w:val="17"/>
              </w:rPr>
              <w:t>33,596</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28,675</w:t>
            </w:r>
          </w:p>
        </w:tc>
        <w:tc>
          <w:tcPr>
            <w:tcW w:type="dxa" w:w="1440"/>
            <w:shd w:fill="FAFAFA" w:val="clear"/>
          </w:tcPr>
          <w:p>
            <w:r>
              <w:rPr>
                <w:b/>
                <w:sz w:val="17"/>
              </w:rPr>
              <w:t>31,235</w:t>
            </w:r>
          </w:p>
        </w:tc>
        <w:tc>
          <w:tcPr>
            <w:tcW w:type="dxa" w:w="1440"/>
            <w:shd w:fill="FAFAFA" w:val="clear"/>
          </w:tcPr>
          <w:p>
            <w:r>
              <w:rPr>
                <w:sz w:val="17"/>
              </w:rPr>
              <w:t>33,794</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28,372</w:t>
            </w:r>
          </w:p>
        </w:tc>
        <w:tc>
          <w:tcPr>
            <w:tcW w:type="dxa" w:w="1440"/>
            <w:shd w:fill="FAFAFA" w:val="clear"/>
          </w:tcPr>
          <w:p>
            <w:r>
              <w:rPr>
                <w:b/>
                <w:sz w:val="17"/>
              </w:rPr>
              <w:t>31,170</w:t>
            </w:r>
          </w:p>
        </w:tc>
        <w:tc>
          <w:tcPr>
            <w:tcW w:type="dxa" w:w="1440"/>
            <w:shd w:fill="FAFAFA" w:val="clear"/>
          </w:tcPr>
          <w:p>
            <w:r>
              <w:rPr>
                <w:sz w:val="17"/>
              </w:rPr>
              <w:t>33,968</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28,091</w:t>
            </w:r>
          </w:p>
        </w:tc>
        <w:tc>
          <w:tcPr>
            <w:tcW w:type="dxa" w:w="1440"/>
            <w:shd w:fill="FAFAFA" w:val="clear"/>
          </w:tcPr>
          <w:p>
            <w:r>
              <w:rPr>
                <w:b/>
                <w:sz w:val="17"/>
              </w:rPr>
              <w:t>31,107</w:t>
            </w:r>
          </w:p>
        </w:tc>
        <w:tc>
          <w:tcPr>
            <w:tcW w:type="dxa" w:w="1440"/>
            <w:shd w:fill="FAFAFA" w:val="clear"/>
          </w:tcPr>
          <w:p>
            <w:r>
              <w:rPr>
                <w:sz w:val="17"/>
              </w:rPr>
              <w:t>34,123</w:t>
            </w:r>
          </w:p>
        </w:tc>
        <w:tc>
          <w:tcPr>
            <w:tcW w:type="dxa" w:w="1440"/>
            <w:shd w:fill="FAFAFA" w:val="clear"/>
          </w:tcPr>
          <w:p>
            <w:r>
              <w:rPr>
                <w:b/>
                <w:color w:val="C00000"/>
                <w:sz w:val="17"/>
              </w:rPr>
              <w:t>-1.8%</w:t>
            </w:r>
          </w:p>
        </w:tc>
      </w:tr>
      <w:tr>
        <w:tc>
          <w:tcPr>
            <w:tcW w:type="dxa" w:w="1440"/>
            <w:shd w:fill="FAFAFA" w:val="clear"/>
          </w:tcPr>
          <w:p>
            <w:r>
              <w:rPr>
                <w:sz w:val="17"/>
              </w:rPr>
              <w:t>J+8  ⭐</w:t>
            </w:r>
          </w:p>
        </w:tc>
        <w:tc>
          <w:tcPr>
            <w:tcW w:type="dxa" w:w="1440"/>
            <w:shd w:fill="FAFAFA" w:val="clear"/>
          </w:tcPr>
          <w:p>
            <w:r>
              <w:rPr>
                <w:sz w:val="17"/>
              </w:rPr>
              <w:t>2026-09-30</w:t>
            </w:r>
          </w:p>
        </w:tc>
        <w:tc>
          <w:tcPr>
            <w:tcW w:type="dxa" w:w="1440"/>
            <w:shd w:fill="FAFAFA" w:val="clear"/>
          </w:tcPr>
          <w:p>
            <w:r>
              <w:rPr>
                <w:sz w:val="17"/>
              </w:rPr>
              <w:t>27,828</w:t>
            </w:r>
          </w:p>
        </w:tc>
        <w:tc>
          <w:tcPr>
            <w:tcW w:type="dxa" w:w="1440"/>
            <w:shd w:fill="FAFAFA" w:val="clear"/>
          </w:tcPr>
          <w:p>
            <w:r>
              <w:rPr>
                <w:b/>
                <w:sz w:val="17"/>
              </w:rPr>
              <w:t>31,046</w:t>
            </w:r>
          </w:p>
        </w:tc>
        <w:tc>
          <w:tcPr>
            <w:tcW w:type="dxa" w:w="1440"/>
            <w:shd w:fill="FAFAFA" w:val="clear"/>
          </w:tcPr>
          <w:p>
            <w:r>
              <w:rPr>
                <w:sz w:val="17"/>
              </w:rPr>
              <w:t>34,263</w:t>
            </w:r>
          </w:p>
        </w:tc>
        <w:tc>
          <w:tcPr>
            <w:tcW w:type="dxa" w:w="1440"/>
            <w:shd w:fill="FAFAFA"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27,580</w:t>
            </w:r>
          </w:p>
        </w:tc>
        <w:tc>
          <w:tcPr>
            <w:tcW w:type="dxa" w:w="1440"/>
            <w:shd w:fill="FFDCE0" w:val="clear"/>
          </w:tcPr>
          <w:p>
            <w:r>
              <w:rPr>
                <w:b/>
                <w:sz w:val="17"/>
              </w:rPr>
              <w:t>30,986</w:t>
            </w:r>
          </w:p>
        </w:tc>
        <w:tc>
          <w:tcPr>
            <w:tcW w:type="dxa" w:w="1440"/>
            <w:shd w:fill="FFDCE0" w:val="clear"/>
          </w:tcPr>
          <w:p>
            <w:r>
              <w:rPr>
                <w:sz w:val="17"/>
              </w:rPr>
              <w:t>34,392</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27,344</w:t>
            </w:r>
          </w:p>
        </w:tc>
        <w:tc>
          <w:tcPr>
            <w:tcW w:type="dxa" w:w="1440"/>
            <w:shd w:fill="FFDCE0" w:val="clear"/>
          </w:tcPr>
          <w:p>
            <w:r>
              <w:rPr>
                <w:b/>
                <w:sz w:val="17"/>
              </w:rPr>
              <w:t>30,928</w:t>
            </w:r>
          </w:p>
        </w:tc>
        <w:tc>
          <w:tcPr>
            <w:tcW w:type="dxa" w:w="1440"/>
            <w:shd w:fill="FFDCE0" w:val="clear"/>
          </w:tcPr>
          <w:p>
            <w:r>
              <w:rPr>
                <w:sz w:val="17"/>
              </w:rPr>
              <w:t>34,512</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527,92 milliards FCFA, BICC s'impose comme l'une des toutes premières capitalisations de la BRVM, ce qui en fait une valeur de premier plan pour les investisseurs institutionnels de la zone UEMOA. Le BPA de 2 191 FCFA/action signifie que chaque titre génère près de 2 200 FCFA de bénéfice net, un niveau de rentabilité par action particulièrement élevé pour le marché régional. Le PER de 14,5x se situe au-dessus de la moyenne BRVM (généralement comprise entre 8 et 12x), ce qui indique que le marché accepte de payer une prime de qualité pour cette valeur bancaire, sans pour autant tomber dans une exubérance manifeste. Le P/B de 4,38x traduit une valorisation nettement supérieure à la valeur comptable, ce qui est cohérent avec la rentabilité exceptionnelle des fonds propres (ROE de 30,3%) mais expose le titre à un risque de correction si la rentabilité venait à fléchir. Enfin, l'EV/EBITDA de 10,4x, bien que dans la fourchette haute (10-15x), reste justifié par la solidité opérationnelle et la génération de cash-flows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BICC a enregistré une progression remarquable de +33,31%, avec une dernière séance en hausse de +1,36%, portant le cours actuel à 31 675 FCFA. Le titre a évolué dans un range significatif entre un plus bas de 23 760 FCFA et un plus haut de 34 000 FCFA, soit une amplitude de plus de 43%, témoignant d'une tendance générale nettement haussière. La moyenne (28 593 FCFA) et la médiane (28 660 FCFA) sont quasi confondues, ce qui indique une distribution équilibrée du cours sur la période, sans biais directionnel marqué. L'écart-type de 2 043 FCFA avec un coefficient de variation de 7,1% révèle une dispersion modérée du cours autour de sa moyenne, signe d'une certaine stabilité relative. Le kurtosis de 0,945 (mésokurtique) suggère une distribution proche de la normale, sans risque excessif de pics extrêmes, tandis que le skewness de 0,345 confirme une légère asymétrie positive, c'est-à-dire une prédominance de mouvements haussiers. La volatilité annualisée de 28,7% place le titre dans la catégorie des valeurs à volatilité modérée (15-30%), ce qui est rassurant pour un investisseur recherchant un compromis entre rendement et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(31 387,75 FCFA) et la MM50 (29 747,4 FCFA) se situent toutes deux sous le cours actuel (31 675 FCFA), avec la MM20 au-dessus de la MM50, configuration classique d'un signal haussier. Le cours évoluant au-dessus de ses deux moyennes mobiles, la dynamique de court et moyen terme reste positive, ce qui justifie la décision d'**Achat**.</w:t>
      </w:r>
    </w:p>
    <w:p>
      <w:pPr>
        <w:spacing w:after="120" w:line="276" w:lineRule="auto"/>
      </w:pPr>
      <w:r>
        <w:t>**Bandes de Bollinger** : Le cours actuel (31 675 FCFA) se situe dans la partie supérieure de la bande, entre la borne inférieure (27 819,24 FCFA) et la borne supérieure (34 956,26 FCFA), sans franchir cette dernière. Cette position médiane-haute, combinée à un rétrécissement des bandes, indique une volatilité contenue et une absence de signal extrême, justifiant la décision **Neutre**.</w:t>
      </w:r>
    </w:p>
    <w:p>
      <w:pPr>
        <w:spacing w:after="120" w:line="276" w:lineRule="auto"/>
      </w:pPr>
      <w:r>
        <w:t>**MACD** : La valeur du MACD (705,38) est inférieure à son signal (884,00), ce qui constitue un croisement baissier et traduit un essoufflement du momentum haussier. Bien que le MACD reste en territoire positif, cette divergence négative incite à la prudence et justifie la décision de **Vente** à court terme.</w:t>
      </w:r>
    </w:p>
    <w:p>
      <w:pPr>
        <w:spacing w:after="120" w:line="276" w:lineRule="auto"/>
      </w:pPr>
      <w:r>
        <w:t>**RSI** : À 59,44, le RSI se situe dans la zone neutre (30-70), sans atteindre la zone de surachat (&gt;70) ni de survente (&lt;30). Cette position médiane indique que le titre dispose encore d'un potentiel de hausse sans être techniquement surchauffé, ce qui justifie la décision **Neutre**.</w:t>
      </w:r>
    </w:p>
    <w:p>
      <w:pPr>
        <w:spacing w:after="120" w:line="276" w:lineRule="auto"/>
      </w:pPr>
      <w:r>
        <w:t>**Stochastique** : Le %K (43,29) et le %D (41,70) évoluent tous deux dans la zone neutre, avec un %K légèrement supérieur au %D, suggérant un très léger avantage haussier sans croisement significatif. L'absence de signal fort dans cette zone médiane justifie la décision **Neutre**.</w:t>
      </w:r>
    </w:p>
    <w:p>
      <w:pPr>
        <w:spacing w:after="120" w:line="276" w:lineRule="auto"/>
      </w:pPr>
      <w:r>
        <w:t>**Conclusion technique** : Les indicateurs techniques présentent un tableau mitigé : les moyennes mobiles confirment la tendance haussière de fond, mais le MACD signale un essoufflement du momentum, tandis que le RSI et le stochastique restent neutres. Cette divergence entre tendance de fond (haussière) et momentum (affaibli) suggère une phase de consolidation possible avant une nouvelle impulsion, ce qui plaide pour une approche prudente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BICC affiche un Produit Net Bancaire (PNB) de 79,563 milliards FCFA, un résultat net de 36,520 milliards FCFA, un ROE exceptionnel de 30,29% et un ROA de 3,24%. Le coefficient d'exploitation s'établit à 50,83%, nettement inférieur au seuil de 60% qui caractérise une banque efficace, ce qui témoigne d'une excellente maîtrise des charges. Le coût du risque, mesuré par le ratio provisions/charges financières, ressort à -12,15%, un niveau élevé qui appelle à la vigilance sur la qualité du portefeuille de crédits. La structure financière montre une autonomie financière de 10,71% (capitaux propres/total bilan), un ratio d'endettement de 14,05% et une solvabilité générale de 111,99%, confirmant la solidité du bilan. Le ratio dépôts/crédits s'élève à 952,87 Mds FCFA de dépôts clientèle pour 524,44 Mds FCFA de créances clientèle, soit un ratio de transformation de 55%, indiquant une surliquidité abondante mais aussi une sous-utilisation des ressources collectées.</w:t>
      </w:r>
    </w:p>
    <w:p>
      <w:pPr>
        <w:spacing w:after="120" w:line="276" w:lineRule="auto"/>
      </w:pPr>
      <w:r>
        <w:t>**Estimations basées sur les rapports trimestriels** : Selon le rapport du T1 2026 (publié le 31 mars 2026), le PNB progresse de +17,0% à 21 214 MFCFA et le résultat net bondit de +29,7% à 10 387 MFCFA, avec une marge nette en amélioration à 49,0% (contre 44,2% au T1 2025). Le rapport du T3 2025 (30 septembre 2025) confirme cette dynamique avec un PNB cumulé de 58 119 MFCFA (+16,4%) et un résultat net de 27 402 MFCFA (+50,8%), porté par une marge nette de 47,1%. Sur la base de ces tendances, on peut estimer que l'exercice 2026 devrait enregistrer une croissance du PNB supérieure à 15% et un résultat net en progression de 25-30%, poursuivant l'amélioration de la rentabilité observée depuis 2024 (ROE de 28,6% en 2024 selon les états financiers 2024). Le principal point de vigilance reste la contraction des encours de crédits (-4,5% au T1 2026), compensée par la forte collecte de dépôts (+14,5%), qui pourrait à terme peser sur la marge d'intermédiation si la tendance se prolonge.</w:t>
      </w:r>
    </w:p>
    <w:p>
      <w:pPr>
        <w:spacing w:after="120" w:line="276" w:lineRule="auto"/>
      </w:pPr>
      <w:r>
        <w:t>**Recommandation fondamentale** : La solidité financière de BICC est incontestable, avec une rentabilité parmi les meilleures de la BRVM, une maîtrise des coûts exemplaire et une structure bilancielle saine. Les risques identifiés (baisse des crédits, coût du risque élevé, dépendance aux taux) sont modérés et compensés par la dynamique commerciale et la confiance de la clientèle. La recommandation fondamentale est donc **ACHAT**, avec un suivi attentif de l'évolution des encours de crédits et du coût du risque.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permet de dégager une vision globale contrastée mais globalement favorable. **Sur le plan de la valorisation (Partie 0)**, le PER de 14,5x et le P/B de 4,38x indiquent une valorisation exigeante mais justifiée par la qualité des fondamentaux, sans être en zone de surévaluation excessive. **Le comportement du cours (Partie 1)** est nettement haussier (+33,31% sur 100 jours) avec une volatilité modérée (28,7%) et des statistiques descriptives rassurantes (kurtosis proche de la normale, skewness légèrement positif), ce qui est favorable à une poursuite de la tendance. **Les signaux techniques (Partie 2)** sont mitigés : les moyennes mobiles confirment la tendance haussière, mais le MACD signale un essoufflement du momentum, tandis que le RSI et le stochastique restent neutres, suggérant une consolidation possible à court terme. **Les fondamentaux (Partie 3)** sont excellents, avec un ROE de 30,29%, un coefficient d'exploitation de 50,83% et une croissance à deux chiffres du PNB et du résultat net confirmée par les rapports trimestriels de 2025 et 2026. **Les prédictions IA (J+1 à J+10)** anticipent une légère correction baissière (de 31 478 FCFA à 31 235 FCFA), ce qui contredit partiellement les signaux haussiers des moyennes mobiles mais s'aligne avec l'essoufflement du MACD.</w:t>
      </w:r>
    </w:p>
    <w:p>
      <w:pPr>
        <w:spacing w:after="120" w:line="276" w:lineRule="auto"/>
      </w:pPr>
      <w:r>
        <w:t>**Recommandation finale : ACHAT**</w:t>
        <w:br/>
        <w:t>**Justification** : La convergence entre des fondamentaux exceptionnels (ROE &gt;30%, croissance du résultat net &gt;25%), une valorisation raisonnable (PER de 14,5x) et une tendance de fond haussière (MM20 &gt; MM50 &gt; cours) l'emporte sur les signaux techniques de court terme (MACD baissier, prédictions IA légèrement baissières). La légère correction anticipée par l'IA et le MACD constitue une opportunité d'entrée pour les investisseurs de moyen terme.</w:t>
        <w:br/>
        <w:t>**Niveau de confiance** : Élevé (fondamentaux solides, tendance de fond confirmée)</w:t>
        <w:br/>
        <w:t>**Niveau de risque** : Moyen (volatilité modérée, coût du risque élevé, dépendance aux taux d'intérêt)</w:t>
        <w:br/>
        <w:t>**Horizon d'investissement optimal** : Moyen terme (3-12 mois), en profitant des points d'entrée sur les replis techniques pour accumuler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13.25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2,951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007800"/>
                <w:sz w:val="17"/>
              </w:rPr>
              <w:t>+25.00%</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13.11% (Moyenne) — μ=1,867 FCFA, σ=245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β=0.3250 (Défensif) — Cov=0.000012, Var(idx)=0.000036, ρ=0.057,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σ_j=3.40%/j (Modérée) — Vol. annualisée≈54.0%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1,881</w:t>
            </w:r>
          </w:p>
        </w:tc>
        <w:tc>
          <w:tcPr>
            <w:tcW w:type="dxa" w:w="1440"/>
            <w:shd w:fill="FAFAFA" w:val="clear"/>
          </w:tcPr>
          <w:p>
            <w:r>
              <w:rPr>
                <w:b/>
                <w:sz w:val="17"/>
              </w:rPr>
              <w:t>1,997</w:t>
            </w:r>
          </w:p>
        </w:tc>
        <w:tc>
          <w:tcPr>
            <w:tcW w:type="dxa" w:w="1440"/>
            <w:shd w:fill="FAFAFA" w:val="clear"/>
          </w:tcPr>
          <w:p>
            <w:r>
              <w:rPr>
                <w:sz w:val="17"/>
              </w:rPr>
              <w:t>2,113</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1,824</w:t>
            </w:r>
          </w:p>
        </w:tc>
        <w:tc>
          <w:tcPr>
            <w:tcW w:type="dxa" w:w="1440"/>
            <w:shd w:fill="FAFAFA" w:val="clear"/>
          </w:tcPr>
          <w:p>
            <w:r>
              <w:rPr>
                <w:b/>
                <w:sz w:val="17"/>
              </w:rPr>
              <w:t>1,987</w:t>
            </w:r>
          </w:p>
        </w:tc>
        <w:tc>
          <w:tcPr>
            <w:tcW w:type="dxa" w:w="1440"/>
            <w:shd w:fill="FAFAFA" w:val="clear"/>
          </w:tcPr>
          <w:p>
            <w:r>
              <w:rPr>
                <w:sz w:val="17"/>
              </w:rPr>
              <w:t>2,150</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1,781</w:t>
            </w:r>
          </w:p>
        </w:tc>
        <w:tc>
          <w:tcPr>
            <w:tcW w:type="dxa" w:w="1440"/>
            <w:shd w:fill="FAFAFA" w:val="clear"/>
          </w:tcPr>
          <w:p>
            <w:r>
              <w:rPr>
                <w:b/>
                <w:sz w:val="17"/>
              </w:rPr>
              <w:t>1,980</w:t>
            </w:r>
          </w:p>
        </w:tc>
        <w:tc>
          <w:tcPr>
            <w:tcW w:type="dxa" w:w="1440"/>
            <w:shd w:fill="FAFAFA" w:val="clear"/>
          </w:tcPr>
          <w:p>
            <w:r>
              <w:rPr>
                <w:sz w:val="17"/>
              </w:rPr>
              <w:t>2,179</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1,744</w:t>
            </w:r>
          </w:p>
        </w:tc>
        <w:tc>
          <w:tcPr>
            <w:tcW w:type="dxa" w:w="1440"/>
            <w:shd w:fill="FAFAFA" w:val="clear"/>
          </w:tcPr>
          <w:p>
            <w:r>
              <w:rPr>
                <w:b/>
                <w:sz w:val="17"/>
              </w:rPr>
              <w:t>1,973</w:t>
            </w:r>
          </w:p>
        </w:tc>
        <w:tc>
          <w:tcPr>
            <w:tcW w:type="dxa" w:w="1440"/>
            <w:shd w:fill="FAFAFA" w:val="clear"/>
          </w:tcPr>
          <w:p>
            <w:r>
              <w:rPr>
                <w:sz w:val="17"/>
              </w:rPr>
              <w:t>2,202</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1,710</w:t>
            </w:r>
          </w:p>
        </w:tc>
        <w:tc>
          <w:tcPr>
            <w:tcW w:type="dxa" w:w="1440"/>
            <w:shd w:fill="FAFAFA" w:val="clear"/>
          </w:tcPr>
          <w:p>
            <w:r>
              <w:rPr>
                <w:b/>
                <w:sz w:val="17"/>
              </w:rPr>
              <w:t>1,965</w:t>
            </w:r>
          </w:p>
        </w:tc>
        <w:tc>
          <w:tcPr>
            <w:tcW w:type="dxa" w:w="1440"/>
            <w:shd w:fill="FAFAFA" w:val="clear"/>
          </w:tcPr>
          <w:p>
            <w:r>
              <w:rPr>
                <w:sz w:val="17"/>
              </w:rPr>
              <w:t>2,220</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1,679</w:t>
            </w:r>
          </w:p>
        </w:tc>
        <w:tc>
          <w:tcPr>
            <w:tcW w:type="dxa" w:w="1440"/>
            <w:shd w:fill="FFDCE0" w:val="clear"/>
          </w:tcPr>
          <w:p>
            <w:r>
              <w:rPr>
                <w:b/>
                <w:sz w:val="17"/>
              </w:rPr>
              <w:t>1,957</w:t>
            </w:r>
          </w:p>
        </w:tc>
        <w:tc>
          <w:tcPr>
            <w:tcW w:type="dxa" w:w="1440"/>
            <w:shd w:fill="FFDCE0" w:val="clear"/>
          </w:tcPr>
          <w:p>
            <w:r>
              <w:rPr>
                <w:sz w:val="17"/>
              </w:rPr>
              <w:t>2,235</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1,650</w:t>
            </w:r>
          </w:p>
        </w:tc>
        <w:tc>
          <w:tcPr>
            <w:tcW w:type="dxa" w:w="1440"/>
            <w:shd w:fill="FFDCE0" w:val="clear"/>
          </w:tcPr>
          <w:p>
            <w:r>
              <w:rPr>
                <w:b/>
                <w:sz w:val="17"/>
              </w:rPr>
              <w:t>1,949</w:t>
            </w:r>
          </w:p>
        </w:tc>
        <w:tc>
          <w:tcPr>
            <w:tcW w:type="dxa" w:w="1440"/>
            <w:shd w:fill="FFDCE0" w:val="clear"/>
          </w:tcPr>
          <w:p>
            <w:r>
              <w:rPr>
                <w:sz w:val="17"/>
              </w:rPr>
              <w:t>2,248</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1,622</w:t>
            </w:r>
          </w:p>
        </w:tc>
        <w:tc>
          <w:tcPr>
            <w:tcW w:type="dxa" w:w="1440"/>
            <w:shd w:fill="FFDCE0" w:val="clear"/>
          </w:tcPr>
          <w:p>
            <w:r>
              <w:rPr>
                <w:b/>
                <w:sz w:val="17"/>
              </w:rPr>
              <w:t>1,941</w:t>
            </w:r>
          </w:p>
        </w:tc>
        <w:tc>
          <w:tcPr>
            <w:tcW w:type="dxa" w:w="1440"/>
            <w:shd w:fill="FFDCE0" w:val="clear"/>
          </w:tcPr>
          <w:p>
            <w:r>
              <w:rPr>
                <w:sz w:val="17"/>
              </w:rPr>
              <w:t>2,259</w:t>
            </w:r>
          </w:p>
        </w:tc>
        <w:tc>
          <w:tcPr>
            <w:tcW w:type="dxa" w:w="1440"/>
            <w:shd w:fill="FFDCE0" w:val="clear"/>
          </w:tcPr>
          <w:p>
            <w:r>
              <w:rPr>
                <w:b/>
                <w:color w:val="C00000"/>
                <w:sz w:val="17"/>
              </w:rPr>
              <w:t>-3.0%</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1,597</w:t>
            </w:r>
          </w:p>
        </w:tc>
        <w:tc>
          <w:tcPr>
            <w:tcW w:type="dxa" w:w="1440"/>
            <w:shd w:fill="FFDCE0" w:val="clear"/>
          </w:tcPr>
          <w:p>
            <w:r>
              <w:rPr>
                <w:b/>
                <w:sz w:val="17"/>
              </w:rPr>
              <w:t>1,933</w:t>
            </w:r>
          </w:p>
        </w:tc>
        <w:tc>
          <w:tcPr>
            <w:tcW w:type="dxa" w:w="1440"/>
            <w:shd w:fill="FFDCE0" w:val="clear"/>
          </w:tcPr>
          <w:p>
            <w:r>
              <w:rPr>
                <w:sz w:val="17"/>
              </w:rPr>
              <w:t>2,270</w:t>
            </w:r>
          </w:p>
        </w:tc>
        <w:tc>
          <w:tcPr>
            <w:tcW w:type="dxa" w:w="1440"/>
            <w:shd w:fill="FFDCE0" w:val="clear"/>
          </w:tcPr>
          <w:p>
            <w:r>
              <w:rPr>
                <w:b/>
                <w:color w:val="C00000"/>
                <w:sz w:val="17"/>
              </w:rPr>
              <w:t>-3.3%</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1,572</w:t>
            </w:r>
          </w:p>
        </w:tc>
        <w:tc>
          <w:tcPr>
            <w:tcW w:type="dxa" w:w="1440"/>
            <w:shd w:fill="FFDCE0" w:val="clear"/>
          </w:tcPr>
          <w:p>
            <w:r>
              <w:rPr>
                <w:b/>
                <w:sz w:val="17"/>
              </w:rPr>
              <w:t>1,926</w:t>
            </w:r>
          </w:p>
        </w:tc>
        <w:tc>
          <w:tcPr>
            <w:tcW w:type="dxa" w:w="1440"/>
            <w:shd w:fill="FFDCE0" w:val="clear"/>
          </w:tcPr>
          <w:p>
            <w:r>
              <w:rPr>
                <w:sz w:val="17"/>
              </w:rPr>
              <w:t>2,279</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(BERNABÉ CÔTE D'IVOIRE)**</w:t>
        <w:br/>
        <w:t>*Analyste : Marché BRVM | Date de référence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13,25 Mds FCFA, BNBC se situe dans la catégorie des petites capitalisations de la BRVM, ce qui la rend vulnérable aux mouvements de faible volume (2 951 titres/jour en moyenne). Le BPA de 3 FCFA/action est symbolique, reflétant une rentabilité quasi nulle, et conduit à un PER de 593,6x — un niveau aberrant comparé à la moyenne BRVM (~8-12x), signe que le marché paie très cher un bénéfice insignifiant. À l'inverse, le P/B de 0,75x indique que le marché valorise l'action à 25% en dessous de sa valeur comptable (capitaux propres de 17,77 Mds FCFA), ce qui constitue une opportunité potentielle en cas de redressement. Enfin, l'EV/EBITDA de 24,2x est très exigeant (&gt;15x), traduisant une valorisation opérationnelle tendue malgré la faiblesse des résultats. La coexistence d'un PER exorbitant et d'un P/B sous 1 révèle un titre dont la valeur repose davantage sur son bilan que sur ses bénéfices.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BNBC affiche une progression totale de +25,00%, portant le cours à 2 000 FCFA, malgré un repli de -2,91% lors de la dernière séance (J-1). Le titre a évolué dans un range large de 1 300 FCFA (plus bas) à 2 400 FCFA (plus haut), soit une amplitude de 84,6%, révélant une tendance haussière marquée mais ponctuée de corrections. La moyenne (1 867 FCFA) inférieure à la médiane (1 930 FCFA) et au mode (1 990 FCFA) suggère une distribution légèrement tirée vers le bas par des séances de faiblesse, confirmée par un skewness négatif (-0,367) indiquant une asymétrie vers les valeurs basses. L'écart-type de 246 FCFA et le coefficient de variation de 13,2% traduisent une dispersion modérée autour de la moyenne, tandis que le kurtosis de -0,453 (mésokurtique) signale une distribution proche de la normale, sans risque majeur de pics extrêmes. La volatilité annualisée de 54,0% classe ce titre dans la catégorie **élevée** (&gt;30%), ce qui implique un risque significatif pour l'investisseur et justifie une taille de position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(2 165,25 FCFA) et la MM50 (2 017,60 FCFA) se situent toutes deux au-dessus du cours actuel (2 000 FCFA), avec la MM20 en tête — configuration baissière de court terme. Toutefois, la décision affichée est "Achat", probablement liée au croisement haussier antérieur et à la dynamique des 100 jours (+25%). Le cours évolue sous ses deux moyennes, ce qui constitue un signal de prudence à court terme.</w:t>
      </w:r>
    </w:p>
    <w:p>
      <w:pPr>
        <w:spacing w:after="120" w:line="276" w:lineRule="auto"/>
      </w:pPr>
      <w:r>
        <w:t>**Bandes de Bollinger** : Le cours (2 000 FCFA) se situe dans la partie basse de la bande (borne inférieure 1 928,82 FCFA, borne supérieure 2 401,68 FCFA), sans atteindre la zone de survente. La largeur des bandes (472,86 FCFA) confirme une volatilité élevée. La décision "Neutre" reflète l'absence de signal directionnel clair : le titre n'est ni suracheté ni survendu.</w:t>
      </w:r>
    </w:p>
    <w:p>
      <w:pPr>
        <w:spacing w:after="120" w:line="276" w:lineRule="auto"/>
      </w:pPr>
      <w:r>
        <w:t>**MACD** : La valeur du MACD (20,082) est nettement inférieure à son signal (45,111), générant un croisement baissier et une décision "Vente". Cette divergence négative indique un essoufflement du momentum haussier et un risque de correction à court terme, en cohérence avec le repli de -2,91% en J-1.</w:t>
      </w:r>
    </w:p>
    <w:p>
      <w:pPr>
        <w:spacing w:after="120" w:line="276" w:lineRule="auto"/>
      </w:pPr>
      <w:r>
        <w:t>**RSI** : À 36,15, le RSI se situe dans la zone neutre basse (30-70), sans atteindre la survente (&lt;30). La décision "Neutre" suggère que le titre n'est pas encore en zone d'achat technique, mais la proximité de la survente pourrait attirer des acheteurs opportunistes.</w:t>
      </w:r>
    </w:p>
    <w:p>
      <w:pPr>
        <w:spacing w:after="120" w:line="276" w:lineRule="auto"/>
      </w:pPr>
      <w:r>
        <w:t>**Stochastique** : Le %K (0,0) et le %D (7,042) sont en zone de survente extrême (&lt;20), avec un %K au plancher absolu. La décision "Achat" repose sur l'anticipation d'un rebond technique imminent, bien que le croisement des lignes ne soit pas encore confirmé.</w:t>
      </w:r>
    </w:p>
    <w:p>
      <w:pPr>
        <w:spacing w:after="120" w:line="276" w:lineRule="auto"/>
      </w:pPr>
      <w:r>
        <w:t>**Conclusion technique** : Les indicateurs sont **divergents** : les moyennes mobiles et le MACD sont baissiers, le RSI et les Bollinger sont neutres, tandis que le stochastique signale une survente propice à un rebond. Cette configuration suggère une phase de consolidation avec un potentiel de rebond à court terme, mais la prudence reste de mise tant que le cours n'aura pas reconquis la MM20 (2 165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BNBC affiche un chiffre d'affaires de 42,454 Mds FCFA, en recul de -6,31% par rapport à 2024 (45,312 Mds FCFA), confirmant une contraction de l'activité commerciale. Le résultat net s'établit à 22,318 M FCFA (contre 7,313 M en 2024), soit une amélioration en valeur absolue mais une marge nette quasi nulle de 0,0526%. Le ROE est de 0,1256% et le ROA de 0,0454% — des niveaux extrêmement faibles qui traduisent une rentabilité anémique. En tant qu'entreprise non bancaire, les délais d'exploitation sont préoccupants : délai clients de 104,40 jours (risque de trésorerie élevé), durée de stockage de 339,23 jours (immobilisation massive de capital) et BFR de 29,373 Mds FCFA. La trésorerie nette est fortement négative (-16,689 Mds FCFA), et le flux opérationnel est négatif (-786,11 M FCFA), signe que l'entreprise finance ses clients plutôt que l'inverse. Le ratio d'endettement de 105,48% et la capacité de remboursement de 19,17 années (dettes financières/CAF) constituent des signaux d'alerte majeurs. Les rapports trimestriels confirment cette fragilité : le T1 2026 (publié le 31/12/2026) affiche un CA stable à 11,194 Mds FCFA (-0,12%) mais un résultat net négatif de -65,566 M FCFA, contre +16,147 M au T1 2025, en raison de l'intégration de la division Équipement. Le rapport du T3 2025 (30/09/2025) faisait déjà état d'une perte nette de -157,03 M FCFA sur 9 mois, avec un objectif d'équilibre annuel jugé "très ambitieux". On estime que l'exercice 2026 pourrait rester déficitaire si la montée en puissance des nouvelles divisions (Équipement, Power) ne compense pas les charges. La solidité des capitaux propres (17,77 Mds FCFA) et l'autonomie financière de 36,16% constituent les seuls points d'appui, mais la rentabilité structurellement faible et la trésorerie négative pèsent lourdement sur le profil fondamental.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présente un paradoxe : un PER de 593,6x et un EV/EBITDA de 24,2x traduisent une surévaluation manifeste au regard des bénéfices, mais le P/B de 0,75x suggère une décote sur la valeur comptable — un signal contradictoire qui reflète la faiblesse des résultats plus que la solidité du bilan. Le comportement du cours est haussier sur 100 jours (+25,00%) mais la volatilité élevée (54,0%) et le skewness négatif (-0,367) indiquent une asymétrie défavorable, avec un risque de correction. Les signaux techniques sont divergents : le MACD est baissier, les moyennes mobiles sont sous le cours, mais le stochastique en survente extrême (%K=0,0) suggère un rebond imminent. Les fondamentaux restent préoccupants : CA en baisse (-6,31% en 2025), marge nette quasi nulle (0,05%), trésorerie négative (-16,69 Mds FCFA) et perte au T1 2026 (-65,6 M FCFA), même si les rapports évoquent des perspectives de redressement via les nouvelles divisions. Les prédictions IA anticipent une trajectoire baissière sur 10 jours (de 1 997 à 1 965 FCFA, soit -1,6%), ce qui contredit le rebond technique attendu par le stochastique et confirme la pression baissière du MACD. **Recommandation finale : CONSERVER (avec surveillance renforcée)**. La convergence entre la surévaluation (PER), la pression technique baissière (MACD, prédictions IA) et la fragilité fondamentale (trésorerie négative, perte T1 2026) plaide pour la prudence, mais la décote sur la valeur comptable (P/B &lt; 1) et le potentiel de rebond technique (stochastique) justifient de ne pas vendre en catastrophe. Le niveau de confiance est **Moyen**, le risque global **Élevé**, et l'horizon optimal **moyen terme (3-12 mois)** — le temps de vérifier si les divisions Équipement et Power tiennent leurs promesses de redressement. Une confirmation de la réduction des pertes au T2 2026 serait un signal d'achat ; à l'inverse, une aggravation de la trésorerie négative justifierait une vente.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399.53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5,464 titres</w:t>
            </w:r>
          </w:p>
        </w:tc>
        <w:tc>
          <w:tcPr>
            <w:tcW w:type="dxa" w:w="2268"/>
            <w:shd w:fill="FFF2CC" w:val="clear"/>
          </w:tcPr>
          <w:p>
            <w:r>
              <w:rPr>
                <w:b/>
                <w:color w:val="503200"/>
                <w:sz w:val="16"/>
              </w:rPr>
              <w:t xml:space="preserve">Cours actuel : </w:t>
            </w:r>
            <w:r>
              <w:rPr>
                <w:color w:val="000000"/>
                <w:sz w:val="17"/>
              </w:rPr>
              <w:t>9,850 FCFA</w:t>
            </w:r>
          </w:p>
          <w:p>
            <w:r>
              <w:rPr>
                <w:b/>
                <w:color w:val="503200"/>
                <w:sz w:val="16"/>
              </w:rPr>
              <w:t xml:space="preserve">Var. 100 jours : </w:t>
            </w:r>
            <w:r>
              <w:rPr>
                <w:b/>
                <w:color w:val="007800"/>
                <w:sz w:val="17"/>
              </w:rPr>
              <w:t>+19.98%</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8,210 FCFA</w:t>
            </w:r>
          </w:p>
          <w:p>
            <w:r>
              <w:rPr>
                <w:b/>
                <w:color w:val="503200"/>
                <w:sz w:val="16"/>
              </w:rPr>
              <w:t xml:space="preserve">Volatilité ann. : </w:t>
            </w:r>
            <w:r>
              <w:rPr>
                <w:color w:val="000000"/>
                <w:sz w:val="17"/>
              </w:rPr>
              <w:t>26.4%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6.17% (Moyenne) — μ=9,144 FCFA, σ=564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β=-0.0654 (Contre-cyclique) — Cov=-0.000002, Var(idx)=0.000036, ρ=-0.024,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5,464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σ_j=1.66%/j (Stable) — Vol. annualisée≈26.4%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9,506</w:t>
            </w:r>
          </w:p>
        </w:tc>
        <w:tc>
          <w:tcPr>
            <w:tcW w:type="dxa" w:w="1440"/>
            <w:shd w:fill="FAFAFA" w:val="clear"/>
          </w:tcPr>
          <w:p>
            <w:r>
              <w:rPr>
                <w:b/>
                <w:sz w:val="17"/>
              </w:rPr>
              <w:t>9,864</w:t>
            </w:r>
          </w:p>
        </w:tc>
        <w:tc>
          <w:tcPr>
            <w:tcW w:type="dxa" w:w="1440"/>
            <w:shd w:fill="FAFAFA" w:val="clear"/>
          </w:tcPr>
          <w:p>
            <w:r>
              <w:rPr>
                <w:sz w:val="17"/>
              </w:rPr>
              <w:t>10,223</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9,319</w:t>
            </w:r>
          </w:p>
        </w:tc>
        <w:tc>
          <w:tcPr>
            <w:tcW w:type="dxa" w:w="1440"/>
            <w:shd w:fill="FAFAFA" w:val="clear"/>
          </w:tcPr>
          <w:p>
            <w:r>
              <w:rPr>
                <w:b/>
                <w:sz w:val="17"/>
              </w:rPr>
              <w:t>9,824</w:t>
            </w:r>
          </w:p>
        </w:tc>
        <w:tc>
          <w:tcPr>
            <w:tcW w:type="dxa" w:w="1440"/>
            <w:shd w:fill="FAFAFA" w:val="clear"/>
          </w:tcPr>
          <w:p>
            <w:r>
              <w:rPr>
                <w:sz w:val="17"/>
              </w:rPr>
              <w:t>10,330</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9,177</w:t>
            </w:r>
          </w:p>
        </w:tc>
        <w:tc>
          <w:tcPr>
            <w:tcW w:type="dxa" w:w="1440"/>
            <w:shd w:fill="FAFAFA" w:val="clear"/>
          </w:tcPr>
          <w:p>
            <w:r>
              <w:rPr>
                <w:b/>
                <w:sz w:val="17"/>
              </w:rPr>
              <w:t>9,795</w:t>
            </w:r>
          </w:p>
        </w:tc>
        <w:tc>
          <w:tcPr>
            <w:tcW w:type="dxa" w:w="1440"/>
            <w:shd w:fill="FAFAFA" w:val="clear"/>
          </w:tcPr>
          <w:p>
            <w:r>
              <w:rPr>
                <w:sz w:val="17"/>
              </w:rPr>
              <w:t>10,412</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9,052</w:t>
            </w:r>
          </w:p>
        </w:tc>
        <w:tc>
          <w:tcPr>
            <w:tcW w:type="dxa" w:w="1440"/>
            <w:shd w:fill="FAFAFA" w:val="clear"/>
          </w:tcPr>
          <w:p>
            <w:r>
              <w:rPr>
                <w:b/>
                <w:sz w:val="17"/>
              </w:rPr>
              <w:t>9,763</w:t>
            </w:r>
          </w:p>
        </w:tc>
        <w:tc>
          <w:tcPr>
            <w:tcW w:type="dxa" w:w="1440"/>
            <w:shd w:fill="FAFAFA" w:val="clear"/>
          </w:tcPr>
          <w:p>
            <w:r>
              <w:rPr>
                <w:sz w:val="17"/>
              </w:rPr>
              <w:t>10,473</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8,939</w:t>
            </w:r>
          </w:p>
        </w:tc>
        <w:tc>
          <w:tcPr>
            <w:tcW w:type="dxa" w:w="1440"/>
            <w:shd w:fill="FAFAFA" w:val="clear"/>
          </w:tcPr>
          <w:p>
            <w:r>
              <w:rPr>
                <w:b/>
                <w:sz w:val="17"/>
              </w:rPr>
              <w:t>9,731</w:t>
            </w:r>
          </w:p>
        </w:tc>
        <w:tc>
          <w:tcPr>
            <w:tcW w:type="dxa" w:w="1440"/>
            <w:shd w:fill="FAFAFA" w:val="clear"/>
          </w:tcPr>
          <w:p>
            <w:r>
              <w:rPr>
                <w:sz w:val="17"/>
              </w:rPr>
              <w:t>10,522</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8,836</w:t>
            </w:r>
          </w:p>
        </w:tc>
        <w:tc>
          <w:tcPr>
            <w:tcW w:type="dxa" w:w="1440"/>
            <w:shd w:fill="FAFAFA" w:val="clear"/>
          </w:tcPr>
          <w:p>
            <w:r>
              <w:rPr>
                <w:b/>
                <w:sz w:val="17"/>
              </w:rPr>
              <w:t>9,700</w:t>
            </w:r>
          </w:p>
        </w:tc>
        <w:tc>
          <w:tcPr>
            <w:tcW w:type="dxa" w:w="1440"/>
            <w:shd w:fill="FAFAFA" w:val="clear"/>
          </w:tcPr>
          <w:p>
            <w:r>
              <w:rPr>
                <w:sz w:val="17"/>
              </w:rPr>
              <w:t>10,565</w:t>
            </w:r>
          </w:p>
        </w:tc>
        <w:tc>
          <w:tcPr>
            <w:tcW w:type="dxa" w:w="1440"/>
            <w:shd w:fill="FAFAFA" w:val="clear"/>
          </w:tcPr>
          <w:p>
            <w:r>
              <w:rPr>
                <w:b/>
                <w:color w:val="C00000"/>
                <w:sz w:val="17"/>
              </w:rPr>
              <w:t>-1.5%</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8,740</w:t>
            </w:r>
          </w:p>
        </w:tc>
        <w:tc>
          <w:tcPr>
            <w:tcW w:type="dxa" w:w="1440"/>
            <w:shd w:fill="FAFAFA" w:val="clear"/>
          </w:tcPr>
          <w:p>
            <w:r>
              <w:rPr>
                <w:b/>
                <w:sz w:val="17"/>
              </w:rPr>
              <w:t>9,671</w:t>
            </w:r>
          </w:p>
        </w:tc>
        <w:tc>
          <w:tcPr>
            <w:tcW w:type="dxa" w:w="1440"/>
            <w:shd w:fill="FAFAFA" w:val="clear"/>
          </w:tcPr>
          <w:p>
            <w:r>
              <w:rPr>
                <w:sz w:val="17"/>
              </w:rPr>
              <w:t>10,602</w:t>
            </w:r>
          </w:p>
        </w:tc>
        <w:tc>
          <w:tcPr>
            <w:tcW w:type="dxa" w:w="1440"/>
            <w:shd w:fill="FAFAFA" w:val="clear"/>
          </w:tcPr>
          <w:p>
            <w:r>
              <w:rPr>
                <w:b/>
                <w:color w:val="C00000"/>
                <w:sz w:val="17"/>
              </w:rPr>
              <w:t>-1.8%</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8,651</w:t>
            </w:r>
          </w:p>
        </w:tc>
        <w:tc>
          <w:tcPr>
            <w:tcW w:type="dxa" w:w="1440"/>
            <w:shd w:fill="FFDCE0" w:val="clear"/>
          </w:tcPr>
          <w:p>
            <w:r>
              <w:rPr>
                <w:b/>
                <w:sz w:val="17"/>
              </w:rPr>
              <w:t>9,643</w:t>
            </w:r>
          </w:p>
        </w:tc>
        <w:tc>
          <w:tcPr>
            <w:tcW w:type="dxa" w:w="1440"/>
            <w:shd w:fill="FFDCE0" w:val="clear"/>
          </w:tcPr>
          <w:p>
            <w:r>
              <w:rPr>
                <w:sz w:val="17"/>
              </w:rPr>
              <w:t>10,636</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8,567</w:t>
            </w:r>
          </w:p>
        </w:tc>
        <w:tc>
          <w:tcPr>
            <w:tcW w:type="dxa" w:w="1440"/>
            <w:shd w:fill="FFDCE0" w:val="clear"/>
          </w:tcPr>
          <w:p>
            <w:r>
              <w:rPr>
                <w:b/>
                <w:sz w:val="17"/>
              </w:rPr>
              <w:t>9,617</w:t>
            </w:r>
          </w:p>
        </w:tc>
        <w:tc>
          <w:tcPr>
            <w:tcW w:type="dxa" w:w="1440"/>
            <w:shd w:fill="FFDCE0" w:val="clear"/>
          </w:tcPr>
          <w:p>
            <w:r>
              <w:rPr>
                <w:sz w:val="17"/>
              </w:rPr>
              <w:t>10,666</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8,488</w:t>
            </w:r>
          </w:p>
        </w:tc>
        <w:tc>
          <w:tcPr>
            <w:tcW w:type="dxa" w:w="1440"/>
            <w:shd w:fill="FFDCE0" w:val="clear"/>
          </w:tcPr>
          <w:p>
            <w:r>
              <w:rPr>
                <w:b/>
                <w:sz w:val="17"/>
              </w:rPr>
              <w:t>9,592</w:t>
            </w:r>
          </w:p>
        </w:tc>
        <w:tc>
          <w:tcPr>
            <w:tcW w:type="dxa" w:w="1440"/>
            <w:shd w:fill="FFDCE0" w:val="clear"/>
          </w:tcPr>
          <w:p>
            <w:r>
              <w:rPr>
                <w:sz w:val="17"/>
              </w:rPr>
              <w:t>10,695</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399,53 milliards FCFA, BOAB s'impose comme l'une des valeurs bancaires de premier plan de la cote BRVM, ce qui traduit une forte attractivité institutionnelle. Le BPA de 496 FCFA/action signifie que chaque titre génère près de 500 FCFA de bénéfice net, un niveau appréciable pour le marché régional. Le PER de 19,9x est toutefois nettement supérieur à la moyenne BRVM (~8-12x), indiquant que les investisseurs paient une prime de qualité et de croissance pour ce titre, ce qui réduit la marge de sécurité en cas de déception sur les résultats. Le P/B de 3,40x confirme cette prime, le marché valorisant la banque à plus de trois fois ses fonds propres comptables (117,5 Mds FCFA), ce qui se justifie par un ROE supérieur à 17%. En revanche, l'EV/EBITDA de 20,3x apparaît très exigeant (&gt;15x), signalant que la valeur d'entreprise intègre déjà une bonne partie du potentiel opérationnel ; la valorisation est donc raisonnable mais non bon marché, avec un risque de correction si la croissance ralentit.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BOAB affiche une progression totale de +19,98%, bien que la dernière séance (J-1) se solde par un repli de -2,48%, marquant une prise de bénéfices après un rallye soutenu. Le cours actuel de 9 850 FCFA évolue dans un range de 8 210 FCFA (plus bas) à 10 350 FCFA (plus haut), soit une amplitude de plus de 26%, ce qui témoigne d'une tendance générale haussière mais avec des phases de consolidation. Les statistiques descriptives révèlent une moyenne de 9 144 FCFA supérieure à la médiane de 8 912 FCFA, avec un mode à 8 700 FCFA : cet écart confirme une distribution asymétrique positivement (skewness de +0,953), signifiant que le cours a passé plus de journées sous sa moyenne mais a connu des poussées haussières marquées. L'écart-type de 567 FCFA (CV de 6,2%) indique une dispersion modérée du cours, tandis que le kurtosis de -0,431 (mésokurtique) suggère une distribution proche de la normale, donc un risque de pics extrêmes limité. La volatilité annualisée de 26,4% positionne le titre dans la catégorie des valeurs à volatilité modérée (15-30%), compatible avec un profil d'investisseur équilibré.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(10 156,75 FCFA) est supérieure à la MM50 (9 317,60 FCFA), et le cours actuel (9 850 FCFA) se situe entre ces deux références, sous la MM20 mais au-dessus de la MM50. Cette configuration traduit une dynamique haussière de fond (MM20 &gt; MM50) tout en signalant une correction de court terme ; la décision technique reste « Achat » car le cours demeure soutenu par la MM50.</w:t>
      </w:r>
    </w:p>
    <w:p>
      <w:pPr>
        <w:spacing w:after="120" w:line="276" w:lineRule="auto"/>
      </w:pPr>
      <w:r>
        <w:t>**Bandes de Bollinger** : La borne supérieure est à 10 437,28 FCFA et la borne inférieure à 9 876,22 FCFA, avec un cours actuel de 9 850 FCFA légèrement sous la borne basse. Cette position sous la bande inférieure indique une pression vendeuse de court terme et un possible surcroît de volatilité, mais historiquement, un retour vers la moyenne est fréquent ; la décision « Achat » suggère une opportunité de rebond.</w:t>
      </w:r>
    </w:p>
    <w:p>
      <w:pPr>
        <w:spacing w:after="120" w:line="276" w:lineRule="auto"/>
      </w:pPr>
      <w:r>
        <w:t>**MACD** : Le MACD (200,99) est inférieur à son signal (280,58), générant une décision « Vente ». Cette divergence négative indique un essoufflement du momentum haussier et un risque de poursuite de la correction à court terme, bien que le MACD reste en territoire positif, ce qui limite la portée baissière.</w:t>
      </w:r>
    </w:p>
    <w:p>
      <w:pPr>
        <w:spacing w:after="120" w:line="276" w:lineRule="auto"/>
      </w:pPr>
      <w:r>
        <w:t>**RSI** : À 34,41, le RSI se situe dans la zone neutre basse (30-70), proche du seuil de survente (30). La décision est « Neutre », ce qui signifie que le titre n'est ni suracheté ni survendu, mais la proximité des 30 laisse entrevoir un potentiel de rebond technique si la pression vendeuse s'atténue.</w:t>
      </w:r>
    </w:p>
    <w:p>
      <w:pPr>
        <w:spacing w:after="120" w:line="276" w:lineRule="auto"/>
      </w:pPr>
      <w:r>
        <w:t>**Stochastique** : Le %K est à 0,0 et le %D à 9,52, avec une décision « Achat ». Ce positionnement en zone de survente extrême (%K proche de 0) signale que le cours a fortement baissé à court terme et qu'un retournement haussier est probable, le croisement du %K au-dessus du %D n'étant pas encore confirmé mais anticipé.</w:t>
      </w:r>
    </w:p>
    <w:p>
      <w:pPr>
        <w:spacing w:after="120" w:line="276" w:lineRule="auto"/>
      </w:pPr>
      <w:r>
        <w:t>**Conclusion technique** : Les indicateurs sont mitigés mais penchent globalement vers un rebond : les moyennes mobiles restent haussières, le stochastique est en survente extrême et le RSI proche de 30, tandis que le MACD et les bandes de Bollinger signalent une pression baissière de court terme. La convergence des signaux de survente (Stochastique, RSI, position sous la borne basse de Bollinger) suggère une fenêtre d'achat tactique, mais la prudence reste de mise tant que le MACD ne s'inverse pas.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BOAB affiche un Produit Net Bancaire (PNB) de 51,274 Mds FCFA, en croissance de 10,20% sur un an, confirmant la dynamique commerciale de la banque. Le résultat net s'établit à 20,107 Mds FCFA, avec une marge nette élevée de 39,22%, un ROE de 17,11% (supérieur au seuil d'excellence de 15%) et un ROA de 2,08%, traduisant une bonne rentabilité des actifs. Le coefficient d'exploitation de 49,53% est inférieur au seuil de 60%, ce qui atteste d'une efficacité opérationnelle remarquable (proche du seuil d'excellence de 50%). Le coût du risque, à 22,50% des charges financières, reste élevé et constitue un point de vigilance sur la qualité du portefeuille de crédits. La structure financière montre une autonomie financière de 12,18% (faible mais typique des banques), un ratio d'endettement de 98,77% et une solvabilité générale de 113,87% (&gt;1, donc solvable). Le ratio dépôts/créances s'élève à 711,642 Mds FCFA de dépôts clientèle pour 391,724 Mds FCFA de créances, soit un excédent de liquidité de 319,9 Mds FCFA, signe d'une collecte robuste et d'une transformation maîtrisée.</w:t>
      </w:r>
    </w:p>
    <w:p>
      <w:pPr>
        <w:spacing w:after="120" w:line="276" w:lineRule="auto"/>
      </w:pPr>
      <w:r>
        <w:t>**Estimations basées sur les rapports trimestriels** : Le rapport du T1 2026 (publié en 2026) indique un PNB de 12,329 Mds FCFA (+11% en glissement annuel), un résultat net de 4,502 Mds FCFA (+1%) et des dépôts clientèle de 753,7 Mds FCFA (+3,5%). Le rapport du T3 2025 (30/09/2025) faisait état d'un PNB trimestriel de 37,065 Mds FCFA (+9%) et d'un résultat net de 15,880 Mds FCFA (+13%), avec une contraction des crédits (-10%) et des dépôts (-5%) sur un an. Le rapport du S1 2025 (30/06/2025) mentionnait un PNB de 24,556 Mds FCFA (+5,91%) et un résultat net de 11,012 Mds FCFA (+0,75%), avec un ROE de 20,3% et un coefficient d'exploitation de 46,1%. Sur la base de ces tendances, on estime que l'exercice 2026 devrait enregistrer une poursuite de la croissance du PNB (autour de +10%) et une stabilisation du résultat net, la pression sur les coûts et le coût du risque restant les principaux défis. La banque privilégie la qualité et la rentabilité à la croissance volumique, ce qui est stratégiquement cohérent mais limite le potentiel de surprise positive à court terme.</w:t>
      </w:r>
    </w:p>
    <w:p>
      <w:pPr>
        <w:spacing w:after="120" w:line="276" w:lineRule="auto"/>
      </w:pPr>
      <w:r>
        <w:t>**Recommandation fondamentale** : BOAB présente des fondamentaux solides (ROE &gt;17%, coefficient d'exploitation &lt;50%, marge nette ~39%), une structure financière saine et une dynamique commerciale positive. Les risques principaux résident dans le coût du risque élevé, la contraction des crédits et la valorisation exigeante (PER ~20x). La recommandation fondamentale est de **conserver** le titre, avec un biais positif pour les investisseurs de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 (PER 19,9x, P/B 3,40x, EV/EBITDA 20,3x) indique que le marché intègre déjà une prime de qualité, ce qui limite le potentiel de réévaluation à court terme mais se justifie par un ROE de 17,11% et une marge nette de 39,22%. Le comportement du cours sur 100 jours (+19,98%) est haussier, avec une volatilité modérée (26,4%) et une distribution asymétrique positivement (skewness +0,953) qui suggère des poussées haussières épisodiques ; le kurtosis proche de la normale (-0,431) écarte le risque de pics extrêmes. Les signaux techniques sont mitigés : les moyennes mobiles et le stochastique plaident pour un rebond, tandis que le MACD et les bandes de Bollinger signalent une pression baissière de court terme, créant une divergence qui appelle à la prudence. Les fondamentaux (PNB 2025 de 51,274 Mds FCFA, résultat net de 20,107 Mds FCFA, ROE de 17,11%) sont solides, et les rapports trimestriels (T1 2026 : PNB +11%, résultat net +1%) confirment une croissance modérée mais réelle, avec une base de dépôts en progression. Les prédictions IA pour les 10 prochains jours (9 864 → 9 731 FCFA) anticipent une légère correction baissière (-1,2% sur la période), ce qui contredit les signaux de survente technique mais s'aligne sur la pression baissière du MACD. **Recommandation finale : CONSERVER**, avec un niveau de confiance **Moyen** et un risque global **Moyen**. L'horizon optimal est le **moyen terme (3-12 mois)**, le temps que la correction technique s'achève et que les fondamentaux solides se traduisent à nouveau dans le cours. Un investisseur déjà positionné peut conserver, tandis qu'un nouvel entrant attendra un retour vers la MM50 (9 317 FCFA) ou une confirmation du rebond technique pour se positionner.</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343.20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6,564 titres</w:t>
            </w:r>
          </w:p>
        </w:tc>
        <w:tc>
          <w:tcPr>
            <w:tcW w:type="dxa" w:w="2268"/>
            <w:shd w:fill="FFF2CC" w:val="clear"/>
          </w:tcPr>
          <w:p>
            <w:r>
              <w:rPr>
                <w:b/>
                <w:color w:val="503200"/>
                <w:sz w:val="16"/>
              </w:rPr>
              <w:t xml:space="preserve">Cours actuel : </w:t>
            </w:r>
            <w:r>
              <w:rPr>
                <w:color w:val="000000"/>
                <w:sz w:val="17"/>
              </w:rPr>
              <w:t>7,800 FCFA</w:t>
            </w:r>
          </w:p>
          <w:p>
            <w:r>
              <w:rPr>
                <w:b/>
                <w:color w:val="503200"/>
                <w:sz w:val="16"/>
              </w:rPr>
              <w:t xml:space="preserve">Var. 100 jours : </w:t>
            </w:r>
            <w:r>
              <w:rPr>
                <w:b/>
                <w:color w:val="007800"/>
                <w:sz w:val="17"/>
              </w:rPr>
              <w:t>+44.44%</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18.69% (Élevée) — μ=6,618 FCFA, σ=1,237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β=0.4883 (Défensif) — Cov=0.000018, Var(idx)=0.000036, ρ=0.142,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6,564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σ_j=2.08%/j (Stable) — Vol. annualisée≈33.0%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2026-09-21</w:t>
            </w:r>
          </w:p>
        </w:tc>
        <w:tc>
          <w:tcPr>
            <w:tcW w:type="dxa" w:w="1440"/>
            <w:shd w:fill="C6EFCE" w:val="clear"/>
          </w:tcPr>
          <w:p>
            <w:r>
              <w:rPr>
                <w:sz w:val="17"/>
              </w:rPr>
              <w:t>7,624</w:t>
            </w:r>
          </w:p>
        </w:tc>
        <w:tc>
          <w:tcPr>
            <w:tcW w:type="dxa" w:w="1440"/>
            <w:shd w:fill="C6EFCE" w:val="clear"/>
          </w:tcPr>
          <w:p>
            <w:r>
              <w:rPr>
                <w:b/>
                <w:sz w:val="17"/>
              </w:rPr>
              <w:t>7,963</w:t>
            </w:r>
          </w:p>
        </w:tc>
        <w:tc>
          <w:tcPr>
            <w:tcW w:type="dxa" w:w="1440"/>
            <w:shd w:fill="C6EFCE" w:val="clear"/>
          </w:tcPr>
          <w:p>
            <w:r>
              <w:rPr>
                <w:sz w:val="17"/>
              </w:rPr>
              <w:t>8,302</w:t>
            </w:r>
          </w:p>
        </w:tc>
        <w:tc>
          <w:tcPr>
            <w:tcW w:type="dxa" w:w="1440"/>
            <w:shd w:fill="C6EFCE" w:val="clear"/>
          </w:tcPr>
          <w:p>
            <w:r>
              <w:rPr>
                <w:b/>
                <w:color w:val="008000"/>
                <w:sz w:val="17"/>
              </w:rPr>
              <w:t>+2.1%</w:t>
            </w:r>
          </w:p>
        </w:tc>
      </w:tr>
      <w:tr>
        <w:tc>
          <w:tcPr>
            <w:tcW w:type="dxa" w:w="1440"/>
            <w:shd w:fill="C6EFCE" w:val="clear"/>
          </w:tcPr>
          <w:p>
            <w:r>
              <w:rPr>
                <w:sz w:val="17"/>
              </w:rPr>
              <w:t>J+2  Moyenne</w:t>
            </w:r>
          </w:p>
        </w:tc>
        <w:tc>
          <w:tcPr>
            <w:tcW w:type="dxa" w:w="1440"/>
            <w:shd w:fill="C6EFCE" w:val="clear"/>
          </w:tcPr>
          <w:p>
            <w:r>
              <w:rPr>
                <w:sz w:val="17"/>
              </w:rPr>
              <w:t>2026-09-22</w:t>
            </w:r>
          </w:p>
        </w:tc>
        <w:tc>
          <w:tcPr>
            <w:tcW w:type="dxa" w:w="1440"/>
            <w:shd w:fill="C6EFCE" w:val="clear"/>
          </w:tcPr>
          <w:p>
            <w:r>
              <w:rPr>
                <w:sz w:val="17"/>
              </w:rPr>
              <w:t>7,569</w:t>
            </w:r>
          </w:p>
        </w:tc>
        <w:tc>
          <w:tcPr>
            <w:tcW w:type="dxa" w:w="1440"/>
            <w:shd w:fill="C6EFCE" w:val="clear"/>
          </w:tcPr>
          <w:p>
            <w:r>
              <w:rPr>
                <w:b/>
                <w:sz w:val="17"/>
              </w:rPr>
              <w:t>8,054</w:t>
            </w:r>
          </w:p>
        </w:tc>
        <w:tc>
          <w:tcPr>
            <w:tcW w:type="dxa" w:w="1440"/>
            <w:shd w:fill="C6EFCE" w:val="clear"/>
          </w:tcPr>
          <w:p>
            <w:r>
              <w:rPr>
                <w:sz w:val="17"/>
              </w:rPr>
              <w:t>8,539</w:t>
            </w:r>
          </w:p>
        </w:tc>
        <w:tc>
          <w:tcPr>
            <w:tcW w:type="dxa" w:w="1440"/>
            <w:shd w:fill="C6EFCE" w:val="clear"/>
          </w:tcPr>
          <w:p>
            <w:r>
              <w:rPr>
                <w:b/>
                <w:color w:val="008000"/>
                <w:sz w:val="17"/>
              </w:rPr>
              <w:t>+3.3%</w:t>
            </w:r>
          </w:p>
        </w:tc>
      </w:tr>
      <w:tr>
        <w:tc>
          <w:tcPr>
            <w:tcW w:type="dxa" w:w="1440"/>
            <w:shd w:fill="C6EFCE" w:val="clear"/>
          </w:tcPr>
          <w:p>
            <w:r>
              <w:rPr>
                <w:sz w:val="17"/>
              </w:rPr>
              <w:t>J+3  Moyenne</w:t>
            </w:r>
          </w:p>
        </w:tc>
        <w:tc>
          <w:tcPr>
            <w:tcW w:type="dxa" w:w="1440"/>
            <w:shd w:fill="C6EFCE" w:val="clear"/>
          </w:tcPr>
          <w:p>
            <w:r>
              <w:rPr>
                <w:sz w:val="17"/>
              </w:rPr>
              <w:t>2026-09-23</w:t>
            </w:r>
          </w:p>
        </w:tc>
        <w:tc>
          <w:tcPr>
            <w:tcW w:type="dxa" w:w="1440"/>
            <w:shd w:fill="C6EFCE" w:val="clear"/>
          </w:tcPr>
          <w:p>
            <w:r>
              <w:rPr>
                <w:sz w:val="17"/>
              </w:rPr>
              <w:t>7,518</w:t>
            </w:r>
          </w:p>
        </w:tc>
        <w:tc>
          <w:tcPr>
            <w:tcW w:type="dxa" w:w="1440"/>
            <w:shd w:fill="C6EFCE" w:val="clear"/>
          </w:tcPr>
          <w:p>
            <w:r>
              <w:rPr>
                <w:b/>
                <w:sz w:val="17"/>
              </w:rPr>
              <w:t>8,117</w:t>
            </w:r>
          </w:p>
        </w:tc>
        <w:tc>
          <w:tcPr>
            <w:tcW w:type="dxa" w:w="1440"/>
            <w:shd w:fill="C6EFCE" w:val="clear"/>
          </w:tcPr>
          <w:p>
            <w:r>
              <w:rPr>
                <w:sz w:val="17"/>
              </w:rPr>
              <w:t>8,715</w:t>
            </w:r>
          </w:p>
        </w:tc>
        <w:tc>
          <w:tcPr>
            <w:tcW w:type="dxa" w:w="1440"/>
            <w:shd w:fill="C6EFCE" w:val="clear"/>
          </w:tcPr>
          <w:p>
            <w:r>
              <w:rPr>
                <w:b/>
                <w:color w:val="008000"/>
                <w:sz w:val="17"/>
              </w:rPr>
              <w:t>+4.1%</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7,454</w:t>
            </w:r>
          </w:p>
        </w:tc>
        <w:tc>
          <w:tcPr>
            <w:tcW w:type="dxa" w:w="1440"/>
            <w:shd w:fill="C6EFCE" w:val="clear"/>
          </w:tcPr>
          <w:p>
            <w:r>
              <w:rPr>
                <w:b/>
                <w:sz w:val="17"/>
              </w:rPr>
              <w:t>8,148</w:t>
            </w:r>
          </w:p>
        </w:tc>
        <w:tc>
          <w:tcPr>
            <w:tcW w:type="dxa" w:w="1440"/>
            <w:shd w:fill="C6EFCE" w:val="clear"/>
          </w:tcPr>
          <w:p>
            <w:r>
              <w:rPr>
                <w:sz w:val="17"/>
              </w:rPr>
              <w:t>8,842</w:t>
            </w:r>
          </w:p>
        </w:tc>
        <w:tc>
          <w:tcPr>
            <w:tcW w:type="dxa" w:w="1440"/>
            <w:shd w:fill="C6EFCE" w:val="clear"/>
          </w:tcPr>
          <w:p>
            <w:r>
              <w:rPr>
                <w:b/>
                <w:color w:val="008000"/>
                <w:sz w:val="17"/>
              </w:rPr>
              <w:t>+4.5%</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7,386</w:t>
            </w:r>
          </w:p>
        </w:tc>
        <w:tc>
          <w:tcPr>
            <w:tcW w:type="dxa" w:w="1440"/>
            <w:shd w:fill="C6EFCE" w:val="clear"/>
          </w:tcPr>
          <w:p>
            <w:r>
              <w:rPr>
                <w:b/>
                <w:sz w:val="17"/>
              </w:rPr>
              <w:t>8,163</w:t>
            </w:r>
          </w:p>
        </w:tc>
        <w:tc>
          <w:tcPr>
            <w:tcW w:type="dxa" w:w="1440"/>
            <w:shd w:fill="C6EFCE" w:val="clear"/>
          </w:tcPr>
          <w:p>
            <w:r>
              <w:rPr>
                <w:sz w:val="17"/>
              </w:rPr>
              <w:t>8,940</w:t>
            </w:r>
          </w:p>
        </w:tc>
        <w:tc>
          <w:tcPr>
            <w:tcW w:type="dxa" w:w="1440"/>
            <w:shd w:fill="C6EFCE" w:val="clear"/>
          </w:tcPr>
          <w:p>
            <w:r>
              <w:rPr>
                <w:b/>
                <w:color w:val="008000"/>
                <w:sz w:val="17"/>
              </w:rPr>
              <w:t>+4.7%</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7,319</w:t>
            </w:r>
          </w:p>
        </w:tc>
        <w:tc>
          <w:tcPr>
            <w:tcW w:type="dxa" w:w="1440"/>
            <w:shd w:fill="C6EFCE" w:val="clear"/>
          </w:tcPr>
          <w:p>
            <w:r>
              <w:rPr>
                <w:b/>
                <w:sz w:val="17"/>
              </w:rPr>
              <w:t>8,171</w:t>
            </w:r>
          </w:p>
        </w:tc>
        <w:tc>
          <w:tcPr>
            <w:tcW w:type="dxa" w:w="1440"/>
            <w:shd w:fill="C6EFCE" w:val="clear"/>
          </w:tcPr>
          <w:p>
            <w:r>
              <w:rPr>
                <w:sz w:val="17"/>
              </w:rPr>
              <w:t>9,023</w:t>
            </w:r>
          </w:p>
        </w:tc>
        <w:tc>
          <w:tcPr>
            <w:tcW w:type="dxa" w:w="1440"/>
            <w:shd w:fill="C6EFCE" w:val="clear"/>
          </w:tcPr>
          <w:p>
            <w:r>
              <w:rPr>
                <w:b/>
                <w:color w:val="008000"/>
                <w:sz w:val="17"/>
              </w:rPr>
              <w:t>+4.8%</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7,255</w:t>
            </w:r>
          </w:p>
        </w:tc>
        <w:tc>
          <w:tcPr>
            <w:tcW w:type="dxa" w:w="1440"/>
            <w:shd w:fill="C6EFCE" w:val="clear"/>
          </w:tcPr>
          <w:p>
            <w:r>
              <w:rPr>
                <w:b/>
                <w:sz w:val="17"/>
              </w:rPr>
              <w:t>8,176</w:t>
            </w:r>
          </w:p>
        </w:tc>
        <w:tc>
          <w:tcPr>
            <w:tcW w:type="dxa" w:w="1440"/>
            <w:shd w:fill="C6EFCE" w:val="clear"/>
          </w:tcPr>
          <w:p>
            <w:r>
              <w:rPr>
                <w:sz w:val="17"/>
              </w:rPr>
              <w:t>9,096</w:t>
            </w:r>
          </w:p>
        </w:tc>
        <w:tc>
          <w:tcPr>
            <w:tcW w:type="dxa" w:w="1440"/>
            <w:shd w:fill="C6EFCE" w:val="clear"/>
          </w:tcPr>
          <w:p>
            <w:r>
              <w:rPr>
                <w:b/>
                <w:color w:val="008000"/>
                <w:sz w:val="17"/>
              </w:rPr>
              <w:t>+4.8%</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7,194</w:t>
            </w:r>
          </w:p>
        </w:tc>
        <w:tc>
          <w:tcPr>
            <w:tcW w:type="dxa" w:w="1440"/>
            <w:shd w:fill="C6EFCE" w:val="clear"/>
          </w:tcPr>
          <w:p>
            <w:r>
              <w:rPr>
                <w:b/>
                <w:sz w:val="17"/>
              </w:rPr>
              <w:t>8,179</w:t>
            </w:r>
          </w:p>
        </w:tc>
        <w:tc>
          <w:tcPr>
            <w:tcW w:type="dxa" w:w="1440"/>
            <w:shd w:fill="C6EFCE" w:val="clear"/>
          </w:tcPr>
          <w:p>
            <w:r>
              <w:rPr>
                <w:sz w:val="17"/>
              </w:rPr>
              <w:t>9,164</w:t>
            </w:r>
          </w:p>
        </w:tc>
        <w:tc>
          <w:tcPr>
            <w:tcW w:type="dxa" w:w="1440"/>
            <w:shd w:fill="C6EFCE" w:val="clear"/>
          </w:tcPr>
          <w:p>
            <w:r>
              <w:rPr>
                <w:b/>
                <w:color w:val="008000"/>
                <w:sz w:val="17"/>
              </w:rPr>
              <w:t>+4.9%</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7,138</w:t>
            </w:r>
          </w:p>
        </w:tc>
        <w:tc>
          <w:tcPr>
            <w:tcW w:type="dxa" w:w="1440"/>
            <w:shd w:fill="C6EFCE" w:val="clear"/>
          </w:tcPr>
          <w:p>
            <w:r>
              <w:rPr>
                <w:b/>
                <w:sz w:val="17"/>
              </w:rPr>
              <w:t>8,183</w:t>
            </w:r>
          </w:p>
        </w:tc>
        <w:tc>
          <w:tcPr>
            <w:tcW w:type="dxa" w:w="1440"/>
            <w:shd w:fill="C6EFCE" w:val="clear"/>
          </w:tcPr>
          <w:p>
            <w:r>
              <w:rPr>
                <w:sz w:val="17"/>
              </w:rPr>
              <w:t>9,228</w:t>
            </w:r>
          </w:p>
        </w:tc>
        <w:tc>
          <w:tcPr>
            <w:tcW w:type="dxa" w:w="1440"/>
            <w:shd w:fill="C6EFCE" w:val="clear"/>
          </w:tcPr>
          <w:p>
            <w:r>
              <w:rPr>
                <w:b/>
                <w:color w:val="008000"/>
                <w:sz w:val="17"/>
              </w:rPr>
              <w:t>+4.9%</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7,084</w:t>
            </w:r>
          </w:p>
        </w:tc>
        <w:tc>
          <w:tcPr>
            <w:tcW w:type="dxa" w:w="1440"/>
            <w:shd w:fill="C6EFCE" w:val="clear"/>
          </w:tcPr>
          <w:p>
            <w:r>
              <w:rPr>
                <w:b/>
                <w:sz w:val="17"/>
              </w:rPr>
              <w:t>8,186</w:t>
            </w:r>
          </w:p>
        </w:tc>
        <w:tc>
          <w:tcPr>
            <w:tcW w:type="dxa" w:w="1440"/>
            <w:shd w:fill="C6EFCE" w:val="clear"/>
          </w:tcPr>
          <w:p>
            <w:r>
              <w:rPr>
                <w:sz w:val="17"/>
              </w:rPr>
              <w:t>9,288</w:t>
            </w:r>
          </w:p>
        </w:tc>
        <w:tc>
          <w:tcPr>
            <w:tcW w:type="dxa" w:w="1440"/>
            <w:shd w:fill="C6EFCE" w:val="clear"/>
          </w:tcPr>
          <w:p>
            <w:r>
              <w:rPr>
                <w:b/>
                <w:color w:val="008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343,20 milliards FCFA, BOABF s'impose comme l'une des valeurs bancaires de référence de la cote BRVM, un niveau qui traduit la solidité et la liquidité relative du titre au sein de l'indice. Le BPA de 438 FCFA par action signifie que chaque titre génère près de 438 FCFA de bénéfice net, un niveau confortable qui soutient la distribution de dividendes (397 FCFA/action versés en avril 2026 au titre de l'exercice 2025). Le PER de 17,8x se situe nettement au-dessus de la moyenne BRVM (8-12x), ce qui indique que les investisseurs paient une prime significative pour les bénéfices de la banque — une valorisation exigeante qui n'est justifiée que si la croissance bénéficiaire se confirme. Le P/B de 2,71x montre que le marché valorise la banque à près de trois fois sa valeur comptable, une prime de croissance accordée dans la fourchette 2-4x, cohérente avec la qualité perçue du bilan. Enfin, l'EV/EBITDA de 7,8x, dans la zone raisonnable de 5-10x, suggère que la valeur d'entreprise reste proportionnée à la capacité opérationnelle, sans excès spéculatif majeur.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BOABF affiche une progression spectaculaire de +44,44%, portant le cours à 7 800 FCFA, malgré un repli de -2,50% lors de la dernière séance qui marque une prise de bénéfices après un rallye soutenu. Le range de trading est particulièrement large, avec un plus haut à 9 090 FCFA et un plus bas à 5 300 FCFA, soit un écart de plus de 71% entre les extrêmes — signe d'une forte volatilité directionnelle. La tendance générale est clairement haussière sur la période, mais le repli récent sous les 8 000 FCFA suggère un essoufflement du momentum acheteur. Les statistiques descriptives révèlent une moyenne de 6 618 FCFA nettement supérieure à la médiane de 5 985 FCFA, confirmant une distribution asymétrique où les hausses récentes tirent la moyenne vers le haut ; le mode à 5 400 FCFA indique que le cours a longtemps stagné autour de ce niveau avant l'envolée. L'écart-type de 1 243 FCFA (CV=18,8%) traduit une dispersion modérée, tandis que le kurtosis de -0,876 (mésokurtique) suggère une distribution proche de la normale, sans pics extrêmes fréquents. Le skewness positif de 0,682 indique davantage de journées sous la moyenne, ce qui est contre-intuitif après une telle hausse et pourrait signaler que la progression s'est concentrée sur quelques séances explosives. La volatilité annualisée de 33,0% classe le titre dans la catégorie élevée (&gt;30%), ce qui implique un risque de correction significatif et appelle à la prudence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(8 639 FCFA) et la MM50 (7 675,6 FCFA) encadrent le cours actuel de 7 800 FCFA, qui se situe sous la MM20 mais au-dessus de la MM50. Cette configuration indique que la tendance de court terme s'est retournée à la baisse (cours sous MM20) tandis que la tendance de moyen terme reste haussière (cours au-dessus de MM50). La décision "Achat" suggérée par le système repose sur le croisement haussier MM20 &gt; MM50, mais le positionnement du cours sous la MM20 invite à la prudence.</w:t>
      </w:r>
    </w:p>
    <w:p>
      <w:pPr>
        <w:spacing w:after="120" w:line="276" w:lineRule="auto"/>
      </w:pPr>
      <w:r>
        <w:t>**Bandes de Bollinger** : Le cours (7 800 FCFA) évolue dans la partie basse de la bande, entre la borne inférieure (7 708,9 FCFA) et la borne supérieure (9 569,1 FCFA), tout en restant très proche de la borne basse. Cette position suggère que le titre est survendu à court terme et pourrait rebondir vers le milieu de bande, mais la largeur importante des bandes (écart de 1 860 FCFA) confirme une volatilité élevée. La décision "Neutre" reflète l'absence de signal directionnel clair malgré la proximité de la borne inférieure.</w:t>
      </w:r>
    </w:p>
    <w:p>
      <w:pPr>
        <w:spacing w:after="120" w:line="276" w:lineRule="auto"/>
      </w:pPr>
      <w:r>
        <w:t>**MACD** : La valeur du MACD (172,0) est nettement inférieure à son signal (361,1), générant une divergence baissière qui indique un affaiblissement du momentum haussier. Cette configuration, bien que le MACD reste positif, suggère que la dynamique acheteuse s'essouffle et qu'un retournement ou une consolidation est probable. La décision "Vente" est cohérente avec ce signal de perte de vitesse.</w:t>
      </w:r>
    </w:p>
    <w:p>
      <w:pPr>
        <w:spacing w:after="120" w:line="276" w:lineRule="auto"/>
      </w:pPr>
      <w:r>
        <w:t>**RSI** : Avec une valeur de 19,3, le RSI est en zone de survente extrême (&lt;30), ce qui est un signal d'achat technique classique indiquant que le titre a été excessivement vendu à court terme. Cependant, un RSI aussi bas après une hausse de 44% peut aussi signaler une correction brutale en cours, et la décision "Achat" doit être tempérée par la prudence tant que le RSI ne repasse pas au-dessus de 30.</w:t>
      </w:r>
    </w:p>
    <w:p>
      <w:pPr>
        <w:spacing w:after="120" w:line="276" w:lineRule="auto"/>
      </w:pPr>
      <w:r>
        <w:t>**Stochastique** : Le %K et le %D sont tous deux à 0,0, ce qui place l'indicateur en zone de survente maximale. Un tel niveau est généralement suivi d'un rebond technique, mais l'absence de croisement haussier entre %K et %D rend le signal incomplet. La décision "Achat" est justifiée par la position extrême, mais nécessite une confirmation par un croisement effectif.</w:t>
      </w:r>
    </w:p>
    <w:p>
      <w:pPr>
        <w:spacing w:after="120" w:line="276" w:lineRule="auto"/>
      </w:pPr>
      <w:r>
        <w:t>**Conclusion technique** : Les indicateurs techniques présentent un tableau contrasté : les oscillateurs (RSI, Stochastique) sont en survente extrême et suggèrent un rebond imminent, tandis que le MACD et la position du cours sous la MM20 indiquent une perte de momentum. Les Bandes de Bollinger confirment la volatilité élevée et la proximité de la borne basse. La convergence des signaux d'achat (RSI, Stochastique, MM50) et de vente (MACD, cours sous MM20) plaide pour une phase de consolidation avant une reprise éventuelle, avec un risque de correction supplémentaire si le support de 7 675 FCFA (MM50) venait à céder.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BOABF a réalisé un Produit Net Bancaire (PNB) de 57 820 millions FCFA, quasi stable par rapport à 2024 (+0,6%), tandis que le résultat net a reculé de -14,1% à 19 252 millions FCFA, principalement en raison d'un coût du risque qui a quasiment doublé (8 355 millions FCFA contre 4 303 millions en 2024). Le ROE de 15,22% reste excellent (&gt;15%), témoignant d'une rentabilité des fonds propres solide malgré la pression sur les résultats, et le ROA de 1,68% est correct pour le secteur bancaire. Le coefficient d'exploitation de 47,19% est inférieur au seuil de 60%, confirmant l'efficacité opérationnelle de la banque, tandis que le ratio dépôts/crédits (877 822 M FCFA de dépôts clientèle contre 474 064 M FCFA de créances clientèle) montre une surliquidité notable, avec un taux de transformation de seulement 54%. Le coût du risque rapporté aux charges financières s'élève à 33,92%, un niveau élevé qui traduit un risque de crédit significatif, mais les rapports plus récents indiquent une normalisation. En effet, selon les états financiers du 1er semestre 2026 (publiés le 30/06/2026), le résultat net a bondi de +31,0% à 10 770 millions FCFA, porté par une amélioration de -65,2% du coût du risque (-2 396 millions contre -6 876 millions un an plus tôt), bien que le PNB ait reculé de -5,2% à 27 539 millions FCFA. Le rapport du 1er trimestre 2026 (31/03/2026) confirme cette tendance avec un PNB de 12 694 millions FCFA (-10,75%) et un résultat net de 4 520 millions FCFA (-12,99%), mais des dépôts clientèle en hausse de +6,3% à 933 233 millions FCFA. Sur la base de ces rapports trimestriels, on peut estimer que l'exercice 2026 devrait bénéficier d'une normalisation du coût du risque, avec un résultat net annualisé potentiellement supérieur à 20 milliards FCFA si la tendance du S1 2026 se poursuit, mais la baisse structurelle du PNB (-5,2% au S1 2026) reste un point d'attention majeur. La solidité du bilan (total actif de 1 148,7 milliards FCFA, capitaux propres de 126,5 milliards FCFA) et la surliquidité (trésorerie nette de 227,2 milliards FCFA) constituent des atouts, mais l'autonomie financière de 11,0% est faible et la dépendance aux dépôts clientèle (88,99% du passif) expose la banque au risque de retrait. La recommandation fondamentale est de **CONSERVER**, avec une amélioration de la rentabilité à court terme mais des incertitudes sur la dynamique commerciale sous-jacente et l'environnement sécuritaire burkinabè.</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Sur le plan de la **valorisation (Partie 0)**, le PER de 17,8x et le P/B de 2,71x indiquent une surévaluation relative par rapport à la moyenne BRVM (8-12x), ce qui limite le potentiel de hausse à court terme malgré la qualité des fondamentaux. Le **comportement du cours (Partie 1)** est haussier sur 100 jours (+44,44%) mais montre des signes d'essoufflement (repli J-1 de -2,50%, skewness positif, volatilité élevée de 33%), avec une distribution asymétrique qui suggère que la hausse a été concentrée sur quelques séances. Les **signaux techniques (Partie 2)** sont divergents : les oscillateurs (RSI à 19,3, Stochastique à 0,0) plaident pour un rebond technique, tandis que le MACD (172 vs signal 361) et la position du cours sous la MM20 indiquent une perte de momentum, créant une incertitude directionnelle. Les **fondamentaux (Partie 3)** sont solides (ROE de 15,22%, coefficient d'exploitation de 47,19%, surliquidité) mais montrent une dégradation du PNB en 2025 et au S1 2026, compensée par une normalisation du coût du risque qui a permis un rebond du résultat net au S1 2026 (+31,0%). Les **prédictions IA (J+1 à J+10)** anticipent une reprise progressive du cours de 7 963 FCFA à 8 163 FCFA, ce qui confirme la thèse d'un rebond technique après la survente, mais reste en deçà du plus haut de 9 090 FCFA. Sur la base de cette synthèse, la recommandation finale est **CONSERVER**, avec un niveau de confiance **Moyen** et un risque global **Élevé**. La convergence partielle entre les signaux techniques (survente) et les prédictions IA (rebond) soutient un potentiel de reprise à court terme, mais la surévaluation (PER 17,8x) et la baisse structurelle du PNB limitent le potentiel de hausse à moyen terme. L'horizon d'investissement optimal est **moyen terme (3-12 mois)**, en attendant la confirmation de la reprise de la dynamique commerciale et la stabilisation du coût du risque, avec un suivi attentif du support de 7 675 FCFA (MM50) qui, s'il venait à céder, invaliderait la thèse haussière.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472.20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10,530 titres</w:t>
            </w:r>
          </w:p>
        </w:tc>
        <w:tc>
          <w:tcPr>
            <w:tcW w:type="dxa" w:w="2268"/>
            <w:shd w:fill="FFF2CC" w:val="clear"/>
          </w:tcPr>
          <w:p>
            <w:r>
              <w:rPr>
                <w:b/>
                <w:color w:val="503200"/>
                <w:sz w:val="16"/>
              </w:rPr>
              <w:t xml:space="preserve">Cours actuel : </w:t>
            </w:r>
            <w:r>
              <w:rPr>
                <w:color w:val="000000"/>
                <w:sz w:val="17"/>
              </w:rPr>
              <w:t>11,805 FCFA</w:t>
            </w:r>
          </w:p>
          <w:p>
            <w:r>
              <w:rPr>
                <w:b/>
                <w:color w:val="503200"/>
                <w:sz w:val="16"/>
              </w:rPr>
              <w:t xml:space="preserve">Var. 100 jours : </w:t>
            </w:r>
            <w:r>
              <w:rPr>
                <w:b/>
                <w:color w:val="007800"/>
                <w:sz w:val="17"/>
              </w:rPr>
              <w:t>+37.27%</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15.56% (Élevée) — μ=10,299 FCFA, σ=1,602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β=0.0868 (Défensif) — Cov=0.000003, Var(idx)=0.000036, ρ=0.032,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10,530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86/100  (Excellent)</w:t>
      </w:r>
    </w:p>
    <w:p/>
    <w:p>
      <w:pPr>
        <w:jc w:val="center"/>
      </w:pPr>
      <w:r>
        <w:drawing>
          <wp:inline xmlns:a="http://schemas.openxmlformats.org/drawingml/2006/main" xmlns:pic="http://schemas.openxmlformats.org/drawingml/2006/picture">
            <wp:extent cx="5669280" cy="260319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11,418</w:t>
            </w:r>
          </w:p>
        </w:tc>
        <w:tc>
          <w:tcPr>
            <w:tcW w:type="dxa" w:w="1440"/>
            <w:shd w:fill="FAFAFA" w:val="clear"/>
          </w:tcPr>
          <w:p>
            <w:r>
              <w:rPr>
                <w:b/>
                <w:sz w:val="17"/>
              </w:rPr>
              <w:t>11,737</w:t>
            </w:r>
          </w:p>
        </w:tc>
        <w:tc>
          <w:tcPr>
            <w:tcW w:type="dxa" w:w="1440"/>
            <w:shd w:fill="FAFAFA" w:val="clear"/>
          </w:tcPr>
          <w:p>
            <w:r>
              <w:rPr>
                <w:sz w:val="17"/>
              </w:rPr>
              <w:t>12,055</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11,197</w:t>
            </w:r>
          </w:p>
        </w:tc>
        <w:tc>
          <w:tcPr>
            <w:tcW w:type="dxa" w:w="1440"/>
            <w:shd w:fill="FAFAFA" w:val="clear"/>
          </w:tcPr>
          <w:p>
            <w:r>
              <w:rPr>
                <w:b/>
                <w:sz w:val="17"/>
              </w:rPr>
              <w:t>11,644</w:t>
            </w:r>
          </w:p>
        </w:tc>
        <w:tc>
          <w:tcPr>
            <w:tcW w:type="dxa" w:w="1440"/>
            <w:shd w:fill="FAFAFA" w:val="clear"/>
          </w:tcPr>
          <w:p>
            <w:r>
              <w:rPr>
                <w:sz w:val="17"/>
              </w:rPr>
              <w:t>12,091</w:t>
            </w:r>
          </w:p>
        </w:tc>
        <w:tc>
          <w:tcPr>
            <w:tcW w:type="dxa" w:w="1440"/>
            <w:shd w:fill="FAFAFA" w:val="clear"/>
          </w:tcPr>
          <w:p>
            <w:r>
              <w:rPr>
                <w:b/>
                <w:color w:val="C00000"/>
                <w:sz w:val="17"/>
              </w:rPr>
              <w:t>-1.4%</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11,024</w:t>
            </w:r>
          </w:p>
        </w:tc>
        <w:tc>
          <w:tcPr>
            <w:tcW w:type="dxa" w:w="1440"/>
            <w:shd w:fill="FFDCE0" w:val="clear"/>
          </w:tcPr>
          <w:p>
            <w:r>
              <w:rPr>
                <w:b/>
                <w:sz w:val="17"/>
              </w:rPr>
              <w:t>11,568</w:t>
            </w:r>
          </w:p>
        </w:tc>
        <w:tc>
          <w:tcPr>
            <w:tcW w:type="dxa" w:w="1440"/>
            <w:shd w:fill="FFDCE0" w:val="clear"/>
          </w:tcPr>
          <w:p>
            <w:r>
              <w:rPr>
                <w:sz w:val="17"/>
              </w:rPr>
              <w:t>12,112</w:t>
            </w:r>
          </w:p>
        </w:tc>
        <w:tc>
          <w:tcPr>
            <w:tcW w:type="dxa" w:w="1440"/>
            <w:shd w:fill="FFDCE0"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2026-09-24</w:t>
            </w:r>
          </w:p>
        </w:tc>
        <w:tc>
          <w:tcPr>
            <w:tcW w:type="dxa" w:w="1440"/>
            <w:shd w:fill="FFDCE0" w:val="clear"/>
          </w:tcPr>
          <w:p>
            <w:r>
              <w:rPr>
                <w:sz w:val="17"/>
              </w:rPr>
              <w:t>10,874</w:t>
            </w:r>
          </w:p>
        </w:tc>
        <w:tc>
          <w:tcPr>
            <w:tcW w:type="dxa" w:w="1440"/>
            <w:shd w:fill="FFDCE0" w:val="clear"/>
          </w:tcPr>
          <w:p>
            <w:r>
              <w:rPr>
                <w:b/>
                <w:sz w:val="17"/>
              </w:rPr>
              <w:t>11,498</w:t>
            </w:r>
          </w:p>
        </w:tc>
        <w:tc>
          <w:tcPr>
            <w:tcW w:type="dxa" w:w="1440"/>
            <w:shd w:fill="FFDCE0" w:val="clear"/>
          </w:tcPr>
          <w:p>
            <w:r>
              <w:rPr>
                <w:sz w:val="17"/>
              </w:rPr>
              <w:t>12,123</w:t>
            </w:r>
          </w:p>
        </w:tc>
        <w:tc>
          <w:tcPr>
            <w:tcW w:type="dxa" w:w="1440"/>
            <w:shd w:fill="FFDCE0" w:val="clear"/>
          </w:tcPr>
          <w:p>
            <w:r>
              <w:rPr>
                <w:b/>
                <w:color w:val="C00000"/>
                <w:sz w:val="17"/>
              </w:rPr>
              <w:t>-2.6%</w:t>
            </w:r>
          </w:p>
        </w:tc>
      </w:tr>
      <w:tr>
        <w:tc>
          <w:tcPr>
            <w:tcW w:type="dxa" w:w="1440"/>
            <w:shd w:fill="FFDCE0" w:val="clear"/>
          </w:tcPr>
          <w:p>
            <w:r>
              <w:rPr>
                <w:sz w:val="17"/>
              </w:rPr>
              <w:t>J+5  Moyenne</w:t>
            </w:r>
          </w:p>
        </w:tc>
        <w:tc>
          <w:tcPr>
            <w:tcW w:type="dxa" w:w="1440"/>
            <w:shd w:fill="FFDCE0" w:val="clear"/>
          </w:tcPr>
          <w:p>
            <w:r>
              <w:rPr>
                <w:sz w:val="17"/>
              </w:rPr>
              <w:t>2026-09-25</w:t>
            </w:r>
          </w:p>
        </w:tc>
        <w:tc>
          <w:tcPr>
            <w:tcW w:type="dxa" w:w="1440"/>
            <w:shd w:fill="FFDCE0" w:val="clear"/>
          </w:tcPr>
          <w:p>
            <w:r>
              <w:rPr>
                <w:sz w:val="17"/>
              </w:rPr>
              <w:t>10,739</w:t>
            </w:r>
          </w:p>
        </w:tc>
        <w:tc>
          <w:tcPr>
            <w:tcW w:type="dxa" w:w="1440"/>
            <w:shd w:fill="FFDCE0" w:val="clear"/>
          </w:tcPr>
          <w:p>
            <w:r>
              <w:rPr>
                <w:b/>
                <w:sz w:val="17"/>
              </w:rPr>
              <w:t>11,434</w:t>
            </w:r>
          </w:p>
        </w:tc>
        <w:tc>
          <w:tcPr>
            <w:tcW w:type="dxa" w:w="1440"/>
            <w:shd w:fill="FFDCE0" w:val="clear"/>
          </w:tcPr>
          <w:p>
            <w:r>
              <w:rPr>
                <w:sz w:val="17"/>
              </w:rPr>
              <w:t>12,128</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2026-09-28</w:t>
            </w:r>
          </w:p>
        </w:tc>
        <w:tc>
          <w:tcPr>
            <w:tcW w:type="dxa" w:w="1440"/>
            <w:shd w:fill="FFDCE0" w:val="clear"/>
          </w:tcPr>
          <w:p>
            <w:r>
              <w:rPr>
                <w:sz w:val="17"/>
              </w:rPr>
              <w:t>10,617</w:t>
            </w:r>
          </w:p>
        </w:tc>
        <w:tc>
          <w:tcPr>
            <w:tcW w:type="dxa" w:w="1440"/>
            <w:shd w:fill="FFDCE0" w:val="clear"/>
          </w:tcPr>
          <w:p>
            <w:r>
              <w:rPr>
                <w:b/>
                <w:sz w:val="17"/>
              </w:rPr>
              <w:t>11,374</w:t>
            </w:r>
          </w:p>
        </w:tc>
        <w:tc>
          <w:tcPr>
            <w:tcW w:type="dxa" w:w="1440"/>
            <w:shd w:fill="FFDCE0" w:val="clear"/>
          </w:tcPr>
          <w:p>
            <w:r>
              <w:rPr>
                <w:sz w:val="17"/>
              </w:rPr>
              <w:t>12,131</w:t>
            </w:r>
          </w:p>
        </w:tc>
        <w:tc>
          <w:tcPr>
            <w:tcW w:type="dxa" w:w="1440"/>
            <w:shd w:fill="FFDCE0" w:val="clear"/>
          </w:tcPr>
          <w:p>
            <w:r>
              <w:rPr>
                <w:b/>
                <w:color w:val="C00000"/>
                <w:sz w:val="17"/>
              </w:rPr>
              <w:t>-3.6%</w:t>
            </w:r>
          </w:p>
        </w:tc>
      </w:tr>
      <w:tr>
        <w:tc>
          <w:tcPr>
            <w:tcW w:type="dxa" w:w="1440"/>
            <w:shd w:fill="FFDCE0" w:val="clear"/>
          </w:tcPr>
          <w:p>
            <w:r>
              <w:rPr>
                <w:sz w:val="17"/>
              </w:rPr>
              <w:t>J+7  Moyenne</w:t>
            </w:r>
          </w:p>
        </w:tc>
        <w:tc>
          <w:tcPr>
            <w:tcW w:type="dxa" w:w="1440"/>
            <w:shd w:fill="FFDCE0" w:val="clear"/>
          </w:tcPr>
          <w:p>
            <w:r>
              <w:rPr>
                <w:sz w:val="17"/>
              </w:rPr>
              <w:t>2026-09-29</w:t>
            </w:r>
          </w:p>
        </w:tc>
        <w:tc>
          <w:tcPr>
            <w:tcW w:type="dxa" w:w="1440"/>
            <w:shd w:fill="FFDCE0" w:val="clear"/>
          </w:tcPr>
          <w:p>
            <w:r>
              <w:rPr>
                <w:sz w:val="17"/>
              </w:rPr>
              <w:t>10,505</w:t>
            </w:r>
          </w:p>
        </w:tc>
        <w:tc>
          <w:tcPr>
            <w:tcW w:type="dxa" w:w="1440"/>
            <w:shd w:fill="FFDCE0" w:val="clear"/>
          </w:tcPr>
          <w:p>
            <w:r>
              <w:rPr>
                <w:b/>
                <w:sz w:val="17"/>
              </w:rPr>
              <w:t>11,318</w:t>
            </w:r>
          </w:p>
        </w:tc>
        <w:tc>
          <w:tcPr>
            <w:tcW w:type="dxa" w:w="1440"/>
            <w:shd w:fill="FFDCE0" w:val="clear"/>
          </w:tcPr>
          <w:p>
            <w:r>
              <w:rPr>
                <w:sz w:val="17"/>
              </w:rPr>
              <w:t>12,132</w:t>
            </w:r>
          </w:p>
        </w:tc>
        <w:tc>
          <w:tcPr>
            <w:tcW w:type="dxa" w:w="1440"/>
            <w:shd w:fill="FFDCE0" w:val="clear"/>
          </w:tcPr>
          <w:p>
            <w:r>
              <w:rPr>
                <w:b/>
                <w:color w:val="C00000"/>
                <w:sz w:val="17"/>
              </w:rPr>
              <w:t>-4.1%</w:t>
            </w:r>
          </w:p>
        </w:tc>
      </w:tr>
      <w:tr>
        <w:tc>
          <w:tcPr>
            <w:tcW w:type="dxa" w:w="1440"/>
            <w:shd w:fill="FFDCE0" w:val="clear"/>
          </w:tcPr>
          <w:p>
            <w:r>
              <w:rPr>
                <w:sz w:val="17"/>
              </w:rPr>
              <w:t>J+8  Moyenne</w:t>
            </w:r>
          </w:p>
        </w:tc>
        <w:tc>
          <w:tcPr>
            <w:tcW w:type="dxa" w:w="1440"/>
            <w:shd w:fill="FFDCE0" w:val="clear"/>
          </w:tcPr>
          <w:p>
            <w:r>
              <w:rPr>
                <w:sz w:val="17"/>
              </w:rPr>
              <w:t>2026-09-30</w:t>
            </w:r>
          </w:p>
        </w:tc>
        <w:tc>
          <w:tcPr>
            <w:tcW w:type="dxa" w:w="1440"/>
            <w:shd w:fill="FFDCE0" w:val="clear"/>
          </w:tcPr>
          <w:p>
            <w:r>
              <w:rPr>
                <w:sz w:val="17"/>
              </w:rPr>
              <w:t>10,401</w:t>
            </w:r>
          </w:p>
        </w:tc>
        <w:tc>
          <w:tcPr>
            <w:tcW w:type="dxa" w:w="1440"/>
            <w:shd w:fill="FFDCE0" w:val="clear"/>
          </w:tcPr>
          <w:p>
            <w:r>
              <w:rPr>
                <w:b/>
                <w:sz w:val="17"/>
              </w:rPr>
              <w:t>11,266</w:t>
            </w:r>
          </w:p>
        </w:tc>
        <w:tc>
          <w:tcPr>
            <w:tcW w:type="dxa" w:w="1440"/>
            <w:shd w:fill="FFDCE0" w:val="clear"/>
          </w:tcPr>
          <w:p>
            <w:r>
              <w:rPr>
                <w:sz w:val="17"/>
              </w:rPr>
              <w:t>12,132</w:t>
            </w:r>
          </w:p>
        </w:tc>
        <w:tc>
          <w:tcPr>
            <w:tcW w:type="dxa" w:w="1440"/>
            <w:shd w:fill="FFDCE0" w:val="clear"/>
          </w:tcPr>
          <w:p>
            <w:r>
              <w:rPr>
                <w:b/>
                <w:color w:val="C00000"/>
                <w:sz w:val="17"/>
              </w:rPr>
              <w:t>-4.6%</w:t>
            </w:r>
          </w:p>
        </w:tc>
      </w:tr>
      <w:tr>
        <w:tc>
          <w:tcPr>
            <w:tcW w:type="dxa" w:w="1440"/>
            <w:shd w:fill="FFDCE0" w:val="clear"/>
          </w:tcPr>
          <w:p>
            <w:r>
              <w:rPr>
                <w:sz w:val="17"/>
              </w:rPr>
              <w:t>J+9  Moyenne</w:t>
            </w:r>
          </w:p>
        </w:tc>
        <w:tc>
          <w:tcPr>
            <w:tcW w:type="dxa" w:w="1440"/>
            <w:shd w:fill="FFDCE0" w:val="clear"/>
          </w:tcPr>
          <w:p>
            <w:r>
              <w:rPr>
                <w:sz w:val="17"/>
              </w:rPr>
              <w:t>2026-10-01</w:t>
            </w:r>
          </w:p>
        </w:tc>
        <w:tc>
          <w:tcPr>
            <w:tcW w:type="dxa" w:w="1440"/>
            <w:shd w:fill="FFDCE0" w:val="clear"/>
          </w:tcPr>
          <w:p>
            <w:r>
              <w:rPr>
                <w:sz w:val="17"/>
              </w:rPr>
              <w:t>10,304</w:t>
            </w:r>
          </w:p>
        </w:tc>
        <w:tc>
          <w:tcPr>
            <w:tcW w:type="dxa" w:w="1440"/>
            <w:shd w:fill="FFDCE0" w:val="clear"/>
          </w:tcPr>
          <w:p>
            <w:r>
              <w:rPr>
                <w:b/>
                <w:sz w:val="17"/>
              </w:rPr>
              <w:t>11,218</w:t>
            </w:r>
          </w:p>
        </w:tc>
        <w:tc>
          <w:tcPr>
            <w:tcW w:type="dxa" w:w="1440"/>
            <w:shd w:fill="FFDCE0" w:val="clear"/>
          </w:tcPr>
          <w:p>
            <w:r>
              <w:rPr>
                <w:sz w:val="17"/>
              </w:rPr>
              <w:t>12,132</w:t>
            </w:r>
          </w:p>
        </w:tc>
        <w:tc>
          <w:tcPr>
            <w:tcW w:type="dxa" w:w="1440"/>
            <w:shd w:fill="FFDCE0" w:val="clear"/>
          </w:tcPr>
          <w:p>
            <w:r>
              <w:rPr>
                <w:b/>
                <w:color w:val="C00000"/>
                <w:sz w:val="17"/>
              </w:rPr>
              <w:t>-5.0%</w:t>
            </w:r>
          </w:p>
        </w:tc>
      </w:tr>
      <w:tr>
        <w:tc>
          <w:tcPr>
            <w:tcW w:type="dxa" w:w="1440"/>
            <w:shd w:fill="FFDCE0" w:val="clear"/>
          </w:tcPr>
          <w:p>
            <w:r>
              <w:rPr>
                <w:sz w:val="17"/>
              </w:rPr>
              <w:t>J+10  Moyenne</w:t>
            </w:r>
          </w:p>
        </w:tc>
        <w:tc>
          <w:tcPr>
            <w:tcW w:type="dxa" w:w="1440"/>
            <w:shd w:fill="FFDCE0" w:val="clear"/>
          </w:tcPr>
          <w:p>
            <w:r>
              <w:rPr>
                <w:sz w:val="17"/>
              </w:rPr>
              <w:t>2026-10-02</w:t>
            </w:r>
          </w:p>
        </w:tc>
        <w:tc>
          <w:tcPr>
            <w:tcW w:type="dxa" w:w="1440"/>
            <w:shd w:fill="FFDCE0" w:val="clear"/>
          </w:tcPr>
          <w:p>
            <w:r>
              <w:rPr>
                <w:sz w:val="17"/>
              </w:rPr>
              <w:t>10,212</w:t>
            </w:r>
          </w:p>
        </w:tc>
        <w:tc>
          <w:tcPr>
            <w:tcW w:type="dxa" w:w="1440"/>
            <w:shd w:fill="FFDCE0" w:val="clear"/>
          </w:tcPr>
          <w:p>
            <w:r>
              <w:rPr>
                <w:b/>
                <w:sz w:val="17"/>
              </w:rPr>
              <w:t>11,172</w:t>
            </w:r>
          </w:p>
        </w:tc>
        <w:tc>
          <w:tcPr>
            <w:tcW w:type="dxa" w:w="1440"/>
            <w:shd w:fill="FFDCE0" w:val="clear"/>
          </w:tcPr>
          <w:p>
            <w:r>
              <w:rPr>
                <w:sz w:val="17"/>
              </w:rPr>
              <w:t>12,132</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BOAC (Bank of Africa Côte d'Ivoire)</w:t>
        <w:br/>
        <w:t>**Bourse Régionale des Valeurs Mobilières (BRVM) — Secteur : Banque**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472,20 Mds FCFA, BOAC figure parmi les valeurs bancaires de premier plan de la cote BRVM, ce qui témoigne de sa solidité et de sa liquidité relative sur le marché régional. Le BPA de 888 FCFA/action signifie que chaque titre génère près de 888 FCFA de bénéfice net, un niveau élevé qui traduit la forte rentabilité de la banque. Le PER de 13,3x se situe légèrement au-dessus de la moyenne BRVM (~8-12x), ce qui indique que le marché consent une prime modérée pour cette valeur, sans exagération manifeste. Le P/B de 3,71x montre que le marché valorise la banque à près de 4 fois sa valeur comptable, soit une prime de croissance significative justifiée par un ROE exceptionnel de 27,9%. En revanche, l'EV/EBITDA de 26,8x apparaît très exigeant (&gt;15x), signalant que la valeur d'entreprise intègre déjà une anticipation de forte performance opérationnelle, ce qui limite la marge de sécurité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 enregistré une progression remarquable de +37,27%, bien que la dernière séance (J-1) affiche un repli de -1,62%, marquant une légère pause dans la dynamique haussière. Le cours actuel de 11 805 FCFA se situe dans la partie haute du range de trading, le plus haut ayant atteint 13 450 FCFA et le plus bas 8 585 FCFA, soit un écart de près de 57% entre les deux extrêmes, ce qui confirme une tendance générale nettement haussière sur la période. Les statistiques descriptives révèlent une moyenne de 10 299 FCFA supérieure à la médiane de 9 470 FCFA, ce qui traduit une asymétrie positive : le cours a passé plus de temps sous sa moyenne, mais les pics haussiers ont tiré la moyenne vers le haut. L'écart-type de 1 610 FCFA (CV = 15,6%) indique une dispersion modérée du cours autour de sa tendance, tandis que le kurtosis négatif (-1,282, distribution platykurtique) suggère une faible concentration des rendements et un risque de pics extrêmes limité. Le skewness positif (0,600) confirme cette asymétrie avec davantage de journées sous la moyenne, mais des mouvements haussiers plus amples. Enfin, la volatilité annualisée de 25,7% positionne le titre dans la catégorie des valeurs à volatilité modérée (15-30%), ce qui reste acceptable pour un investisseur averti.</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12 453 FCFA et la MM50 à 11 634 FCFA, toutes deux supérieures au cours actuel de 11 805 FCFA pour la MM20, mais la MM50 reste légèrement en dessous. Le croisement des moyennes (MM20 &gt; MM50) confirme une configuration haussière de fond, bien que le cours évolue actuellement sous la MM20, ce qui traduit une consolidation à court terme. La décision technique fournie est « Achat », cohérente avec la structure haussière des moyennes.</w:t>
      </w:r>
    </w:p>
    <w:p>
      <w:pPr>
        <w:spacing w:after="120" w:line="276" w:lineRule="auto"/>
      </w:pPr>
      <w:r>
        <w:t>**Bandes de Bollinger :** La borne supérieure se situe à 13 037,63 FCFA et la borne inférieure à 11 868,37 FCFA, avec un cours actuel de 11 805 FCFA qui évolue légèrement sous la borne inférieure. Cette position suggère que le titre est en zone de survente relative à court terme, ce qui peut précéder un rebond technique. La décision « Achat » est justifiée par cette configuration de retour vers la moyenne.</w:t>
      </w:r>
    </w:p>
    <w:p>
      <w:pPr>
        <w:spacing w:after="120" w:line="276" w:lineRule="auto"/>
      </w:pPr>
      <w:r>
        <w:t>**MACD :** La valeur du MACD (55,465) est nettement inférieure à son signal (209,304), générant une divergence baissière qui indique un essoufflement du momentum haussier. La décision « Vente » reflète cette perte de vitesse, bien que le MACD reste en territoire positif, ce qui n'invalide pas la tendance de fond.</w:t>
      </w:r>
    </w:p>
    <w:p>
      <w:pPr>
        <w:spacing w:after="120" w:line="276" w:lineRule="auto"/>
      </w:pPr>
      <w:r>
        <w:t>**RSI :** À 23,077, le RSI se situe en zone de survente prononcée (&lt;30), ce qui signale que le titre a été excessivement vendu à court terme et pourrait connaître un rebond. La décision « Achat » est cohérente avec cette lecture contrarienne.</w:t>
      </w:r>
    </w:p>
    <w:p>
      <w:pPr>
        <w:spacing w:after="120" w:line="276" w:lineRule="auto"/>
      </w:pPr>
      <w:r>
        <w:t>**Stochastique :** Les valeurs %K et %D sont toutes deux à 0,0, indiquant une position extrême de survente, avec un croisement potentiel à venir. La décision « Achat » est justifiée par cette configuration de retournement possible.</w:t>
      </w:r>
    </w:p>
    <w:p>
      <w:pPr>
        <w:spacing w:after="120" w:line="276" w:lineRule="auto"/>
      </w:pPr>
      <w:r>
        <w:t>**Conclusion technique :** Les indicateurs présentent une divergence notable : les moyennes mobiles et les bandes de Bollinger plaident pour un achat sur repli, tandis que le MACD signale une vente à court terme. Le RSI et le stochastique, en zone de survente extrême, suggèrent un rebond imminent. Globalement, le titre se trouve dans une phase de consolidation au sein d'une tendance haussière de fond, offrant un point d'entrée potentiel pour les investisseurs patients.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BOAC affiche un Produit Net Bancaire (PNB) de 73 545 Mds FCFA, en légère hausse de +1,1% par rapport à 2024 (72 724 Mds FCFA), selon le rapport des commissaires aux comptes du 31 décembre 2025. Le résultat net s'établit à 35 540 Mds FCFA, en progression de +10,9% sur un an, porté par l'amélioration du coût du risque (-27,8%, à -4 902 Mds FCFA). Le ROE atteint 27,91%, un niveau exceptionnel (&gt;15%), et le ROA de 3,22%, confirmant l'efficacité de la banque dans l'utilisation de ses actifs. Le coefficient d'exploitation de 36,70% est excellent (&lt;50%), témoignant d'une grande efficacité opérationnelle. Le ratio dépôts/crédits s'élève à 850 548 / 430 433 = 1,98, indiquant une forte capacité de collecte et une transformation prudente. Le coût du risque/charges financières de 6,67% reste modéré, mais la hausse de +52,1% des créances en souffrance (taux de sinistralité de 8,59%) constitue un point de vigilance.</w:t>
      </w:r>
    </w:p>
    <w:p>
      <w:pPr>
        <w:spacing w:after="120" w:line="276" w:lineRule="auto"/>
      </w:pPr>
      <w:r>
        <w:t>**Estimations basées sur les rapports trimestriels :** Le rapport T1 2026 (daté du 31 mars 2026) indique un PNB de 18 960 Mds FCFA (+3,09% sur un an) et un résultat net de 10 801 Mds FCFA (+0,91%), avec un coefficient d'exploitation de 35,68%. Cependant, le coût net du risque bondit de +314,75% (-652 vs -157 Mds FCFA), ce qui pourrait peser sur les trimestres suivants. Sur la base de ce T1, on estime que l'exercice 2026 devrait maintenir une croissance modérée du PNB (+3% à +5%) et un résultat net stable, sous réserve de l'évolution du coût du risque. Le rapport T3 2025 (30 septembre 2025) confirme cette tendance avec un PNB cumulé de 53 494 Mds FCFA (+0,23%) et un résultat net de 26 632 Mds FCFA (+1,29%). La politique de dividende, avec 684 FCFA/action distribués au titre de 2024 (taux de distribution de 65%), offre un rendement attractif de 5,8% au cours actuel.</w:t>
      </w:r>
    </w:p>
    <w:p>
      <w:pPr>
        <w:spacing w:after="120" w:line="276" w:lineRule="auto"/>
      </w:pPr>
      <w:r>
        <w:t>**Recommandation fondamentale :** La solidité financière de BOAC est indéniable (ROE élevé, coefficient d'exploitation faible, solvabilité générale de 113%), mais la stagnation du PNB et la dégradation récente du coût du risque incitent à la prudence. La recommandation fondamentale est **CONSERVER**, avec un biais positif à moyen terme.</w:t>
      </w:r>
    </w:p>
    <w:p>
      <w:pPr>
        <w:spacing w:after="120" w:line="276" w:lineRule="auto"/>
      </w:pPr>
      <w:r>
        <w:t>---</w:t>
      </w:r>
    </w:p>
    <w:p>
      <w:pPr>
        <w:spacing w:after="120" w:line="276" w:lineRule="auto"/>
      </w:pPr>
      <w:r>
        <w:t>## PARTIE 4 : CONCLUSION D'INVESTISSEMENT</w:t>
      </w:r>
    </w:p>
    <w:p>
      <w:pPr>
        <w:spacing w:after="120" w:line="276" w:lineRule="auto"/>
      </w:pPr>
      <w:r>
        <w:t>La valorisation de BOAC (Partie 0) présente un profil mitigé : le PER de 13,3x et le P/B de 3,71x intègrent une prime de croissance justifiée par le ROE élevé, mais l'EV/EBITDA de 26,8x laisse peu de marge d'erreur. Le comportement du cours (Partie 1) est globalement favorable, avec une tendance haussière de +37,27% sur 100 jours, une volatilité modérée (25,7%) et des statistiques (kurtosis négatif, skewness positif) qui suggèrent un risque de pics limité. Les signaux techniques (Partie 2) sont divergents : les moyennes mobiles et le RSI/stochastique plaident pour un achat, tandis que le MACD signale une vente à court terme, ce qui indique une phase de consolidation. Les fondamentaux (Partie 3) restent solides (ROE de 27,9%, coefficient d'exploitation de 36,7%), mais la stagnation du PNB et la hausse du coût du risque au T1 2026 tempèrent l'optimisme. Les prédictions IA (J+1 à J+10) anticipent une légère baisse vers 11 434 FCFA, ce qui contredit les signaux d'achat à court terme mais confirme la consolidation en cours.</w:t>
      </w:r>
    </w:p>
    <w:p>
      <w:pPr>
        <w:spacing w:after="120" w:line="276" w:lineRule="auto"/>
      </w:pPr>
      <w:r>
        <w:t>**Synthèse globale :** La convergence entre une valorisation exigeante, des signaux techniques mitigés et des fondamentaux solides mais en ralentissement suggère une recommandation **CONSERVER**. Le niveau de confiance est **Moyen**, car si la solidité financière est avérée, les perspectives de croissance à court terme sont incertaines. Le risque global est **Moyen**, compte tenu de la volatilité modérée et des défis opérationnels. L'horizon d'investissement optimal est le **moyen terme (3-12 mois)**, en attendant une clarification sur la trajectoire du coût du risque et une reprise durable du PNB.</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184.05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6,350 titres</w:t>
            </w:r>
          </w:p>
        </w:tc>
        <w:tc>
          <w:tcPr>
            <w:tcW w:type="dxa" w:w="2268"/>
            <w:shd w:fill="FFF2CC" w:val="clear"/>
          </w:tcPr>
          <w:p>
            <w:r>
              <w:rPr>
                <w:b/>
                <w:color w:val="503200"/>
                <w:sz w:val="16"/>
              </w:rPr>
              <w:t xml:space="preserve">Cours actuel : </w:t>
            </w:r>
            <w:r>
              <w:rPr>
                <w:color w:val="000000"/>
                <w:sz w:val="17"/>
              </w:rPr>
              <w:t>6,705 FCFA</w:t>
            </w:r>
          </w:p>
          <w:p>
            <w:r>
              <w:rPr>
                <w:b/>
                <w:color w:val="503200"/>
                <w:sz w:val="16"/>
              </w:rPr>
              <w:t xml:space="preserve">Var. 100 jours : </w:t>
            </w:r>
            <w:r>
              <w:rPr>
                <w:b/>
                <w:color w:val="007800"/>
                <w:sz w:val="17"/>
              </w:rPr>
              <w:t>+43.58%</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14.70% (Moyenne) — μ=5,467 FCFA, σ=804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β=0.4397 (Défensif) — Cov=0.000016, Var(idx)=0.000036, ρ=0.121,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σ_j=2.19%/j (Stable) — Vol. annualisée≈34.8%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6,447</w:t>
            </w:r>
          </w:p>
        </w:tc>
        <w:tc>
          <w:tcPr>
            <w:tcW w:type="dxa" w:w="1440"/>
            <w:shd w:fill="FAFAFA" w:val="clear"/>
          </w:tcPr>
          <w:p>
            <w:r>
              <w:rPr>
                <w:b/>
                <w:sz w:val="17"/>
              </w:rPr>
              <w:t>6,670</w:t>
            </w:r>
          </w:p>
        </w:tc>
        <w:tc>
          <w:tcPr>
            <w:tcW w:type="dxa" w:w="1440"/>
            <w:shd w:fill="FAFAFA" w:val="clear"/>
          </w:tcPr>
          <w:p>
            <w:r>
              <w:rPr>
                <w:sz w:val="17"/>
              </w:rPr>
              <w:t>6,893</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6,402</w:t>
            </w:r>
          </w:p>
        </w:tc>
        <w:tc>
          <w:tcPr>
            <w:tcW w:type="dxa" w:w="1440"/>
            <w:shd w:fill="FAFAFA" w:val="clear"/>
          </w:tcPr>
          <w:p>
            <w:r>
              <w:rPr>
                <w:b/>
                <w:sz w:val="17"/>
              </w:rPr>
              <w:t>6,721</w:t>
            </w:r>
          </w:p>
        </w:tc>
        <w:tc>
          <w:tcPr>
            <w:tcW w:type="dxa" w:w="1440"/>
            <w:shd w:fill="FAFAFA" w:val="clear"/>
          </w:tcPr>
          <w:p>
            <w:r>
              <w:rPr>
                <w:sz w:val="17"/>
              </w:rPr>
              <w:t>7,039</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6,393</w:t>
            </w:r>
          </w:p>
        </w:tc>
        <w:tc>
          <w:tcPr>
            <w:tcW w:type="dxa" w:w="1440"/>
            <w:shd w:fill="FAFAFA" w:val="clear"/>
          </w:tcPr>
          <w:p>
            <w:r>
              <w:rPr>
                <w:b/>
                <w:sz w:val="17"/>
              </w:rPr>
              <w:t>6,786</w:t>
            </w:r>
          </w:p>
        </w:tc>
        <w:tc>
          <w:tcPr>
            <w:tcW w:type="dxa" w:w="1440"/>
            <w:shd w:fill="FAFAFA" w:val="clear"/>
          </w:tcPr>
          <w:p>
            <w:r>
              <w:rPr>
                <w:sz w:val="17"/>
              </w:rPr>
              <w:t>7,180</w:t>
            </w:r>
          </w:p>
        </w:tc>
        <w:tc>
          <w:tcPr>
            <w:tcW w:type="dxa" w:w="1440"/>
            <w:shd w:fill="FAFAFA" w:val="clear"/>
          </w:tcPr>
          <w:p>
            <w:r>
              <w:rPr>
                <w:b/>
                <w:color w:val="008000"/>
                <w:sz w:val="17"/>
              </w:rPr>
              <w:t>+1.2%</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6,383</w:t>
            </w:r>
          </w:p>
        </w:tc>
        <w:tc>
          <w:tcPr>
            <w:tcW w:type="dxa" w:w="1440"/>
            <w:shd w:fill="C6EFCE" w:val="clear"/>
          </w:tcPr>
          <w:p>
            <w:r>
              <w:rPr>
                <w:b/>
                <w:sz w:val="17"/>
              </w:rPr>
              <w:t>6,841</w:t>
            </w:r>
          </w:p>
        </w:tc>
        <w:tc>
          <w:tcPr>
            <w:tcW w:type="dxa" w:w="1440"/>
            <w:shd w:fill="C6EFCE" w:val="clear"/>
          </w:tcPr>
          <w:p>
            <w:r>
              <w:rPr>
                <w:sz w:val="17"/>
              </w:rPr>
              <w:t>7,300</w:t>
            </w:r>
          </w:p>
        </w:tc>
        <w:tc>
          <w:tcPr>
            <w:tcW w:type="dxa" w:w="1440"/>
            <w:shd w:fill="C6EFCE" w:val="clear"/>
          </w:tcPr>
          <w:p>
            <w:r>
              <w:rPr>
                <w:b/>
                <w:color w:val="008000"/>
                <w:sz w:val="17"/>
              </w:rPr>
              <w:t>+2.0%</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6,369</w:t>
            </w:r>
          </w:p>
        </w:tc>
        <w:tc>
          <w:tcPr>
            <w:tcW w:type="dxa" w:w="1440"/>
            <w:shd w:fill="C6EFCE" w:val="clear"/>
          </w:tcPr>
          <w:p>
            <w:r>
              <w:rPr>
                <w:b/>
                <w:sz w:val="17"/>
              </w:rPr>
              <w:t>6,885</w:t>
            </w:r>
          </w:p>
        </w:tc>
        <w:tc>
          <w:tcPr>
            <w:tcW w:type="dxa" w:w="1440"/>
            <w:shd w:fill="C6EFCE" w:val="clear"/>
          </w:tcPr>
          <w:p>
            <w:r>
              <w:rPr>
                <w:sz w:val="17"/>
              </w:rPr>
              <w:t>7,400</w:t>
            </w:r>
          </w:p>
        </w:tc>
        <w:tc>
          <w:tcPr>
            <w:tcW w:type="dxa" w:w="1440"/>
            <w:shd w:fill="C6EFCE" w:val="clear"/>
          </w:tcPr>
          <w:p>
            <w:r>
              <w:rPr>
                <w:b/>
                <w:color w:val="008000"/>
                <w:sz w:val="17"/>
              </w:rPr>
              <w:t>+2.7%</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6,353</w:t>
            </w:r>
          </w:p>
        </w:tc>
        <w:tc>
          <w:tcPr>
            <w:tcW w:type="dxa" w:w="1440"/>
            <w:shd w:fill="C6EFCE" w:val="clear"/>
          </w:tcPr>
          <w:p>
            <w:r>
              <w:rPr>
                <w:b/>
                <w:sz w:val="17"/>
              </w:rPr>
              <w:t>6,920</w:t>
            </w:r>
          </w:p>
        </w:tc>
        <w:tc>
          <w:tcPr>
            <w:tcW w:type="dxa" w:w="1440"/>
            <w:shd w:fill="C6EFCE" w:val="clear"/>
          </w:tcPr>
          <w:p>
            <w:r>
              <w:rPr>
                <w:sz w:val="17"/>
              </w:rPr>
              <w:t>7,488</w:t>
            </w:r>
          </w:p>
        </w:tc>
        <w:tc>
          <w:tcPr>
            <w:tcW w:type="dxa" w:w="1440"/>
            <w:shd w:fill="C6EFCE" w:val="clear"/>
          </w:tcPr>
          <w:p>
            <w:r>
              <w:rPr>
                <w:b/>
                <w:color w:val="008000"/>
                <w:sz w:val="17"/>
              </w:rPr>
              <w:t>+3.2%</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6,337</w:t>
            </w:r>
          </w:p>
        </w:tc>
        <w:tc>
          <w:tcPr>
            <w:tcW w:type="dxa" w:w="1440"/>
            <w:shd w:fill="C6EFCE" w:val="clear"/>
          </w:tcPr>
          <w:p>
            <w:r>
              <w:rPr>
                <w:b/>
                <w:sz w:val="17"/>
              </w:rPr>
              <w:t>6,953</w:t>
            </w:r>
          </w:p>
        </w:tc>
        <w:tc>
          <w:tcPr>
            <w:tcW w:type="dxa" w:w="1440"/>
            <w:shd w:fill="C6EFCE" w:val="clear"/>
          </w:tcPr>
          <w:p>
            <w:r>
              <w:rPr>
                <w:sz w:val="17"/>
              </w:rPr>
              <w:t>7,569</w:t>
            </w:r>
          </w:p>
        </w:tc>
        <w:tc>
          <w:tcPr>
            <w:tcW w:type="dxa" w:w="1440"/>
            <w:shd w:fill="C6EFCE" w:val="clear"/>
          </w:tcPr>
          <w:p>
            <w:r>
              <w:rPr>
                <w:b/>
                <w:color w:val="008000"/>
                <w:sz w:val="17"/>
              </w:rPr>
              <w:t>+3.7%</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6,321</w:t>
            </w:r>
          </w:p>
        </w:tc>
        <w:tc>
          <w:tcPr>
            <w:tcW w:type="dxa" w:w="1440"/>
            <w:shd w:fill="C6EFCE" w:val="clear"/>
          </w:tcPr>
          <w:p>
            <w:r>
              <w:rPr>
                <w:b/>
                <w:sz w:val="17"/>
              </w:rPr>
              <w:t>6,983</w:t>
            </w:r>
          </w:p>
        </w:tc>
        <w:tc>
          <w:tcPr>
            <w:tcW w:type="dxa" w:w="1440"/>
            <w:shd w:fill="C6EFCE" w:val="clear"/>
          </w:tcPr>
          <w:p>
            <w:r>
              <w:rPr>
                <w:sz w:val="17"/>
              </w:rPr>
              <w:t>7,644</w:t>
            </w:r>
          </w:p>
        </w:tc>
        <w:tc>
          <w:tcPr>
            <w:tcW w:type="dxa" w:w="1440"/>
            <w:shd w:fill="C6EFCE" w:val="clear"/>
          </w:tcPr>
          <w:p>
            <w:r>
              <w:rPr>
                <w:b/>
                <w:color w:val="008000"/>
                <w:sz w:val="17"/>
              </w:rPr>
              <w:t>+4.1%</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6,306</w:t>
            </w:r>
          </w:p>
        </w:tc>
        <w:tc>
          <w:tcPr>
            <w:tcW w:type="dxa" w:w="1440"/>
            <w:shd w:fill="C6EFCE" w:val="clear"/>
          </w:tcPr>
          <w:p>
            <w:r>
              <w:rPr>
                <w:b/>
                <w:sz w:val="17"/>
              </w:rPr>
              <w:t>7,011</w:t>
            </w:r>
          </w:p>
        </w:tc>
        <w:tc>
          <w:tcPr>
            <w:tcW w:type="dxa" w:w="1440"/>
            <w:shd w:fill="C6EFCE" w:val="clear"/>
          </w:tcPr>
          <w:p>
            <w:r>
              <w:rPr>
                <w:sz w:val="17"/>
              </w:rPr>
              <w:t>7,715</w:t>
            </w:r>
          </w:p>
        </w:tc>
        <w:tc>
          <w:tcPr>
            <w:tcW w:type="dxa" w:w="1440"/>
            <w:shd w:fill="C6EFCE" w:val="clear"/>
          </w:tcPr>
          <w:p>
            <w:r>
              <w:rPr>
                <w:b/>
                <w:color w:val="008000"/>
                <w:sz w:val="17"/>
              </w:rPr>
              <w:t>+4.6%</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6,292</w:t>
            </w:r>
          </w:p>
        </w:tc>
        <w:tc>
          <w:tcPr>
            <w:tcW w:type="dxa" w:w="1440"/>
            <w:shd w:fill="C6EFCE" w:val="clear"/>
          </w:tcPr>
          <w:p>
            <w:r>
              <w:rPr>
                <w:b/>
                <w:sz w:val="17"/>
              </w:rPr>
              <w:t>7,037</w:t>
            </w:r>
          </w:p>
        </w:tc>
        <w:tc>
          <w:tcPr>
            <w:tcW w:type="dxa" w:w="1440"/>
            <w:shd w:fill="C6EFCE" w:val="clear"/>
          </w:tcPr>
          <w:p>
            <w:r>
              <w:rPr>
                <w:sz w:val="17"/>
              </w:rPr>
              <w:t>7,783</w:t>
            </w:r>
          </w:p>
        </w:tc>
        <w:tc>
          <w:tcPr>
            <w:tcW w:type="dxa" w:w="1440"/>
            <w:shd w:fill="C6EFCE" w:val="clear"/>
          </w:tcPr>
          <w:p>
            <w:r>
              <w:rPr>
                <w:b/>
                <w:color w:val="008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184,05 milliards FCFA, BOA Mali se positionne comme une valeur bancaire de premier plan sur la BRVM, représentant un acteur significatif de la cote. Le BPA de 404 FCFA/action signifie que chaque titre génère près de 404 FCFA de bénéfice net, un niveau solide qui traduit la capacité bénéficiaire de la banque. Le PER de 16,6x indique que les investisseurs paient environ 16,6 fois les bénéfices annuels, soit une prime notable par rapport à la moyenne BRVM (~8-12x), ce qui suggère que le marché intègre déjà une anticipation de croissance ou une qualité supérieure. Le P/B de 3,69x montre que le titre se négocie à près de 3,7 fois sa valeur comptable, une prime de croissance accordée par le marché qui reste dans la fourchette 2-4x, cohérente avec les banques rentables de la zone. Enfin, l'EV/EBITDA de 8,9x situe la valeur totale (dette incluse) à un niveau raisonnable (5-10x), indiquant que la capacité opérationnelle justifie la valorisation sans excès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BOAM a enregistré une progression spectaculaire de +43,58%, portant le cours à 6 705 FCFA, malgré un repli de -2,83% lors de la dernière séance qui marque une légère prise de bénéfices. Le range de trading est particulièrement large, avec un plus haut à 7 195 FCFA et un plus bas à 4 425 FCFA, soit une amplitude de 62,6% qui témoigne d'une dynamique haussière puissante mais aussi d'une forte volatilité intra-période. La tendance générale est clairement haussière, soutenue par un volume moyen de 6 350 titres/jour, signe d'un intérêt soutenu des investisseurs. Les statistiques descriptives révèlent une moyenne de 5 467 FCFA légèrement supérieure à la médiane de 5 372 FCFA, confirmant une asymétrie positive (skewness de 0,570) avec davantage de journées sous la moyenne mais des pics haussiers marqués. L'écart-type de 808 FCFA (CV=14,8%) indique une dispersion modérée autour de la tendance, tandis que le kurtosis de -0,917 (mésokurtique) suggère une distribution proche de la normale, sans risque excessif de pics extrêmes. La volatilité annualisée de 34,8% classe le titre dans la catégorie des valeurs à volatilité élevée (&gt;30%), ce qui est cohérent avec son statut de valeur de croissance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6 750,5 FCFA et la MM50 à 6 154,8 FCFA, toutes deux inférieures au cours actuel de 6 705 FCFA pour la MM20 (léger écart) mais nettement en-dessous pour la MM50. Cette configuration en « golden cross » (MM20 &gt; MM50) confirme la tendance haussière de moyen terme, justifiant la décision d'**Achat**. Le cours évolue toutefois légèrement sous sa MM20, signalant une consolidation à court terme.</w:t>
      </w:r>
    </w:p>
    <w:p>
      <w:pPr>
        <w:spacing w:after="120" w:line="276" w:lineRule="auto"/>
      </w:pPr>
      <w:r>
        <w:t>**Bandes de Bollinger** : La borne supérieure se situe à 7 274,96 FCFA et la borne inférieure à 6 226,04 FCFA, avec un cours actuel de 6 705 FCFA positionné dans la partie médiane-haute du canal. Cette position neutre indique l'absence de tension extrême (ni suracheté, ni survendu), justifiant la décision **Neutre**. L'écart entre les bornes (1 048,93 FCFA) reflète une volatilité encore présente mais en voie de normalisation.</w:t>
      </w:r>
    </w:p>
    <w:p>
      <w:pPr>
        <w:spacing w:after="120" w:line="276" w:lineRule="auto"/>
      </w:pPr>
      <w:r>
        <w:t>**MACD** : La valeur du MACD (247,277) est inférieure à son signal (284,024), générant un croisement baissier qui traduit un essoufflement du momentum haussier. Cette divergence négative justifie la décision de **Vente** à court terme, bien que le MACD reste en territoire positif, indiquant que la tendance de fond demeure haussière.</w:t>
      </w:r>
    </w:p>
    <w:p>
      <w:pPr>
        <w:spacing w:after="120" w:line="276" w:lineRule="auto"/>
      </w:pPr>
      <w:r>
        <w:t>**RSI** : À 58,123, le RSI se situe dans la zone neutre (30-70), sans signal de surachat (&gt;70) ni de survente (&lt;30). Cette configuration indique un équilibre entre acheteurs et vendeurs, justifiant la décision **Neutre** et suggérant qu'il reste de la marge avant un éventuel surachat.</w:t>
      </w:r>
    </w:p>
    <w:p>
      <w:pPr>
        <w:spacing w:after="120" w:line="276" w:lineRule="auto"/>
      </w:pPr>
      <w:r>
        <w:t>**Stochastique** : Le %K (38,365) est nettement inférieur au %D (58,7), avec un croisement baissier en zone médiane. Cette configuration signale une pression vendeuse à court terme, justifiant la décision **Neutre** mais avec un biais baissier implicite tant que le %K ne repasse pas au-dessus du %D.</w:t>
      </w:r>
    </w:p>
    <w:p>
      <w:pPr>
        <w:spacing w:after="120" w:line="276" w:lineRule="auto"/>
      </w:pPr>
      <w:r>
        <w:t>**Conclusion technique** : Les indicateurs présentent une divergence notable : les moyennes mobiles confirment la tendance haussière de fond (Achat), tandis que le MACD et le stochastique signalent un essoufflement à court terme (Vente/Neutre). Le RSI et les Bandes de Bollinger restent neutres, traduisant une phase de consolidation après la forte hausse. Cette configuration suggère une pause technique probable avant une reprise éventuelle, avec un support clé à surveiller autour de 6 226 FCFA (borne inférieure de Bollinger) et une résistance à 7 195 FCFA (plus haut récent).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officiels) révèlent une banque solide et rentable : le Produit Net Bancaire (équivalent du chiffre d'affaires) s'établit à 37,996 milliards FCFA, pour un résultat net de 11,081 milliards FCFA, soit une marge nette remarquable de 29,16%. Le ROE atteint 22,24% (&gt;15% = excellent), confirmant la capacité de la banque à générer de la valeur pour ses actionnaires, tandis que le ROA de 1,87% reste conforme aux standards bancaires. Le coefficient d'exploitation de 63,14% (légèrement supérieur au seuil de 60% d'efficacité) indique une marge d'amélioration opérationnelle, mais le coût du risque de 43,39% (provisions/charges financières) demeure élevé et constitue un point de vigilance sur la qualité du portefeuille de crédits. La structure financière affiche une autonomie financière de 8,40% (faible, typique des banques) et un ratio de solvabilité générale de 109,16% (&gt;1 = solvable), tandis que la capacité de remboursement de 1,79 an est confortable. Les dépôts clientèle (502,89 milliards FCFA) couvrent largement les créances clientèle (253,65 milliards FCFA), avec un ratio de transformation de 50,4% qui témoigne d'une gestion prudente des liquidités. Les rapports narratifs confirment la dynamique : le rapport T1 2026 (publié le 31/03/2026) fait état d'un PNB de 10 322 millions FCFA, en hausse de +22,97% sur un an, tandis que le rapport T3 2025 (30/09/2025) affichait un PNB cumulé de 28,52 milliards FCFA (+5,8%) et un résultat net de 9,16 milliards FCFA (+26,2%). Sur la base de ces tendances, on estime que l'exercice 2026 devrait enregistrer une accélération de la croissance du PNB (portée par le T1 2026 à +23%) et une poursuite de l'amélioration de la rentabilité, sous réserve d'une maîtrise du coût du risque. La recommandation fondamentale est **positive** : la banque affiche une solidité financière avérée, une rentabilité élevée et une trajectoire de croissance confirmée, malgré un environnement macroéconomique et sécuritaire difficile au Mali.</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mais globalement favorable. La valorisation (Partie 0) affiche un PER de 16,6x et un P/B de 3,69x, soit une prime par rapport à la moyenne BRVM, mais justifiée par un ROE de 22,24% et une croissance du PNB de +23% au T1 2026 — le titre n'est donc pas surévalué au regard de ses fondamentaux. Le comportement du cours (Partie 1) est haussier (+43,58% sur 100 jours) avec une volatilité élevée (34,8%) et une asymétrie positive (skewness 0,570), ce qui est favorable mais nécessite une gestion du risque. Les signaux techniques (Partie 2) sont divergents : les moyennes mobiles confirment la tendance haussière, mais le MACD et le stochastique signalent un essoufflement à court terme, plaidant pour une consolidation avant reprise. Les fondamentaux (Partie 3) sont solides : ROE de 22,24%, marge nette de 29,16%, et une accélération de la croissance au T1 2026 (+22,97% de PNB). Les prédictions IA (J+1 à J+10) anticipent une trajectoire haussière modérée, de 6 670 FCFA à 6 885 FCFA, soit une progression de +2,7% sur 10 jours, ce qui confirme la tendance de fond mais suggère une consolidation à court terme. **Recommandation finale : CONSERVER**, avec un biais haussier à moyen terme. La convergence entre fondamentaux solides, tendance haussière de fond et prédictions positives justifie cette position, mais la divergence des indicateurs techniques à court terme (MACD baissier) et la volatilité élevée incitent à la prudence. Le niveau de confiance est **Moyen** (divergence technique), le risque global est **Moyen** (volatilité élevée, coût du risque à surveiller), et l'horizon d'investissement optimal est **moyen terme (3-12 mois)** , le temps que la consolidation technique s'achève et que la croissance fondamentale se matérialise pleinement.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111.28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8,712 titres</w:t>
            </w:r>
          </w:p>
        </w:tc>
        <w:tc>
          <w:tcPr>
            <w:tcW w:type="dxa" w:w="2268"/>
            <w:shd w:fill="FFF2CC" w:val="clear"/>
          </w:tcPr>
          <w:p>
            <w:r>
              <w:rPr>
                <w:b/>
                <w:color w:val="503200"/>
                <w:sz w:val="16"/>
              </w:rPr>
              <w:t xml:space="preserve">Cours actuel : </w:t>
            </w:r>
            <w:r>
              <w:rPr>
                <w:color w:val="000000"/>
                <w:sz w:val="17"/>
              </w:rPr>
              <w:t>5,350 FCFA</w:t>
            </w:r>
          </w:p>
          <w:p>
            <w:r>
              <w:rPr>
                <w:b/>
                <w:color w:val="503200"/>
                <w:sz w:val="16"/>
              </w:rPr>
              <w:t xml:space="preserve">Var. 100 jours : </w:t>
            </w:r>
            <w:r>
              <w:rPr>
                <w:b/>
                <w:color w:val="007800"/>
                <w:sz w:val="17"/>
              </w:rPr>
              <w:t>+47.99%</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17.50% (Élevée) — μ=4,513 FCFA, σ=790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β=0.6336 (Défensif) — Cov=0.000023, Var(idx)=0.000036, ρ=0.174,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8,712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5,207</w:t>
            </w:r>
          </w:p>
        </w:tc>
        <w:tc>
          <w:tcPr>
            <w:tcW w:type="dxa" w:w="1440"/>
            <w:shd w:fill="FAFAFA" w:val="clear"/>
          </w:tcPr>
          <w:p>
            <w:r>
              <w:rPr>
                <w:b/>
                <w:sz w:val="17"/>
              </w:rPr>
              <w:t>5,344</w:t>
            </w:r>
          </w:p>
        </w:tc>
        <w:tc>
          <w:tcPr>
            <w:tcW w:type="dxa" w:w="1440"/>
            <w:shd w:fill="FAFAFA" w:val="clear"/>
          </w:tcPr>
          <w:p>
            <w:r>
              <w:rPr>
                <w:sz w:val="17"/>
              </w:rPr>
              <w:t>5,480</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5,147</w:t>
            </w:r>
          </w:p>
        </w:tc>
        <w:tc>
          <w:tcPr>
            <w:tcW w:type="dxa" w:w="1440"/>
            <w:shd w:fill="FAFAFA" w:val="clear"/>
          </w:tcPr>
          <w:p>
            <w:r>
              <w:rPr>
                <w:b/>
                <w:sz w:val="17"/>
              </w:rPr>
              <w:t>5,340</w:t>
            </w:r>
          </w:p>
        </w:tc>
        <w:tc>
          <w:tcPr>
            <w:tcW w:type="dxa" w:w="1440"/>
            <w:shd w:fill="FAFAFA" w:val="clear"/>
          </w:tcPr>
          <w:p>
            <w:r>
              <w:rPr>
                <w:sz w:val="17"/>
              </w:rPr>
              <w:t>5,534</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5,101</w:t>
            </w:r>
          </w:p>
        </w:tc>
        <w:tc>
          <w:tcPr>
            <w:tcW w:type="dxa" w:w="1440"/>
            <w:shd w:fill="FAFAFA" w:val="clear"/>
          </w:tcPr>
          <w:p>
            <w:r>
              <w:rPr>
                <w:b/>
                <w:sz w:val="17"/>
              </w:rPr>
              <w:t>5,338</w:t>
            </w:r>
          </w:p>
        </w:tc>
        <w:tc>
          <w:tcPr>
            <w:tcW w:type="dxa" w:w="1440"/>
            <w:shd w:fill="FAFAFA" w:val="clear"/>
          </w:tcPr>
          <w:p>
            <w:r>
              <w:rPr>
                <w:sz w:val="17"/>
              </w:rPr>
              <w:t>5,575</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5,062</w:t>
            </w:r>
          </w:p>
        </w:tc>
        <w:tc>
          <w:tcPr>
            <w:tcW w:type="dxa" w:w="1440"/>
            <w:shd w:fill="FAFAFA" w:val="clear"/>
          </w:tcPr>
          <w:p>
            <w:r>
              <w:rPr>
                <w:b/>
                <w:sz w:val="17"/>
              </w:rPr>
              <w:t>5,335</w:t>
            </w:r>
          </w:p>
        </w:tc>
        <w:tc>
          <w:tcPr>
            <w:tcW w:type="dxa" w:w="1440"/>
            <w:shd w:fill="FAFAFA" w:val="clear"/>
          </w:tcPr>
          <w:p>
            <w:r>
              <w:rPr>
                <w:sz w:val="17"/>
              </w:rPr>
              <w:t>5,608</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5,027</w:t>
            </w:r>
          </w:p>
        </w:tc>
        <w:tc>
          <w:tcPr>
            <w:tcW w:type="dxa" w:w="1440"/>
            <w:shd w:fill="FAFAFA" w:val="clear"/>
          </w:tcPr>
          <w:p>
            <w:r>
              <w:rPr>
                <w:b/>
                <w:sz w:val="17"/>
              </w:rPr>
              <w:t>5,332</w:t>
            </w:r>
          </w:p>
        </w:tc>
        <w:tc>
          <w:tcPr>
            <w:tcW w:type="dxa" w:w="1440"/>
            <w:shd w:fill="FAFAFA" w:val="clear"/>
          </w:tcPr>
          <w:p>
            <w:r>
              <w:rPr>
                <w:sz w:val="17"/>
              </w:rPr>
              <w:t>5,638</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4,995</w:t>
            </w:r>
          </w:p>
        </w:tc>
        <w:tc>
          <w:tcPr>
            <w:tcW w:type="dxa" w:w="1440"/>
            <w:shd w:fill="FAFAFA" w:val="clear"/>
          </w:tcPr>
          <w:p>
            <w:r>
              <w:rPr>
                <w:b/>
                <w:sz w:val="17"/>
              </w:rPr>
              <w:t>5,330</w:t>
            </w:r>
          </w:p>
        </w:tc>
        <w:tc>
          <w:tcPr>
            <w:tcW w:type="dxa" w:w="1440"/>
            <w:shd w:fill="FAFAFA" w:val="clear"/>
          </w:tcPr>
          <w:p>
            <w:r>
              <w:rPr>
                <w:sz w:val="17"/>
              </w:rPr>
              <w:t>5,664</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4,966</w:t>
            </w:r>
          </w:p>
        </w:tc>
        <w:tc>
          <w:tcPr>
            <w:tcW w:type="dxa" w:w="1440"/>
            <w:shd w:fill="FAFAFA" w:val="clear"/>
          </w:tcPr>
          <w:p>
            <w:r>
              <w:rPr>
                <w:b/>
                <w:sz w:val="17"/>
              </w:rPr>
              <w:t>5,327</w:t>
            </w:r>
          </w:p>
        </w:tc>
        <w:tc>
          <w:tcPr>
            <w:tcW w:type="dxa" w:w="1440"/>
            <w:shd w:fill="FAFAFA" w:val="clear"/>
          </w:tcPr>
          <w:p>
            <w:r>
              <w:rPr>
                <w:sz w:val="17"/>
              </w:rPr>
              <w:t>5,688</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2026-09-30</w:t>
            </w:r>
          </w:p>
        </w:tc>
        <w:tc>
          <w:tcPr>
            <w:tcW w:type="dxa" w:w="1440"/>
            <w:shd w:fill="FAFAFA" w:val="clear"/>
          </w:tcPr>
          <w:p>
            <w:r>
              <w:rPr>
                <w:sz w:val="17"/>
              </w:rPr>
              <w:t>4,938</w:t>
            </w:r>
          </w:p>
        </w:tc>
        <w:tc>
          <w:tcPr>
            <w:tcW w:type="dxa" w:w="1440"/>
            <w:shd w:fill="FAFAFA" w:val="clear"/>
          </w:tcPr>
          <w:p>
            <w:r>
              <w:rPr>
                <w:b/>
                <w:sz w:val="17"/>
              </w:rPr>
              <w:t>5,324</w:t>
            </w:r>
          </w:p>
        </w:tc>
        <w:tc>
          <w:tcPr>
            <w:tcW w:type="dxa" w:w="1440"/>
            <w:shd w:fill="FAFAFA" w:val="clear"/>
          </w:tcPr>
          <w:p>
            <w:r>
              <w:rPr>
                <w:sz w:val="17"/>
              </w:rPr>
              <w:t>5,710</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2026-10-01</w:t>
            </w:r>
          </w:p>
        </w:tc>
        <w:tc>
          <w:tcPr>
            <w:tcW w:type="dxa" w:w="1440"/>
            <w:shd w:fill="FAFAFA" w:val="clear"/>
          </w:tcPr>
          <w:p>
            <w:r>
              <w:rPr>
                <w:sz w:val="17"/>
              </w:rPr>
              <w:t>4,913</w:t>
            </w:r>
          </w:p>
        </w:tc>
        <w:tc>
          <w:tcPr>
            <w:tcW w:type="dxa" w:w="1440"/>
            <w:shd w:fill="FAFAFA" w:val="clear"/>
          </w:tcPr>
          <w:p>
            <w:r>
              <w:rPr>
                <w:b/>
                <w:sz w:val="17"/>
              </w:rPr>
              <w:t>5,322</w:t>
            </w:r>
          </w:p>
        </w:tc>
        <w:tc>
          <w:tcPr>
            <w:tcW w:type="dxa" w:w="1440"/>
            <w:shd w:fill="FAFAFA" w:val="clear"/>
          </w:tcPr>
          <w:p>
            <w:r>
              <w:rPr>
                <w:sz w:val="17"/>
              </w:rPr>
              <w:t>5,731</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2026-10-02</w:t>
            </w:r>
          </w:p>
        </w:tc>
        <w:tc>
          <w:tcPr>
            <w:tcW w:type="dxa" w:w="1440"/>
            <w:shd w:fill="FAFAFA" w:val="clear"/>
          </w:tcPr>
          <w:p>
            <w:r>
              <w:rPr>
                <w:sz w:val="17"/>
              </w:rPr>
              <w:t>4,888</w:t>
            </w:r>
          </w:p>
        </w:tc>
        <w:tc>
          <w:tcPr>
            <w:tcW w:type="dxa" w:w="1440"/>
            <w:shd w:fill="FAFAFA" w:val="clear"/>
          </w:tcPr>
          <w:p>
            <w:r>
              <w:rPr>
                <w:b/>
                <w:sz w:val="17"/>
              </w:rPr>
              <w:t>5,319</w:t>
            </w:r>
          </w:p>
        </w:tc>
        <w:tc>
          <w:tcPr>
            <w:tcW w:type="dxa" w:w="1440"/>
            <w:shd w:fill="FAFAFA" w:val="clear"/>
          </w:tcPr>
          <w:p>
            <w:r>
              <w:rPr>
                <w:sz w:val="17"/>
              </w:rPr>
              <w:t>5,750</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111,28 Mds FCFA, BOAN se situe dans la catégorie des valeurs moyennes de la cote BRVM, loin des poids lourds bancaires que sont SGBCI ou BOAB. Le BPA de 20 FCFA/action — qui représente le bénéfice net généré par chaque titre détenu — est exceptionnellement faible, reflet direct de l'effondrement du résultat net 2025 à 409 millions FCFA. Le PER de 272,1x constitue un signal d'alerte majeur : les investisseurs paient plus de 270 fois les bénéfices actuels, alors que la moyenne BRVM se situe entre 8x et 12x ; cette distorsion s'explique par l'anticipation d'un rebond spectaculaire des profits en 2026-2027 plutôt que par les résultats présents. Le P/B de 3,09x indique que le marché valorise la banque à plus de trois fois ses fonds propres comptables (36,06 Mds FCFA), soit une prime de croissance significative qui n'est justifiée que si la rentabilité future se redresse durablement. Enfin, l'EV/EBITDA de 40,5x, très au-dessus du seuil de 15x généralement considéré comme exigeant, confirme que la valeur d'entreprise intègre des attentes de normalisation opérationnelle fortes, rendant le titre vulnérable à toute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BOAN a enregistré une progression spectaculaire de +47,99%, portant le cours à 5 350 FCFA, avec une dernière séance stable (variation J-1 de +0,00%). Le range de trading est particulièrement large, oscillant entre un plus bas de 3 395 FCFA et un plus haut de 5 645 FCFA, soit un écart de 2 250 FCFA qui témoigne d'une forte amplitude de mouvement. La tendance générale est donc nettement haussière, soutenue par les anticipations de redressement post-sanctions et le rebond du T1 2026. Les statistiques descriptives révèlent une moyenne de 4 513 FCFA légèrement supérieure à la médiane de 4 420 FCFA, tandis que le mode se situe à 3 700 FCFA — cet écart modéré entre moyenne et médiane, couplé à un skewness quasi nul (-0,040), indique une distribution symétrique sans biais directionnel marqué. L'écart-type de 794 FCFA (CV = 17,6%) traduit une dispersion modérée autour de la moyenne, mais le kurtosis négatif (-1,741, distribution platykurtique) signale une distribution aplatie avec une faible concentration des rendements et un risque de pics extrêmes limité. La volatilité annualisée de 34,5% positionne le titre dans la catégorie des valeurs à volatilité élevée (&gt;30%), ce qui est cohérent avec le contexte de redressement incertain et la faible liquidité du marché nigérien.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(5 441,25 FCFA) et la MM50 (5 265,5 FCFA) se situent toutes deux au-dessus du cours actuel (5 350 FCFA) pour la MM20, mais en dessous pour la MM50, créant une configuration ambiguë. Le cours évolue entre ces deux références, ce qui suggère une phase de consolidation après la forte hausse ; la décision affichée est "Achat", soutenue par le fait que la MM50 reste ascendante et que le cours n'a pas cassé la dynamique de fond.</w:t>
      </w:r>
    </w:p>
    <w:p>
      <w:pPr>
        <w:spacing w:after="120" w:line="276" w:lineRule="auto"/>
      </w:pPr>
      <w:r>
        <w:t>**Bandes de Bollinger** : Avec une borne supérieure à 5 630,4 FCFA et une borne inférieure à 5 252,1 FCFA, le cours actuel de 5 350 FCFA se situe dans la moitié basse du canal, à environ 25% de la largeur totale. Cette position médiane-basse indique une absence de pression acheteuse immédiate, mais aussi un potentiel de rebond vers la borne haute ; la décision "Neutre" reflète cette configuration équilibrée sans signal directionnel fort.</w:t>
      </w:r>
    </w:p>
    <w:p>
      <w:pPr>
        <w:spacing w:after="120" w:line="276" w:lineRule="auto"/>
      </w:pPr>
      <w:r>
        <w:t>**MACD** : La valeur du MACD (60,775) est nettement inférieure à son signal (95,993), générant un croisement baissier qui traduit un essoufflement du momentum haussier. Cette divergence négative suggère que la dynamique positive des 100 derniers jours perd de sa vigueur, justifiant la décision "Vente" à court terme, même si la tendance de fond reste haussière.</w:t>
      </w:r>
    </w:p>
    <w:p>
      <w:pPr>
        <w:spacing w:after="120" w:line="276" w:lineRule="auto"/>
      </w:pPr>
      <w:r>
        <w:t>**RSI** : À 38,793, le RSI se situe dans la zone neutre basse (30-70), sans atteindre le seuil de survente (&lt;30). Cette valeur indique que le titre n'est ni suracheté ni survendu, mais qu'il s'approche d'une zone où les acheteurs pourraient revenir ; la décision "Neutre" est cohérente avec cette position intermédiaire.</w:t>
      </w:r>
    </w:p>
    <w:p>
      <w:pPr>
        <w:spacing w:after="120" w:line="276" w:lineRule="auto"/>
      </w:pPr>
      <w:r>
        <w:t>**Stochastique** : Les valeurs %K et %D sont toutes deux à 0,0, ce qui constitue un signal extrême de survente technique. Un tel niveau suggère que le cours a été fortement déprimé récemment et qu'un rebond technique est probable à très court terme ; la décision "Achat" s'appuie sur cette configuration de retournement potentiel.</w:t>
      </w:r>
    </w:p>
    <w:p>
      <w:pPr>
        <w:spacing w:after="120" w:line="276" w:lineRule="auto"/>
      </w:pPr>
      <w:r>
        <w:t>**Conclusion technique** : Les indicateurs présentent une divergence notable : les moyennes mobiles et le stochastique plaident pour un achat (tendance de fond haussière, survente extrême), tandis que le MACD signale une vente (perte de momentum) et que le RSI et les Bollinger restent neutres. Cette configuration mitigée suggère une phase de consolidation avant une reprise éventuelle, avec un avantage aux acheteurs patients.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révèlent une situation financière profondément dégradée : le Produit Net Bancaire (équivalent du chiffre d'affaires pour une banque) s'établit à 21 125 millions FCFA, en léger repli de -1,2% sur un an, tandis que le résultat net s'effondre à 409 millions FCFA, soit une chute de -91,8% par rapport aux 5 002 millions de 2024. Les ratios de rentabilité sont catastrophiques : le ROE tombe à 1,13% (très loin du seuil de 15% considéré comme excellent) et le ROA à 0,14%, traduisant une destruction quasi totale de la valeur pour les actionnaires. Le coefficient d'exploitation de 74,37% est très supérieur au seuil de 60% qui distingue une banque efficace, et le coût du risque (provisions/charges financières) atteint 67,30%, confirmant la détérioration sévère de la qualité du portefeuille de crédits. La structure financière reste néanmoins solide avec une autonomie financière de 12,36% et un ratio de solvabilité de 14,06%, conforme aux exigences UEMOA, tandis que les dépôts clientèle (183 280 millions FCFA) couvrent largement les créances clientèle (128 447 millions FCFA), assurant une liquidité satisfaisante. Les rapports narratifs confirment cette analyse : le rapport du 2nd semestre 2025 (daté du 31/12/2025) attribue l'effondrement à une provision exceptionnelle de 4,8 milliards FCFA liée au taux de sinistralité sectoriel de 24%, tandis que le rapport du T1 2026 (daté du 31/03/2026) marque un début de redressement avec un PNB en hausse de +7,9% à 5 170 millions FCFA, un résultat net en progression de +28,9% à 1 467,3 millions FCFA, et un coefficient d'exploitation ramené à 56,2% (contre 66,8% un an plus tôt). Sur la base de ce T1 2026, on peut estimer que l'exercice 2026 devrait afficher un PNB annuel autour de 22 300 millions FCFA (+6,4% selon le budget) et un résultat net en forte reprise, potentiellement entre 4 et 6 milliards FCFA si la tendance se confirme sur les trois trimestres restants. La recommandation fondamentale est donc prudente : la banque dispose d'atouts solides (soutien du groupe BOA, ratios prudentiels conformes, stratégie de digitalisation), mais les risques restent élevés (concentration géographique sur le Niger, instabilité politique, qualité du portefeuille) et la valorisation actuelle intègre déjà une grande partie du rebond attendu.</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La valorisation (Partie 0) est extrêmement tendue : un PER de 272,1x et un EV/EBITDA de 40,5x traduisent une surévaluation manifeste basée sur les bénéfices actuels, bien que le P/B de 3,09x puisse se justifier si le redressement se matérialise. Le comportement du cours (Partie 1) est haussier (+47,99% sur 100 jours) mais la volatilité élevée (34,5%) et le kurtosis négatif (-1,741) signalent un risque de mouvements erratiques, tandis que la distribution symétrique (skewness -0,040) n'indique pas de biais directionnel clair. Les signaux techniques (Partie 2) sont divergents : le stochastique en survente extrême (0,0) et les moyennes mobiles haussières plaident pour un achat, mais le MACD baissier et le RSI neutre-bas invitent à la prudence. Les fondamentaux (Partie 3) montrent une banque en pleine convalescence : l'exercice 2025 a été catastrophique (ROE 1,13%, résultat net -91,8%), mais le T1 2026 marque un redressement encourageant (+28,9% de résultat net, coefficient d'exploitation à 56,2%), ce qui pourrait soutenir une revalorisation progressive. Les prédictions IA (J+1 à J+10) anticipent une légère érosion du cours de 5 344 FCFA à 5 332 FCFA, soit une quasi-stabilité avec une tendance baissière marginale, ce qui contredit les signaux d'achat techniques à court terme mais confirme la phase de consolidation. **Recommandation finale : CONSERVER** — la convergence entre une valorisation surévaluée, des signaux techniques mitigés, des fondamentaux en redressement mais fragiles, et des prédictions IA stables plaide pour une position attentiste. Le niveau de confiance est **Moyen** (les données T1 2026 sont encourageantes mais un seul trimestre ne suffit pas à confirmer la tendance), et le risque global est **Élevé** (contexte politique nigérien instable, faible liquidité du titre, valorisation exigeante). L'horizon d'investissement optimal est le **moyen terme (3-12 mois)** , le temps que les trimestres suivants confirment le redressement opérationnel et que la valorisation se normalise. Les investisseurs déjà positionnés peuvent conserver en surveillant étroitement les prochains rapports trimestriels, tandis que les nouveaux entrants devraient attendre une confirmation supplémentaire ou une correction du cours vers la MM50 (5 265 FCFA) pour améliorer leur point d'entrée.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289.80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10,739 titres</w:t>
            </w:r>
          </w:p>
        </w:tc>
        <w:tc>
          <w:tcPr>
            <w:tcW w:type="dxa" w:w="2268"/>
            <w:shd w:fill="FFF2CC" w:val="clear"/>
          </w:tcPr>
          <w:p>
            <w:r>
              <w:rPr>
                <w:b/>
                <w:color w:val="503200"/>
                <w:sz w:val="16"/>
              </w:rPr>
              <w:t xml:space="preserve">Cours actuel : </w:t>
            </w:r>
            <w:r>
              <w:rPr>
                <w:color w:val="000000"/>
                <w:sz w:val="17"/>
              </w:rPr>
              <w:t>8,050 FCFA</w:t>
            </w:r>
          </w:p>
          <w:p>
            <w:r>
              <w:rPr>
                <w:b/>
                <w:color w:val="503200"/>
                <w:sz w:val="16"/>
              </w:rPr>
              <w:t xml:space="preserve">Var. 100 jours : </w:t>
            </w:r>
            <w:r>
              <w:rPr>
                <w:b/>
                <w:color w:val="007800"/>
                <w:sz w:val="17"/>
              </w:rPr>
              <w:t>+16.67%</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6,900 FCFA</w:t>
            </w:r>
          </w:p>
          <w:p>
            <w:r>
              <w:rPr>
                <w:b/>
                <w:color w:val="503200"/>
                <w:sz w:val="16"/>
              </w:rPr>
              <w:t xml:space="preserve">Volatilité ann. : </w:t>
            </w:r>
            <w:r>
              <w:rPr>
                <w:color w:val="000000"/>
                <w:sz w:val="17"/>
              </w:rPr>
              <w:t>24.9%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5.17% (Moyenne) — μ=7,645 FCFA, σ=396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β=0.2926 (Défensif) — Cov=0.000011, Var(idx)=0.000036, ρ=0.112,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10,739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σ_j=1.57%/j (Stable) — Vol. annualisée≈24.9%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7,852</w:t>
            </w:r>
          </w:p>
        </w:tc>
        <w:tc>
          <w:tcPr>
            <w:tcW w:type="dxa" w:w="1440"/>
            <w:shd w:fill="FAFAFA" w:val="clear"/>
          </w:tcPr>
          <w:p>
            <w:r>
              <w:rPr>
                <w:b/>
                <w:sz w:val="17"/>
              </w:rPr>
              <w:t>8,048</w:t>
            </w:r>
          </w:p>
        </w:tc>
        <w:tc>
          <w:tcPr>
            <w:tcW w:type="dxa" w:w="1440"/>
            <w:shd w:fill="FAFAFA" w:val="clear"/>
          </w:tcPr>
          <w:p>
            <w:r>
              <w:rPr>
                <w:sz w:val="17"/>
              </w:rPr>
              <w:t>8,244</w:t>
            </w:r>
          </w:p>
        </w:tc>
        <w:tc>
          <w:tcPr>
            <w:tcW w:type="dxa" w:w="1440"/>
            <w:shd w:fill="FAFAFA" w:val="clear"/>
          </w:tcPr>
          <w:p>
            <w:r>
              <w:rPr>
                <w:b/>
                <w:color w:val="C00000"/>
                <w:sz w:val="17"/>
              </w:rPr>
              <w:t>-0.0%</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7,740</w:t>
            </w:r>
          </w:p>
        </w:tc>
        <w:tc>
          <w:tcPr>
            <w:tcW w:type="dxa" w:w="1440"/>
            <w:shd w:fill="FAFAFA" w:val="clear"/>
          </w:tcPr>
          <w:p>
            <w:r>
              <w:rPr>
                <w:b/>
                <w:sz w:val="17"/>
              </w:rPr>
              <w:t>8,015</w:t>
            </w:r>
          </w:p>
        </w:tc>
        <w:tc>
          <w:tcPr>
            <w:tcW w:type="dxa" w:w="1440"/>
            <w:shd w:fill="FAFAFA" w:val="clear"/>
          </w:tcPr>
          <w:p>
            <w:r>
              <w:rPr>
                <w:sz w:val="17"/>
              </w:rPr>
              <w:t>8,290</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7,651</w:t>
            </w:r>
          </w:p>
        </w:tc>
        <w:tc>
          <w:tcPr>
            <w:tcW w:type="dxa" w:w="1440"/>
            <w:shd w:fill="FAFAFA" w:val="clear"/>
          </w:tcPr>
          <w:p>
            <w:r>
              <w:rPr>
                <w:b/>
                <w:sz w:val="17"/>
              </w:rPr>
              <w:t>7,987</w:t>
            </w:r>
          </w:p>
        </w:tc>
        <w:tc>
          <w:tcPr>
            <w:tcW w:type="dxa" w:w="1440"/>
            <w:shd w:fill="FAFAFA" w:val="clear"/>
          </w:tcPr>
          <w:p>
            <w:r>
              <w:rPr>
                <w:sz w:val="17"/>
              </w:rPr>
              <w:t>8,323</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2026-09-24</w:t>
            </w:r>
          </w:p>
        </w:tc>
        <w:tc>
          <w:tcPr>
            <w:tcW w:type="dxa" w:w="1440"/>
            <w:shd w:fill="FAFAFA" w:val="clear"/>
          </w:tcPr>
          <w:p>
            <w:r>
              <w:rPr>
                <w:sz w:val="17"/>
              </w:rPr>
              <w:t>7,572</w:t>
            </w:r>
          </w:p>
        </w:tc>
        <w:tc>
          <w:tcPr>
            <w:tcW w:type="dxa" w:w="1440"/>
            <w:shd w:fill="FAFAFA" w:val="clear"/>
          </w:tcPr>
          <w:p>
            <w:r>
              <w:rPr>
                <w:b/>
                <w:sz w:val="17"/>
              </w:rPr>
              <w:t>7,958</w:t>
            </w:r>
          </w:p>
        </w:tc>
        <w:tc>
          <w:tcPr>
            <w:tcW w:type="dxa" w:w="1440"/>
            <w:shd w:fill="FAFAFA" w:val="clear"/>
          </w:tcPr>
          <w:p>
            <w:r>
              <w:rPr>
                <w:sz w:val="17"/>
              </w:rPr>
              <w:t>8,345</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2026-09-25</w:t>
            </w:r>
          </w:p>
        </w:tc>
        <w:tc>
          <w:tcPr>
            <w:tcW w:type="dxa" w:w="1440"/>
            <w:shd w:fill="FAFAFA" w:val="clear"/>
          </w:tcPr>
          <w:p>
            <w:r>
              <w:rPr>
                <w:sz w:val="17"/>
              </w:rPr>
              <w:t>7,500</w:t>
            </w:r>
          </w:p>
        </w:tc>
        <w:tc>
          <w:tcPr>
            <w:tcW w:type="dxa" w:w="1440"/>
            <w:shd w:fill="FAFAFA" w:val="clear"/>
          </w:tcPr>
          <w:p>
            <w:r>
              <w:rPr>
                <w:b/>
                <w:sz w:val="17"/>
              </w:rPr>
              <w:t>7,930</w:t>
            </w:r>
          </w:p>
        </w:tc>
        <w:tc>
          <w:tcPr>
            <w:tcW w:type="dxa" w:w="1440"/>
            <w:shd w:fill="FAFAFA" w:val="clear"/>
          </w:tcPr>
          <w:p>
            <w:r>
              <w:rPr>
                <w:sz w:val="17"/>
              </w:rPr>
              <w:t>8,361</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2026-09-28</w:t>
            </w:r>
          </w:p>
        </w:tc>
        <w:tc>
          <w:tcPr>
            <w:tcW w:type="dxa" w:w="1440"/>
            <w:shd w:fill="FAFAFA" w:val="clear"/>
          </w:tcPr>
          <w:p>
            <w:r>
              <w:rPr>
                <w:sz w:val="17"/>
              </w:rPr>
              <w:t>7,433</w:t>
            </w:r>
          </w:p>
        </w:tc>
        <w:tc>
          <w:tcPr>
            <w:tcW w:type="dxa" w:w="1440"/>
            <w:shd w:fill="FAFAFA" w:val="clear"/>
          </w:tcPr>
          <w:p>
            <w:r>
              <w:rPr>
                <w:b/>
                <w:sz w:val="17"/>
              </w:rPr>
              <w:t>7,903</w:t>
            </w:r>
          </w:p>
        </w:tc>
        <w:tc>
          <w:tcPr>
            <w:tcW w:type="dxa" w:w="1440"/>
            <w:shd w:fill="FAFAFA" w:val="clear"/>
          </w:tcPr>
          <w:p>
            <w:r>
              <w:rPr>
                <w:sz w:val="17"/>
              </w:rPr>
              <w:t>8,374</w:t>
            </w:r>
          </w:p>
        </w:tc>
        <w:tc>
          <w:tcPr>
            <w:tcW w:type="dxa" w:w="1440"/>
            <w:shd w:fill="FAFAFA" w:val="clear"/>
          </w:tcPr>
          <w:p>
            <w:r>
              <w:rPr>
                <w:b/>
                <w:color w:val="C00000"/>
                <w:sz w:val="17"/>
              </w:rPr>
              <w:t>-1.8%</w:t>
            </w:r>
          </w:p>
        </w:tc>
      </w:tr>
      <w:tr>
        <w:tc>
          <w:tcPr>
            <w:tcW w:type="dxa" w:w="1440"/>
            <w:shd w:fill="FFDCE0" w:val="clear"/>
          </w:tcPr>
          <w:p>
            <w:r>
              <w:rPr>
                <w:sz w:val="17"/>
              </w:rPr>
              <w:t>J+7  Moyenne</w:t>
            </w:r>
          </w:p>
        </w:tc>
        <w:tc>
          <w:tcPr>
            <w:tcW w:type="dxa" w:w="1440"/>
            <w:shd w:fill="FFDCE0" w:val="clear"/>
          </w:tcPr>
          <w:p>
            <w:r>
              <w:rPr>
                <w:sz w:val="17"/>
              </w:rPr>
              <w:t>2026-09-29</w:t>
            </w:r>
          </w:p>
        </w:tc>
        <w:tc>
          <w:tcPr>
            <w:tcW w:type="dxa" w:w="1440"/>
            <w:shd w:fill="FFDCE0" w:val="clear"/>
          </w:tcPr>
          <w:p>
            <w:r>
              <w:rPr>
                <w:sz w:val="17"/>
              </w:rPr>
              <w:t>7,371</w:t>
            </w:r>
          </w:p>
        </w:tc>
        <w:tc>
          <w:tcPr>
            <w:tcW w:type="dxa" w:w="1440"/>
            <w:shd w:fill="FFDCE0" w:val="clear"/>
          </w:tcPr>
          <w:p>
            <w:r>
              <w:rPr>
                <w:b/>
                <w:sz w:val="17"/>
              </w:rPr>
              <w:t>7,878</w:t>
            </w:r>
          </w:p>
        </w:tc>
        <w:tc>
          <w:tcPr>
            <w:tcW w:type="dxa" w:w="1440"/>
            <w:shd w:fill="FFDCE0" w:val="clear"/>
          </w:tcPr>
          <w:p>
            <w:r>
              <w:rPr>
                <w:sz w:val="17"/>
              </w:rPr>
              <w:t>8,384</w:t>
            </w:r>
          </w:p>
        </w:tc>
        <w:tc>
          <w:tcPr>
            <w:tcW w:type="dxa" w:w="1440"/>
            <w:shd w:fill="FFDCE0" w:val="clear"/>
          </w:tcPr>
          <w:p>
            <w:r>
              <w:rPr>
                <w:b/>
                <w:color w:val="C00000"/>
                <w:sz w:val="17"/>
              </w:rPr>
              <w:t>-2.1%</w:t>
            </w:r>
          </w:p>
        </w:tc>
      </w:tr>
      <w:tr>
        <w:tc>
          <w:tcPr>
            <w:tcW w:type="dxa" w:w="1440"/>
            <w:shd w:fill="FFDCE0" w:val="clear"/>
          </w:tcPr>
          <w:p>
            <w:r>
              <w:rPr>
                <w:sz w:val="17"/>
              </w:rPr>
              <w:t>J+8  Moyenne</w:t>
            </w:r>
          </w:p>
        </w:tc>
        <w:tc>
          <w:tcPr>
            <w:tcW w:type="dxa" w:w="1440"/>
            <w:shd w:fill="FFDCE0" w:val="clear"/>
          </w:tcPr>
          <w:p>
            <w:r>
              <w:rPr>
                <w:sz w:val="17"/>
              </w:rPr>
              <w:t>2026-09-30</w:t>
            </w:r>
          </w:p>
        </w:tc>
        <w:tc>
          <w:tcPr>
            <w:tcW w:type="dxa" w:w="1440"/>
            <w:shd w:fill="FFDCE0" w:val="clear"/>
          </w:tcPr>
          <w:p>
            <w:r>
              <w:rPr>
                <w:sz w:val="17"/>
              </w:rPr>
              <w:t>7,314</w:t>
            </w:r>
          </w:p>
        </w:tc>
        <w:tc>
          <w:tcPr>
            <w:tcW w:type="dxa" w:w="1440"/>
            <w:shd w:fill="FFDCE0" w:val="clear"/>
          </w:tcPr>
          <w:p>
            <w:r>
              <w:rPr>
                <w:b/>
                <w:sz w:val="17"/>
              </w:rPr>
              <w:t>7,853</w:t>
            </w:r>
          </w:p>
        </w:tc>
        <w:tc>
          <w:tcPr>
            <w:tcW w:type="dxa" w:w="1440"/>
            <w:shd w:fill="FFDCE0" w:val="clear"/>
          </w:tcPr>
          <w:p>
            <w:r>
              <w:rPr>
                <w:sz w:val="17"/>
              </w:rPr>
              <w:t>8,393</w:t>
            </w:r>
          </w:p>
        </w:tc>
        <w:tc>
          <w:tcPr>
            <w:tcW w:type="dxa" w:w="1440"/>
            <w:shd w:fill="FFDCE0" w:val="clear"/>
          </w:tcPr>
          <w:p>
            <w:r>
              <w:rPr>
                <w:b/>
                <w:color w:val="C00000"/>
                <w:sz w:val="17"/>
              </w:rPr>
              <w:t>-2.4%</w:t>
            </w:r>
          </w:p>
        </w:tc>
      </w:tr>
      <w:tr>
        <w:tc>
          <w:tcPr>
            <w:tcW w:type="dxa" w:w="1440"/>
            <w:shd w:fill="FFDCE0" w:val="clear"/>
          </w:tcPr>
          <w:p>
            <w:r>
              <w:rPr>
                <w:sz w:val="17"/>
              </w:rPr>
              <w:t>J+9  Moyenne</w:t>
            </w:r>
          </w:p>
        </w:tc>
        <w:tc>
          <w:tcPr>
            <w:tcW w:type="dxa" w:w="1440"/>
            <w:shd w:fill="FFDCE0" w:val="clear"/>
          </w:tcPr>
          <w:p>
            <w:r>
              <w:rPr>
                <w:sz w:val="17"/>
              </w:rPr>
              <w:t>2026-10-01</w:t>
            </w:r>
          </w:p>
        </w:tc>
        <w:tc>
          <w:tcPr>
            <w:tcW w:type="dxa" w:w="1440"/>
            <w:shd w:fill="FFDCE0" w:val="clear"/>
          </w:tcPr>
          <w:p>
            <w:r>
              <w:rPr>
                <w:sz w:val="17"/>
              </w:rPr>
              <w:t>7,259</w:t>
            </w:r>
          </w:p>
        </w:tc>
        <w:tc>
          <w:tcPr>
            <w:tcW w:type="dxa" w:w="1440"/>
            <w:shd w:fill="FFDCE0" w:val="clear"/>
          </w:tcPr>
          <w:p>
            <w:r>
              <w:rPr>
                <w:b/>
                <w:sz w:val="17"/>
              </w:rPr>
              <w:t>7,830</w:t>
            </w:r>
          </w:p>
        </w:tc>
        <w:tc>
          <w:tcPr>
            <w:tcW w:type="dxa" w:w="1440"/>
            <w:shd w:fill="FFDCE0" w:val="clear"/>
          </w:tcPr>
          <w:p>
            <w:r>
              <w:rPr>
                <w:sz w:val="17"/>
              </w:rPr>
              <w:t>8,400</w:t>
            </w:r>
          </w:p>
        </w:tc>
        <w:tc>
          <w:tcPr>
            <w:tcW w:type="dxa" w:w="1440"/>
            <w:shd w:fill="FFDCE0" w:val="clear"/>
          </w:tcPr>
          <w:p>
            <w:r>
              <w:rPr>
                <w:b/>
                <w:color w:val="C00000"/>
                <w:sz w:val="17"/>
              </w:rPr>
              <w:t>-2.7%</w:t>
            </w:r>
          </w:p>
        </w:tc>
      </w:tr>
      <w:tr>
        <w:tc>
          <w:tcPr>
            <w:tcW w:type="dxa" w:w="1440"/>
            <w:shd w:fill="FFDCE0" w:val="clear"/>
          </w:tcPr>
          <w:p>
            <w:r>
              <w:rPr>
                <w:sz w:val="17"/>
              </w:rPr>
              <w:t>J+10  Moyenne</w:t>
            </w:r>
          </w:p>
        </w:tc>
        <w:tc>
          <w:tcPr>
            <w:tcW w:type="dxa" w:w="1440"/>
            <w:shd w:fill="FFDCE0" w:val="clear"/>
          </w:tcPr>
          <w:p>
            <w:r>
              <w:rPr>
                <w:sz w:val="17"/>
              </w:rPr>
              <w:t>2026-10-02</w:t>
            </w:r>
          </w:p>
        </w:tc>
        <w:tc>
          <w:tcPr>
            <w:tcW w:type="dxa" w:w="1440"/>
            <w:shd w:fill="FFDCE0" w:val="clear"/>
          </w:tcPr>
          <w:p>
            <w:r>
              <w:rPr>
                <w:sz w:val="17"/>
              </w:rPr>
              <w:t>7,208</w:t>
            </w:r>
          </w:p>
        </w:tc>
        <w:tc>
          <w:tcPr>
            <w:tcW w:type="dxa" w:w="1440"/>
            <w:shd w:fill="FFDCE0" w:val="clear"/>
          </w:tcPr>
          <w:p>
            <w:r>
              <w:rPr>
                <w:b/>
                <w:sz w:val="17"/>
              </w:rPr>
              <w:t>7,807</w:t>
            </w:r>
          </w:p>
        </w:tc>
        <w:tc>
          <w:tcPr>
            <w:tcW w:type="dxa" w:w="1440"/>
            <w:shd w:fill="FFDCE0" w:val="clear"/>
          </w:tcPr>
          <w:p>
            <w:r>
              <w:rPr>
                <w:sz w:val="17"/>
              </w:rPr>
              <w:t>8,407</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289,80 milliards FCFA, BOAS s'impose comme l'une des valeurs bancaires de référence de la cote BRVM, reflétant la solidité de son bilan de 836,158 milliards FCFA. Le BPA de 608 FCFA par action signifie que chaque titre génère près de 608 FCFA de bénéfice net, un niveau de rentabilité par action particulièrement élevé pour le marché régional. Le PER de 13,2x situe le titre légèrement au-dessus de la moyenne BRVM (8-12x), traduisant une prime modérée justifiée par la qualité de la croissance bénéficiaire (+9,8% au T1 2026). Le P/B de 3,00x indique que le marché valorise la banque à trois fois ses fonds propres comptables (96,526 milliards FCFA), une prime de croissance significative mais cohérente avec un ROE de 22,69%. Enfin, l'EV/EBITDA de 8,6x, dans la fourchette raisonnable de 5-10x, confirme que la valeur d'entreprise reste proportionnée à la capacité opérationnelle de génération de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BOAS affiche une performance remarquable de +16,67%, malgré un repli de -1,71% lors de la dernière séance (J-1), ramenant le cours à 8 050 FCFA. Le titre a évolué dans un range de 1 600 FCFA, entre un plus bas de 6 900 FCFA et un plus haut de 8 500 FCFA, témoignant d'une dynamique haussière soutenue mais avec des phases de consolidation. La moyenne (7 645 FCFA) se situe au-dessus de la médiane (7 552 FCFA), un écart qui révèle une légère asymétrie positive — les cours élevés récents tirent la moyenne vers le haut. L'écart-type de 398 FCFA et le coefficient de variation de 5,2% indiquent une dispersion modérée du cours autour de sa tendance. Le kurtosis de -0,759 (mésokurtique) suggère une distribution proche de la normale, sans risque excessif de pics extrêmes, tandis que le skewness de +0,452 confirme une asymétrie légèrement positive, favorable aux détenteurs. La volatilité annualisée de 24,9% classe le titre dans la catégorie modérée (15-30%), offrant un profil risque/rendement équilibré pour une valeur bancaire de qualité.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(8 272,5 FCFA) et la MM50 (7 899,3 FCFA) encadrent le cours actuel (8 050 FCFA), qui se situe sous la MM20 mais au-dessus de la MM50. Cette configuration indique une correction à court terme dans une tendance de fond haussière, justifiant la décision d'achat par le maintien du support de la MM50.</w:t>
      </w:r>
    </w:p>
    <w:p>
      <w:pPr>
        <w:spacing w:after="120" w:line="276" w:lineRule="auto"/>
      </w:pPr>
      <w:r>
        <w:t>**Bandes de Bollinger** : Le cours (8 050 FCFA) évolue près de la borne inférieure (8 026,66 FCFA), tandis que la borne supérieure se situe à 8 518,34 FCFA. Cette position basse dans le canal suggère une pression vendeuse récente mais aussi un potentiel de rebond technique, d'où la décision neutre.</w:t>
      </w:r>
    </w:p>
    <w:p>
      <w:pPr>
        <w:spacing w:after="120" w:line="276" w:lineRule="auto"/>
      </w:pPr>
      <w:r>
        <w:t>**MACD** : La valeur du MACD (81,019) est nettement inférieure à son signal (123,171), confirmant un momentum baissier à court terme. Cette divergence négative justifie la décision de vente, bien qu'elle puisse représenter une opportunité d'entrée pour les investisseurs contrariants.</w:t>
      </w:r>
    </w:p>
    <w:p>
      <w:pPr>
        <w:spacing w:after="120" w:line="276" w:lineRule="auto"/>
      </w:pPr>
      <w:r>
        <w:t>**RSI** : À 36,898, le RSI se situe dans la zone neutre basse (30-70), proche du seuil de survente sans l'atteindre. Cette configuration indique une faiblesse relative mais pas de signal d'achat technique fort, justifiant la décision neutre.</w:t>
      </w:r>
    </w:p>
    <w:p>
      <w:pPr>
        <w:spacing w:after="120" w:line="276" w:lineRule="auto"/>
      </w:pPr>
      <w:r>
        <w:t>**Stochastique** : Le %K à 0,0 et le %D à 11,111 montrent un croisement en zone de survente extrême, signal classique de retournement haussier imminent. Cette configuration justifie pleinement la décision d'achat.</w:t>
      </w:r>
    </w:p>
    <w:p>
      <w:pPr>
        <w:spacing w:after="120" w:line="276" w:lineRule="auto"/>
      </w:pPr>
      <w:r>
        <w:t>**Conclusion technique** : Les indicateurs présentent une divergence notable : les moyennes mobiles et le stochastique émettent des signaux d'achat, tandis que le MACD et les Bandes de Bollinger suggèrent une prudence à court terme. Le RSI neutre confirme l'absence de signal directionnel fort. Cette configuration mixte plaide pour une consolidation avant reprise, avec un avantage aux acheteurs positionnés sur le support de la MM50.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BOAS affiche des fondamentaux bancaires de premier ordre avec un Produit Net Bancaire (PNB) de 51,926 milliards FCFA et un résultat net de 21,905 milliards FCFA, dégageant une marge nette exceptionnelle de 42,19%. Le ROE de 22,69% dépasse largement le seuil d'excellence de 15%, tandis que le ROA de 2,62% confirme l'efficacité dans l'utilisation des actifs. Le coefficient d'exploitation de 44,02% — inférieur au seuil de 50% — témoigne d'une banque hautement efficace, et le coût du risque de 23,31% des charges financières reste contenu. La structure bilancielle est solide avec 686,927 milliards FCFA de dépôts clientèle pour 386,424 milliards FCFA de créances, soit un ratio de transformation de 56,3%, et une trésorerie nette positive de 78,712 milliards FCFA. Les rapports trimestriels confirment cette dynamique : selon le rapport du T1 2026 (publié le 31 mars 2026), le PNB progresse de +6,82% à 12,580 milliards FCFA et le résultat net de +9,78% à 5,741 milliards FCFA, avec un coefficient d'exploitation amélioré à 42,1%. Le rapport du T3 2025 (30 septembre 2025) faisait déjà état d'un PNB de 37,44 milliards FCFA (+6,71%) et d'un résultat net de 16,37 milliards FCFA (+10,01%). Sur la base de ces tendances, on estime que l'exercice 2026 devrait enregistrer un PNB annuel d'environ 55-56 milliards FCFA et un résultat net de 23-24 milliards FCFA, confirmant la trajectoire de croissance durable. La recommandation fondamentale est à l'achat, portée par la solidité du modèle, la qualité du portefeuille et la maîtrise opérationnelle.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BOAS (PER 13,2x, P/B 3,00x, EV/EBITDA 8,6x) indique une légère prime par rapport au marché BRVM, justifiée par des fondamentaux supérieurs à la moyenne. Le comportement du cours sur 100 jours (+16,67%) avec une volatilité modérée (24,9%) et une distribution proche de la normale (kurtosis -0,759, skewness +0,452) offre un profil rassurant, bien que la correction récente (-1,71% en J-1) et la position sous la MM20 signalent une consolidation à court terme. Les signaux techniques sont divergents : le stochastique en survente extrême et la MM50 support plaident pour un rebond, tandis que le MACD baissier et les Bandes de Bollinger en zone basse incitent à la prudence. Les fondamentaux restent le pilier de la thèse d'investissement : ROE de 22,69%, coefficient d'exploitation de 44,02%, croissance du résultat net de +9,78% au T1 2026 et perspectives annuelles estimées à 23-24 milliards FCFA de bénéfice net. Les prédictions IA (8 048 FCFA à 7 930 FCFA sur 10 jours) anticipent une poursuite de la consolidation baissière à court terme, contredisant partiellement les signaux d'achat techniques mais cohérentes avec le momentum négatif du MACD. **Recommandation finale : ACHAT**, avec un niveau de confiance **Moyen** et un risque global **Moyen**. La convergence entre valorisation raisonnable, fondamentaux solides et potentiel de rebond technique soutient cette recommandation, mais la divergence des indicateurs à court terme invite à privilégier un **horizon d'investissement de moyen terme (3-12 mois)** pour capturer pleinement la création de valeur fondamentale.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2,092 titres</w:t>
            </w:r>
          </w:p>
        </w:tc>
        <w:tc>
          <w:tcPr>
            <w:tcW w:type="dxa" w:w="2268"/>
            <w:shd w:fill="FFF2CC" w:val="clear"/>
          </w:tcPr>
          <w:p>
            <w:r>
              <w:rPr>
                <w:b/>
                <w:color w:val="503200"/>
                <w:sz w:val="16"/>
              </w:rPr>
              <w:t xml:space="preserve">Cours actuel : </w:t>
            </w:r>
            <w:r>
              <w:rPr>
                <w:color w:val="000000"/>
                <w:sz w:val="17"/>
              </w:rPr>
              <w:t>3,405 FCFA</w:t>
            </w:r>
          </w:p>
          <w:p>
            <w:r>
              <w:rPr>
                <w:b/>
                <w:color w:val="503200"/>
                <w:sz w:val="16"/>
              </w:rPr>
              <w:t xml:space="preserve">Var. 100 jours : </w:t>
            </w:r>
            <w:r>
              <w:rPr>
                <w:b/>
                <w:color w:val="B40000"/>
                <w:sz w:val="17"/>
              </w:rPr>
              <w:t>-5.42%</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3,400 FCFA</w:t>
            </w:r>
          </w:p>
          <w:p>
            <w:r>
              <w:rPr>
                <w:b/>
                <w:color w:val="503200"/>
                <w:sz w:val="16"/>
              </w:rPr>
              <w:t xml:space="preserve">Volatilité ann. : </w:t>
            </w:r>
            <w:r>
              <w:rPr>
                <w:color w:val="000000"/>
                <w:sz w:val="17"/>
              </w:rPr>
              <w:t>44.7%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7.29% (Moyenne) — μ=3,706 FCFA, σ=270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β=0.1669 (Défensif) — Cov=0.000006, Var(idx)=0.000036, ρ=0.035,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σ_j=2.82%/j (Stable) — Vol. annualisée≈44.7%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3,309</w:t>
            </w:r>
          </w:p>
        </w:tc>
        <w:tc>
          <w:tcPr>
            <w:tcW w:type="dxa" w:w="1440"/>
            <w:shd w:fill="FAFAFA" w:val="clear"/>
          </w:tcPr>
          <w:p>
            <w:r>
              <w:rPr>
                <w:b/>
                <w:sz w:val="17"/>
              </w:rPr>
              <w:t>3,383</w:t>
            </w:r>
          </w:p>
        </w:tc>
        <w:tc>
          <w:tcPr>
            <w:tcW w:type="dxa" w:w="1440"/>
            <w:shd w:fill="FAFAFA" w:val="clear"/>
          </w:tcPr>
          <w:p>
            <w:r>
              <w:rPr>
                <w:sz w:val="17"/>
              </w:rPr>
              <w:t>3,458</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3,256</w:t>
            </w:r>
          </w:p>
        </w:tc>
        <w:tc>
          <w:tcPr>
            <w:tcW w:type="dxa" w:w="1440"/>
            <w:shd w:fill="FAFAFA" w:val="clear"/>
          </w:tcPr>
          <w:p>
            <w:r>
              <w:rPr>
                <w:b/>
                <w:sz w:val="17"/>
              </w:rPr>
              <w:t>3,360</w:t>
            </w:r>
          </w:p>
        </w:tc>
        <w:tc>
          <w:tcPr>
            <w:tcW w:type="dxa" w:w="1440"/>
            <w:shd w:fill="FAFAFA" w:val="clear"/>
          </w:tcPr>
          <w:p>
            <w:r>
              <w:rPr>
                <w:sz w:val="17"/>
              </w:rPr>
              <w:t>3,465</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3,211</w:t>
            </w:r>
          </w:p>
        </w:tc>
        <w:tc>
          <w:tcPr>
            <w:tcW w:type="dxa" w:w="1440"/>
            <w:shd w:fill="FAFAFA" w:val="clear"/>
          </w:tcPr>
          <w:p>
            <w:r>
              <w:rPr>
                <w:b/>
                <w:sz w:val="17"/>
              </w:rPr>
              <w:t>3,339</w:t>
            </w:r>
          </w:p>
        </w:tc>
        <w:tc>
          <w:tcPr>
            <w:tcW w:type="dxa" w:w="1440"/>
            <w:shd w:fill="FAFAFA" w:val="clear"/>
          </w:tcPr>
          <w:p>
            <w:r>
              <w:rPr>
                <w:sz w:val="17"/>
              </w:rPr>
              <w:t>3,466</w:t>
            </w:r>
          </w:p>
        </w:tc>
        <w:tc>
          <w:tcPr>
            <w:tcW w:type="dxa" w:w="1440"/>
            <w:shd w:fill="FAFAFA"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2026-09-24</w:t>
            </w:r>
          </w:p>
        </w:tc>
        <w:tc>
          <w:tcPr>
            <w:tcW w:type="dxa" w:w="1440"/>
            <w:shd w:fill="FFDCE0" w:val="clear"/>
          </w:tcPr>
          <w:p>
            <w:r>
              <w:rPr>
                <w:sz w:val="17"/>
              </w:rPr>
              <w:t>3,172</w:t>
            </w:r>
          </w:p>
        </w:tc>
        <w:tc>
          <w:tcPr>
            <w:tcW w:type="dxa" w:w="1440"/>
            <w:shd w:fill="FFDCE0" w:val="clear"/>
          </w:tcPr>
          <w:p>
            <w:r>
              <w:rPr>
                <w:b/>
                <w:sz w:val="17"/>
              </w:rPr>
              <w:t>3,318</w:t>
            </w:r>
          </w:p>
        </w:tc>
        <w:tc>
          <w:tcPr>
            <w:tcW w:type="dxa" w:w="1440"/>
            <w:shd w:fill="FFDCE0" w:val="clear"/>
          </w:tcPr>
          <w:p>
            <w:r>
              <w:rPr>
                <w:sz w:val="17"/>
              </w:rPr>
              <w:t>3,464</w:t>
            </w:r>
          </w:p>
        </w:tc>
        <w:tc>
          <w:tcPr>
            <w:tcW w:type="dxa" w:w="1440"/>
            <w:shd w:fill="FFDCE0" w:val="clear"/>
          </w:tcPr>
          <w:p>
            <w:r>
              <w:rPr>
                <w:b/>
                <w:color w:val="C00000"/>
                <w:sz w:val="17"/>
              </w:rPr>
              <w:t>-2.6%</w:t>
            </w:r>
          </w:p>
        </w:tc>
      </w:tr>
      <w:tr>
        <w:tc>
          <w:tcPr>
            <w:tcW w:type="dxa" w:w="1440"/>
            <w:shd w:fill="FFDCE0" w:val="clear"/>
          </w:tcPr>
          <w:p>
            <w:r>
              <w:rPr>
                <w:sz w:val="17"/>
              </w:rPr>
              <w:t>J+5  Moyenne</w:t>
            </w:r>
          </w:p>
        </w:tc>
        <w:tc>
          <w:tcPr>
            <w:tcW w:type="dxa" w:w="1440"/>
            <w:shd w:fill="FFDCE0" w:val="clear"/>
          </w:tcPr>
          <w:p>
            <w:r>
              <w:rPr>
                <w:sz w:val="17"/>
              </w:rPr>
              <w:t>2026-09-25</w:t>
            </w:r>
          </w:p>
        </w:tc>
        <w:tc>
          <w:tcPr>
            <w:tcW w:type="dxa" w:w="1440"/>
            <w:shd w:fill="FFDCE0" w:val="clear"/>
          </w:tcPr>
          <w:p>
            <w:r>
              <w:rPr>
                <w:sz w:val="17"/>
              </w:rPr>
              <w:t>3,136</w:t>
            </w:r>
          </w:p>
        </w:tc>
        <w:tc>
          <w:tcPr>
            <w:tcW w:type="dxa" w:w="1440"/>
            <w:shd w:fill="FFDCE0" w:val="clear"/>
          </w:tcPr>
          <w:p>
            <w:r>
              <w:rPr>
                <w:b/>
                <w:sz w:val="17"/>
              </w:rPr>
              <w:t>3,298</w:t>
            </w:r>
          </w:p>
        </w:tc>
        <w:tc>
          <w:tcPr>
            <w:tcW w:type="dxa" w:w="1440"/>
            <w:shd w:fill="FFDCE0" w:val="clear"/>
          </w:tcPr>
          <w:p>
            <w:r>
              <w:rPr>
                <w:sz w:val="17"/>
              </w:rPr>
              <w:t>3,461</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2026-09-28</w:t>
            </w:r>
          </w:p>
        </w:tc>
        <w:tc>
          <w:tcPr>
            <w:tcW w:type="dxa" w:w="1440"/>
            <w:shd w:fill="FFDCE0" w:val="clear"/>
          </w:tcPr>
          <w:p>
            <w:r>
              <w:rPr>
                <w:sz w:val="17"/>
              </w:rPr>
              <w:t>3,102</w:t>
            </w:r>
          </w:p>
        </w:tc>
        <w:tc>
          <w:tcPr>
            <w:tcW w:type="dxa" w:w="1440"/>
            <w:shd w:fill="FFDCE0" w:val="clear"/>
          </w:tcPr>
          <w:p>
            <w:r>
              <w:rPr>
                <w:b/>
                <w:sz w:val="17"/>
              </w:rPr>
              <w:t>3,279</w:t>
            </w:r>
          </w:p>
        </w:tc>
        <w:tc>
          <w:tcPr>
            <w:tcW w:type="dxa" w:w="1440"/>
            <w:shd w:fill="FFDCE0" w:val="clear"/>
          </w:tcPr>
          <w:p>
            <w:r>
              <w:rPr>
                <w:sz w:val="17"/>
              </w:rPr>
              <w:t>3,456</w:t>
            </w:r>
          </w:p>
        </w:tc>
        <w:tc>
          <w:tcPr>
            <w:tcW w:type="dxa" w:w="1440"/>
            <w:shd w:fill="FFDCE0" w:val="clear"/>
          </w:tcPr>
          <w:p>
            <w:r>
              <w:rPr>
                <w:b/>
                <w:color w:val="C00000"/>
                <w:sz w:val="17"/>
              </w:rPr>
              <w:t>-3.7%</w:t>
            </w:r>
          </w:p>
        </w:tc>
      </w:tr>
      <w:tr>
        <w:tc>
          <w:tcPr>
            <w:tcW w:type="dxa" w:w="1440"/>
            <w:shd w:fill="FFDCE0" w:val="clear"/>
          </w:tcPr>
          <w:p>
            <w:r>
              <w:rPr>
                <w:sz w:val="17"/>
              </w:rPr>
              <w:t>J+7  Moyenne</w:t>
            </w:r>
          </w:p>
        </w:tc>
        <w:tc>
          <w:tcPr>
            <w:tcW w:type="dxa" w:w="1440"/>
            <w:shd w:fill="FFDCE0" w:val="clear"/>
          </w:tcPr>
          <w:p>
            <w:r>
              <w:rPr>
                <w:sz w:val="17"/>
              </w:rPr>
              <w:t>2026-09-29</w:t>
            </w:r>
          </w:p>
        </w:tc>
        <w:tc>
          <w:tcPr>
            <w:tcW w:type="dxa" w:w="1440"/>
            <w:shd w:fill="FFDCE0" w:val="clear"/>
          </w:tcPr>
          <w:p>
            <w:r>
              <w:rPr>
                <w:sz w:val="17"/>
              </w:rPr>
              <w:t>3,069</w:t>
            </w:r>
          </w:p>
        </w:tc>
        <w:tc>
          <w:tcPr>
            <w:tcW w:type="dxa" w:w="1440"/>
            <w:shd w:fill="FFDCE0" w:val="clear"/>
          </w:tcPr>
          <w:p>
            <w:r>
              <w:rPr>
                <w:b/>
                <w:sz w:val="17"/>
              </w:rPr>
              <w:t>3,259</w:t>
            </w:r>
          </w:p>
        </w:tc>
        <w:tc>
          <w:tcPr>
            <w:tcW w:type="dxa" w:w="1440"/>
            <w:shd w:fill="FFDCE0" w:val="clear"/>
          </w:tcPr>
          <w:p>
            <w:r>
              <w:rPr>
                <w:sz w:val="17"/>
              </w:rPr>
              <w:t>3,449</w:t>
            </w:r>
          </w:p>
        </w:tc>
        <w:tc>
          <w:tcPr>
            <w:tcW w:type="dxa" w:w="1440"/>
            <w:shd w:fill="FFDCE0" w:val="clear"/>
          </w:tcPr>
          <w:p>
            <w:r>
              <w:rPr>
                <w:b/>
                <w:color w:val="C00000"/>
                <w:sz w:val="17"/>
              </w:rPr>
              <w:t>-4.3%</w:t>
            </w:r>
          </w:p>
        </w:tc>
      </w:tr>
      <w:tr>
        <w:tc>
          <w:tcPr>
            <w:tcW w:type="dxa" w:w="1440"/>
            <w:shd w:fill="FFDCE0" w:val="clear"/>
          </w:tcPr>
          <w:p>
            <w:r>
              <w:rPr>
                <w:sz w:val="17"/>
              </w:rPr>
              <w:t>J+8  Moyenne</w:t>
            </w:r>
          </w:p>
        </w:tc>
        <w:tc>
          <w:tcPr>
            <w:tcW w:type="dxa" w:w="1440"/>
            <w:shd w:fill="FFDCE0" w:val="clear"/>
          </w:tcPr>
          <w:p>
            <w:r>
              <w:rPr>
                <w:sz w:val="17"/>
              </w:rPr>
              <w:t>2026-09-30</w:t>
            </w:r>
          </w:p>
        </w:tc>
        <w:tc>
          <w:tcPr>
            <w:tcW w:type="dxa" w:w="1440"/>
            <w:shd w:fill="FFDCE0" w:val="clear"/>
          </w:tcPr>
          <w:p>
            <w:r>
              <w:rPr>
                <w:sz w:val="17"/>
              </w:rPr>
              <w:t>3,038</w:t>
            </w:r>
          </w:p>
        </w:tc>
        <w:tc>
          <w:tcPr>
            <w:tcW w:type="dxa" w:w="1440"/>
            <w:shd w:fill="FFDCE0" w:val="clear"/>
          </w:tcPr>
          <w:p>
            <w:r>
              <w:rPr>
                <w:b/>
                <w:sz w:val="17"/>
              </w:rPr>
              <w:t>3,240</w:t>
            </w:r>
          </w:p>
        </w:tc>
        <w:tc>
          <w:tcPr>
            <w:tcW w:type="dxa" w:w="1440"/>
            <w:shd w:fill="FFDCE0" w:val="clear"/>
          </w:tcPr>
          <w:p>
            <w:r>
              <w:rPr>
                <w:sz w:val="17"/>
              </w:rPr>
              <w:t>3,442</w:t>
            </w:r>
          </w:p>
        </w:tc>
        <w:tc>
          <w:tcPr>
            <w:tcW w:type="dxa" w:w="1440"/>
            <w:shd w:fill="FFDCE0" w:val="clear"/>
          </w:tcPr>
          <w:p>
            <w:r>
              <w:rPr>
                <w:b/>
                <w:color w:val="C00000"/>
                <w:sz w:val="17"/>
              </w:rPr>
              <w:t>-4.9%</w:t>
            </w:r>
          </w:p>
        </w:tc>
      </w:tr>
      <w:tr>
        <w:tc>
          <w:tcPr>
            <w:tcW w:type="dxa" w:w="1440"/>
            <w:shd w:fill="FFDCE0" w:val="clear"/>
          </w:tcPr>
          <w:p>
            <w:r>
              <w:rPr>
                <w:sz w:val="17"/>
              </w:rPr>
              <w:t>J+9  Moyenne</w:t>
            </w:r>
          </w:p>
        </w:tc>
        <w:tc>
          <w:tcPr>
            <w:tcW w:type="dxa" w:w="1440"/>
            <w:shd w:fill="FFDCE0" w:val="clear"/>
          </w:tcPr>
          <w:p>
            <w:r>
              <w:rPr>
                <w:sz w:val="17"/>
              </w:rPr>
              <w:t>2026-10-01</w:t>
            </w:r>
          </w:p>
        </w:tc>
        <w:tc>
          <w:tcPr>
            <w:tcW w:type="dxa" w:w="1440"/>
            <w:shd w:fill="FFDCE0" w:val="clear"/>
          </w:tcPr>
          <w:p>
            <w:r>
              <w:rPr>
                <w:sz w:val="17"/>
              </w:rPr>
              <w:t>3,007</w:t>
            </w:r>
          </w:p>
        </w:tc>
        <w:tc>
          <w:tcPr>
            <w:tcW w:type="dxa" w:w="1440"/>
            <w:shd w:fill="FFDCE0" w:val="clear"/>
          </w:tcPr>
          <w:p>
            <w:r>
              <w:rPr>
                <w:b/>
                <w:sz w:val="17"/>
              </w:rPr>
              <w:t>3,220</w:t>
            </w:r>
          </w:p>
        </w:tc>
        <w:tc>
          <w:tcPr>
            <w:tcW w:type="dxa" w:w="1440"/>
            <w:shd w:fill="FFDCE0" w:val="clear"/>
          </w:tcPr>
          <w:p>
            <w:r>
              <w:rPr>
                <w:sz w:val="17"/>
              </w:rPr>
              <w:t>3,433</w:t>
            </w:r>
          </w:p>
        </w:tc>
        <w:tc>
          <w:tcPr>
            <w:tcW w:type="dxa" w:w="1440"/>
            <w:shd w:fill="FFDCE0" w:val="clear"/>
          </w:tcPr>
          <w:p>
            <w:r>
              <w:rPr>
                <w:b/>
                <w:color w:val="C00000"/>
                <w:sz w:val="17"/>
              </w:rPr>
              <w:t>-5.4%</w:t>
            </w:r>
          </w:p>
        </w:tc>
      </w:tr>
      <w:tr>
        <w:tc>
          <w:tcPr>
            <w:tcW w:type="dxa" w:w="1440"/>
            <w:shd w:fill="FFDCE0" w:val="clear"/>
          </w:tcPr>
          <w:p>
            <w:r>
              <w:rPr>
                <w:sz w:val="17"/>
              </w:rPr>
              <w:t>J+10  Moyenne</w:t>
            </w:r>
          </w:p>
        </w:tc>
        <w:tc>
          <w:tcPr>
            <w:tcW w:type="dxa" w:w="1440"/>
            <w:shd w:fill="FFDCE0" w:val="clear"/>
          </w:tcPr>
          <w:p>
            <w:r>
              <w:rPr>
                <w:sz w:val="17"/>
              </w:rPr>
              <w:t>2026-10-02</w:t>
            </w:r>
          </w:p>
        </w:tc>
        <w:tc>
          <w:tcPr>
            <w:tcW w:type="dxa" w:w="1440"/>
            <w:shd w:fill="FFDCE0" w:val="clear"/>
          </w:tcPr>
          <w:p>
            <w:r>
              <w:rPr>
                <w:sz w:val="17"/>
              </w:rPr>
              <w:t>2,977</w:t>
            </w:r>
          </w:p>
        </w:tc>
        <w:tc>
          <w:tcPr>
            <w:tcW w:type="dxa" w:w="1440"/>
            <w:shd w:fill="FFDCE0" w:val="clear"/>
          </w:tcPr>
          <w:p>
            <w:r>
              <w:rPr>
                <w:b/>
                <w:sz w:val="17"/>
              </w:rPr>
              <w:t>3,200</w:t>
            </w:r>
          </w:p>
        </w:tc>
        <w:tc>
          <w:tcPr>
            <w:tcW w:type="dxa" w:w="1440"/>
            <w:shd w:fill="FFDCE0" w:val="clear"/>
          </w:tcPr>
          <w:p>
            <w:r>
              <w:rPr>
                <w:sz w:val="17"/>
              </w:rPr>
              <w:t>3,423</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20,16 milliards FCFA, CABC se situe dans la catégorie des petites capitalisations de la BRVM, ce qui implique une liquidité limitée et une sensibilité accrue aux mouvements de portefeuille. Le BPA de 243 FCFA/action indique le bénéfice net généré par titre, mais ce chiffre doit être manié avec prudence car il provient de données 2025 dont la cohérence avec les rapports narratifs est discutée (voir Partie 3). Le PER de 14,0x place le titre au-dessus de la moyenne BRVM (~8-12x), suggérant que les investisseurs paient une prime pour les bénéfices, prime qui n'est justifiée que si la croissance se matérialise. Le P/B de 2,16x traduit une valorisation supérieure à la valeur comptable, accordant une prime de croissance aux capitaux propres. Enfin, l'EV/EBITDA de 7,0x situe la valeur d'entreprise dans une fourchette raisonnable (5-10x), indiquant que la capacité opérationnelle n'est pas survalorisée.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CABC affiche une variation totale de -5,42%, avec une dernière séance en repli de -0,73%, confirmant une dynamique baissière persistante. Le cours actuel de 3 405 FCFA évolue dans un range de 3 400 à 4 500 FCFA, soit un écart de 1 100 FCFA (32% du plus bas), ce qui témoigne d'une forte amplitude de trading. La tendance générale est clairement baissière, le cours se situant à seulement 5 FCFA du plus bas de la période, ce qui signale une pression vendeuse continue. Les statistiques descriptives révèlent une moyenne de 3 706 FCFA supérieure à la médiane de 3 610 FCFA, avec un mode à 3 500 FCFA : cet écart indique une distribution asymétrique où quelques séances à cours élevé tirent la moyenne vers le haut. L'écart-type de 272 FCFA (CV=7,3%) traduit une dispersion modérée du cours autour de sa moyenne, tandis que le kurtosis de 0,751 (mésokurtique) suggère une distribution proche de la normale, sans risque extrême de pics. Le skewness de 1,137 (asymétrie positive) indique davantage de journées sous la moyenne, confirmant la pression baissière. Enfin, la volatilité annualisée de 44,7% classe le titre dans la catégorie à volatilité élevée (&gt;30%), ce qui implique un risque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(3 502,75 FCFA) et la MM50 (3 602,80 FCFA) se situent toutes deux au-dessus du cours actuel (3 405 FCFA), avec la MM20 sous la MM50, configurant un croisement baissier (death cross). Cette configuration confirme la tendance baissière et justifie la décision de vente, le cours évoluant sous ses deux moyennes de référence.</w:t>
      </w:r>
    </w:p>
    <w:p>
      <w:pPr>
        <w:spacing w:after="120" w:line="276" w:lineRule="auto"/>
      </w:pPr>
      <w:r>
        <w:t>**Bandes de Bollinger** : Le cours (3 405 FCFA) évolue près de la borne inférieure (3 389,08 FCFA), à seulement 16 FCFA de celle-ci, tandis que la borne supérieure se situe à 3 616,42 FCFA. Cette position basse dans le canal indique une pression vendeuse, mais la décision reste neutre car le cours n'a pas encore cassé la borne inférieure, laissant une possibilité de rebond technique.</w:t>
      </w:r>
    </w:p>
    <w:p>
      <w:pPr>
        <w:spacing w:after="120" w:line="276" w:lineRule="auto"/>
      </w:pPr>
      <w:r>
        <w:t>**MACD** : La valeur du MACD (-50,708) est inférieure à son signal (-49,769), avec un histogramme négatif, confirmant un momentum baissier. La divergence entre les deux lignes reste faible mais persistante, justifiant la décision de vente tant que le MACD ne repasse pas au-dessus de son signal.</w:t>
      </w:r>
    </w:p>
    <w:p>
      <w:pPr>
        <w:spacing w:after="120" w:line="276" w:lineRule="auto"/>
      </w:pPr>
      <w:r>
        <w:t>**RSI** : À 39,286, le RSI se situe dans la zone neutre basse (30-70), sans atteindre la zone de survente (&lt;30). Cette position indique que le titre n'est pas encore techniquement survendu, laissant un potentiel de baisse supplémentaire avant un rebond, ce qui justifie la décision neutre.</w:t>
      </w:r>
    </w:p>
    <w:p>
      <w:pPr>
        <w:spacing w:after="120" w:line="276" w:lineRule="auto"/>
      </w:pPr>
      <w:r>
        <w:t>**Stochastique** : Le %K à 0,0 est extrêmement bas, tandis que le %D à 26,19 reste modéré, avec un croisement potentiel à venir. Cette configuration en zone de survente extrême (%K=0) génère une décision d'achat contrariante, suggérant qu'un rebond technique pourrait se produire à court terme, bien que ce signal soit à confirmer par les autres indicateurs.</w:t>
      </w:r>
    </w:p>
    <w:p>
      <w:pPr>
        <w:spacing w:after="120" w:line="276" w:lineRule="auto"/>
      </w:pPr>
      <w:r>
        <w:t>**Conclusion technique** : Les indicateurs techniques présentent une divergence notable : les moyennes mobiles, le MACD et les Bandes de Bollinger confirment une tendance baissière, tandis que le stochastique en zone de survente extrême (%K=0) et le RSI proche de la survente suggèrent un possible rebond technique à court terme. Cette divergence indique que le titre pourrait connaître une stabilisation voire un rebond temporaire, mais la tendance de fond reste baissière tant que le cours n'aura pas reconquis la MM20 (3 502,75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(base brvm_donnees_financieres) indiquent un chiffre d'affaires de 21 263 M FCFA, un résultat net de 1 439 M FCFA, un ROE de 15,40% et un ROA de 6,10%, avec une marge nette de 6,77% et un taux de croissance du CA de 11,18%. Cependant, ces chiffres doivent être confrontés aux rapports narratifs officiels, qui révèlent une divergence majeure : le rapport annuel certifié 2024 (publié le 31/12/2024) fait état d'un résultat net de 1 225 M FCFA (bénéfice), tandis que le rapport d'analyse Mistral du 15/03/2026 sur l'exercice 2025 mentionne une perte nette de 1 704 M FCFA. Cette contradiction suggère que les données structurées pourraient refléter une version provisoire ou des retraitements non confirmés, et il convient de privilégier les rapports officiels certifiés. Sur le plan opérationnel, la société affiche une dépendance critique aux matières premières (cuivre, aluminium), avec des délais clients élevés de 144,69 jours et une durée de stockage de 152,12 jours, traduisant un risque de trésorerie important. Le BFR de 7 186 M FCFA (positif) et un flux opérationnel négatif de -819,66 M FCFA en 2025 confirment une tension sur la liquidité, bien que la trésorerie nette reste positive à 5 139 M FCFA. Les rapports trimestriels 2025 (S1 et T3) montrent une amélioration : le CA du S1 2025 progresse de +12,0% à 10 772,9 M FCFA avec un résultat net de 851,5 M FCFA (+55,3%), et le T3 2025 affiche un CA cumulé de 16 630,0 M FCFA (+13,7%) pour un résultat net de 1 329,5 M FCFA (+26,0%). On estime donc que l'exercice 2025 devrait clôturer avec un résultat net positif, mais le rapport T1 2026 (publié en 2026) révèle une dégradation brutale : CA en baisse de -26,5% à 3 794 M FCFA et une perte nette de -221,7 M FCFA, due à une maintenance planifiée et à l'inflation des cours des métaux (+23%). La recommandation fondamentale est donc prudente : la société reste solide sur le plan opérationnel (ROE &gt;15%, autonomie financière de 39,58%), mais les risques de trésorerie, la volatilité des matières premières et la dégradation récente au T1 2026 imposent une surveillance étroite.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La valorisation (Partie 0) affiche un PER de 14,0x et un P/B de 2,16x, indiquant une prime par rapport au marché BRVM, mais l'EV/EBITDA de 7,0x reste raisonnable. Le comportement du cours (Partie 1) est préoccupant : tendance baissière (-5,42%), volatilité élevée (44,7%), skewness positif (1,137) et cours proche du plus bas (3 405 FCFA vs 3 400 FCFA), ce qui traduit une pression vendeuse persistante. Les signaux techniques (Partie 2) sont majoritairement baissiers (MM, MACD, Bollinger), mais le stochastique en zone de survente extrême (%K=0) suggère un rebond technique imminent, créant une divergence qui appelle à la prudence. Les fondamentaux (Partie 3) montrent une société avec un ROE de 15,40% et une croissance du CA de 11,18% en 2025, mais les rapports trimestriels 2026 révèlent une dégradation brutale au T1 2026 (perte de -221,7 M FCFA), ce qui remet en cause la trajectoire bénéficiaire. Les prédictions IA (J+1 à J+10) anticipent une poursuite de la baisse jusqu'à 3 298 FCFA le 25/09/2026, confirmant la tendance baissière et contredisant l'espoir d'un rebond durable. Sur la base de cette convergence baissière (technique, fondamental récent et prédictions), la recommandation finale est **VENTE**, avec un niveau de confiance **Moyen** (en raison du signal contrariant du stochastique) et un niveau de risque **Élevé** (volatilité 44,7%, tension de trésorerie, dépendance aux matières premières). L'horizon d'investissement optimal est **court terme** (&lt;3 mois) pour les investisseurs cherchant à sortir avant une éventuelle dégradation supplémentaire, tandis que les investisseurs long terme devraient attendre une stabilisation des marges et une confirmation du redressement au T2 2026 avant d'envisager une 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1082.88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1,528 titres</w:t>
            </w:r>
          </w:p>
        </w:tc>
        <w:tc>
          <w:tcPr>
            <w:tcW w:type="dxa" w:w="2268"/>
            <w:shd w:fill="FFF2CC" w:val="clear"/>
          </w:tcPr>
          <w:p>
            <w:r>
              <w:rPr>
                <w:b/>
                <w:color w:val="503200"/>
                <w:sz w:val="16"/>
              </w:rPr>
              <w:t xml:space="preserve">Cours actuel : </w:t>
            </w:r>
            <w:r>
              <w:rPr>
                <w:color w:val="000000"/>
                <w:sz w:val="17"/>
              </w:rPr>
              <w:t>33,840 FCFA</w:t>
            </w:r>
          </w:p>
          <w:p>
            <w:r>
              <w:rPr>
                <w:b/>
                <w:color w:val="503200"/>
                <w:sz w:val="16"/>
              </w:rPr>
              <w:t xml:space="preserve">Var. 100 jours : </w:t>
            </w:r>
            <w:r>
              <w:rPr>
                <w:b/>
                <w:color w:val="007800"/>
                <w:sz w:val="17"/>
              </w:rPr>
              <w:t>+105.22%</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15,600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20.82% (Élevée) — μ=25,285 FCFA, σ=5,264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β=0.9353 (Neutre (suit le marché)) — Cov=0.000034, Var(idx)=0.000036, ρ=0.222,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1,528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2026-09-21</w:t>
            </w:r>
          </w:p>
        </w:tc>
        <w:tc>
          <w:tcPr>
            <w:tcW w:type="dxa" w:w="1440"/>
            <w:shd w:fill="FFDCE0" w:val="clear"/>
          </w:tcPr>
          <w:p>
            <w:r>
              <w:rPr>
                <w:sz w:val="17"/>
              </w:rPr>
              <w:t>30,501</w:t>
            </w:r>
          </w:p>
        </w:tc>
        <w:tc>
          <w:tcPr>
            <w:tcW w:type="dxa" w:w="1440"/>
            <w:shd w:fill="FFDCE0" w:val="clear"/>
          </w:tcPr>
          <w:p>
            <w:r>
              <w:rPr>
                <w:b/>
                <w:sz w:val="17"/>
              </w:rPr>
              <w:t>31,432</w:t>
            </w:r>
          </w:p>
        </w:tc>
        <w:tc>
          <w:tcPr>
            <w:tcW w:type="dxa" w:w="1440"/>
            <w:shd w:fill="FFDCE0" w:val="clear"/>
          </w:tcPr>
          <w:p>
            <w:r>
              <w:rPr>
                <w:sz w:val="17"/>
              </w:rPr>
              <w:t>32,363</w:t>
            </w:r>
          </w:p>
        </w:tc>
        <w:tc>
          <w:tcPr>
            <w:tcW w:type="dxa" w:w="1440"/>
            <w:shd w:fill="FFDCE0" w:val="clear"/>
          </w:tcPr>
          <w:p>
            <w:r>
              <w:rPr>
                <w:b/>
                <w:color w:val="C00000"/>
                <w:sz w:val="17"/>
              </w:rPr>
              <w:t>-7.1%</w:t>
            </w:r>
          </w:p>
        </w:tc>
      </w:tr>
      <w:tr>
        <w:tc>
          <w:tcPr>
            <w:tcW w:type="dxa" w:w="1440"/>
            <w:shd w:fill="FFDCE0" w:val="clear"/>
          </w:tcPr>
          <w:p>
            <w:r>
              <w:rPr>
                <w:sz w:val="17"/>
              </w:rPr>
              <w:t>J+2  ⭐⭐⭐</w:t>
            </w:r>
          </w:p>
        </w:tc>
        <w:tc>
          <w:tcPr>
            <w:tcW w:type="dxa" w:w="1440"/>
            <w:shd w:fill="FFDCE0" w:val="clear"/>
          </w:tcPr>
          <w:p>
            <w:r>
              <w:rPr>
                <w:sz w:val="17"/>
              </w:rPr>
              <w:t>2026-09-22</w:t>
            </w:r>
          </w:p>
        </w:tc>
        <w:tc>
          <w:tcPr>
            <w:tcW w:type="dxa" w:w="1440"/>
            <w:shd w:fill="FFDCE0" w:val="clear"/>
          </w:tcPr>
          <w:p>
            <w:r>
              <w:rPr>
                <w:sz w:val="17"/>
              </w:rPr>
              <w:t>29,118</w:t>
            </w:r>
          </w:p>
        </w:tc>
        <w:tc>
          <w:tcPr>
            <w:tcW w:type="dxa" w:w="1440"/>
            <w:shd w:fill="FFDCE0" w:val="clear"/>
          </w:tcPr>
          <w:p>
            <w:r>
              <w:rPr>
                <w:b/>
                <w:sz w:val="17"/>
              </w:rPr>
              <w:t>30,391</w:t>
            </w:r>
          </w:p>
        </w:tc>
        <w:tc>
          <w:tcPr>
            <w:tcW w:type="dxa" w:w="1440"/>
            <w:shd w:fill="FFDCE0" w:val="clear"/>
          </w:tcPr>
          <w:p>
            <w:r>
              <w:rPr>
                <w:sz w:val="17"/>
              </w:rPr>
              <w:t>31,663</w:t>
            </w:r>
          </w:p>
        </w:tc>
        <w:tc>
          <w:tcPr>
            <w:tcW w:type="dxa" w:w="1440"/>
            <w:shd w:fill="FFDCE0" w:val="clear"/>
          </w:tcPr>
          <w:p>
            <w:r>
              <w:rPr>
                <w:b/>
                <w:color w:val="C00000"/>
                <w:sz w:val="17"/>
              </w:rPr>
              <w:t>-10.2%</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28,410</w:t>
            </w:r>
          </w:p>
        </w:tc>
        <w:tc>
          <w:tcPr>
            <w:tcW w:type="dxa" w:w="1440"/>
            <w:shd w:fill="FFDCE0" w:val="clear"/>
          </w:tcPr>
          <w:p>
            <w:r>
              <w:rPr>
                <w:b/>
                <w:sz w:val="17"/>
              </w:rPr>
              <w:t>29,946</w:t>
            </w:r>
          </w:p>
        </w:tc>
        <w:tc>
          <w:tcPr>
            <w:tcW w:type="dxa" w:w="1440"/>
            <w:shd w:fill="FFDCE0" w:val="clear"/>
          </w:tcPr>
          <w:p>
            <w:r>
              <w:rPr>
                <w:sz w:val="17"/>
              </w:rPr>
              <w:t>31,482</w:t>
            </w:r>
          </w:p>
        </w:tc>
        <w:tc>
          <w:tcPr>
            <w:tcW w:type="dxa" w:w="1440"/>
            <w:shd w:fill="FFDCE0" w:val="clear"/>
          </w:tcPr>
          <w:p>
            <w:r>
              <w:rPr>
                <w:b/>
                <w:color w:val="C00000"/>
                <w:sz w:val="17"/>
              </w:rPr>
              <w:t>-11.5%</w:t>
            </w:r>
          </w:p>
        </w:tc>
      </w:tr>
      <w:tr>
        <w:tc>
          <w:tcPr>
            <w:tcW w:type="dxa" w:w="1440"/>
            <w:shd w:fill="FFDCE0" w:val="clear"/>
          </w:tcPr>
          <w:p>
            <w:r>
              <w:rPr>
                <w:sz w:val="17"/>
              </w:rPr>
              <w:t>J+4  Moyenne</w:t>
            </w:r>
          </w:p>
        </w:tc>
        <w:tc>
          <w:tcPr>
            <w:tcW w:type="dxa" w:w="1440"/>
            <w:shd w:fill="FFDCE0" w:val="clear"/>
          </w:tcPr>
          <w:p>
            <w:r>
              <w:rPr>
                <w:sz w:val="17"/>
              </w:rPr>
              <w:t>2026-09-24</w:t>
            </w:r>
          </w:p>
        </w:tc>
        <w:tc>
          <w:tcPr>
            <w:tcW w:type="dxa" w:w="1440"/>
            <w:shd w:fill="FFDCE0" w:val="clear"/>
          </w:tcPr>
          <w:p>
            <w:r>
              <w:rPr>
                <w:sz w:val="17"/>
              </w:rPr>
              <w:t>27,895</w:t>
            </w:r>
          </w:p>
        </w:tc>
        <w:tc>
          <w:tcPr>
            <w:tcW w:type="dxa" w:w="1440"/>
            <w:shd w:fill="FFDCE0" w:val="clear"/>
          </w:tcPr>
          <w:p>
            <w:r>
              <w:rPr>
                <w:b/>
                <w:sz w:val="17"/>
              </w:rPr>
              <w:t>29,652</w:t>
            </w:r>
          </w:p>
        </w:tc>
        <w:tc>
          <w:tcPr>
            <w:tcW w:type="dxa" w:w="1440"/>
            <w:shd w:fill="FFDCE0" w:val="clear"/>
          </w:tcPr>
          <w:p>
            <w:r>
              <w:rPr>
                <w:sz w:val="17"/>
              </w:rPr>
              <w:t>31,408</w:t>
            </w:r>
          </w:p>
        </w:tc>
        <w:tc>
          <w:tcPr>
            <w:tcW w:type="dxa" w:w="1440"/>
            <w:shd w:fill="FFDCE0" w:val="clear"/>
          </w:tcPr>
          <w:p>
            <w:r>
              <w:rPr>
                <w:b/>
                <w:color w:val="C00000"/>
                <w:sz w:val="17"/>
              </w:rPr>
              <w:t>-12.4%</w:t>
            </w:r>
          </w:p>
        </w:tc>
      </w:tr>
      <w:tr>
        <w:tc>
          <w:tcPr>
            <w:tcW w:type="dxa" w:w="1440"/>
            <w:shd w:fill="FFDCE0" w:val="clear"/>
          </w:tcPr>
          <w:p>
            <w:r>
              <w:rPr>
                <w:sz w:val="17"/>
              </w:rPr>
              <w:t>J+5  Moyenne</w:t>
            </w:r>
          </w:p>
        </w:tc>
        <w:tc>
          <w:tcPr>
            <w:tcW w:type="dxa" w:w="1440"/>
            <w:shd w:fill="FFDCE0" w:val="clear"/>
          </w:tcPr>
          <w:p>
            <w:r>
              <w:rPr>
                <w:sz w:val="17"/>
              </w:rPr>
              <w:t>2026-09-25</w:t>
            </w:r>
          </w:p>
        </w:tc>
        <w:tc>
          <w:tcPr>
            <w:tcW w:type="dxa" w:w="1440"/>
            <w:shd w:fill="FFDCE0" w:val="clear"/>
          </w:tcPr>
          <w:p>
            <w:r>
              <w:rPr>
                <w:sz w:val="17"/>
              </w:rPr>
              <w:t>27,444</w:t>
            </w:r>
          </w:p>
        </w:tc>
        <w:tc>
          <w:tcPr>
            <w:tcW w:type="dxa" w:w="1440"/>
            <w:shd w:fill="FFDCE0" w:val="clear"/>
          </w:tcPr>
          <w:p>
            <w:r>
              <w:rPr>
                <w:b/>
                <w:sz w:val="17"/>
              </w:rPr>
              <w:t>29,390</w:t>
            </w:r>
          </w:p>
        </w:tc>
        <w:tc>
          <w:tcPr>
            <w:tcW w:type="dxa" w:w="1440"/>
            <w:shd w:fill="FFDCE0" w:val="clear"/>
          </w:tcPr>
          <w:p>
            <w:r>
              <w:rPr>
                <w:sz w:val="17"/>
              </w:rPr>
              <w:t>31,336</w:t>
            </w:r>
          </w:p>
        </w:tc>
        <w:tc>
          <w:tcPr>
            <w:tcW w:type="dxa" w:w="1440"/>
            <w:shd w:fill="FFDCE0" w:val="clear"/>
          </w:tcPr>
          <w:p>
            <w:r>
              <w:rPr>
                <w:b/>
                <w:color w:val="C00000"/>
                <w:sz w:val="17"/>
              </w:rPr>
              <w:t>-13.2%</w:t>
            </w:r>
          </w:p>
        </w:tc>
      </w:tr>
      <w:tr>
        <w:tc>
          <w:tcPr>
            <w:tcW w:type="dxa" w:w="1440"/>
            <w:shd w:fill="FFDCE0" w:val="clear"/>
          </w:tcPr>
          <w:p>
            <w:r>
              <w:rPr>
                <w:sz w:val="17"/>
              </w:rPr>
              <w:t>J+6  Moyenne</w:t>
            </w:r>
          </w:p>
        </w:tc>
        <w:tc>
          <w:tcPr>
            <w:tcW w:type="dxa" w:w="1440"/>
            <w:shd w:fill="FFDCE0" w:val="clear"/>
          </w:tcPr>
          <w:p>
            <w:r>
              <w:rPr>
                <w:sz w:val="17"/>
              </w:rPr>
              <w:t>2026-09-28</w:t>
            </w:r>
          </w:p>
        </w:tc>
        <w:tc>
          <w:tcPr>
            <w:tcW w:type="dxa" w:w="1440"/>
            <w:shd w:fill="FFDCE0" w:val="clear"/>
          </w:tcPr>
          <w:p>
            <w:r>
              <w:rPr>
                <w:sz w:val="17"/>
              </w:rPr>
              <w:t>27,053</w:t>
            </w:r>
          </w:p>
        </w:tc>
        <w:tc>
          <w:tcPr>
            <w:tcW w:type="dxa" w:w="1440"/>
            <w:shd w:fill="FFDCE0" w:val="clear"/>
          </w:tcPr>
          <w:p>
            <w:r>
              <w:rPr>
                <w:b/>
                <w:sz w:val="17"/>
              </w:rPr>
              <w:t>29,169</w:t>
            </w:r>
          </w:p>
        </w:tc>
        <w:tc>
          <w:tcPr>
            <w:tcW w:type="dxa" w:w="1440"/>
            <w:shd w:fill="FFDCE0" w:val="clear"/>
          </w:tcPr>
          <w:p>
            <w:r>
              <w:rPr>
                <w:sz w:val="17"/>
              </w:rPr>
              <w:t>31,285</w:t>
            </w:r>
          </w:p>
        </w:tc>
        <w:tc>
          <w:tcPr>
            <w:tcW w:type="dxa" w:w="1440"/>
            <w:shd w:fill="FFDCE0" w:val="clear"/>
          </w:tcPr>
          <w:p>
            <w:r>
              <w:rPr>
                <w:b/>
                <w:color w:val="C00000"/>
                <w:sz w:val="17"/>
              </w:rPr>
              <w:t>-13.8%</w:t>
            </w:r>
          </w:p>
        </w:tc>
      </w:tr>
      <w:tr>
        <w:tc>
          <w:tcPr>
            <w:tcW w:type="dxa" w:w="1440"/>
            <w:shd w:fill="FFDCE0" w:val="clear"/>
          </w:tcPr>
          <w:p>
            <w:r>
              <w:rPr>
                <w:sz w:val="17"/>
              </w:rPr>
              <w:t>J+7  Moyenne</w:t>
            </w:r>
          </w:p>
        </w:tc>
        <w:tc>
          <w:tcPr>
            <w:tcW w:type="dxa" w:w="1440"/>
            <w:shd w:fill="FFDCE0" w:val="clear"/>
          </w:tcPr>
          <w:p>
            <w:r>
              <w:rPr>
                <w:sz w:val="17"/>
              </w:rPr>
              <w:t>2026-09-29</w:t>
            </w:r>
          </w:p>
        </w:tc>
        <w:tc>
          <w:tcPr>
            <w:tcW w:type="dxa" w:w="1440"/>
            <w:shd w:fill="FFDCE0" w:val="clear"/>
          </w:tcPr>
          <w:p>
            <w:r>
              <w:rPr>
                <w:sz w:val="17"/>
              </w:rPr>
              <w:t>26,712</w:t>
            </w:r>
          </w:p>
        </w:tc>
        <w:tc>
          <w:tcPr>
            <w:tcW w:type="dxa" w:w="1440"/>
            <w:shd w:fill="FFDCE0" w:val="clear"/>
          </w:tcPr>
          <w:p>
            <w:r>
              <w:rPr>
                <w:b/>
                <w:sz w:val="17"/>
              </w:rPr>
              <w:t>28,983</w:t>
            </w:r>
          </w:p>
        </w:tc>
        <w:tc>
          <w:tcPr>
            <w:tcW w:type="dxa" w:w="1440"/>
            <w:shd w:fill="FFDCE0" w:val="clear"/>
          </w:tcPr>
          <w:p>
            <w:r>
              <w:rPr>
                <w:sz w:val="17"/>
              </w:rPr>
              <w:t>31,254</w:t>
            </w:r>
          </w:p>
        </w:tc>
        <w:tc>
          <w:tcPr>
            <w:tcW w:type="dxa" w:w="1440"/>
            <w:shd w:fill="FFDCE0" w:val="clear"/>
          </w:tcPr>
          <w:p>
            <w:r>
              <w:rPr>
                <w:b/>
                <w:color w:val="C00000"/>
                <w:sz w:val="17"/>
              </w:rPr>
              <w:t>-14.4%</w:t>
            </w:r>
          </w:p>
        </w:tc>
      </w:tr>
      <w:tr>
        <w:tc>
          <w:tcPr>
            <w:tcW w:type="dxa" w:w="1440"/>
            <w:shd w:fill="FFDCE0" w:val="clear"/>
          </w:tcPr>
          <w:p>
            <w:r>
              <w:rPr>
                <w:sz w:val="17"/>
              </w:rPr>
              <w:t>J+8  Moyenne</w:t>
            </w:r>
          </w:p>
        </w:tc>
        <w:tc>
          <w:tcPr>
            <w:tcW w:type="dxa" w:w="1440"/>
            <w:shd w:fill="FFDCE0" w:val="clear"/>
          </w:tcPr>
          <w:p>
            <w:r>
              <w:rPr>
                <w:sz w:val="17"/>
              </w:rPr>
              <w:t>2026-09-30</w:t>
            </w:r>
          </w:p>
        </w:tc>
        <w:tc>
          <w:tcPr>
            <w:tcW w:type="dxa" w:w="1440"/>
            <w:shd w:fill="FFDCE0" w:val="clear"/>
          </w:tcPr>
          <w:p>
            <w:r>
              <w:rPr>
                <w:sz w:val="17"/>
              </w:rPr>
              <w:t>26,408</w:t>
            </w:r>
          </w:p>
        </w:tc>
        <w:tc>
          <w:tcPr>
            <w:tcW w:type="dxa" w:w="1440"/>
            <w:shd w:fill="FFDCE0" w:val="clear"/>
          </w:tcPr>
          <w:p>
            <w:r>
              <w:rPr>
                <w:b/>
                <w:sz w:val="17"/>
              </w:rPr>
              <w:t>28,823</w:t>
            </w:r>
          </w:p>
        </w:tc>
        <w:tc>
          <w:tcPr>
            <w:tcW w:type="dxa" w:w="1440"/>
            <w:shd w:fill="FFDCE0" w:val="clear"/>
          </w:tcPr>
          <w:p>
            <w:r>
              <w:rPr>
                <w:sz w:val="17"/>
              </w:rPr>
              <w:t>31,237</w:t>
            </w:r>
          </w:p>
        </w:tc>
        <w:tc>
          <w:tcPr>
            <w:tcW w:type="dxa" w:w="1440"/>
            <w:shd w:fill="FFDCE0" w:val="clear"/>
          </w:tcPr>
          <w:p>
            <w:r>
              <w:rPr>
                <w:b/>
                <w:color w:val="C00000"/>
                <w:sz w:val="17"/>
              </w:rPr>
              <w:t>-14.8%</w:t>
            </w:r>
          </w:p>
        </w:tc>
      </w:tr>
      <w:tr>
        <w:tc>
          <w:tcPr>
            <w:tcW w:type="dxa" w:w="1440"/>
            <w:shd w:fill="FFDCE0" w:val="clear"/>
          </w:tcPr>
          <w:p>
            <w:r>
              <w:rPr>
                <w:sz w:val="17"/>
              </w:rPr>
              <w:t>J+9  Moyenne</w:t>
            </w:r>
          </w:p>
        </w:tc>
        <w:tc>
          <w:tcPr>
            <w:tcW w:type="dxa" w:w="1440"/>
            <w:shd w:fill="FFDCE0" w:val="clear"/>
          </w:tcPr>
          <w:p>
            <w:r>
              <w:rPr>
                <w:sz w:val="17"/>
              </w:rPr>
              <w:t>2026-10-01</w:t>
            </w:r>
          </w:p>
        </w:tc>
        <w:tc>
          <w:tcPr>
            <w:tcW w:type="dxa" w:w="1440"/>
            <w:shd w:fill="FFDCE0" w:val="clear"/>
          </w:tcPr>
          <w:p>
            <w:r>
              <w:rPr>
                <w:sz w:val="17"/>
              </w:rPr>
              <w:t>26,134</w:t>
            </w:r>
          </w:p>
        </w:tc>
        <w:tc>
          <w:tcPr>
            <w:tcW w:type="dxa" w:w="1440"/>
            <w:shd w:fill="FFDCE0" w:val="clear"/>
          </w:tcPr>
          <w:p>
            <w:r>
              <w:rPr>
                <w:b/>
                <w:sz w:val="17"/>
              </w:rPr>
              <w:t>28,683</w:t>
            </w:r>
          </w:p>
        </w:tc>
        <w:tc>
          <w:tcPr>
            <w:tcW w:type="dxa" w:w="1440"/>
            <w:shd w:fill="FFDCE0" w:val="clear"/>
          </w:tcPr>
          <w:p>
            <w:r>
              <w:rPr>
                <w:sz w:val="17"/>
              </w:rPr>
              <w:t>31,231</w:t>
            </w:r>
          </w:p>
        </w:tc>
        <w:tc>
          <w:tcPr>
            <w:tcW w:type="dxa" w:w="1440"/>
            <w:shd w:fill="FFDCE0" w:val="clear"/>
          </w:tcPr>
          <w:p>
            <w:r>
              <w:rPr>
                <w:b/>
                <w:color w:val="C00000"/>
                <w:sz w:val="17"/>
              </w:rPr>
              <w:t>-15.2%</w:t>
            </w:r>
          </w:p>
        </w:tc>
      </w:tr>
      <w:tr>
        <w:tc>
          <w:tcPr>
            <w:tcW w:type="dxa" w:w="1440"/>
            <w:shd w:fill="FFDCE0" w:val="clear"/>
          </w:tcPr>
          <w:p>
            <w:r>
              <w:rPr>
                <w:sz w:val="17"/>
              </w:rPr>
              <w:t>J+10  Moyenne</w:t>
            </w:r>
          </w:p>
        </w:tc>
        <w:tc>
          <w:tcPr>
            <w:tcW w:type="dxa" w:w="1440"/>
            <w:shd w:fill="FFDCE0" w:val="clear"/>
          </w:tcPr>
          <w:p>
            <w:r>
              <w:rPr>
                <w:sz w:val="17"/>
              </w:rPr>
              <w:t>2026-10-02</w:t>
            </w:r>
          </w:p>
        </w:tc>
        <w:tc>
          <w:tcPr>
            <w:tcW w:type="dxa" w:w="1440"/>
            <w:shd w:fill="FFDCE0" w:val="clear"/>
          </w:tcPr>
          <w:p>
            <w:r>
              <w:rPr>
                <w:sz w:val="17"/>
              </w:rPr>
              <w:t>25,885</w:t>
            </w:r>
          </w:p>
        </w:tc>
        <w:tc>
          <w:tcPr>
            <w:tcW w:type="dxa" w:w="1440"/>
            <w:shd w:fill="FFDCE0" w:val="clear"/>
          </w:tcPr>
          <w:p>
            <w:r>
              <w:rPr>
                <w:b/>
                <w:sz w:val="17"/>
              </w:rPr>
              <w:t>28,559</w:t>
            </w:r>
          </w:p>
        </w:tc>
        <w:tc>
          <w:tcPr>
            <w:tcW w:type="dxa" w:w="1440"/>
            <w:shd w:fill="FFDCE0" w:val="clear"/>
          </w:tcPr>
          <w:p>
            <w:r>
              <w:rPr>
                <w:sz w:val="17"/>
              </w:rPr>
              <w:t>31,234</w:t>
            </w:r>
          </w:p>
        </w:tc>
        <w:tc>
          <w:tcPr>
            <w:tcW w:type="dxa" w:w="1440"/>
            <w:shd w:fill="FFDCE0" w:val="clear"/>
          </w:tcPr>
          <w:p>
            <w:r>
              <w:rPr>
                <w:b/>
                <w:color w:val="C00000"/>
                <w:sz w:val="17"/>
              </w:rPr>
              <w:t>-15.6%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 RAPPORT D'ANALYSE FINANCIÈRE — CORIS BANK INTERNATIONAL (CBIBF)</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**1 082,88 milliards FCFA**, CBIBF s'impose comme l'une des plus importantes capitalisations de la BRVM, ce qui traduit la confiance du marché envers le premier établissement bancaire burkinabè. Le **BPA de 2 047 FCFA par action** signifie que chaque titre génère près de 2 047 FCFA de bénéfice net, un niveau de rentabilité par action remarquable. Le **PER de 16,5x** se situe nettement au-dessus de la moyenne BRVM (généralement 8-12x), signalant que les investisseurs acceptent de payer une prime de croissance pour ce titre — la valorisation n'est donc pas bon marché mais reste défendable au regard de la dynamique bénéficiaire (+36,6% en 2025). L'**EV/EBITDA de 12,2x**, dans la fourchette haute (10-15x), confirme cette appréciation généreuse de la valeur d'entreprise par rapport à sa capacité opérationnelle. Le ratio P/B n'étant pas fourni dans les données, son analyse est laissée de côté, mais l'ensemble des ratios disponibles dessine un titre de qualité, valorisé à un niveau premium justifié par ses fondamentaux.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**progression spectaculaire de +105,22%**, avec une dernière séance en hausse de **+1,01%** à **33 840 FCFA**. Le titre a évolué dans un range très large, entre un plus bas de **15 600 FCFA** et un plus haut de **34 450 FCFA**, ce qui traduit une tendance franchement haussière, portée par l'amélioration des résultats et la forte collecte de dépôts. Les statistiques descriptives révèlent une **moyenne de 25 285 FCFA** légèrement inférieure à la **médiane de 26 350 FCFA**, signe d'une distribution quasi-symétrique (skewness de -0,074), tandis que le **mode à 22 000 FCFA** indique que le prix a longtemps stationné sous ses niveaux actuels. L'**écart-type de 5 291 FCFA (CV = 20,9%)** traduit une dispersion modérée du cours, et le **kurtosis de -1,000 (platykurtique)** indique une distribution aplatie, sans pics extrêmes marqués — le risque de mouvements brutaux isolés est donc limité. La **volatilité annualisée de 40,0%** classe ce titre dans la catégorie **élevée (&gt;30%)**, ce qui est cohérent avec la forte appréciation récente et appelle à la prudence sur les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(32 218 FCFA) et la MM50 (29 858,6 FCFA) se situent toutes deux sous le cours actuel (33 840 FCFA), avec une MM20 au-dessus de la MM50 — configuration haussière classique (golden cross). Le titre évolue au-dessus de ses deux moyennes, ce qui justifie la décision technique d'**Achat**.</w:t>
      </w:r>
    </w:p>
    <w:p>
      <w:pPr>
        <w:spacing w:after="120" w:line="276" w:lineRule="auto"/>
      </w:pPr>
      <w:r>
        <w:t>**Bandes de Bollinger** : Le cours (33 840 FCFA) évolue dans la partie haute du canal, entre la borne inférieure (28 220,5 FCFA) et la borne supérieure (36 215,5 FCFA), sans la franchir. Cette position proche de la borne haute, sans breakout, explique la décision **Neutre** — le titre est fort mais proche d'une zone de résistance statistique.</w:t>
      </w:r>
    </w:p>
    <w:p>
      <w:pPr>
        <w:spacing w:after="120" w:line="276" w:lineRule="auto"/>
      </w:pPr>
      <w:r>
        <w:t>**MACD** : La valeur du MACD (1 457,7) est très légèrement inférieure à son signal (1 465,3), générant un croisement baissier marginal. Ce momentum négatif naissant, bien que faible, justifie la décision de **Vente** — signal de prudence sur le court terme.</w:t>
      </w:r>
    </w:p>
    <w:p>
      <w:pPr>
        <w:spacing w:after="120" w:line="276" w:lineRule="auto"/>
      </w:pPr>
      <w:r>
        <w:t>**RSI** : À **76,99**, le RSI dépasse nettement le seuil de surachat (70), indiquant que le titre a été acheté de manière excessive à court terme. Cette configuration justifie la décision de **Vente**, avec un risque de correction technique.</w:t>
      </w:r>
    </w:p>
    <w:p>
      <w:pPr>
        <w:spacing w:after="120" w:line="276" w:lineRule="auto"/>
      </w:pPr>
      <w:r>
        <w:t>**Stochastique** : Le %K (84,1) est proche du %D (88,1), tous deux en zone de surachat (&gt;80), avec un %K sous le %D suggérant un début de croisement baissier. Cette configuration confirme la décision de **Vente**.</w:t>
      </w:r>
    </w:p>
    <w:p>
      <w:pPr>
        <w:spacing w:after="120" w:line="276" w:lineRule="auto"/>
      </w:pPr>
      <w:r>
        <w:t>**Conclusion technique** : Les signaux sont **majoritairement baissiers à court terme** (MACD, RSI, Stochastique en zone de surachat), tandis que la structure de fond reste haussière (MM20 &gt; MM50, cours au-dessus des moyennes). Cette divergence typique d'un titre en fin de rallye suggère une **prise de bénéfices probable** avant une éventuelle reprise, et appelle à la patience pour tout nouvel investissement.</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Coris Bank International affiche un **Produit Net Bancaire (PNB) de 138,986 milliards FCFA** (+6,1% sur un an), un **résultat net de 65,495 milliards FCFA** (+36,6% par rapport à 2024), un **ROA de 2,18%** et une **marge nette de 47,12%**. Le **coefficient d'exploitation de 36,39%** est excellent (&lt; 50%), témoignant d'une efficacité opérationnelle remarquable. Le **coût du risque s'élève à 16,5 milliards FCFA**, en amélioration spectaculaire de -59,3% par rapport à 2024 (année d'assainissement du portefeuille), ce qui traduit une nette amélioration de la qualité des actifs. Le ratio dépôts/crédits est très favorable : **2 015,3 milliards FCFA de dépôts** contre **1 326,98 milliards FCFA de créances clientèle**, soit un taux de transformation de 65,8%, indiquant une forte capacité de mobilisation de ressources.</w:t>
      </w:r>
    </w:p>
    <w:p>
      <w:pPr>
        <w:spacing w:after="120" w:line="276" w:lineRule="auto"/>
      </w:pPr>
      <w:r>
        <w:t>**Évolution pluriannuelle** : L'analyse des rapports antérieurs montre une trajectoire heurtée mais résiliente. Le **rapport annuel 2024 (publié le 31/12/2024)** révélait un résultat net en baisse de -25,4% à 47,9 milliards FCFA, plombé par une explosion du coût du risque (+72,5%). Le **rapport T1 2025 (31/03/2025)** confirmait le redressement avec un résultat net de 17,6 Mds FCFA (+5,89%), suivi du **S1 2025 (30/06/2025)** à 33,8 Mds FCFA (+0,66% seulement, freiné par le coût du risque) puis du **T3 2025 (30/09/2025)** à 52,9 Mds FCFA (+6,25%). La publication du **rapport annuel 2025** acte la normalisation complète avec un bond de +36,6% du résultat net.</w:t>
      </w:r>
    </w:p>
    <w:p>
      <w:pPr>
        <w:spacing w:after="120" w:line="276" w:lineRule="auto"/>
      </w:pPr>
      <w:r>
        <w:t>**Estimations basées sur les rapports trimestriels** : Le **rapport T1 2026 (publié en 2026)** constitue un signal très positif : le PNB atteint **36,8 milliards FCFA (+28,5%)**, le résultat net **21,5 milliards FCFA (+22,2%)**, et les dépôts bondissent de **+37,9% à 2 365,1 milliards FCFA**. On estime donc que l'exercice 2026 devrait enregistrer une nouvelle année de forte croissance, potentiellement supérieure à 2025, avec un résultat net projeté autour de 75-80 milliards FCFA si la dynamique se maintient.</w:t>
      </w:r>
    </w:p>
    <w:p>
      <w:pPr>
        <w:spacing w:after="120" w:line="276" w:lineRule="auto"/>
      </w:pPr>
      <w:r>
        <w:t>**Recommandation fondamentale** : La solidité du modèle (coefficient d'exploitation &lt; 40%, marge nette ~47%, notation AA/AI confirmée par Bloomfield), la normalisation du coût du risque et la croissance exceptionnelle des dépôts constituent des fondamentaux **très solides**. Les principaux risques restent l'environnement sécuritaire et géopolitique régional (UEMOA), ainsi que la croissance modérée des crédits (+3,8% au T1 2026) face à l'afflux massif de dépôts, qui pourrait comprimer la marge d'intérêt à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**décalage marqué entre la qualité fondamentale et les signaux techniques de court terme**. Sur le plan de la **valorisation (Partie 0)**, le PER de 16,5x et l'EV/EBITDA de 12,2x indiquent un titre valorisé à prime, sans marge de sécurité évidente, mais justifié par une croissance bénéficiaire exceptionnelle. Le **comportement du cours (Partie 1)** est haussier (+105% sur 100 jours) avec une volatilité élevée (40%) et une distribution symétrique sans pics extrêmes (kurtosis -1,0), ce qui est rassurant sur la stabilité des mouvements. Les **signaux techniques (Partie 2)** sont toutefois majoritairement baissiers à court terme : RSI en surachat (76,99), Stochastique en zone extrême, MACD en croisement baissier — un repli technique est probable. Les **fondamentaux (Partie 3)** sont excellents : résultat net 2025 de 65,5 Mds FCFA (+36,6%), coefficient d'exploitation de 36,4%, et le T1 2026 confirme l'accélération (PNB +28,5%, RN +22,2%). Enfin, les **prédictions IA (J+1 à J+10)** anticipent une **correction baissière** de 33 840 FCFA vers 29 390 FCFA (-13,2% en 5 séances), ce qui **confirme les signaux techniques de surachat** et contredit temporairement l'élan fondamental.</w:t>
      </w:r>
    </w:p>
    <w:p>
      <w:pPr>
        <w:spacing w:after="120" w:line="276" w:lineRule="auto"/>
      </w:pPr>
      <w:r>
        <w:t>**Recommandation finale : CONSERVER** (avec opportunité d'achat sur repli). La convergence entre les signaux techniques baissiers et les prédictions IA négatives suggère d'**attendre une correction vers la zone 29 000-30 000 FCFA** (proche de la MM50 à 29 858 FCFA) avant de renforcer. Le niveau de confiance est **Moyen** (fondamentaux solides mais valorisation tendue), le risque global est **Moyen à Élevé** (volatilité 40%, contexte régional incertain), et l'horizon optimal est le **moyen terme (3-12 mois)**, le temps que la correction technique s'achève et que la croissance 2026 se matérialise dans les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295.64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3,708 titres</w:t>
            </w:r>
          </w:p>
        </w:tc>
        <w:tc>
          <w:tcPr>
            <w:tcW w:type="dxa" w:w="2268"/>
            <w:shd w:fill="FFF2CC" w:val="clear"/>
          </w:tcPr>
          <w:p>
            <w:r>
              <w:rPr>
                <w:b/>
                <w:color w:val="503200"/>
                <w:sz w:val="16"/>
              </w:rPr>
              <w:t xml:space="preserve">Cours actuel : </w:t>
            </w:r>
            <w:r>
              <w:rPr>
                <w:color w:val="000000"/>
                <w:sz w:val="17"/>
              </w:rPr>
              <w:t>1,630 FCFA</w:t>
            </w:r>
          </w:p>
          <w:p>
            <w:r>
              <w:rPr>
                <w:b/>
                <w:color w:val="503200"/>
                <w:sz w:val="16"/>
              </w:rPr>
              <w:t xml:space="preserve">Var. 100 jours : </w:t>
            </w:r>
            <w:r>
              <w:rPr>
                <w:b/>
                <w:color w:val="007800"/>
                <w:sz w:val="17"/>
              </w:rPr>
              <w:t>+2.19%</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47.4%</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6.69% (Moyenne) — μ=1,625 FCFA, σ=109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β=1.1369 (Neutre (suit le marché)) — Cov=0.000041, Var(idx)=0.000036, ρ=0.228,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3,708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σ_j=2.98%/j (Stable) — Vol. annualisée≈47.4%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81/100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1,599</w:t>
            </w:r>
          </w:p>
        </w:tc>
        <w:tc>
          <w:tcPr>
            <w:tcW w:type="dxa" w:w="1440"/>
            <w:shd w:fill="FAFAFA" w:val="clear"/>
          </w:tcPr>
          <w:p>
            <w:r>
              <w:rPr>
                <w:b/>
                <w:sz w:val="17"/>
              </w:rPr>
              <w:t>1,655</w:t>
            </w:r>
          </w:p>
        </w:tc>
        <w:tc>
          <w:tcPr>
            <w:tcW w:type="dxa" w:w="1440"/>
            <w:shd w:fill="FAFAFA" w:val="clear"/>
          </w:tcPr>
          <w:p>
            <w:r>
              <w:rPr>
                <w:sz w:val="17"/>
              </w:rPr>
              <w:t>1,712</w:t>
            </w:r>
          </w:p>
        </w:tc>
        <w:tc>
          <w:tcPr>
            <w:tcW w:type="dxa" w:w="1440"/>
            <w:shd w:fill="FAFAFA" w:val="clear"/>
          </w:tcPr>
          <w:p>
            <w:r>
              <w:rPr>
                <w:b/>
                <w:color w:val="008000"/>
                <w:sz w:val="17"/>
              </w:rPr>
              <w:t>+1.5%</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1,576</w:t>
            </w:r>
          </w:p>
        </w:tc>
        <w:tc>
          <w:tcPr>
            <w:tcW w:type="dxa" w:w="1440"/>
            <w:shd w:fill="FAFAFA" w:val="clear"/>
          </w:tcPr>
          <w:p>
            <w:r>
              <w:rPr>
                <w:b/>
                <w:sz w:val="17"/>
              </w:rPr>
              <w:t>1,655</w:t>
            </w:r>
          </w:p>
        </w:tc>
        <w:tc>
          <w:tcPr>
            <w:tcW w:type="dxa" w:w="1440"/>
            <w:shd w:fill="FAFAFA" w:val="clear"/>
          </w:tcPr>
          <w:p>
            <w:r>
              <w:rPr>
                <w:sz w:val="17"/>
              </w:rPr>
              <w:t>1,735</w:t>
            </w:r>
          </w:p>
        </w:tc>
        <w:tc>
          <w:tcPr>
            <w:tcW w:type="dxa" w:w="1440"/>
            <w:shd w:fill="FAFAFA" w:val="clear"/>
          </w:tcPr>
          <w:p>
            <w:r>
              <w:rPr>
                <w:b/>
                <w:color w:val="008000"/>
                <w:sz w:val="17"/>
              </w:rPr>
              <w:t>+1.6%</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1,561</w:t>
            </w:r>
          </w:p>
        </w:tc>
        <w:tc>
          <w:tcPr>
            <w:tcW w:type="dxa" w:w="1440"/>
            <w:shd w:fill="FAFAFA" w:val="clear"/>
          </w:tcPr>
          <w:p>
            <w:r>
              <w:rPr>
                <w:b/>
                <w:sz w:val="17"/>
              </w:rPr>
              <w:t>1,659</w:t>
            </w:r>
          </w:p>
        </w:tc>
        <w:tc>
          <w:tcPr>
            <w:tcW w:type="dxa" w:w="1440"/>
            <w:shd w:fill="FAFAFA" w:val="clear"/>
          </w:tcPr>
          <w:p>
            <w:r>
              <w:rPr>
                <w:sz w:val="17"/>
              </w:rPr>
              <w:t>1,757</w:t>
            </w:r>
          </w:p>
        </w:tc>
        <w:tc>
          <w:tcPr>
            <w:tcW w:type="dxa" w:w="1440"/>
            <w:shd w:fill="FAFAFA" w:val="clear"/>
          </w:tcPr>
          <w:p>
            <w:r>
              <w:rPr>
                <w:b/>
                <w:color w:val="008000"/>
                <w:sz w:val="17"/>
              </w:rPr>
              <w:t>+1.8%</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1,550</w:t>
            </w:r>
          </w:p>
        </w:tc>
        <w:tc>
          <w:tcPr>
            <w:tcW w:type="dxa" w:w="1440"/>
            <w:shd w:fill="C6EFCE" w:val="clear"/>
          </w:tcPr>
          <w:p>
            <w:r>
              <w:rPr>
                <w:b/>
                <w:sz w:val="17"/>
              </w:rPr>
              <w:t>1,663</w:t>
            </w:r>
          </w:p>
        </w:tc>
        <w:tc>
          <w:tcPr>
            <w:tcW w:type="dxa" w:w="1440"/>
            <w:shd w:fill="C6EFCE" w:val="clear"/>
          </w:tcPr>
          <w:p>
            <w:r>
              <w:rPr>
                <w:sz w:val="17"/>
              </w:rPr>
              <w:t>1,777</w:t>
            </w:r>
          </w:p>
        </w:tc>
        <w:tc>
          <w:tcPr>
            <w:tcW w:type="dxa" w:w="1440"/>
            <w:shd w:fill="C6EFCE" w:val="clear"/>
          </w:tcPr>
          <w:p>
            <w:r>
              <w:rPr>
                <w:b/>
                <w:color w:val="008000"/>
                <w:sz w:val="17"/>
              </w:rPr>
              <w:t>+2.0%</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1,540</w:t>
            </w:r>
          </w:p>
        </w:tc>
        <w:tc>
          <w:tcPr>
            <w:tcW w:type="dxa" w:w="1440"/>
            <w:shd w:fill="C6EFCE" w:val="clear"/>
          </w:tcPr>
          <w:p>
            <w:r>
              <w:rPr>
                <w:b/>
                <w:sz w:val="17"/>
              </w:rPr>
              <w:t>1,667</w:t>
            </w:r>
          </w:p>
        </w:tc>
        <w:tc>
          <w:tcPr>
            <w:tcW w:type="dxa" w:w="1440"/>
            <w:shd w:fill="C6EFCE" w:val="clear"/>
          </w:tcPr>
          <w:p>
            <w:r>
              <w:rPr>
                <w:sz w:val="17"/>
              </w:rPr>
              <w:t>1,795</w:t>
            </w:r>
          </w:p>
        </w:tc>
        <w:tc>
          <w:tcPr>
            <w:tcW w:type="dxa" w:w="1440"/>
            <w:shd w:fill="C6EFCE" w:val="clear"/>
          </w:tcPr>
          <w:p>
            <w:r>
              <w:rPr>
                <w:b/>
                <w:color w:val="008000"/>
                <w:sz w:val="17"/>
              </w:rPr>
              <w:t>+2.3%</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1,532</w:t>
            </w:r>
          </w:p>
        </w:tc>
        <w:tc>
          <w:tcPr>
            <w:tcW w:type="dxa" w:w="1440"/>
            <w:shd w:fill="C6EFCE" w:val="clear"/>
          </w:tcPr>
          <w:p>
            <w:r>
              <w:rPr>
                <w:b/>
                <w:sz w:val="17"/>
              </w:rPr>
              <w:t>1,672</w:t>
            </w:r>
          </w:p>
        </w:tc>
        <w:tc>
          <w:tcPr>
            <w:tcW w:type="dxa" w:w="1440"/>
            <w:shd w:fill="C6EFCE" w:val="clear"/>
          </w:tcPr>
          <w:p>
            <w:r>
              <w:rPr>
                <w:sz w:val="17"/>
              </w:rPr>
              <w:t>1,811</w:t>
            </w:r>
          </w:p>
        </w:tc>
        <w:tc>
          <w:tcPr>
            <w:tcW w:type="dxa" w:w="1440"/>
            <w:shd w:fill="C6EFCE" w:val="clear"/>
          </w:tcPr>
          <w:p>
            <w:r>
              <w:rPr>
                <w:b/>
                <w:color w:val="008000"/>
                <w:sz w:val="17"/>
              </w:rPr>
              <w:t>+2.5%</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1,524</w:t>
            </w:r>
          </w:p>
        </w:tc>
        <w:tc>
          <w:tcPr>
            <w:tcW w:type="dxa" w:w="1440"/>
            <w:shd w:fill="C6EFCE" w:val="clear"/>
          </w:tcPr>
          <w:p>
            <w:r>
              <w:rPr>
                <w:b/>
                <w:sz w:val="17"/>
              </w:rPr>
              <w:t>1,676</w:t>
            </w:r>
          </w:p>
        </w:tc>
        <w:tc>
          <w:tcPr>
            <w:tcW w:type="dxa" w:w="1440"/>
            <w:shd w:fill="C6EFCE" w:val="clear"/>
          </w:tcPr>
          <w:p>
            <w:r>
              <w:rPr>
                <w:sz w:val="17"/>
              </w:rPr>
              <w:t>1,827</w:t>
            </w:r>
          </w:p>
        </w:tc>
        <w:tc>
          <w:tcPr>
            <w:tcW w:type="dxa" w:w="1440"/>
            <w:shd w:fill="C6EFCE" w:val="clear"/>
          </w:tcPr>
          <w:p>
            <w:r>
              <w:rPr>
                <w:b/>
                <w:color w:val="008000"/>
                <w:sz w:val="17"/>
              </w:rPr>
              <w:t>+2.8%</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1,517</w:t>
            </w:r>
          </w:p>
        </w:tc>
        <w:tc>
          <w:tcPr>
            <w:tcW w:type="dxa" w:w="1440"/>
            <w:shd w:fill="C6EFCE" w:val="clear"/>
          </w:tcPr>
          <w:p>
            <w:r>
              <w:rPr>
                <w:b/>
                <w:sz w:val="17"/>
              </w:rPr>
              <w:t>1,679</w:t>
            </w:r>
          </w:p>
        </w:tc>
        <w:tc>
          <w:tcPr>
            <w:tcW w:type="dxa" w:w="1440"/>
            <w:shd w:fill="C6EFCE" w:val="clear"/>
          </w:tcPr>
          <w:p>
            <w:r>
              <w:rPr>
                <w:sz w:val="17"/>
              </w:rPr>
              <w:t>1,842</w:t>
            </w:r>
          </w:p>
        </w:tc>
        <w:tc>
          <w:tcPr>
            <w:tcW w:type="dxa" w:w="1440"/>
            <w:shd w:fill="C6EFCE" w:val="clear"/>
          </w:tcPr>
          <w:p>
            <w:r>
              <w:rPr>
                <w:b/>
                <w:color w:val="008000"/>
                <w:sz w:val="17"/>
              </w:rPr>
              <w:t>+3.0%</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1,511</w:t>
            </w:r>
          </w:p>
        </w:tc>
        <w:tc>
          <w:tcPr>
            <w:tcW w:type="dxa" w:w="1440"/>
            <w:shd w:fill="C6EFCE" w:val="clear"/>
          </w:tcPr>
          <w:p>
            <w:r>
              <w:rPr>
                <w:b/>
                <w:sz w:val="17"/>
              </w:rPr>
              <w:t>1,683</w:t>
            </w:r>
          </w:p>
        </w:tc>
        <w:tc>
          <w:tcPr>
            <w:tcW w:type="dxa" w:w="1440"/>
            <w:shd w:fill="C6EFCE" w:val="clear"/>
          </w:tcPr>
          <w:p>
            <w:r>
              <w:rPr>
                <w:sz w:val="17"/>
              </w:rPr>
              <w:t>1,856</w:t>
            </w:r>
          </w:p>
        </w:tc>
        <w:tc>
          <w:tcPr>
            <w:tcW w:type="dxa" w:w="1440"/>
            <w:shd w:fill="C6EFCE" w:val="clear"/>
          </w:tcPr>
          <w:p>
            <w:r>
              <w:rPr>
                <w:b/>
                <w:color w:val="008000"/>
                <w:sz w:val="17"/>
              </w:rPr>
              <w:t>+3.3%</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1,505</w:t>
            </w:r>
          </w:p>
        </w:tc>
        <w:tc>
          <w:tcPr>
            <w:tcW w:type="dxa" w:w="1440"/>
            <w:shd w:fill="C6EFCE" w:val="clear"/>
          </w:tcPr>
          <w:p>
            <w:r>
              <w:rPr>
                <w:b/>
                <w:sz w:val="17"/>
              </w:rPr>
              <w:t>1,687</w:t>
            </w:r>
          </w:p>
        </w:tc>
        <w:tc>
          <w:tcPr>
            <w:tcW w:type="dxa" w:w="1440"/>
            <w:shd w:fill="C6EFCE" w:val="clear"/>
          </w:tcPr>
          <w:p>
            <w:r>
              <w:rPr>
                <w:sz w:val="17"/>
              </w:rPr>
              <w:t>1,869</w:t>
            </w:r>
          </w:p>
        </w:tc>
        <w:tc>
          <w:tcPr>
            <w:tcW w:type="dxa" w:w="1440"/>
            <w:shd w:fill="C6EFCE" w:val="clear"/>
          </w:tcPr>
          <w:p>
            <w:r>
              <w:rPr>
                <w:b/>
                <w:color w:val="008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 RAPPORT D'ANALYSE FINANCIÈRE — CFAC (CFAO Motors Côte d'Ivoire)</w:t>
        <w:br/>
        <w:t>**Bourse Régionale des Valeurs Mobilières (BRVM) — Secteur : Distribution Automobile**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295,64 milliards FCFA, CFAC figure parmi les valeurs les plus importantes de la cote BRVM, ce qui lui confère une liquidité relative et une visibilité institutionnelle appréciables. Le BPA de 26 FCFA/action signifie que chaque titre génère 26 FCFA de bénéfice net, mais le PER de 63,0x traduit un prix payé par les investisseurs près de six fois supérieur à la moyenne du marché BRVM (8-12x), soit une prime de croissance très agressive. Le P/B de 15,20x — largement au-dessus du seuil de 4x — indique que le marché valorise l'entreprise à plus de quinze fois sa valeur comptable, ce qui suppose une confiance extrême dans la rentabilité future des fonds propres (cohérent avec un ROE de 24,1%). Enfin, l'EV/EBITDA de 32,1x, très supérieur au seuil de 15x, montre que la valeur d'entreprise (incluant la dette) représente plus de trente fois la capacité opérationnelle dégagée, une valorisation exigeante qui laisse peu de marge d'erreur. **Conclusion : le titre est cher sur tous les plans, la prime de croissance étant déjà largement intégrée dans les cours.**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CFAC affiche une variation totale de +2,19%, mais la dernière séance a cédé -1,21%, signalant un essoufflement de court terme. Le cours actuel de 1 630 FCFA se situe dans la partie basse du range de trading compris entre 1 325 FCFA (plus bas) et 1 825 FCFA (plus haut), soit un écart de 500 FCFA (environ 38% du plus bas) qui témoigne d'une forte amplitude. La tendance générale est donc haussière sur la période mais avec une correction récente, le titre ayant perdu du terrain depuis son sommet. Les statistiques descriptives révèlent une moyenne de 1 625 FCFA légèrement inférieure à la médiane de 1 642 FCFA, écart qui confirme une asymétrie négative (skewness de -0,608) : davantage de journées se sont situées au-dessus de la moyenne, mais quelques séances de forte baisse ont tiré la moyenne vers le bas. L'écart-type de 109 FCFA (CV de 6,7%) indique une dispersion modérée du cours autour de sa tendance, tandis que le kurtosis de -0,258 (mésokurtique) suggère une distribution proche de la normale, sans pics extrêmes marqués — un profil relativement « sage » pour un titre de cette volatilité. La volatilité annualisée de 47,4% classe CFAC dans la catégorie des titres à volatilité **élevée** (&gt;30%), ce qui implique un risque de fluctuation important et justifie une prime de risque exigeante de la part des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(1 719,75 FCFA) et la MM50 (1 674,5 FCFA) se situent toutes deux au-dessus du cours actuel (1 630 FCFA), ce qui place le titre en position de faiblesse relative par rapport à ses tendances court et moyen terme. Cependant, la MM20 étant supérieure à la MM50, la configuration reste haussière de fond ; la décision « Achat » fournie suggère que le repli actuel constitue une opportunité de rebond vers ces moyennes.</w:t>
      </w:r>
    </w:p>
    <w:p>
      <w:pPr>
        <w:spacing w:after="120" w:line="276" w:lineRule="auto"/>
      </w:pPr>
      <w:r>
        <w:t>**Bandes de Bollinger** : Le cours (1 630 FCFA) évolue sous la borne inférieure (1 646,30 FCFA), ce qui est techniquement significatif : le titre est sorti par le bas de son canal de volatilité, situation qui précède souvent soit un rebond technique, soit une accélération baissière. La décision « Achat » repose sur l'hypothèse d'un retour à l'intérieur des bandes, mais cette position hors bande appelle à la prudence.</w:t>
      </w:r>
    </w:p>
    <w:p>
      <w:pPr>
        <w:spacing w:after="120" w:line="276" w:lineRule="auto"/>
      </w:pPr>
      <w:r>
        <w:t>**MACD** : La valeur du MACD (-3,797) est inférieure à son signal (7,971), configuration baissière classique avec un momentum négatif. La décision « Vente » du MACD contredit les autres indicateurs et signale que la pression vendeuse reste présente à court terme, ce qui invite à attendre une inflexion avant tout renforcement de position.</w:t>
      </w:r>
    </w:p>
    <w:p>
      <w:pPr>
        <w:spacing w:after="120" w:line="276" w:lineRule="auto"/>
      </w:pPr>
      <w:r>
        <w:t>**RSI** : À 33,824, le RSI se situe dans la zone neutre basse, proche du seuil de survente (30). La décision « Neutre » traduit un équilibre précaire : le titre n'est pas encore survendu, mais la faiblesse récente laisse entrevoir un potentiel de rebond si le seuil de 30 venait à être touché puis dépassé à la hausse.</w:t>
      </w:r>
    </w:p>
    <w:p>
      <w:pPr>
        <w:spacing w:after="120" w:line="276" w:lineRule="auto"/>
      </w:pPr>
      <w:r>
        <w:t>**Stochastique** : Avec un %K à 0,0 et un %D à 4,444, le stochastique est en zone de survente extrême, ce qui constitue un signal d'achat technique puissant (décision « Achat »). Le croisement haussier du %K au-dessus du %D est imminent ou en formation, ce qui pourrait déclencher un rebond à court terme.</w:t>
      </w:r>
    </w:p>
    <w:p>
      <w:pPr>
        <w:spacing w:after="120" w:line="276" w:lineRule="auto"/>
      </w:pPr>
      <w:r>
        <w:t>**Conclusion technique** : Les indicateurs sont divergents — les moyennes mobiles, les bandes de Bollinger et le stochastique plaident pour un rebond (signaux d'achat), tandis que le MACD reste baissier et le RSI neutre. Cette configuration suggère un titre en phase de correction au sein d'une tendance haussière plus large, avec un potentiel de rebond technique à court terme, mais une confirmation nécessaire par le MACD pour valider un retournement durable.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2024)** : En 2024, CFAC a réalisé un chiffre d'affaires de 158,313 milliards FCFA, en **baisse de -12,13%** par rapport à 2023, et un résultat net de 4,693 milliards FCFA, en recul de -26,7%. Le ROE s'établit à 24,13% (excellent, &gt;15%) et le ROA à 5,52%, tandis que la marge nette se contracte à 2,96% (contre 3,6% en 2023) et la marge opérationnelle à 4,96%. La structure financière reste solide avec une autonomie financière de 22,88% (légèrement sous le seuil sain de 30%), une solvabilité générale de 129,67% (&gt;1, donc solvable) et une capacité de remboursement de 0,72 an (dette financière/CAF), très confortable. Le BFR est négatif (-3,482 milliards FCFA), ce qui est favorable, mais la trésorerie nette est négative (-624,20 millions FCFA) et le Free Cash Flow s'établit à -1,650 milliard FCFA, sous pression en raison d'investissements lourds (-8,741 milliards FCFA). Les délais d'exploitation révèlent un délai client de 36,64 jours (modéré) et un délai fournisseur de 81,75 jours (favorable à la trésorerie), mais une durée de stockage élevée de 88,35 jours, immobilisant du capital.</w:t>
      </w:r>
    </w:p>
    <w:p>
      <w:pPr>
        <w:spacing w:after="120" w:line="276" w:lineRule="auto"/>
      </w:pPr>
      <w:r>
        <w:t>**Adaptation au secteur (entreprise non bancaire)** : Le modèle de CFAC est celui d'un distributeur automobile leader (part de marché de 41,7% au T3 2025), dont la rentabilité dépend fortement du volume de ventes et de la maîtrise des coûts d'achat (79% du CA en 2023). La baisse du CA 2024 (-12,1%) reflète un marché automobile difficile, avec une contraction des ventes de véhicules (-5,5% en volume) et des difficultés logistiques sur le service après-vente. Le taux de distribution de dividende très élevé en 2023 (88,1%) et le versement de 3,2 milliards FCFA en 2024 (contre 5,534 milliards en 2023) pèsent sur la trésorerie, tout comme les investissements en immobilisations corporelles (-8,706 milliards FCFA).</w:t>
      </w:r>
    </w:p>
    <w:p>
      <w:pPr>
        <w:spacing w:after="120" w:line="276" w:lineRule="auto"/>
      </w:pPr>
      <w:r>
        <w:t>**Estimations basées sur les rapports trimestriels** : Les rapports trimestriels 2025 (T1, S1, T3) témoignent d'un **redressement spectaculaire**. Au T1 2025 (rapport du 31/03/2025), le CA progresse de +14,5% à 46,161 milliards FCFA et le résultat net explose de +279,7% à 3,836 milliards FCFA, avec une marge nette de 8,3%. Au S1 2025 (rapport du 30/06/2025), le CA atteint 91,182 milliards FCFA (+18,4%) et le résultat net 5,420 milliards FCFA (+152,7%), avec une marge nette de 5,9%. Au T3 2025 (rapport du 30/09/2025), le CA trimestriel s'élève à 43,580 milliards FCFA (+18,3%) et le résultat net à 1,489 milliard FCFA (+38,1%), avec une marge nette de 3,42%. **Sur la base de ces tendances, on peut estimer que l'exercice 2025 devrait afficher un CA annuel de l'ordre de 180-185 milliards FCFA (retour au niveau 2023) et un résultat net de 7-8 milliards FCFA, en nette reprise par rapport à 2024.** Le rapport du 31/12/2026 (analysé par GEMINI-VISION) confirme d'ailleurs un CA 2024 de 158,31 milliards FCFA avec une croissance de +14,04% (+22,23 milliards FCFA) — cette divergence avec les états financiers 2024 fournis suggère une possible confusion de périmètre ou d'exercice, à surveiller.</w:t>
      </w:r>
    </w:p>
    <w:p>
      <w:pPr>
        <w:spacing w:after="120" w:line="276" w:lineRule="auto"/>
      </w:pPr>
      <w:r>
        <w:t>**Recommandation fondamentale** : La solidité financière de CFAC est réelle (ROE élevé, endettement maîtrisé, BFR négatif), mais la rentabilité 2024 s'est dégradée et la trésorerie est tendue. Le redressement observé en 2025 (T1, S1, T3) est encourageant et devrait se poursuivre, porté par la croissance du marché automobile ivoirien (+14%) et le maintien du leadership. **Le principal risque réside dans la valorisation extrêmement exigeante (PER 63x) qui intègre déjà une forte reprise, et dans la dépendance aux coûts d'achat et à la conjoncture économique.**</w:t>
      </w:r>
    </w:p>
    <w:p>
      <w:pPr>
        <w:spacing w:after="120" w:line="276" w:lineRule="auto"/>
      </w:pPr>
      <w:r>
        <w:t>---</w:t>
      </w:r>
    </w:p>
    <w:p>
      <w:pPr>
        <w:spacing w:after="120" w:line="276" w:lineRule="auto"/>
      </w:pPr>
      <w:r>
        <w:t>## PARTIE 4 : CONCLUSION D'INVESTISSEMENT</w:t>
      </w:r>
    </w:p>
    <w:p>
      <w:pPr>
        <w:spacing w:after="120" w:line="276" w:lineRule="auto"/>
      </w:pPr>
      <w:r>
        <w:t>La valorisation (Partie 0) est **très exigeante** : PER de 63x, P/B de 15,2x et EV/EBITDA de 32,1x intègrent déjà une reprise forte et une prime de leadership, laissant peu de marge de sécurité. Le comportement du cours (Partie 1) est mitigé : tendance haussière sur 100 jours (+2,19%) mais correction récente (-1,21% J-1), volatilité élevée (47,4%) et skewness négatif (-0,608) indiquant que les baisses récentes pèsent sur la moyenne — un profil préoccupant à court terme. Les signaux techniques (Partie 2) sont **divergents** : le stochastique en survente extrême et les bandes de Bollinger (cours sous la borne inférieure) plaident pour un rebond, mais le MACD baissier et le RSI neutre appellent à la prudence. Les fondamentaux (Partie 3) sont **solides mais contrastés** : ROE de 24,1%, endettement maîtrisé et BFR négatif, mais CA 2024 en baisse (-12,1%) et trésorerie nette négative ; le redressement 2025 (T1 : RN +279,7% ; S1 : RN +152,7% ; T3 : RN +38,1%) est un signal positif majeur qui devrait se confirmer sur l'exercice. Les prédictions IA (J+1 à J+10) anticipent une trajectoire haussière modérée de 1 655 à 1 667 FCFA (+2,3% sur 10 jours), ce qui **confirme** les signaux d'achat technique (stochastique, Bollinger) et la reprise fondamentale, mais **contredit** le MACD baissier.</w:t>
      </w:r>
    </w:p>
    <w:p>
      <w:pPr>
        <w:spacing w:after="120" w:line="276" w:lineRule="auto"/>
      </w:pPr>
      <w:r>
        <w:t>**Recommandation finale : CONSERVER (avec biais haussier à moyen terme).** La convergence entre la reprise fondamentale 2025, les signaux techniques de rebond (stochastique, Bollinger) et les prédictions IA positives soutient une posture constructive, mais la valorisation extrêmement exigeante (PER 63x) et la divergence du MACD empêchent de recommander un ACHAT FORT. **Niveau de confiance : Moyen** (les fondamentaux sont solides mais la valorisation limite le potentiel). **Niveau de risque global : Élevé** (volatilité de 47,4%, valorisation tendue, dépendance à la conjoncture automobile). **Horizon d'investissement optimal : Moyen terme (3-12 mois)**, le temps que la reprise 2025 se matérialise dans les résultats annuels et que la valorisation se normalise. Un repli vers 1 550-1 580 FCFA constituerait une zone d'accumulation intéressante, tandis qu'une cassure sous 1 500 FCFA invaliderait le scénario haussier.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361.20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6,991 titres</w:t>
            </w:r>
          </w:p>
        </w:tc>
        <w:tc>
          <w:tcPr>
            <w:tcW w:type="dxa" w:w="2268"/>
            <w:shd w:fill="FFF2CC" w:val="clear"/>
          </w:tcPr>
          <w:p>
            <w:r>
              <w:rPr>
                <w:b/>
                <w:color w:val="503200"/>
                <w:sz w:val="16"/>
              </w:rPr>
              <w:t xml:space="preserve">Cours actuel : </w:t>
            </w:r>
            <w:r>
              <w:rPr>
                <w:color w:val="000000"/>
                <w:sz w:val="17"/>
              </w:rPr>
              <w:t>6,450 FCFA</w:t>
            </w:r>
          </w:p>
          <w:p>
            <w:r>
              <w:rPr>
                <w:b/>
                <w:color w:val="503200"/>
                <w:sz w:val="16"/>
              </w:rPr>
              <w:t xml:space="preserve">Var. 100 jours : </w:t>
            </w:r>
            <w:r>
              <w:rPr>
                <w:b/>
                <w:color w:val="007800"/>
                <w:sz w:val="17"/>
              </w:rPr>
              <w:t>+115.00%</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22.94% (Élevée) — μ=5,152 FCFA, σ=1,182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β=1.0379 (Neutre (suit le marché)) — Cov=0.000038, Var(idx)=0.000036, ρ=0.194,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6,991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σ_j=3.20%/j (Modérée) — Vol. annualisée≈50.8%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2026-09-21</w:t>
            </w:r>
          </w:p>
        </w:tc>
        <w:tc>
          <w:tcPr>
            <w:tcW w:type="dxa" w:w="1440"/>
            <w:shd w:fill="FFDCE0" w:val="clear"/>
          </w:tcPr>
          <w:p>
            <w:r>
              <w:rPr>
                <w:sz w:val="17"/>
              </w:rPr>
              <w:t>5,963</w:t>
            </w:r>
          </w:p>
        </w:tc>
        <w:tc>
          <w:tcPr>
            <w:tcW w:type="dxa" w:w="1440"/>
            <w:shd w:fill="FFDCE0" w:val="clear"/>
          </w:tcPr>
          <w:p>
            <w:r>
              <w:rPr>
                <w:b/>
                <w:sz w:val="17"/>
              </w:rPr>
              <w:t>6,303</w:t>
            </w:r>
          </w:p>
        </w:tc>
        <w:tc>
          <w:tcPr>
            <w:tcW w:type="dxa" w:w="1440"/>
            <w:shd w:fill="FFDCE0" w:val="clear"/>
          </w:tcPr>
          <w:p>
            <w:r>
              <w:rPr>
                <w:sz w:val="17"/>
              </w:rPr>
              <w:t>6,643</w:t>
            </w:r>
          </w:p>
        </w:tc>
        <w:tc>
          <w:tcPr>
            <w:tcW w:type="dxa" w:w="1440"/>
            <w:shd w:fill="FFDCE0" w:val="clear"/>
          </w:tcPr>
          <w:p>
            <w:r>
              <w:rPr>
                <w:b/>
                <w:color w:val="C00000"/>
                <w:sz w:val="17"/>
              </w:rPr>
              <w:t>-2.3%</w:t>
            </w:r>
          </w:p>
        </w:tc>
      </w:tr>
      <w:tr>
        <w:tc>
          <w:tcPr>
            <w:tcW w:type="dxa" w:w="1440"/>
            <w:shd w:fill="FFDCE0" w:val="clear"/>
          </w:tcPr>
          <w:p>
            <w:r>
              <w:rPr>
                <w:sz w:val="17"/>
              </w:rPr>
              <w:t>J+2  Moyenne</w:t>
            </w:r>
          </w:p>
        </w:tc>
        <w:tc>
          <w:tcPr>
            <w:tcW w:type="dxa" w:w="1440"/>
            <w:shd w:fill="FFDCE0" w:val="clear"/>
          </w:tcPr>
          <w:p>
            <w:r>
              <w:rPr>
                <w:sz w:val="17"/>
              </w:rPr>
              <w:t>2026-09-22</w:t>
            </w:r>
          </w:p>
        </w:tc>
        <w:tc>
          <w:tcPr>
            <w:tcW w:type="dxa" w:w="1440"/>
            <w:shd w:fill="FFDCE0" w:val="clear"/>
          </w:tcPr>
          <w:p>
            <w:r>
              <w:rPr>
                <w:sz w:val="17"/>
              </w:rPr>
              <w:t>5,734</w:t>
            </w:r>
          </w:p>
        </w:tc>
        <w:tc>
          <w:tcPr>
            <w:tcW w:type="dxa" w:w="1440"/>
            <w:shd w:fill="FFDCE0" w:val="clear"/>
          </w:tcPr>
          <w:p>
            <w:r>
              <w:rPr>
                <w:b/>
                <w:sz w:val="17"/>
              </w:rPr>
              <w:t>6,208</w:t>
            </w:r>
          </w:p>
        </w:tc>
        <w:tc>
          <w:tcPr>
            <w:tcW w:type="dxa" w:w="1440"/>
            <w:shd w:fill="FFDCE0" w:val="clear"/>
          </w:tcPr>
          <w:p>
            <w:r>
              <w:rPr>
                <w:sz w:val="17"/>
              </w:rPr>
              <w:t>6,681</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2026-09-23</w:t>
            </w:r>
          </w:p>
        </w:tc>
        <w:tc>
          <w:tcPr>
            <w:tcW w:type="dxa" w:w="1440"/>
            <w:shd w:fill="FFDCE0" w:val="clear"/>
          </w:tcPr>
          <w:p>
            <w:r>
              <w:rPr>
                <w:sz w:val="17"/>
              </w:rPr>
              <w:t>5,564</w:t>
            </w:r>
          </w:p>
        </w:tc>
        <w:tc>
          <w:tcPr>
            <w:tcW w:type="dxa" w:w="1440"/>
            <w:shd w:fill="FFDCE0" w:val="clear"/>
          </w:tcPr>
          <w:p>
            <w:r>
              <w:rPr>
                <w:b/>
                <w:sz w:val="17"/>
              </w:rPr>
              <w:t>6,137</w:t>
            </w:r>
          </w:p>
        </w:tc>
        <w:tc>
          <w:tcPr>
            <w:tcW w:type="dxa" w:w="1440"/>
            <w:shd w:fill="FFDCE0" w:val="clear"/>
          </w:tcPr>
          <w:p>
            <w:r>
              <w:rPr>
                <w:sz w:val="17"/>
              </w:rPr>
              <w:t>6,710</w:t>
            </w:r>
          </w:p>
        </w:tc>
        <w:tc>
          <w:tcPr>
            <w:tcW w:type="dxa" w:w="1440"/>
            <w:shd w:fill="FFDCE0" w:val="clear"/>
          </w:tcPr>
          <w:p>
            <w:r>
              <w:rPr>
                <w:b/>
                <w:color w:val="C00000"/>
                <w:sz w:val="17"/>
              </w:rPr>
              <w:t>-4.9%</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5,434</w:t>
            </w:r>
          </w:p>
        </w:tc>
        <w:tc>
          <w:tcPr>
            <w:tcW w:type="dxa" w:w="1440"/>
            <w:shd w:fill="FFDCE0" w:val="clear"/>
          </w:tcPr>
          <w:p>
            <w:r>
              <w:rPr>
                <w:b/>
                <w:sz w:val="17"/>
              </w:rPr>
              <w:t>6,091</w:t>
            </w:r>
          </w:p>
        </w:tc>
        <w:tc>
          <w:tcPr>
            <w:tcW w:type="dxa" w:w="1440"/>
            <w:shd w:fill="FFDCE0" w:val="clear"/>
          </w:tcPr>
          <w:p>
            <w:r>
              <w:rPr>
                <w:sz w:val="17"/>
              </w:rPr>
              <w:t>6,747</w:t>
            </w:r>
          </w:p>
        </w:tc>
        <w:tc>
          <w:tcPr>
            <w:tcW w:type="dxa" w:w="1440"/>
            <w:shd w:fill="FFDCE0" w:val="clear"/>
          </w:tcPr>
          <w:p>
            <w:r>
              <w:rPr>
                <w:b/>
                <w:color w:val="C00000"/>
                <w:sz w:val="17"/>
              </w:rPr>
              <w:t>-5.6%</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5,325</w:t>
            </w:r>
          </w:p>
        </w:tc>
        <w:tc>
          <w:tcPr>
            <w:tcW w:type="dxa" w:w="1440"/>
            <w:shd w:fill="FFDCE0" w:val="clear"/>
          </w:tcPr>
          <w:p>
            <w:r>
              <w:rPr>
                <w:b/>
                <w:sz w:val="17"/>
              </w:rPr>
              <w:t>6,055</w:t>
            </w:r>
          </w:p>
        </w:tc>
        <w:tc>
          <w:tcPr>
            <w:tcW w:type="dxa" w:w="1440"/>
            <w:shd w:fill="FFDCE0" w:val="clear"/>
          </w:tcPr>
          <w:p>
            <w:r>
              <w:rPr>
                <w:sz w:val="17"/>
              </w:rPr>
              <w:t>6,785</w:t>
            </w:r>
          </w:p>
        </w:tc>
        <w:tc>
          <w:tcPr>
            <w:tcW w:type="dxa" w:w="1440"/>
            <w:shd w:fill="FFDCE0" w:val="clear"/>
          </w:tcPr>
          <w:p>
            <w:r>
              <w:rPr>
                <w:b/>
                <w:color w:val="C00000"/>
                <w:sz w:val="17"/>
              </w:rPr>
              <w:t>-6.1%</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5,229</w:t>
            </w:r>
          </w:p>
        </w:tc>
        <w:tc>
          <w:tcPr>
            <w:tcW w:type="dxa" w:w="1440"/>
            <w:shd w:fill="FFDCE0" w:val="clear"/>
          </w:tcPr>
          <w:p>
            <w:r>
              <w:rPr>
                <w:b/>
                <w:sz w:val="17"/>
              </w:rPr>
              <w:t>6,025</w:t>
            </w:r>
          </w:p>
        </w:tc>
        <w:tc>
          <w:tcPr>
            <w:tcW w:type="dxa" w:w="1440"/>
            <w:shd w:fill="FFDCE0" w:val="clear"/>
          </w:tcPr>
          <w:p>
            <w:r>
              <w:rPr>
                <w:sz w:val="17"/>
              </w:rPr>
              <w:t>6,821</w:t>
            </w:r>
          </w:p>
        </w:tc>
        <w:tc>
          <w:tcPr>
            <w:tcW w:type="dxa" w:w="1440"/>
            <w:shd w:fill="FFDCE0" w:val="clear"/>
          </w:tcPr>
          <w:p>
            <w:r>
              <w:rPr>
                <w:b/>
                <w:color w:val="C00000"/>
                <w:sz w:val="17"/>
              </w:rPr>
              <w:t>-6.6%</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5,144</w:t>
            </w:r>
          </w:p>
        </w:tc>
        <w:tc>
          <w:tcPr>
            <w:tcW w:type="dxa" w:w="1440"/>
            <w:shd w:fill="FFDCE0" w:val="clear"/>
          </w:tcPr>
          <w:p>
            <w:r>
              <w:rPr>
                <w:b/>
                <w:sz w:val="17"/>
              </w:rPr>
              <w:t>6,000</w:t>
            </w:r>
          </w:p>
        </w:tc>
        <w:tc>
          <w:tcPr>
            <w:tcW w:type="dxa" w:w="1440"/>
            <w:shd w:fill="FFDCE0" w:val="clear"/>
          </w:tcPr>
          <w:p>
            <w:r>
              <w:rPr>
                <w:sz w:val="17"/>
              </w:rPr>
              <w:t>6,856</w:t>
            </w:r>
          </w:p>
        </w:tc>
        <w:tc>
          <w:tcPr>
            <w:tcW w:type="dxa" w:w="1440"/>
            <w:shd w:fill="FFDCE0" w:val="clear"/>
          </w:tcPr>
          <w:p>
            <w:r>
              <w:rPr>
                <w:b/>
                <w:color w:val="C00000"/>
                <w:sz w:val="17"/>
              </w:rPr>
              <w:t>-7.0%</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5,066</w:t>
            </w:r>
          </w:p>
        </w:tc>
        <w:tc>
          <w:tcPr>
            <w:tcW w:type="dxa" w:w="1440"/>
            <w:shd w:fill="FFDCE0" w:val="clear"/>
          </w:tcPr>
          <w:p>
            <w:r>
              <w:rPr>
                <w:b/>
                <w:sz w:val="17"/>
              </w:rPr>
              <w:t>5,978</w:t>
            </w:r>
          </w:p>
        </w:tc>
        <w:tc>
          <w:tcPr>
            <w:tcW w:type="dxa" w:w="1440"/>
            <w:shd w:fill="FFDCE0" w:val="clear"/>
          </w:tcPr>
          <w:p>
            <w:r>
              <w:rPr>
                <w:sz w:val="17"/>
              </w:rPr>
              <w:t>6,890</w:t>
            </w:r>
          </w:p>
        </w:tc>
        <w:tc>
          <w:tcPr>
            <w:tcW w:type="dxa" w:w="1440"/>
            <w:shd w:fill="FFDCE0" w:val="clear"/>
          </w:tcPr>
          <w:p>
            <w:r>
              <w:rPr>
                <w:b/>
                <w:color w:val="C00000"/>
                <w:sz w:val="17"/>
              </w:rPr>
              <w:t>-7.3%</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4,995</w:t>
            </w:r>
          </w:p>
        </w:tc>
        <w:tc>
          <w:tcPr>
            <w:tcW w:type="dxa" w:w="1440"/>
            <w:shd w:fill="FFDCE0" w:val="clear"/>
          </w:tcPr>
          <w:p>
            <w:r>
              <w:rPr>
                <w:b/>
                <w:sz w:val="17"/>
              </w:rPr>
              <w:t>5,959</w:t>
            </w:r>
          </w:p>
        </w:tc>
        <w:tc>
          <w:tcPr>
            <w:tcW w:type="dxa" w:w="1440"/>
            <w:shd w:fill="FFDCE0" w:val="clear"/>
          </w:tcPr>
          <w:p>
            <w:r>
              <w:rPr>
                <w:sz w:val="17"/>
              </w:rPr>
              <w:t>6,923</w:t>
            </w:r>
          </w:p>
        </w:tc>
        <w:tc>
          <w:tcPr>
            <w:tcW w:type="dxa" w:w="1440"/>
            <w:shd w:fill="FFDCE0" w:val="clear"/>
          </w:tcPr>
          <w:p>
            <w:r>
              <w:rPr>
                <w:b/>
                <w:color w:val="C00000"/>
                <w:sz w:val="17"/>
              </w:rPr>
              <w:t>-7.6%</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4,929</w:t>
            </w:r>
          </w:p>
        </w:tc>
        <w:tc>
          <w:tcPr>
            <w:tcW w:type="dxa" w:w="1440"/>
            <w:shd w:fill="FFDCE0" w:val="clear"/>
          </w:tcPr>
          <w:p>
            <w:r>
              <w:rPr>
                <w:b/>
                <w:sz w:val="17"/>
              </w:rPr>
              <w:t>5,942</w:t>
            </w:r>
          </w:p>
        </w:tc>
        <w:tc>
          <w:tcPr>
            <w:tcW w:type="dxa" w:w="1440"/>
            <w:shd w:fill="FFDCE0" w:val="clear"/>
          </w:tcPr>
          <w:p>
            <w:r>
              <w:rPr>
                <w:sz w:val="17"/>
              </w:rPr>
              <w:t>6,956</w:t>
            </w:r>
          </w:p>
        </w:tc>
        <w:tc>
          <w:tcPr>
            <w:tcW w:type="dxa" w:w="1440"/>
            <w:shd w:fill="FFDCE0" w:val="clear"/>
          </w:tcPr>
          <w:p>
            <w:r>
              <w:rPr>
                <w:b/>
                <w:color w:val="C00000"/>
                <w:sz w:val="17"/>
              </w:rPr>
              <w:t>-7.9%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RAPPORT D'ANALYSE FINANCIÈRE — CIEC (Compagnie Ivoirienne d'Électricité)</w:t>
        <w:br/>
        <w:t>**Marché : BRVM | Secteur : Services publics / Électricité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361,20 Mds FCFA, la CIEC figure parmi les valeurs les plus importantes de la BRVM, ce qui témoigne de son statut de valeur de référence dans le compartiment des services publics. Le BPA de 234 FCFA/action indique ce que chaque titre rapporte en bénéfice net, mais le PER de 27,5x révèle que les investisseurs paient environ 27,5 fois les bénéfices annuels, soit un niveau très supérieur à la moyenne BRVM (8-12x) — ce qui traduit soit une anticipation de forte croissance, soit une surévaluation manifeste. Le ratio P/B de 10,04x confirme cette prime exigeante : le marché valorise la société à plus de 10 fois sa valeur comptable, ce qui est exceptionnel et s'explique en partie par la faiblesse structurelle des capitaux propres (35,96 Mds FCFA) dans un modèle de concession où les actifs sont largement financés par des tiers. Enfin, l'EV/EBITDA de 14,8x, dans la fourchette haute (10-15x), indique que la valeur d'entreprise (incluant la dette) reste chèrement valorisée par rapport à la capacité opérationnelle de génération de cash. L'ensemble de ces ratios dessine une valorisation exigeante, voire tendue, qui intègre déjà une bonne partie des perspectives de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CIEC a enregistré une progression spectaculaire de +115,00%, passant d'un plus bas de 3 000 FCFA à un plus haut de 7 400 FCFA, avant de se replier légèrement à 6 450 FCFA (variation J-1 de -0,77%). Cette tendance haussière majeure, dans un contexte de forte demande énergétique en Côte d'Ivoire et de résultats annuels 2025 solides, positionne le titre comme l'une des meilleures performances du marché régional. Les statistiques descriptives révèlent une moyenne de 5 152 FCFA très proche de la médiane (5 190 FCFA), ce qui indique une distribution globalement symétrique, confirmée par un skewness de -0,071 (quasi-nul). L'écart-type de 1 188 FCFA et le coefficient de variation de 23,1% traduisent une dispersion modérée du cours autour de sa moyenne, tandis que le kurtosis de -0,642 (mésokurtique) suggère une distribution proche de la normale, sans risque de pics extrêmes marqué. La volatilité annualisée de 50,8% classe le titre dans la catégorie des valeurs très volatiles (&gt;30%), ce qui implique un risque de marché élevé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6 838,25 FCFA et la MM50 à 5 965,60 FCFA, toutes deux supérieures au cours actuel de 6 450 FCFA. Cette configuration — cours sous ses moyennes — signale un essoufflement de la dynamique haussière à court terme, mais la décision fournie reste « Achat », probablement en raison de la structure haussière de fond (MM50 en forte progression) et de la proximité du support que constitue la MM50.</w:t>
      </w:r>
    </w:p>
    <w:p>
      <w:pPr>
        <w:spacing w:after="120" w:line="276" w:lineRule="auto"/>
      </w:pPr>
      <w:r>
        <w:t>**Bandes de Bollinger :** Le cours (6 450 FCFA) se situe entre la borne inférieure (6 303,98 FCFA) et la borne supérieure (7 372,52 FCFA), plus proche de la borne basse. Cette position, couplée à une décision « Neutre », indique que le titre évolue dans un canal de consolidation après son rallye, sans signal de survente ni de surachat immédiat, la volatilité restant contenue dans les bandes.</w:t>
      </w:r>
    </w:p>
    <w:p>
      <w:pPr>
        <w:spacing w:after="120" w:line="276" w:lineRule="auto"/>
      </w:pPr>
      <w:r>
        <w:t>**MACD :** La valeur du MACD (195,97) est inférieure à son signal (311,27), ce qui génère une décision « Vente ». Cette divergence baissière traduit un affaiblissement du momentum haussier et suggère que la pression acheteuse s'essouffle, incitant à la prudence à court terme malgré la tendance de fond positive.</w:t>
      </w:r>
    </w:p>
    <w:p>
      <w:pPr>
        <w:spacing w:after="120" w:line="276" w:lineRule="auto"/>
      </w:pPr>
      <w:r>
        <w:t>**RSI :** À 44,12, le RSI se situe en zone neutre (30-70), sans signal de surachat ni de survente. Cette valeur, légèrement sous la barre des 50, confirme un momentum modéré et une absence de tension extrême sur le titre, ce qui laisse la porte ouverte à une reprise comme à une consolidation.</w:t>
      </w:r>
    </w:p>
    <w:p>
      <w:pPr>
        <w:spacing w:after="120" w:line="276" w:lineRule="auto"/>
      </w:pPr>
      <w:r>
        <w:t>**Stochastique :** Le %K (0,0) et le %D (5,56) sont tous deux en zone de survente extrême, avec un %K au plancher. Cette configuration, bien que théoriquement baissière, génère une décision « Achat » car elle signale un potentiel rebond technique imminent, le titre étant survendu à très court terme.</w:t>
      </w:r>
    </w:p>
    <w:p>
      <w:pPr>
        <w:spacing w:after="120" w:line="276" w:lineRule="auto"/>
      </w:pPr>
      <w:r>
        <w:t>**Conclusion technique :** Les indicateurs sont divergents : les moyennes mobiles et le stochastique plaident pour un achat (tendance de fond haussière, survente court terme), tandis que le MACD et la position du cours sous les MM20/MM50 incitent à la prudence. Le RSI neutre et les Bandes de Bollinger neutres confirment l'absence de signal directionnel fort. Globalement, le titre se trouve dans une phase de consolidation après un rallye exceptionnel, avec un biais haussier de fond mais un momentum court terme affaibli.</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CIEC a réalisé un chiffre d'affaires de 302,32 Mds FCFA, en croissance de +14,82% par rapport à 2024, portée par la hausse des ventes d'énergie (+8,3% en volume) et l'expansion de la base clientèle (+15,1% à 5,28 millions de clients). Le résultat net s'établit à 13,13 Mds FCFA, en progression de +30% (contre 10,53 Mds en 2024), avec une marge nette de 4,34% et une marge opérationnelle de 7,40%. Le ROE atteint 36,50%, un niveau excellent (&gt;15%), bien que mécaniquement gonflé par la faiblesse des capitaux propres (35,96 Mds FCFA) ; le ROA, à 0,65%, reste faible en raison de l'importance du total actif (2 018,45 Mds FCFA). La structure financière est très déséquilibrée : l'autonomie financière n'est que de 1,78% (très en dessous du seuil sain de 30%), le ratio d'endettement explose à 612,94%, et la liquidité générale (96,95%) est légèrement inférieure à 1, signalant une tension sur le court terme. Le BFR est négatif (-90,24 Mds FCFA), ce qui est favorable, mais le fonds de roulement est également négatif (-57,54 Mds FCFA), ce qui constitue un point de vigilance. Les délais d'exploitation sont préoccupants : 164 jours de délai client (risque de trésorerie) et 175 jours de durée de stockage, tandis que le délai fournisseur de 970 jours (très élevé) constitue un levier de trésorerie favorable mais potentiellement risqué pour les fournisseurs.</w:t>
      </w:r>
    </w:p>
    <w:p>
      <w:pPr>
        <w:spacing w:after="120" w:line="276" w:lineRule="auto"/>
      </w:pPr>
      <w:r>
        <w:t>**Estimations basées sur les rapports :** Le rapport du 1er semestre 2025 (publié le 30/06/2025) indique un CA semestriel de 134,92 Mds FCFA (+18,85%) et un résultat net de 5,10 Mds FCFA (+13,37%), avec une marge nette de 3,8% (en légère baisse). Sur cette base, on peut estimer que l'exercice 2025 devrait confirmer la dynamique annuelle, avec un résultat net autour de 13 Mds FCFA, ce qui est effectivement le cas. Le rapport annuel 2025 (analysé par DeepSeek le 21/05/2026) confirme un dividende de 234 FCFA/action, soit un taux de distribution de 99,8% du résultat net — un rendement attractif mais qui limite la capacité d'autofinancement. Le rapport de 2024 (états financiers) montrait déjà un ROE de 26,3% et une marge nette de 4,0%, confirmant la stabilité de la rentabilité. Les rapports plus anciens (2021) révèlent une transition difficile liée à la nouvelle convention de concession, avec un total actif passé de 1 254,8 Mds à 558,2 Mds FCFA, mais une trésorerie nette améliorée à +40,1 Mds FCFA.</w:t>
      </w:r>
    </w:p>
    <w:p>
      <w:pPr>
        <w:spacing w:after="120" w:line="276" w:lineRule="auto"/>
      </w:pPr>
      <w:r>
        <w:t>**Recommandation fondamentale :** La CIEC présente une solidité opérationnelle indéniable (croissance du CA, du résultat net et de l'EBE), un ROE excellent et une politique de dividende très généreuse. Cependant, la structure financière est très fragile (autonomie financière de 1,78%, endettement massif), les délais clients et de stockage sont élevés, et la dépendance au cadre réglementaire de la concession reste un risque majeur. La valorisation exigeante (PER 27,5x, P/B 10,04x) intègre déjà ces bons résultats, ce qui limite le potentiel de revalorisation à court terme. **Recommandation fondamentale : CONSERVER**, avec une surveillance accrue de la trésorerie et des conditions de la concession.</w:t>
      </w:r>
    </w:p>
    <w:p>
      <w:pPr>
        <w:spacing w:after="120" w:line="276" w:lineRule="auto"/>
      </w:pPr>
      <w:r>
        <w:t>---</w:t>
      </w:r>
    </w:p>
    <w:p>
      <w:pPr>
        <w:spacing w:after="120" w:line="276" w:lineRule="auto"/>
      </w:pPr>
      <w:r>
        <w:t>## PARTIE 4 : CONCLUSION D'INVESTISSEMENT</w:t>
      </w:r>
    </w:p>
    <w:p>
      <w:pPr>
        <w:spacing w:after="120" w:line="276" w:lineRule="auto"/>
      </w:pPr>
      <w:r>
        <w:t>La valorisation de la CIEC apparaît nettement tendue : le PER de 27,5x (vs 8-12x pour la moyenne BRVM) et le P/B de 10,04x indiquent que le marché paie une prime très élevée pour les bénéfices et la valeur comptable, ce qui suggère une surévaluation relative malgré la qualité des fondamentaux. Le comportement du cours sur 100 jours est exceptionnel (+115%), mais la volatilité annualisée de 50,8% et la distribution symétrique (skewness -0,071, kurtosis -0,642) signalent un risque de marché élevé, sans biais directionnel clair à court terme. Les signaux techniques sont divergents : les moyennes mobiles et le stochastique plaident pour un achat (tendance de fond haussière, survente court terme), tandis que le MACD (vente) et la position du cours sous les MM20/MM50 incitent à la prudence. Les fondamentaux 2025 sont solides (CA +14,8%, résultat net +30%, ROE 36,5%), mais la structure financière très déséquilibrée (autonomie financière 1,78%, endettement 612,9%) et la politique de distribution quasi-totale du résultat (99,8%) limitent la capacité d'autofinancement future. Les prédictions IA pour les 10 prochains jours (6 303 → 6 055 FCFA) anticipent une poursuite de la correction baissière, ce qui contredit la tendance haussière de fond mais confirme l'essoufflement du momentum à court terme. **Recommandation finale : CONSERVER**, avec un niveau de confiance **Moyen** et un risque global **Élevé**. La convergence entre valorisation exigeante, technique mitigée et prédictions baissières à court terme incite à la prudence, mais la solidité opérationnelle et le rendement du dividende justifient de ne pas vendre. **Horizon d'investissement optimal : moyen terme (3-12 mois)**, en attendant une clarification des signaux techniques et une confirmation de la capacité de la société à gérer sa structure financière.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935.58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4,097 titres</w:t>
            </w:r>
          </w:p>
        </w:tc>
        <w:tc>
          <w:tcPr>
            <w:tcW w:type="dxa" w:w="2268"/>
            <w:shd w:fill="FFF2CC" w:val="clear"/>
          </w:tcPr>
          <w:p>
            <w:r>
              <w:rPr>
                <w:b/>
                <w:color w:val="503200"/>
                <w:sz w:val="16"/>
              </w:rPr>
              <w:t xml:space="preserve">Cours actuel : </w:t>
            </w:r>
            <w:r>
              <w:rPr>
                <w:color w:val="000000"/>
                <w:sz w:val="17"/>
              </w:rPr>
              <w:t>16,995 FCFA</w:t>
            </w:r>
          </w:p>
          <w:p>
            <w:r>
              <w:rPr>
                <w:b/>
                <w:color w:val="503200"/>
                <w:sz w:val="16"/>
              </w:rPr>
              <w:t xml:space="preserve">Var. 100 jours : </w:t>
            </w:r>
            <w:r>
              <w:rPr>
                <w:b/>
                <w:color w:val="007800"/>
                <w:sz w:val="17"/>
              </w:rPr>
              <w:t>+4.26%</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2.75% (Faible) — μ=16,506 FCFA, σ=455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β=0.4483 (Défensif) — Cov=0.000016, Var(idx)=0.000036, ρ=0.150,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16,591</w:t>
            </w:r>
          </w:p>
        </w:tc>
        <w:tc>
          <w:tcPr>
            <w:tcW w:type="dxa" w:w="1440"/>
            <w:shd w:fill="FAFAFA" w:val="clear"/>
          </w:tcPr>
          <w:p>
            <w:r>
              <w:rPr>
                <w:b/>
                <w:sz w:val="17"/>
              </w:rPr>
              <w:t>17,111</w:t>
            </w:r>
          </w:p>
        </w:tc>
        <w:tc>
          <w:tcPr>
            <w:tcW w:type="dxa" w:w="1440"/>
            <w:shd w:fill="FAFAFA" w:val="clear"/>
          </w:tcPr>
          <w:p>
            <w:r>
              <w:rPr>
                <w:sz w:val="17"/>
              </w:rPr>
              <w:t>17,630</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16,392</w:t>
            </w:r>
          </w:p>
        </w:tc>
        <w:tc>
          <w:tcPr>
            <w:tcW w:type="dxa" w:w="1440"/>
            <w:shd w:fill="FAFAFA" w:val="clear"/>
          </w:tcPr>
          <w:p>
            <w:r>
              <w:rPr>
                <w:b/>
                <w:sz w:val="17"/>
              </w:rPr>
              <w:t>17,127</w:t>
            </w:r>
          </w:p>
        </w:tc>
        <w:tc>
          <w:tcPr>
            <w:tcW w:type="dxa" w:w="1440"/>
            <w:shd w:fill="FAFAFA" w:val="clear"/>
          </w:tcPr>
          <w:p>
            <w:r>
              <w:rPr>
                <w:sz w:val="17"/>
              </w:rPr>
              <w:t>17,862</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16,247</w:t>
            </w:r>
          </w:p>
        </w:tc>
        <w:tc>
          <w:tcPr>
            <w:tcW w:type="dxa" w:w="1440"/>
            <w:shd w:fill="FAFAFA" w:val="clear"/>
          </w:tcPr>
          <w:p>
            <w:r>
              <w:rPr>
                <w:b/>
                <w:sz w:val="17"/>
              </w:rPr>
              <w:t>17,148</w:t>
            </w:r>
          </w:p>
        </w:tc>
        <w:tc>
          <w:tcPr>
            <w:tcW w:type="dxa" w:w="1440"/>
            <w:shd w:fill="FAFAFA" w:val="clear"/>
          </w:tcPr>
          <w:p>
            <w:r>
              <w:rPr>
                <w:sz w:val="17"/>
              </w:rPr>
              <w:t>18,050</w:t>
            </w:r>
          </w:p>
        </w:tc>
        <w:tc>
          <w:tcPr>
            <w:tcW w:type="dxa" w:w="1440"/>
            <w:shd w:fill="FAFAFA" w:val="clear"/>
          </w:tcPr>
          <w:p>
            <w:r>
              <w:rPr>
                <w:b/>
                <w:color w:val="008000"/>
                <w:sz w:val="17"/>
              </w:rPr>
              <w:t>+0.9%</w:t>
            </w:r>
          </w:p>
        </w:tc>
      </w:tr>
      <w:tr>
        <w:tc>
          <w:tcPr>
            <w:tcW w:type="dxa" w:w="1440"/>
            <w:shd w:fill="FAFAFA" w:val="clear"/>
          </w:tcPr>
          <w:p>
            <w:r>
              <w:rPr>
                <w:sz w:val="17"/>
              </w:rPr>
              <w:t>J+4  Moyenne</w:t>
            </w:r>
          </w:p>
        </w:tc>
        <w:tc>
          <w:tcPr>
            <w:tcW w:type="dxa" w:w="1440"/>
            <w:shd w:fill="FAFAFA" w:val="clear"/>
          </w:tcPr>
          <w:p>
            <w:r>
              <w:rPr>
                <w:sz w:val="17"/>
              </w:rPr>
              <w:t>2026-09-24</w:t>
            </w:r>
          </w:p>
        </w:tc>
        <w:tc>
          <w:tcPr>
            <w:tcW w:type="dxa" w:w="1440"/>
            <w:shd w:fill="FAFAFA" w:val="clear"/>
          </w:tcPr>
          <w:p>
            <w:r>
              <w:rPr>
                <w:sz w:val="17"/>
              </w:rPr>
              <w:t>16,126</w:t>
            </w:r>
          </w:p>
        </w:tc>
        <w:tc>
          <w:tcPr>
            <w:tcW w:type="dxa" w:w="1440"/>
            <w:shd w:fill="FAFAFA" w:val="clear"/>
          </w:tcPr>
          <w:p>
            <w:r>
              <w:rPr>
                <w:b/>
                <w:sz w:val="17"/>
              </w:rPr>
              <w:t>17,168</w:t>
            </w:r>
          </w:p>
        </w:tc>
        <w:tc>
          <w:tcPr>
            <w:tcW w:type="dxa" w:w="1440"/>
            <w:shd w:fill="FAFAFA" w:val="clear"/>
          </w:tcPr>
          <w:p>
            <w:r>
              <w:rPr>
                <w:sz w:val="17"/>
              </w:rPr>
              <w:t>18,210</w:t>
            </w:r>
          </w:p>
        </w:tc>
        <w:tc>
          <w:tcPr>
            <w:tcW w:type="dxa" w:w="1440"/>
            <w:shd w:fill="FAFAFA" w:val="clear"/>
          </w:tcPr>
          <w:p>
            <w:r>
              <w:rPr>
                <w:b/>
                <w:color w:val="008000"/>
                <w:sz w:val="17"/>
              </w:rPr>
              <w:t>+1.0%</w:t>
            </w:r>
          </w:p>
        </w:tc>
      </w:tr>
      <w:tr>
        <w:tc>
          <w:tcPr>
            <w:tcW w:type="dxa" w:w="1440"/>
            <w:shd w:fill="FAFAFA" w:val="clear"/>
          </w:tcPr>
          <w:p>
            <w:r>
              <w:rPr>
                <w:sz w:val="17"/>
              </w:rPr>
              <w:t>J+5  Moyenne</w:t>
            </w:r>
          </w:p>
        </w:tc>
        <w:tc>
          <w:tcPr>
            <w:tcW w:type="dxa" w:w="1440"/>
            <w:shd w:fill="FAFAFA" w:val="clear"/>
          </w:tcPr>
          <w:p>
            <w:r>
              <w:rPr>
                <w:sz w:val="17"/>
              </w:rPr>
              <w:t>2026-09-25</w:t>
            </w:r>
          </w:p>
        </w:tc>
        <w:tc>
          <w:tcPr>
            <w:tcW w:type="dxa" w:w="1440"/>
            <w:shd w:fill="FAFAFA" w:val="clear"/>
          </w:tcPr>
          <w:p>
            <w:r>
              <w:rPr>
                <w:sz w:val="17"/>
              </w:rPr>
              <w:t>16,020</w:t>
            </w:r>
          </w:p>
        </w:tc>
        <w:tc>
          <w:tcPr>
            <w:tcW w:type="dxa" w:w="1440"/>
            <w:shd w:fill="FAFAFA" w:val="clear"/>
          </w:tcPr>
          <w:p>
            <w:r>
              <w:rPr>
                <w:b/>
                <w:sz w:val="17"/>
              </w:rPr>
              <w:t>17,186</w:t>
            </w:r>
          </w:p>
        </w:tc>
        <w:tc>
          <w:tcPr>
            <w:tcW w:type="dxa" w:w="1440"/>
            <w:shd w:fill="FAFAFA" w:val="clear"/>
          </w:tcPr>
          <w:p>
            <w:r>
              <w:rPr>
                <w:sz w:val="17"/>
              </w:rPr>
              <w:t>18,353</w:t>
            </w:r>
          </w:p>
        </w:tc>
        <w:tc>
          <w:tcPr>
            <w:tcW w:type="dxa" w:w="1440"/>
            <w:shd w:fill="FAFAFA" w:val="clear"/>
          </w:tcPr>
          <w:p>
            <w:r>
              <w:rPr>
                <w:b/>
                <w:color w:val="008000"/>
                <w:sz w:val="17"/>
              </w:rPr>
              <w:t>+1.1%</w:t>
            </w:r>
          </w:p>
        </w:tc>
      </w:tr>
      <w:tr>
        <w:tc>
          <w:tcPr>
            <w:tcW w:type="dxa" w:w="1440"/>
            <w:shd w:fill="FAFAFA" w:val="clear"/>
          </w:tcPr>
          <w:p>
            <w:r>
              <w:rPr>
                <w:sz w:val="17"/>
              </w:rPr>
              <w:t>J+6  Moyenne</w:t>
            </w:r>
          </w:p>
        </w:tc>
        <w:tc>
          <w:tcPr>
            <w:tcW w:type="dxa" w:w="1440"/>
            <w:shd w:fill="FAFAFA" w:val="clear"/>
          </w:tcPr>
          <w:p>
            <w:r>
              <w:rPr>
                <w:sz w:val="17"/>
              </w:rPr>
              <w:t>2026-09-28</w:t>
            </w:r>
          </w:p>
        </w:tc>
        <w:tc>
          <w:tcPr>
            <w:tcW w:type="dxa" w:w="1440"/>
            <w:shd w:fill="FAFAFA" w:val="clear"/>
          </w:tcPr>
          <w:p>
            <w:r>
              <w:rPr>
                <w:sz w:val="17"/>
              </w:rPr>
              <w:t>15,925</w:t>
            </w:r>
          </w:p>
        </w:tc>
        <w:tc>
          <w:tcPr>
            <w:tcW w:type="dxa" w:w="1440"/>
            <w:shd w:fill="FAFAFA" w:val="clear"/>
          </w:tcPr>
          <w:p>
            <w:r>
              <w:rPr>
                <w:b/>
                <w:sz w:val="17"/>
              </w:rPr>
              <w:t>17,204</w:t>
            </w:r>
          </w:p>
        </w:tc>
        <w:tc>
          <w:tcPr>
            <w:tcW w:type="dxa" w:w="1440"/>
            <w:shd w:fill="FAFAFA" w:val="clear"/>
          </w:tcPr>
          <w:p>
            <w:r>
              <w:rPr>
                <w:sz w:val="17"/>
              </w:rPr>
              <w:t>18,484</w:t>
            </w:r>
          </w:p>
        </w:tc>
        <w:tc>
          <w:tcPr>
            <w:tcW w:type="dxa" w:w="1440"/>
            <w:shd w:fill="FAFAFA" w:val="clear"/>
          </w:tcPr>
          <w:p>
            <w:r>
              <w:rPr>
                <w:b/>
                <w:color w:val="008000"/>
                <w:sz w:val="17"/>
              </w:rPr>
              <w:t>+1.2%</w:t>
            </w:r>
          </w:p>
        </w:tc>
      </w:tr>
      <w:tr>
        <w:tc>
          <w:tcPr>
            <w:tcW w:type="dxa" w:w="1440"/>
            <w:shd w:fill="FAFAFA" w:val="clear"/>
          </w:tcPr>
          <w:p>
            <w:r>
              <w:rPr>
                <w:sz w:val="17"/>
              </w:rPr>
              <w:t>J+7  Moyenne</w:t>
            </w:r>
          </w:p>
        </w:tc>
        <w:tc>
          <w:tcPr>
            <w:tcW w:type="dxa" w:w="1440"/>
            <w:shd w:fill="FAFAFA" w:val="clear"/>
          </w:tcPr>
          <w:p>
            <w:r>
              <w:rPr>
                <w:sz w:val="17"/>
              </w:rPr>
              <w:t>2026-09-29</w:t>
            </w:r>
          </w:p>
        </w:tc>
        <w:tc>
          <w:tcPr>
            <w:tcW w:type="dxa" w:w="1440"/>
            <w:shd w:fill="FAFAFA" w:val="clear"/>
          </w:tcPr>
          <w:p>
            <w:r>
              <w:rPr>
                <w:sz w:val="17"/>
              </w:rPr>
              <w:t>15,838</w:t>
            </w:r>
          </w:p>
        </w:tc>
        <w:tc>
          <w:tcPr>
            <w:tcW w:type="dxa" w:w="1440"/>
            <w:shd w:fill="FAFAFA" w:val="clear"/>
          </w:tcPr>
          <w:p>
            <w:r>
              <w:rPr>
                <w:b/>
                <w:sz w:val="17"/>
              </w:rPr>
              <w:t>17,222</w:t>
            </w:r>
          </w:p>
        </w:tc>
        <w:tc>
          <w:tcPr>
            <w:tcW w:type="dxa" w:w="1440"/>
            <w:shd w:fill="FAFAFA" w:val="clear"/>
          </w:tcPr>
          <w:p>
            <w:r>
              <w:rPr>
                <w:sz w:val="17"/>
              </w:rPr>
              <w:t>18,605</w:t>
            </w:r>
          </w:p>
        </w:tc>
        <w:tc>
          <w:tcPr>
            <w:tcW w:type="dxa" w:w="1440"/>
            <w:shd w:fill="FAFAFA" w:val="clear"/>
          </w:tcPr>
          <w:p>
            <w:r>
              <w:rPr>
                <w:b/>
                <w:color w:val="008000"/>
                <w:sz w:val="17"/>
              </w:rPr>
              <w:t>+1.3%</w:t>
            </w:r>
          </w:p>
        </w:tc>
      </w:tr>
      <w:tr>
        <w:tc>
          <w:tcPr>
            <w:tcW w:type="dxa" w:w="1440"/>
            <w:shd w:fill="FAFAFA" w:val="clear"/>
          </w:tcPr>
          <w:p>
            <w:r>
              <w:rPr>
                <w:sz w:val="17"/>
              </w:rPr>
              <w:t>J+8  Moyenne</w:t>
            </w:r>
          </w:p>
        </w:tc>
        <w:tc>
          <w:tcPr>
            <w:tcW w:type="dxa" w:w="1440"/>
            <w:shd w:fill="FAFAFA" w:val="clear"/>
          </w:tcPr>
          <w:p>
            <w:r>
              <w:rPr>
                <w:sz w:val="17"/>
              </w:rPr>
              <w:t>2026-09-30</w:t>
            </w:r>
          </w:p>
        </w:tc>
        <w:tc>
          <w:tcPr>
            <w:tcW w:type="dxa" w:w="1440"/>
            <w:shd w:fill="FAFAFA" w:val="clear"/>
          </w:tcPr>
          <w:p>
            <w:r>
              <w:rPr>
                <w:sz w:val="17"/>
              </w:rPr>
              <w:t>15,759</w:t>
            </w:r>
          </w:p>
        </w:tc>
        <w:tc>
          <w:tcPr>
            <w:tcW w:type="dxa" w:w="1440"/>
            <w:shd w:fill="FAFAFA" w:val="clear"/>
          </w:tcPr>
          <w:p>
            <w:r>
              <w:rPr>
                <w:b/>
                <w:sz w:val="17"/>
              </w:rPr>
              <w:t>17,239</w:t>
            </w:r>
          </w:p>
        </w:tc>
        <w:tc>
          <w:tcPr>
            <w:tcW w:type="dxa" w:w="1440"/>
            <w:shd w:fill="FAFAFA" w:val="clear"/>
          </w:tcPr>
          <w:p>
            <w:r>
              <w:rPr>
                <w:sz w:val="17"/>
              </w:rPr>
              <w:t>18,719</w:t>
            </w:r>
          </w:p>
        </w:tc>
        <w:tc>
          <w:tcPr>
            <w:tcW w:type="dxa" w:w="1440"/>
            <w:shd w:fill="FAFAFA" w:val="clear"/>
          </w:tcPr>
          <w:p>
            <w:r>
              <w:rPr>
                <w:b/>
                <w:color w:val="008000"/>
                <w:sz w:val="17"/>
              </w:rPr>
              <w:t>+1.4%</w:t>
            </w:r>
          </w:p>
        </w:tc>
      </w:tr>
      <w:tr>
        <w:tc>
          <w:tcPr>
            <w:tcW w:type="dxa" w:w="1440"/>
            <w:shd w:fill="FAFAFA" w:val="clear"/>
          </w:tcPr>
          <w:p>
            <w:r>
              <w:rPr>
                <w:sz w:val="17"/>
              </w:rPr>
              <w:t>J+9  Moyenne</w:t>
            </w:r>
          </w:p>
        </w:tc>
        <w:tc>
          <w:tcPr>
            <w:tcW w:type="dxa" w:w="1440"/>
            <w:shd w:fill="FAFAFA" w:val="clear"/>
          </w:tcPr>
          <w:p>
            <w:r>
              <w:rPr>
                <w:sz w:val="17"/>
              </w:rPr>
              <w:t>2026-10-01</w:t>
            </w:r>
          </w:p>
        </w:tc>
        <w:tc>
          <w:tcPr>
            <w:tcW w:type="dxa" w:w="1440"/>
            <w:shd w:fill="FAFAFA" w:val="clear"/>
          </w:tcPr>
          <w:p>
            <w:r>
              <w:rPr>
                <w:sz w:val="17"/>
              </w:rPr>
              <w:t>15,684</w:t>
            </w:r>
          </w:p>
        </w:tc>
        <w:tc>
          <w:tcPr>
            <w:tcW w:type="dxa" w:w="1440"/>
            <w:shd w:fill="FAFAFA" w:val="clear"/>
          </w:tcPr>
          <w:p>
            <w:r>
              <w:rPr>
                <w:b/>
                <w:sz w:val="17"/>
              </w:rPr>
              <w:t>17,256</w:t>
            </w:r>
          </w:p>
        </w:tc>
        <w:tc>
          <w:tcPr>
            <w:tcW w:type="dxa" w:w="1440"/>
            <w:shd w:fill="FAFAFA" w:val="clear"/>
          </w:tcPr>
          <w:p>
            <w:r>
              <w:rPr>
                <w:sz w:val="17"/>
              </w:rPr>
              <w:t>18,827</w:t>
            </w:r>
          </w:p>
        </w:tc>
        <w:tc>
          <w:tcPr>
            <w:tcW w:type="dxa" w:w="1440"/>
            <w:shd w:fill="FAFAFA" w:val="clear"/>
          </w:tcPr>
          <w:p>
            <w:r>
              <w:rPr>
                <w:b/>
                <w:color w:val="008000"/>
                <w:sz w:val="17"/>
              </w:rPr>
              <w:t>+1.5%</w:t>
            </w:r>
          </w:p>
        </w:tc>
      </w:tr>
      <w:tr>
        <w:tc>
          <w:tcPr>
            <w:tcW w:type="dxa" w:w="1440"/>
            <w:shd w:fill="FAFAFA" w:val="clear"/>
          </w:tcPr>
          <w:p>
            <w:r>
              <w:rPr>
                <w:sz w:val="17"/>
              </w:rPr>
              <w:t>J+10  Moyenne</w:t>
            </w:r>
          </w:p>
        </w:tc>
        <w:tc>
          <w:tcPr>
            <w:tcW w:type="dxa" w:w="1440"/>
            <w:shd w:fill="FAFAFA" w:val="clear"/>
          </w:tcPr>
          <w:p>
            <w:r>
              <w:rPr>
                <w:sz w:val="17"/>
              </w:rPr>
              <w:t>2026-10-02</w:t>
            </w:r>
          </w:p>
        </w:tc>
        <w:tc>
          <w:tcPr>
            <w:tcW w:type="dxa" w:w="1440"/>
            <w:shd w:fill="FAFAFA" w:val="clear"/>
          </w:tcPr>
          <w:p>
            <w:r>
              <w:rPr>
                <w:sz w:val="17"/>
              </w:rPr>
              <w:t>15,614</w:t>
            </w:r>
          </w:p>
        </w:tc>
        <w:tc>
          <w:tcPr>
            <w:tcW w:type="dxa" w:w="1440"/>
            <w:shd w:fill="FAFAFA" w:val="clear"/>
          </w:tcPr>
          <w:p>
            <w:r>
              <w:rPr>
                <w:b/>
                <w:sz w:val="17"/>
              </w:rPr>
              <w:t>17,273</w:t>
            </w:r>
          </w:p>
        </w:tc>
        <w:tc>
          <w:tcPr>
            <w:tcW w:type="dxa" w:w="1440"/>
            <w:shd w:fill="FAFAFA" w:val="clear"/>
          </w:tcPr>
          <w:p>
            <w:r>
              <w:rPr>
                <w:sz w:val="17"/>
              </w:rPr>
              <w:t>18,931</w:t>
            </w:r>
          </w:p>
        </w:tc>
        <w:tc>
          <w:tcPr>
            <w:tcW w:type="dxa" w:w="1440"/>
            <w:shd w:fill="FAFAFA" w:val="clear"/>
          </w:tcPr>
          <w:p>
            <w:r>
              <w:rPr>
                <w:b/>
                <w:color w:val="008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935,58 milliards FCFA, ECOC s'impose comme l'une des plus importantes capitalisations de la BRVM, ce qui en fait un titre de premier plan pour les investisseurs institutionnels de la zone UEMOA. Le BPA de 1 153 FCFA/action signifie que chaque titre génère un bénéfice net de plus de mille francs, ce qui, rapporté au cours actuel de 16 995 FCFA, donne un PER de 14,7x — supérieur à la moyenne du marché BRVM (généralement située entre 8 et 12x), traduisant une prime de qualité consentie par le marché pour cette valeur bancaire de référence. Le P/B de 4,28x indique que le marché valorise la banque à plus de quatre fois sa valeur comptable, une prime exigeante qui se justifie par la rentabilité exceptionnelle des fonds propres (ROE de 29,04% en 2025). Enfin, l'EV/EBITDA de 14,4x, bien que se situant dans la fourchette haute (10-15x), reste cohérent avec la capacité bénéficiaire opérationnelle de la banque, confirmant une valorisation tendue mais non déraisonnable au regard de ses performances.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ECOC a enregistré une progression de +4,26%, bien que la dernière séance (J-1) ait clôturé en léger repli de -0,61%, signalant une prise de bénéfices marginale après une dynamique haussière. Le titre a évolué dans un range de 2 205 FCFA, entre un plus bas de 15 520 FCFA et un plus haut de 17 725 FCFA, ce qui témoigne d'une tendance globalement haussière mais avec des phases de consolidation. La moyenne du cours sur la période s'établit à 16 506 FCFA, légèrement supérieure à la médiane de 16 385 FCFA, tandis que le mode se situe à 16 300 FCFA — cet écart entre moyenne et médiane, bien que modeste, confirme une asymétrie positive (skewness de 0,527) indiquant que davantage de journées ont été passées sous la moyenne, avec quelques pics haussiers tirant la moyenne vers le haut. L'écart-type de 457 FCFA, correspondant à un coefficient de variation de seulement 2,8%, révèle une dispersion très faible du cours, gage de stabilité. Le kurtosis de -0,083 (mésokurtique) suggère une distribution proche de la normale, sans risque excessif de pics extrêmes. Avec une volatilité annualisée de 28,4%, le titre se situe dans la catégorie des valeurs à volatilité modérée (15-30%), ce qui est rassurant pour un investisseur recherchant un compromis entre rendement et stabilité.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(17 094 FCFA) et la MM50 (16 555 FCFA) se situent toutes deux au-dessus du cours actuel (16 995 FCFA pour la MM20, mais le cours reste sous la MM20), avec une MM20 supérieure à la MM50, configuration typique d'une tendance haussière de moyen terme. La décision technique affichée est "Achat", soutenue par le fait que le cours évolue au-dessus de la MM50 et que la MM20 reste bien orientée, bien que le récent repli sous la MM20 invite à la prudence à court terme.</w:t>
      </w:r>
    </w:p>
    <w:p>
      <w:pPr>
        <w:spacing w:after="120" w:line="276" w:lineRule="auto"/>
      </w:pPr>
      <w:r>
        <w:t>**Bandes de Bollinger** : Le cours actuel (16 995 FCFA) se situe à mi-chemin entre la borne inférieure (16 411 FCFA) et la borne supérieure (17 777 FCFA), ce qui explique la décision "Neutre". L'absence de test des bornes extrêmes indique une phase de consolidation sans pression directionnelle forte, avec une volatilité contenue dans les bandes.</w:t>
      </w:r>
    </w:p>
    <w:p>
      <w:pPr>
        <w:spacing w:after="120" w:line="276" w:lineRule="auto"/>
      </w:pPr>
      <w:r>
        <w:t>**MACD** : La valeur du MACD (146,205) est inférieure à son signal (203,404), générant une décision "Vente". Cette divergence négative indique un essoufflement du momentum haussier et un possible retournement à court terme, bien que les deux lignes restent en territoire positif, ce qui limite la portée baissière du signal.</w:t>
      </w:r>
    </w:p>
    <w:p>
      <w:pPr>
        <w:spacing w:after="120" w:line="276" w:lineRule="auto"/>
      </w:pPr>
      <w:r>
        <w:t>**RSI** : À 56,727, le RSI se situe en zone neutre (entre 30 et 70), sans signal de surachat ni de survente. La décision "Neutre" reflète un équilibre entre acheteurs et vendeurs, avec une légère prédominance haussière mais sans excès.</w:t>
      </w:r>
    </w:p>
    <w:p>
      <w:pPr>
        <w:spacing w:after="120" w:line="276" w:lineRule="auto"/>
      </w:pPr>
      <w:r>
        <w:t>**Stochastique** : Le %K (21,081) est nettement inférieur au %D (36,794), et les deux se situent en zone basse (proche de la survente), ce qui pourrait annoncer un rebond technique à court terme. La décision "Neutre" s'explique par l'absence de croisement haussier confirmé, mais la configuration actuelle est propice à une reprise si le %K croise le %D à la hausse.</w:t>
      </w:r>
    </w:p>
    <w:p>
      <w:pPr>
        <w:spacing w:after="120" w:line="276" w:lineRule="auto"/>
      </w:pPr>
      <w:r>
        <w:t>**Conclusion technique** : Les indicateurs techniques présentent un tableau mitigé, avec une tendance de fond haussière (MM20 &gt; MM50) mais des signaux de court terme contradictoires (MACD baissier, RSI neutre, Stochastique en zone basse). La convergence des signaux vers une consolidation avant une éventuelle reprise suggère une phase d'accumulation, avec un support clé à 16 411 FCFA (borne inférieure de Bollinger) et une résistance à 17 777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ECOC a réalisé un Produit Net Bancaire (PNB) de 132,725 milliards FCFA, en croissance de 8,51% par rapport à 2024, confirmant la dynamique commerciale soutenue de la banque. Le résultat net s'établit à 63,482 milliards FCFA, en hausse de 10,4% par rapport aux 57,5 milliards FCFA de 2024 (rapport annuel 2024), porté par une marge nette exceptionnelle de 47,83% et un coefficient d'exploitation de 42,89% — bien en dessous du seuil de 60% qui définit une banque efficace, et même sous les 45% qui témoignent d'une excellence opérationnelle. Le ROE de 29,04% et le ROA de 3,09% placent ECOC parmi les banques les plus rentables de la zone UEMOA, tandis que le coût du risque, à 1,36% des charges financières, reste modéré et sous contrôle. La structure financière affiche une autonomie financière de 10,64% (capitaux propres/total bilan), typique du modèle bancaire, avec un ratio de solvabilité implicite largement supérieur aux exigences réglementaires de la BCEAO. Les rapports trimestriels de 2025 confirment cette tendance : au T3 2025 (rapport du 30 septembre 2025), le PNB progressait de 11,3% à 96,4 milliards FCFA et le résultat net de 15,4% à 44,4 milliards FCFA, avec un ROE de 29,7% et un coefficient d'exploitation de 44,7%. Le rapport du T1 2026 (publié en 2026) fait état d'un PNB de 30,8 milliards FCFA (+3,7%) et d'un résultat net de 13,0 milliards FCFA (-1,6%), avec un coefficient d'exploitation de 45,7% et un taux de créances en souffrance de 3,9% — une légère dégradation qui invite à la surveillance, mais qui reste dans les normes sectorielles. Sur la base de ces éléments, on estime que l'exercice 2026 devrait afficher un PNB en croissance modérée de 4 à 6%, avec un résultat net stable autour de 63-65 milliards FCFA, la banque poursuivant sa politique de crédit sélective (baisse des encours de 2,6% au T1 2026) et sa forte collecte de dépôts (+12% à 1 709 milliards FCFA). La solidité fondamentale d'ECOC est indéniable, avec des risques limités à la concentration géographique (Côte d'Ivoire) et à l'environnement macroéconomique, mais la valorisation exigeante (P/B de 4,28x) intègre déjà une large part de ces performances.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d'ECOC (PER de 14,7x, P/B de 4,28x, EV/EBITDA de 14,4x) indique une surévaluation relative par rapport à la moyenne du marché BRVM, mais cette prime se justifie par des fondamentaux exceptionnels (ROE de 29%, coefficient d'exploitation de 42,9%). Le comportement du cours sur 100 jours (+4,26%) révèle une tendance haussière modérée avec une volatilité contenue (28,4%) et une distribution proche de la normale (kurtosis de -0,083), bien que l'asymétrie positive (skewness de 0,527) suggère une pression acheteuse sous-jacente. Les signaux techniques sont mitigés : la tendance de fond reste haussière (MM20 &gt; MM50), mais le MACD baissier et le Stochastique en zone basse appellent à la prudence à court terme, avec un support critique à 16 411 FCFA. Les fondamentaux demeurent solides, portés par un PNB de 132,7 milliards FCFA en 2025 et un résultat net de 63,5 milliards FCFA, avec des perspectives de croissance modérée pour 2026 (estimation de +4 à 6% du PNB). Les prédictions IA (J+1 à J+10) tablent sur une hausse progressive vers 17 186 FCFA d'ici le 25 septembre 2026, ce qui confirme la tendance haussière de moyen terme mais contredit le signal baissier du MACD à court terme. **Recommandation finale : CONSERVER**, avec un niveau de confiance Moyen et un risque global Moyen. La convergence entre fondamentaux solides et prédictions haussières soutient une position d'investissement, mais la valorisation tendue et les signaux techniques mitigés incitent à la prudence. L'horizon optimal est le moyen terme (3-12 mois), avec un objectif de cours à 17 500 FCFA et un stop-loss à 16 400 FCFA pour les investisseurs averses au risque.</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1265.89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1,630,172 titres</w:t>
            </w:r>
          </w:p>
        </w:tc>
        <w:tc>
          <w:tcPr>
            <w:tcW w:type="dxa" w:w="2268"/>
            <w:shd w:fill="FFF2CC" w:val="clear"/>
          </w:tcPr>
          <w:p>
            <w:r>
              <w:rPr>
                <w:b/>
                <w:color w:val="503200"/>
                <w:sz w:val="16"/>
              </w:rPr>
              <w:t xml:space="preserve">Cours actuel : </w:t>
            </w:r>
            <w:r>
              <w:rPr>
                <w:color w:val="000000"/>
                <w:sz w:val="17"/>
              </w:rPr>
              <w:t>70 FCFA</w:t>
            </w:r>
          </w:p>
          <w:p>
            <w:r>
              <w:rPr>
                <w:b/>
                <w:color w:val="503200"/>
                <w:sz w:val="16"/>
              </w:rPr>
              <w:t xml:space="preserve">Var. 100 jours : </w:t>
            </w:r>
            <w:r>
              <w:rPr>
                <w:b/>
                <w:color w:val="007800"/>
                <w:sz w:val="17"/>
              </w:rPr>
              <w:t>+141.38%</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60.3%</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35.34% (Élevée) — μ=51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β=2.4402 (Très agressif) — Cov=0.000088, Var(idx)=0.000036, ρ=0.385,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1,630,172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σ_j=3.80%/j (Modérée) — Vol. annualisée≈60.3%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569353"/>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66</w:t>
            </w:r>
          </w:p>
        </w:tc>
        <w:tc>
          <w:tcPr>
            <w:tcW w:type="dxa" w:w="1440"/>
            <w:shd w:fill="FAFAFA" w:val="clear"/>
          </w:tcPr>
          <w:p>
            <w:r>
              <w:rPr>
                <w:b/>
                <w:sz w:val="17"/>
              </w:rPr>
              <w:t>69</w:t>
            </w:r>
          </w:p>
        </w:tc>
        <w:tc>
          <w:tcPr>
            <w:tcW w:type="dxa" w:w="1440"/>
            <w:shd w:fill="FAFAFA" w:val="clear"/>
          </w:tcPr>
          <w:p>
            <w:r>
              <w:rPr>
                <w:sz w:val="17"/>
              </w:rPr>
              <w:t>72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65</w:t>
            </w:r>
          </w:p>
        </w:tc>
        <w:tc>
          <w:tcPr>
            <w:tcW w:type="dxa" w:w="1440"/>
            <w:shd w:fill="FAFAFA" w:val="clear"/>
          </w:tcPr>
          <w:p>
            <w:r>
              <w:rPr>
                <w:b/>
                <w:sz w:val="17"/>
              </w:rPr>
              <w:t>69</w:t>
            </w:r>
          </w:p>
        </w:tc>
        <w:tc>
          <w:tcPr>
            <w:tcW w:type="dxa" w:w="1440"/>
            <w:shd w:fill="FAFAFA" w:val="clear"/>
          </w:tcPr>
          <w:p>
            <w:r>
              <w:rPr>
                <w:sz w:val="17"/>
              </w:rPr>
              <w:t>73</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2026-09-23</w:t>
            </w:r>
          </w:p>
        </w:tc>
        <w:tc>
          <w:tcPr>
            <w:tcW w:type="dxa" w:w="1440"/>
            <w:shd w:fill="FFDCE0" w:val="clear"/>
          </w:tcPr>
          <w:p>
            <w:r>
              <w:rPr>
                <w:sz w:val="17"/>
              </w:rPr>
              <w:t>64</w:t>
            </w:r>
          </w:p>
        </w:tc>
        <w:tc>
          <w:tcPr>
            <w:tcW w:type="dxa" w:w="1440"/>
            <w:shd w:fill="FFDCE0" w:val="clear"/>
          </w:tcPr>
          <w:p>
            <w:r>
              <w:rPr>
                <w:b/>
                <w:sz w:val="17"/>
              </w:rPr>
              <w:t>69</w:t>
            </w:r>
          </w:p>
        </w:tc>
        <w:tc>
          <w:tcPr>
            <w:tcW w:type="dxa" w:w="1440"/>
            <w:shd w:fill="FFDCE0" w:val="clear"/>
          </w:tcPr>
          <w:p>
            <w:r>
              <w:rPr>
                <w:sz w:val="17"/>
              </w:rPr>
              <w:t>74</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62</w:t>
            </w:r>
          </w:p>
        </w:tc>
        <w:tc>
          <w:tcPr>
            <w:tcW w:type="dxa" w:w="1440"/>
            <w:shd w:fill="FFDCE0" w:val="clear"/>
          </w:tcPr>
          <w:p>
            <w:r>
              <w:rPr>
                <w:b/>
                <w:sz w:val="17"/>
              </w:rPr>
              <w:t>68</w:t>
            </w:r>
          </w:p>
        </w:tc>
        <w:tc>
          <w:tcPr>
            <w:tcW w:type="dxa" w:w="1440"/>
            <w:shd w:fill="FFDCE0" w:val="clear"/>
          </w:tcPr>
          <w:p>
            <w:r>
              <w:rPr>
                <w:sz w:val="17"/>
              </w:rPr>
              <w:t>74</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62</w:t>
            </w:r>
          </w:p>
        </w:tc>
        <w:tc>
          <w:tcPr>
            <w:tcW w:type="dxa" w:w="1440"/>
            <w:shd w:fill="FFDCE0" w:val="clear"/>
          </w:tcPr>
          <w:p>
            <w:r>
              <w:rPr>
                <w:b/>
                <w:sz w:val="17"/>
              </w:rPr>
              <w:t>68</w:t>
            </w:r>
          </w:p>
        </w:tc>
        <w:tc>
          <w:tcPr>
            <w:tcW w:type="dxa" w:w="1440"/>
            <w:shd w:fill="FFDCE0" w:val="clear"/>
          </w:tcPr>
          <w:p>
            <w:r>
              <w:rPr>
                <w:sz w:val="17"/>
              </w:rPr>
              <w:t>74</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61</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59</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58</w:t>
            </w:r>
          </w:p>
        </w:tc>
        <w:tc>
          <w:tcPr>
            <w:tcW w:type="dxa" w:w="1440"/>
            <w:shd w:fill="FFDCE0" w:val="clear"/>
          </w:tcPr>
          <w:p>
            <w:r>
              <w:rPr>
                <w:b/>
                <w:sz w:val="17"/>
              </w:rPr>
              <w:t>67</w:t>
            </w:r>
          </w:p>
        </w:tc>
        <w:tc>
          <w:tcPr>
            <w:tcW w:type="dxa" w:w="1440"/>
            <w:shd w:fill="FFDCE0" w:val="clear"/>
          </w:tcPr>
          <w:p>
            <w:r>
              <w:rPr>
                <w:sz w:val="17"/>
              </w:rPr>
              <w:t>76</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 📊 RAPPORT D'ANALYSE FINANCIÈRE — ETIT (Ecobank Transnational Incorporated)</w:t>
        <w:br/>
        <w:t>**Bourse Régionale des Valeurs Mobilières (BRVM) — Secteur : Banque**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**1 265,89 Mds FCFA**, ETIT figure parmi les poids lourds de la cote BRVM, ce qui en fait un titre incontournable pour les investisseurs institutionnels régionaux. Le BPA s'établit à **19 FCFA/action**, ce qui signifie que chaque titre génère près de 19 FCFA de bénéfice net, un niveau de rentabilité par action solide pour une banque panafricaine. Le **PER de 3,7x** est remarquablement faible comparé à la moyenne BRVM (~8-12x), suggérant une sous-évaluation potentielle marquée, voire une décote excessive si l'on considère la qualité des fondamentaux. Le **P/B de 0,79x** (&lt; 1) indique que le marché valorise ETIT en dessous de sa valeur comptable, une situation classique d'opportunité pour les investisseurs « value » — le marché « ne paie pas » la solidité du bilan. Enfin, l'**EV/EBITDA de 5,1x** se situe dans la fourchette raisonnable (5-10x), confirmant que la valeur d'entreprise reste cohérente avec la capacité opérationnelle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ETIT a enregistré une **variation totale spectaculaire de +141,38%**, passant d'un plus bas de **29 FCFA** à un plus haut de **78 FCFA**, pour un cours actuel de **70 FCFA** (variation J-1 : +0,00%, séance stable). Cette progression exceptionnelle traduit un net retournement haussier, le titre ayant plus que doublé en trois mois, porté par la publication de résultats semestriels solides et un regain d'intérêt pour les valeurs bancaires de la zone UEMOA. Les statistiques descriptives révèlent une **moyenne de 51 FCFA** nettement inférieure à la **médiane de 58 FCFA**, signe d'une distribution asymétrique à gauche : les cours ont passé plus de temps dans les niveaux élevés, mais quelques séances de forte baisse ont tiré la moyenne vers le bas. L'**écart-type de 18 FCFA (CV = 35,5%)** indique une dispersion élevée du cours, cohérente avec la forte volatilité du titre. Le **kurtosis de -1,824 (platykurtique)** signale une distribution aplatie avec une faible concentration autour de la moyenne — le titre a évolué par paliers plutôt que par pics extrêmes, ce qui réduit le risque de mouvements erratiques violents. Le **skewness de -0,090** confirme une distribution quasi symétrique, sans biais directionnel marqué. Enfin, la **volatilité annualisée de 60,3%** classe ETIT parmi les titres à volatilité **élevée** (&gt;30%), ce qui implique un risque de marché significatif mais aussi un potentiel de gain important pour les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(68,7 FCFA) et la MM50 (68,22 FCFA) se situent toutes deux **sous le cours actuel de 70 FCFA**, avec un écart très faible entre les deux moyennes (0,48 FCFA). Cette configuration en « golden cross » naissant (MM20 &gt; MM50) confirme la dynamique haussière de court terme et justifie la décision d'**ACHAT** : le cours évolue au-dessus de ses supports mobiles, signal d'un momentum positif.</w:t>
      </w:r>
    </w:p>
    <w:p>
      <w:pPr>
        <w:spacing w:after="120" w:line="276" w:lineRule="auto"/>
      </w:pPr>
      <w:r>
        <w:t>**Bandes de Bollinger** : Le cours (70 FCFA) se situe dans la partie haute de la bande, entre la borne inférieure (64,49 FCFA) et la borne supérieure (72,91 FCFA), sans franchir cette dernière. L'amplitude relativement resserrée (8,42 FCFA) indique une volatilité modérée à court terme, et la décision **NEUTRE** reflète l'absence de signal extrême : le titre n'est ni en surachat technique (pas de cassure de la borne supérieure), ni en survente.</w:t>
      </w:r>
    </w:p>
    <w:p>
      <w:pPr>
        <w:spacing w:after="120" w:line="276" w:lineRule="auto"/>
      </w:pPr>
      <w:r>
        <w:t>**MACD** : La valeur du MACD (1,403) est légèrement **inférieure à son signal (1,553)**, générant un croisement baissier de court terme et justifiant la décision de **VENTE**. Ce signal suggère un essoufflement du momentum haussier, bien que l'écart reste faible — il convient de surveiller une éventuelle convergence à la hausse dans les prochaines séances.</w:t>
      </w:r>
    </w:p>
    <w:p>
      <w:pPr>
        <w:spacing w:after="120" w:line="276" w:lineRule="auto"/>
      </w:pPr>
      <w:r>
        <w:t>**RSI** : À **63,636**, le RSI se situe en zone neutre (30-70), sans atteindre le seuil de surachat (&gt;70). La décision **NEUTRE** est cohérente : le titre conserve un potentiel de hausse sans être techniquement « tendu », ce qui laisse de la marge avant un éventuel retournement.</w:t>
      </w:r>
    </w:p>
    <w:p>
      <w:pPr>
        <w:spacing w:after="120" w:line="276" w:lineRule="auto"/>
      </w:pPr>
      <w:r>
        <w:t>**Stochastique** : Le %K (80,0) et le %D (81,111) évoluent en zone haute, proche du seuil de surachat (80), avec un %K légèrement sous le %D — configuration de croisement baissier potentiel. La décision **NEUTRE** traduit cette ambiguïté : le titre est proche d'une zone de surachat mais n'a pas encore confirmé de retournement.</w:t>
      </w:r>
    </w:p>
    <w:p>
      <w:pPr>
        <w:spacing w:after="120" w:line="276" w:lineRule="auto"/>
      </w:pPr>
      <w:r>
        <w:t>**Conclusion technique** : Les indicateurs sont **mitigés mais globalement constructifs** : les moyennes mobiles valident la tendance haussière, le RSI et les Bollinger restent neutres, tandis que le MACD et le stochastique émettent des signaux de prudence à court terme. Le titre se trouve dans une phase de consolidation après sa forte progression, avec un support solide autour de 64-68 FCFA et une résistance à 73-78 FCFA. La convergence des signaux plaide pour une **poursuite haussière modérée**, sous réserve d'un dépassement de la résistance des 73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ETIT affiche un **Produit Net Bancaire (PNB) de 1 424,261 Mds FCFA**, en croissance de **+12,45%**, confirmant la dynamique commerciale de la banque. Le **résultat net s'élève à 345,523 Mds FCFA**, soit une **marge nette de 24,26%** — un niveau excellent pour le secteur. Le **ROE atteint 21,62%** (&gt;15%, seuil d'excellence) et le **ROA de 1,80%**, témoignant d'une rentabilité solide des fonds propres et des actifs. Le **coefficient d'exploitation de 27,35%** est remarquable (&lt;60% = banque efficace, &lt;50% = excellente), signe d'une discipline opérationnelle exceptionnelle. Le **coût du risque / charges financières de 18,97%** reste modéré, indiquant un portefeuille de crédit globalement sain, bien que le ratio de créances douteuses (NPL) de 7,6% (rapport S1 2026) mérite une surveillance. La structure financière montre une **autonomie financière de 8,30%** (faible, mais normale pour une banque) et un **ratio d'endettement de 154,06%**, typique du modèle bancaire où les dépôts clientèle (14 120,139 Mds FCFA) financent les créances clientèle (6 570,385 Mds FCFA), avec un **ratio dépôts/crédits de 215%** — une surliquidité confortable.</w:t>
      </w:r>
    </w:p>
    <w:p>
      <w:pPr>
        <w:spacing w:after="120" w:line="276" w:lineRule="auto"/>
      </w:pPr>
      <w:r>
        <w:t>**Estimations basées sur les rapports trimestriels** : Le rapport **S1 2026 (publié le 21 juillet 2026)** indique un **PNB de 1 281,330 M$EU (721 318 M FCFA)**, en hausse de **+15%** sur un an, et un **résultat net consolidé de 296 091 M$EU (166 682 M FCFA)**, en progression de **+6%**. Le **BPA S1 2026 s'établit à 0,80 $EU (4,53 FCFA)**, en hausse de +2%. Le **coefficient d'exploitation s'améliore à 48,4%**, confirmant l'efficacité opérationnelle. Toutefois, le **coût du risque bondit de +40%** (238 039 M$EU), signal d'alerte sur la qualité des actifs dans certains marchés (Nigeria, Ghana). Sur la base de ces performances, on peut **estimer que l'exercice 2026 devrait afficher un PNB annuel d'environ 2 560 M$EU (+15% vs 2025) et un résultat net d'environ 590 M$EU (+6%)**, soit un BPA annuel estimé à ~1,60 $EU (9,06 FCFA). Le rapport **T1 2026** confirme cette tendance avec un PNB en hausse de +23% et un résultat net de +16%, mais un coût du risque en hausse de +73%.</w:t>
      </w:r>
    </w:p>
    <w:p>
      <w:pPr>
        <w:spacing w:after="120" w:line="276" w:lineRule="auto"/>
      </w:pPr>
      <w:r>
        <w:t>**Évolution pluriannuelle** : Les rapports antérieurs (S1 2024, T3 2024, annuel 2024) montrent une **amélioration continue** : le PNB est passé de 994 M$EU (S1 2024) à 1 281 M$EU (S1 2026), soit une croissance annualisée de ~13%. Le résultat net a progressé de 227 M$EU (S1 2024) à 296 M$EU (S1 2026), avec une marge nette stable autour de 23-25%. Le **ROTE (Return on Tangible Equity)** reste exceptionnel à **31,2%** (T3 2025), bien supérieur à la moyenne du secteur bancaire africain (15-20%).</w:t>
      </w:r>
    </w:p>
    <w:p>
      <w:pPr>
        <w:spacing w:after="120" w:line="276" w:lineRule="auto"/>
      </w:pPr>
      <w:r>
        <w:t>**Recommandation fondamentale** : ETIT présente une **solidité financière remarquable** avec une rentabilité élevée, une efficacité opérationnelle exceptionnelle et une surliquidité confortable. Les **risques principaux** résident dans la **forte hausse du coût du risque (+40% au S1 2026)** et l'exposition aux **risques de change et géopolitiques** dans les 35 pays d'Afrique subsaharienne. La **valorisation attractive** (PER 3,7x, P/B 0,79x) offre une marge de sécurité significative. La recommandation fondamentale est **CONSERVER avec biais positif**, en attendant la confirmation de la stabilisation du coût du risque au second semestre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**convergence globalement favorable** pour ETIT. **En termes de valorisation (Partie 0)** , les ratios PER (3,7x), P/B (0,79x) et EV/EBITDA (5,1x) indiquent une **sous-évaluation manifeste** par rapport aux moyennes du secteur et de la BRVM, offrant un potentiel de revalorisation important. **Le comportement du cours (Partie 1)** est exceptionnellement haussier (+141,38% sur 100 jours), avec une volatilité élevée (60,3%) et une distribution platykurtique (kurtosis -1,824) qui suggère des mouvements par paliers plutôt que des pics erratiques — un profil favorable pour les investisseurs dynamiques. **Les signaux techniques (Partie 2)** sont mitigés : les moyennes mobiles valident la tendance haussière (ACHAT), mais le MACD (VENTE) et le stochastique (NEUTRE) appellent à la prudence à court terme, le titre étant proche d'une zone de consolidation. **Les fondamentaux (Partie 3)** sont solides : PNB en croissance (+12,45% en 2025, +15% au S1 2026), ROE élevé (21,62%), coefficient d'exploitation excellent (27,35%), mais le coût du risque en hausse (+40%) constitue un point de vigilance. **Les prédictions IA (J+1 à J+10)** anticipent une **légère correction** de 70 FCFA à 68 FCFA, ce qui contredit partiellement les signaux haussiers mais reste cohérent avec la phase de consolidation technique.</w:t>
      </w:r>
    </w:p>
    <w:p>
      <w:pPr>
        <w:spacing w:after="120" w:line="276" w:lineRule="auto"/>
      </w:pPr>
      <w:r>
        <w:t>**Recommandation finale : ACHAT** — La convergence entre une **valorisation très attractive**, des **fondamentaux solides** et une **tendance de fond haussière** justifie une position d'achat, malgré les signaux techniques de court terme mitigés et la prédiction d'une légère correction. Le niveau de confiance est **Moyen** (les signaux techniques divergents et le coût du risque incitent à la prudence), et le niveau de risque global est **Élevé** (volatilité de 60,3%, exposition aux marchés africains volatils). L'horizon d'investissement optimal est **moyen terme (3-12 mois)** , le temps que la banque confirme la maîtrise de son coût du risque et que le marché reconnaisse pleinement sa sous-évaluation. Un **ACHAT FORT** serait justifié si le titre franchit la résistance des 73 FCFA avec des volumes soutenus, ou si le coût du risque se stabilise au S2 2026.</w:t>
      </w:r>
    </w:p>
    <w:p>
      <w:pPr>
        <w:spacing w:after="120" w:line="276" w:lineRule="auto"/>
      </w:pPr>
      <w:r>
        <w:t>---</w:t>
      </w:r>
    </w:p>
    <w:p>
      <w:pPr>
        <w:spacing w:after="120" w:line="276" w:lineRule="auto"/>
      </w:pPr>
      <w:r>
        <w:t>*Rapport généré le 21 septembre 2026 — Sources : BRVM, états financiers ETIT 2025, rapports S1 2026, T1 2026, T3 2025, analyses DeepSeek/Mistral/Fallback.*</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29.48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4,020 titres</w:t>
            </w:r>
          </w:p>
        </w:tc>
        <w:tc>
          <w:tcPr>
            <w:tcW w:type="dxa" w:w="2268"/>
            <w:shd w:fill="FFF2CC" w:val="clear"/>
          </w:tcPr>
          <w:p>
            <w:r>
              <w:rPr>
                <w:b/>
                <w:color w:val="503200"/>
                <w:sz w:val="16"/>
              </w:rPr>
              <w:t xml:space="preserve">Cours actuel : </w:t>
            </w:r>
            <w:r>
              <w:rPr>
                <w:color w:val="000000"/>
                <w:sz w:val="17"/>
              </w:rPr>
              <w:t>2,090 FCFA</w:t>
            </w:r>
          </w:p>
          <w:p>
            <w:r>
              <w:rPr>
                <w:b/>
                <w:color w:val="503200"/>
                <w:sz w:val="16"/>
              </w:rPr>
              <w:t xml:space="preserve">Var. 100 jours : </w:t>
            </w:r>
            <w:r>
              <w:rPr>
                <w:b/>
                <w:color w:val="B40000"/>
                <w:sz w:val="17"/>
              </w:rPr>
              <w:t>-0.71%</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5.89% (Moyenne) — μ=2,131 FCFA, σ=125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β=0.4511 (Défensif) — Cov=0.000016, Var(idx)=0.000036, ρ=0.132,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σ_j=2.05%/j (Stable) — Vol. annualisée≈32.5%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2,011</w:t>
            </w:r>
          </w:p>
        </w:tc>
        <w:tc>
          <w:tcPr>
            <w:tcW w:type="dxa" w:w="1440"/>
            <w:shd w:fill="FAFAFA" w:val="clear"/>
          </w:tcPr>
          <w:p>
            <w:r>
              <w:rPr>
                <w:b/>
                <w:sz w:val="17"/>
              </w:rPr>
              <w:t>2,072</w:t>
            </w:r>
          </w:p>
        </w:tc>
        <w:tc>
          <w:tcPr>
            <w:tcW w:type="dxa" w:w="1440"/>
            <w:shd w:fill="FAFAFA" w:val="clear"/>
          </w:tcPr>
          <w:p>
            <w:r>
              <w:rPr>
                <w:sz w:val="17"/>
              </w:rPr>
              <w:t>2,133</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1,970</w:t>
            </w:r>
          </w:p>
        </w:tc>
        <w:tc>
          <w:tcPr>
            <w:tcW w:type="dxa" w:w="1440"/>
            <w:shd w:fill="FAFAFA" w:val="clear"/>
          </w:tcPr>
          <w:p>
            <w:r>
              <w:rPr>
                <w:b/>
                <w:sz w:val="17"/>
              </w:rPr>
              <w:t>2,056</w:t>
            </w:r>
          </w:p>
        </w:tc>
        <w:tc>
          <w:tcPr>
            <w:tcW w:type="dxa" w:w="1440"/>
            <w:shd w:fill="FAFAFA" w:val="clear"/>
          </w:tcPr>
          <w:p>
            <w:r>
              <w:rPr>
                <w:sz w:val="17"/>
              </w:rPr>
              <w:t>2,141</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1,935</w:t>
            </w:r>
          </w:p>
        </w:tc>
        <w:tc>
          <w:tcPr>
            <w:tcW w:type="dxa" w:w="1440"/>
            <w:shd w:fill="FFDCE0" w:val="clear"/>
          </w:tcPr>
          <w:p>
            <w:r>
              <w:rPr>
                <w:b/>
                <w:sz w:val="17"/>
              </w:rPr>
              <w:t>2,039</w:t>
            </w:r>
          </w:p>
        </w:tc>
        <w:tc>
          <w:tcPr>
            <w:tcW w:type="dxa" w:w="1440"/>
            <w:shd w:fill="FFDCE0" w:val="clear"/>
          </w:tcPr>
          <w:p>
            <w:r>
              <w:rPr>
                <w:sz w:val="17"/>
              </w:rPr>
              <w:t>2,143</w:t>
            </w:r>
          </w:p>
        </w:tc>
        <w:tc>
          <w:tcPr>
            <w:tcW w:type="dxa" w:w="1440"/>
            <w:shd w:fill="FFDCE0" w:val="clear"/>
          </w:tcPr>
          <w:p>
            <w:r>
              <w:rPr>
                <w:b/>
                <w:color w:val="C00000"/>
                <w:sz w:val="17"/>
              </w:rPr>
              <w:t>-2.4%</w:t>
            </w:r>
          </w:p>
        </w:tc>
      </w:tr>
      <w:tr>
        <w:tc>
          <w:tcPr>
            <w:tcW w:type="dxa" w:w="1440"/>
            <w:shd w:fill="FFDCE0" w:val="clear"/>
          </w:tcPr>
          <w:p>
            <w:r>
              <w:rPr>
                <w:sz w:val="17"/>
              </w:rPr>
              <w:t>J+4  Moyenne</w:t>
            </w:r>
          </w:p>
        </w:tc>
        <w:tc>
          <w:tcPr>
            <w:tcW w:type="dxa" w:w="1440"/>
            <w:shd w:fill="FFDCE0" w:val="clear"/>
          </w:tcPr>
          <w:p>
            <w:r>
              <w:rPr>
                <w:sz w:val="17"/>
              </w:rPr>
              <w:t>2026-09-24</w:t>
            </w:r>
          </w:p>
        </w:tc>
        <w:tc>
          <w:tcPr>
            <w:tcW w:type="dxa" w:w="1440"/>
            <w:shd w:fill="FFDCE0" w:val="clear"/>
          </w:tcPr>
          <w:p>
            <w:r>
              <w:rPr>
                <w:sz w:val="17"/>
              </w:rPr>
              <w:t>1,905</w:t>
            </w:r>
          </w:p>
        </w:tc>
        <w:tc>
          <w:tcPr>
            <w:tcW w:type="dxa" w:w="1440"/>
            <w:shd w:fill="FFDCE0" w:val="clear"/>
          </w:tcPr>
          <w:p>
            <w:r>
              <w:rPr>
                <w:b/>
                <w:sz w:val="17"/>
              </w:rPr>
              <w:t>2,024</w:t>
            </w:r>
          </w:p>
        </w:tc>
        <w:tc>
          <w:tcPr>
            <w:tcW w:type="dxa" w:w="1440"/>
            <w:shd w:fill="FFDCE0" w:val="clear"/>
          </w:tcPr>
          <w:p>
            <w:r>
              <w:rPr>
                <w:sz w:val="17"/>
              </w:rPr>
              <w:t>2,143</w:t>
            </w:r>
          </w:p>
        </w:tc>
        <w:tc>
          <w:tcPr>
            <w:tcW w:type="dxa" w:w="1440"/>
            <w:shd w:fill="FFDCE0" w:val="clear"/>
          </w:tcPr>
          <w:p>
            <w:r>
              <w:rPr>
                <w:b/>
                <w:color w:val="C00000"/>
                <w:sz w:val="17"/>
              </w:rPr>
              <w:t>-3.2%</w:t>
            </w:r>
          </w:p>
        </w:tc>
      </w:tr>
      <w:tr>
        <w:tc>
          <w:tcPr>
            <w:tcW w:type="dxa" w:w="1440"/>
            <w:shd w:fill="FFDCE0" w:val="clear"/>
          </w:tcPr>
          <w:p>
            <w:r>
              <w:rPr>
                <w:sz w:val="17"/>
              </w:rPr>
              <w:t>J+5  Moyenne</w:t>
            </w:r>
          </w:p>
        </w:tc>
        <w:tc>
          <w:tcPr>
            <w:tcW w:type="dxa" w:w="1440"/>
            <w:shd w:fill="FFDCE0" w:val="clear"/>
          </w:tcPr>
          <w:p>
            <w:r>
              <w:rPr>
                <w:sz w:val="17"/>
              </w:rPr>
              <w:t>2026-09-25</w:t>
            </w:r>
          </w:p>
        </w:tc>
        <w:tc>
          <w:tcPr>
            <w:tcW w:type="dxa" w:w="1440"/>
            <w:shd w:fill="FFDCE0" w:val="clear"/>
          </w:tcPr>
          <w:p>
            <w:r>
              <w:rPr>
                <w:sz w:val="17"/>
              </w:rPr>
              <w:t>1,877</w:t>
            </w:r>
          </w:p>
        </w:tc>
        <w:tc>
          <w:tcPr>
            <w:tcW w:type="dxa" w:w="1440"/>
            <w:shd w:fill="FFDCE0" w:val="clear"/>
          </w:tcPr>
          <w:p>
            <w:r>
              <w:rPr>
                <w:b/>
                <w:sz w:val="17"/>
              </w:rPr>
              <w:t>2,009</w:t>
            </w:r>
          </w:p>
        </w:tc>
        <w:tc>
          <w:tcPr>
            <w:tcW w:type="dxa" w:w="1440"/>
            <w:shd w:fill="FFDCE0" w:val="clear"/>
          </w:tcPr>
          <w:p>
            <w:r>
              <w:rPr>
                <w:sz w:val="17"/>
              </w:rPr>
              <w:t>2,142</w:t>
            </w:r>
          </w:p>
        </w:tc>
        <w:tc>
          <w:tcPr>
            <w:tcW w:type="dxa" w:w="1440"/>
            <w:shd w:fill="FFDCE0" w:val="clear"/>
          </w:tcPr>
          <w:p>
            <w:r>
              <w:rPr>
                <w:b/>
                <w:color w:val="C00000"/>
                <w:sz w:val="17"/>
              </w:rPr>
              <w:t>-3.9%</w:t>
            </w:r>
          </w:p>
        </w:tc>
      </w:tr>
      <w:tr>
        <w:tc>
          <w:tcPr>
            <w:tcW w:type="dxa" w:w="1440"/>
            <w:shd w:fill="FFDCE0" w:val="clear"/>
          </w:tcPr>
          <w:p>
            <w:r>
              <w:rPr>
                <w:sz w:val="17"/>
              </w:rPr>
              <w:t>J+6  Moyenne</w:t>
            </w:r>
          </w:p>
        </w:tc>
        <w:tc>
          <w:tcPr>
            <w:tcW w:type="dxa" w:w="1440"/>
            <w:shd w:fill="FFDCE0" w:val="clear"/>
          </w:tcPr>
          <w:p>
            <w:r>
              <w:rPr>
                <w:sz w:val="17"/>
              </w:rPr>
              <w:t>2026-09-28</w:t>
            </w:r>
          </w:p>
        </w:tc>
        <w:tc>
          <w:tcPr>
            <w:tcW w:type="dxa" w:w="1440"/>
            <w:shd w:fill="FFDCE0" w:val="clear"/>
          </w:tcPr>
          <w:p>
            <w:r>
              <w:rPr>
                <w:sz w:val="17"/>
              </w:rPr>
              <w:t>1,851</w:t>
            </w:r>
          </w:p>
        </w:tc>
        <w:tc>
          <w:tcPr>
            <w:tcW w:type="dxa" w:w="1440"/>
            <w:shd w:fill="FFDCE0" w:val="clear"/>
          </w:tcPr>
          <w:p>
            <w:r>
              <w:rPr>
                <w:b/>
                <w:sz w:val="17"/>
              </w:rPr>
              <w:t>1,995</w:t>
            </w:r>
          </w:p>
        </w:tc>
        <w:tc>
          <w:tcPr>
            <w:tcW w:type="dxa" w:w="1440"/>
            <w:shd w:fill="FFDCE0" w:val="clear"/>
          </w:tcPr>
          <w:p>
            <w:r>
              <w:rPr>
                <w:sz w:val="17"/>
              </w:rPr>
              <w:t>2,139</w:t>
            </w:r>
          </w:p>
        </w:tc>
        <w:tc>
          <w:tcPr>
            <w:tcW w:type="dxa" w:w="1440"/>
            <w:shd w:fill="FFDCE0" w:val="clear"/>
          </w:tcPr>
          <w:p>
            <w:r>
              <w:rPr>
                <w:b/>
                <w:color w:val="C00000"/>
                <w:sz w:val="17"/>
              </w:rPr>
              <w:t>-4.5%</w:t>
            </w:r>
          </w:p>
        </w:tc>
      </w:tr>
      <w:tr>
        <w:tc>
          <w:tcPr>
            <w:tcW w:type="dxa" w:w="1440"/>
            <w:shd w:fill="FFDCE0" w:val="clear"/>
          </w:tcPr>
          <w:p>
            <w:r>
              <w:rPr>
                <w:sz w:val="17"/>
              </w:rPr>
              <w:t>J+7  Moyenne</w:t>
            </w:r>
          </w:p>
        </w:tc>
        <w:tc>
          <w:tcPr>
            <w:tcW w:type="dxa" w:w="1440"/>
            <w:shd w:fill="FFDCE0" w:val="clear"/>
          </w:tcPr>
          <w:p>
            <w:r>
              <w:rPr>
                <w:sz w:val="17"/>
              </w:rPr>
              <w:t>2026-09-29</w:t>
            </w:r>
          </w:p>
        </w:tc>
        <w:tc>
          <w:tcPr>
            <w:tcW w:type="dxa" w:w="1440"/>
            <w:shd w:fill="FFDCE0" w:val="clear"/>
          </w:tcPr>
          <w:p>
            <w:r>
              <w:rPr>
                <w:sz w:val="17"/>
              </w:rPr>
              <w:t>1,827</w:t>
            </w:r>
          </w:p>
        </w:tc>
        <w:tc>
          <w:tcPr>
            <w:tcW w:type="dxa" w:w="1440"/>
            <w:shd w:fill="FFDCE0" w:val="clear"/>
          </w:tcPr>
          <w:p>
            <w:r>
              <w:rPr>
                <w:b/>
                <w:sz w:val="17"/>
              </w:rPr>
              <w:t>1,981</w:t>
            </w:r>
          </w:p>
        </w:tc>
        <w:tc>
          <w:tcPr>
            <w:tcW w:type="dxa" w:w="1440"/>
            <w:shd w:fill="FFDCE0" w:val="clear"/>
          </w:tcPr>
          <w:p>
            <w:r>
              <w:rPr>
                <w:sz w:val="17"/>
              </w:rPr>
              <w:t>2,136</w:t>
            </w:r>
          </w:p>
        </w:tc>
        <w:tc>
          <w:tcPr>
            <w:tcW w:type="dxa" w:w="1440"/>
            <w:shd w:fill="FFDCE0" w:val="clear"/>
          </w:tcPr>
          <w:p>
            <w:r>
              <w:rPr>
                <w:b/>
                <w:color w:val="C00000"/>
                <w:sz w:val="17"/>
              </w:rPr>
              <w:t>-5.2%</w:t>
            </w:r>
          </w:p>
        </w:tc>
      </w:tr>
      <w:tr>
        <w:tc>
          <w:tcPr>
            <w:tcW w:type="dxa" w:w="1440"/>
            <w:shd w:fill="FFDCE0" w:val="clear"/>
          </w:tcPr>
          <w:p>
            <w:r>
              <w:rPr>
                <w:sz w:val="17"/>
              </w:rPr>
              <w:t>J+8  Moyenne</w:t>
            </w:r>
          </w:p>
        </w:tc>
        <w:tc>
          <w:tcPr>
            <w:tcW w:type="dxa" w:w="1440"/>
            <w:shd w:fill="FFDCE0" w:val="clear"/>
          </w:tcPr>
          <w:p>
            <w:r>
              <w:rPr>
                <w:sz w:val="17"/>
              </w:rPr>
              <w:t>2026-09-30</w:t>
            </w:r>
          </w:p>
        </w:tc>
        <w:tc>
          <w:tcPr>
            <w:tcW w:type="dxa" w:w="1440"/>
            <w:shd w:fill="FFDCE0" w:val="clear"/>
          </w:tcPr>
          <w:p>
            <w:r>
              <w:rPr>
                <w:sz w:val="17"/>
              </w:rPr>
              <w:t>1,804</w:t>
            </w:r>
          </w:p>
        </w:tc>
        <w:tc>
          <w:tcPr>
            <w:tcW w:type="dxa" w:w="1440"/>
            <w:shd w:fill="FFDCE0" w:val="clear"/>
          </w:tcPr>
          <w:p>
            <w:r>
              <w:rPr>
                <w:b/>
                <w:sz w:val="17"/>
              </w:rPr>
              <w:t>1,968</w:t>
            </w:r>
          </w:p>
        </w:tc>
        <w:tc>
          <w:tcPr>
            <w:tcW w:type="dxa" w:w="1440"/>
            <w:shd w:fill="FFDCE0" w:val="clear"/>
          </w:tcPr>
          <w:p>
            <w:r>
              <w:rPr>
                <w:sz w:val="17"/>
              </w:rPr>
              <w:t>2,132</w:t>
            </w:r>
          </w:p>
        </w:tc>
        <w:tc>
          <w:tcPr>
            <w:tcW w:type="dxa" w:w="1440"/>
            <w:shd w:fill="FFDCE0" w:val="clear"/>
          </w:tcPr>
          <w:p>
            <w:r>
              <w:rPr>
                <w:b/>
                <w:color w:val="C00000"/>
                <w:sz w:val="17"/>
              </w:rPr>
              <w:t>-5.8%</w:t>
            </w:r>
          </w:p>
        </w:tc>
      </w:tr>
      <w:tr>
        <w:tc>
          <w:tcPr>
            <w:tcW w:type="dxa" w:w="1440"/>
            <w:shd w:fill="FFDCE0" w:val="clear"/>
          </w:tcPr>
          <w:p>
            <w:r>
              <w:rPr>
                <w:sz w:val="17"/>
              </w:rPr>
              <w:t>J+9  Moyenne</w:t>
            </w:r>
          </w:p>
        </w:tc>
        <w:tc>
          <w:tcPr>
            <w:tcW w:type="dxa" w:w="1440"/>
            <w:shd w:fill="FFDCE0" w:val="clear"/>
          </w:tcPr>
          <w:p>
            <w:r>
              <w:rPr>
                <w:sz w:val="17"/>
              </w:rPr>
              <w:t>2026-10-01</w:t>
            </w:r>
          </w:p>
        </w:tc>
        <w:tc>
          <w:tcPr>
            <w:tcW w:type="dxa" w:w="1440"/>
            <w:shd w:fill="FFDCE0" w:val="clear"/>
          </w:tcPr>
          <w:p>
            <w:r>
              <w:rPr>
                <w:sz w:val="17"/>
              </w:rPr>
              <w:t>1,782</w:t>
            </w:r>
          </w:p>
        </w:tc>
        <w:tc>
          <w:tcPr>
            <w:tcW w:type="dxa" w:w="1440"/>
            <w:shd w:fill="FFDCE0" w:val="clear"/>
          </w:tcPr>
          <w:p>
            <w:r>
              <w:rPr>
                <w:b/>
                <w:sz w:val="17"/>
              </w:rPr>
              <w:t>1,955</w:t>
            </w:r>
          </w:p>
        </w:tc>
        <w:tc>
          <w:tcPr>
            <w:tcW w:type="dxa" w:w="1440"/>
            <w:shd w:fill="FFDCE0" w:val="clear"/>
          </w:tcPr>
          <w:p>
            <w:r>
              <w:rPr>
                <w:sz w:val="17"/>
              </w:rPr>
              <w:t>2,128</w:t>
            </w:r>
          </w:p>
        </w:tc>
        <w:tc>
          <w:tcPr>
            <w:tcW w:type="dxa" w:w="1440"/>
            <w:shd w:fill="FFDCE0" w:val="clear"/>
          </w:tcPr>
          <w:p>
            <w:r>
              <w:rPr>
                <w:b/>
                <w:color w:val="C00000"/>
                <w:sz w:val="17"/>
              </w:rPr>
              <w:t>-6.4%</w:t>
            </w:r>
          </w:p>
        </w:tc>
      </w:tr>
      <w:tr>
        <w:tc>
          <w:tcPr>
            <w:tcW w:type="dxa" w:w="1440"/>
            <w:shd w:fill="FFDCE0" w:val="clear"/>
          </w:tcPr>
          <w:p>
            <w:r>
              <w:rPr>
                <w:sz w:val="17"/>
              </w:rPr>
              <w:t>J+10  Moyenne</w:t>
            </w:r>
          </w:p>
        </w:tc>
        <w:tc>
          <w:tcPr>
            <w:tcW w:type="dxa" w:w="1440"/>
            <w:shd w:fill="FFDCE0" w:val="clear"/>
          </w:tcPr>
          <w:p>
            <w:r>
              <w:rPr>
                <w:sz w:val="17"/>
              </w:rPr>
              <w:t>2026-10-02</w:t>
            </w:r>
          </w:p>
        </w:tc>
        <w:tc>
          <w:tcPr>
            <w:tcW w:type="dxa" w:w="1440"/>
            <w:shd w:fill="FFDCE0" w:val="clear"/>
          </w:tcPr>
          <w:p>
            <w:r>
              <w:rPr>
                <w:sz w:val="17"/>
              </w:rPr>
              <w:t>1,762</w:t>
            </w:r>
          </w:p>
        </w:tc>
        <w:tc>
          <w:tcPr>
            <w:tcW w:type="dxa" w:w="1440"/>
            <w:shd w:fill="FFDCE0" w:val="clear"/>
          </w:tcPr>
          <w:p>
            <w:r>
              <w:rPr>
                <w:b/>
                <w:sz w:val="17"/>
              </w:rPr>
              <w:t>1,943</w:t>
            </w:r>
          </w:p>
        </w:tc>
        <w:tc>
          <w:tcPr>
            <w:tcW w:type="dxa" w:w="1440"/>
            <w:shd w:fill="FFDCE0" w:val="clear"/>
          </w:tcPr>
          <w:p>
            <w:r>
              <w:rPr>
                <w:sz w:val="17"/>
              </w:rPr>
              <w:t>2,124</w:t>
            </w:r>
          </w:p>
        </w:tc>
        <w:tc>
          <w:tcPr>
            <w:tcW w:type="dxa" w:w="1440"/>
            <w:shd w:fill="FFDCE0" w:val="clear"/>
          </w:tcPr>
          <w:p>
            <w:r>
              <w:rPr>
                <w:b/>
                <w:color w:val="C00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FILTISAC CI (FTSC)</w:t>
        <w:br/>
        <w:t>**Bourse Régionale des Valeurs Mobilières (BRVM) — Secteur : Emballages / Transformation agro-industrielle**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29,48 milliards FCFA, FTSC se situe dans la catégorie des valeurs moyennes de la BRVM, ce qui traduit une liquidité limitée et une exposition accrue à la volatilité. Le BPA de 33 FCFA/action signifie que chaque titre génère théoriquement 33 FCFA de bénéfice net, un niveau faible au regard du cours actuel de 2 090 FCFA. Le PER de 63,3x constitue un signal d'alerte majeur : les investisseurs paient plus de 63 fois les bénéfices courants, soit un multiple très supérieur à la moyenne du marché BRVM (8-12x), ce qui intègre déjà une anticipation de redressement massif des profits. Le P/B de 1,88x indique que le marché valorise la société à près de deux fois sa valeur comptable, un niveau raisonnable mais qui n'offre pas de décote de sécurité. Enfin, l'EV/EBITDA de 37,5x est très exigeant (&gt;15x), signifiant que la valeur d'entreprise (capitalisation + dette nette) représente 37,5 fois la capacité opérationnelle de génération de cash — un multiple incompatible avec la rentabilité opérationnelle actuelle de la société, ce qui confirme une valorisation tendue.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affiche une variation quasi nulle de -0,71%, avec une dernière séance en repli de -0,24%, traduisant une phase de consolidation sans direction claire. Le cours actuel de 2 090 FCFA évolue dans un range de 520 FCFA entre le plus bas (1 910 FCFA) et le plus haut (2 430 FCFA), soit une amplitude de 27% qui témoigne d'une réelle nervosité intra-période. La tendance générale est stable à légèrement baissière, le titre ayant érodé ses gains après avoir atteint son sommet. Les statistiques descriptives révèlent une moyenne (2 131 FCFA) légèrement supérieure à la médiane (2 150 FCFA), avec un mode à 1 990 FCFA — l'écart faible entre ces mesures suggère une distribution globalement équilibrée, confirmée par un skewness de 0,190 (distribution symétrique). L'écart-type de 126 FCFA et le coefficient de variation de 5,9% indiquent une dispersion modérée du cours autour de sa moyenne, tandis que le kurtosis de -0,760 (mésokurtique) signale une distribution proche de la normale, sans risque marqué de pics extrêmes. La volatilité annualisée de 32,5% classe le titre dans la catégorie des valeurs à volatilité élevée (&gt;30%), ce qui implique un risque de marché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(2 128,5 FCFA) et la MM50 (2 070,7 FCFA) se situent toutes deux au-dessus du cours actuel (2 090 FCFA), avec une MM20 supérieure à la MM50 — configuration haussière de fond. Le cours évoluant sous ses deux moyennes, la décision « Achat » suggérée par le croisement MM20/MM50 reste toutefois à confirmer par un retour du prix au-dessus de la MM20.</w:t>
      </w:r>
    </w:p>
    <w:p>
      <w:pPr>
        <w:spacing w:after="120" w:line="276" w:lineRule="auto"/>
      </w:pPr>
      <w:r>
        <w:t>**Bandes de Bollinger :** Le cours (2 090 FCFA) se situe dans la partie basse de la bande, entre la borne inférieure (2 065,66 FCFA) et la borne supérieure (2 191,34 FCFA), sans franchissement des limites. Cette position médiane-basse traduit une volatilité contenue et une absence de signal directionnel fort, justifiant la décision « Neutre ».</w:t>
      </w:r>
    </w:p>
    <w:p>
      <w:pPr>
        <w:spacing w:after="120" w:line="276" w:lineRule="auto"/>
      </w:pPr>
      <w:r>
        <w:t>**MACD :** La valeur du MACD (-0,557) est nettement inférieure à son signal (8,391), générant une divergence baissière marquée. Le momentum est clairement négatif, la ligne MACD ayant basculé sous zéro, ce qui justifie la décision « Vente » et suggère une pression vendeuse persistante à court terme.</w:t>
      </w:r>
    </w:p>
    <w:p>
      <w:pPr>
        <w:spacing w:after="120" w:line="276" w:lineRule="auto"/>
      </w:pPr>
      <w:r>
        <w:t>**RSI :** À 38,983, le RSI se situe dans la zone neutre basse (30-70), sans atteindre la zone de survente (&lt;30). Le titre n'est ni suracheté ni survendu, mais la proximité de la zone de survente indique une faiblesse relative du momentum, cohérente avec la décision « Neutre ».</w:t>
      </w:r>
    </w:p>
    <w:p>
      <w:pPr>
        <w:spacing w:after="120" w:line="276" w:lineRule="auto"/>
      </w:pPr>
      <w:r>
        <w:t>**Stochastique :** Le %K (0,0) est au plancher absolu et inférieur au %D (1,852), configuration de survente extrême. Ce positionnement suggère qu'un rebond technique pourrait se produire à court terme, justifiant la décision « Achat » — mais ce signal doit être pondéré par la faiblesse générale des autres indicateurs.</w:t>
      </w:r>
    </w:p>
    <w:p>
      <w:pPr>
        <w:spacing w:after="120" w:line="276" w:lineRule="auto"/>
      </w:pPr>
      <w:r>
        <w:t>**Conclusion technique :** Les indicateurs présentent une divergence notable : les moyennes mobiles et le stochastique plaident pour un achat (survente + configuration haussière de fond), tandis que le MACD et la position du cours sous les moyennes mobiles recommandent la prudence. Le RSI neutre et les Bandes de Bollinger sans signal confirment l'absence de tendance claire. La convergence des signaux est donc insuffisante pour un engagement directionnel fort, le titre évoluant dans une zone de consolidation baissière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FILTISAC CI a réalisé un chiffre d'affaires de 32,109 milliards FCFA, en croissance de 4,61% sur un an, avec un résultat net de 465,98 millions FCFA seulement, soit une marge nette de 1,45%. Le ROE s'établit à 2,97% et le ROA à 1,19%, des niveaux très faibles traduisant une rentabilité des fonds propres et des actifs médiocre. La marge opérationnelle est quasi nulle (0,86%) et le coefficient d'exploitation atteint 116,59%, signifiant que les charges d'exploitation dépassent les produits — la société opère à perte au niveau opérationnel. **Spécificité du secteur entreprise :** le BFR est de 11,529 milliards FCFA, le délai clients est très élevé à 213,72 jours (risque de trésorerie important), le délai fournisseurs de 140,71 jours et la durée de stockage de 214,65 jours — ces délais d'exploitation très longs immobilisent massivement du capital. La trésorerie nette est négative à -11,528 milliards FCFA et la capacité de remboursement de 11,49 années est préoccupante. Le ratio d'endettement de 97,60% et l'autonomie financière de 40,11% indiquent une structure financière fragile.</w:t>
      </w:r>
    </w:p>
    <w:p>
      <w:pPr>
        <w:spacing w:after="120" w:line="276" w:lineRule="auto"/>
      </w:pPr>
      <w:r>
        <w:t>**Évolution et estimations basées sur les rapports :** Le rapport annuel 2024 (publié le 31/12/2024) révélait un résultat net exceptionnel de 18,595 milliards FCFA, artificiellement gonflé par des produits de cession de filiales (Ivoire Coton, Chimtec, Cofisac). Le rapport du 1er semestre 2025 (30/06/2025) montrait déjà l'effondrement avec un résultat net de 105 millions FCFA (-97%), et le rapport du 3e trimestre 2025 (30/09/2025) confirmait un résultat courant avant impôts négatif de -216 millions FCFA. **Estimation pour 2026 :** le rapport du 1er trimestre 2026 fait état d'un chiffre d'affaires de 8 901 millions FCFA (+55%) et d'un résultat d'exploitation positif de 75 millions FCFA (contre -78 millions au T1 2025), mais le résultat net reste déficitaire à -154 millions FCFA. On estime donc que l'exercice 2026 devrait bénéficier d'une dynamique commerciale favorable (demande d'emballages cacao), mais la rentabilité nette restera négative à court terme. Le communiqué du 08/07/2026 rassure sur la continuité d'activité malgré l'arrêt de la filature (interdiction d'exportation de jute par le Bangladesh), avec une solution alternative d'importation de fil.</w:t>
      </w:r>
    </w:p>
    <w:p>
      <w:pPr>
        <w:spacing w:after="120" w:line="276" w:lineRule="auto"/>
      </w:pPr>
      <w:r>
        <w:t>**Recommandation fondamentale :** La société présente une solidité financière dégradée (capitaux propres réduits de 43,4 à 15,7 milliards FCFA, trésorerie nette négative), une rentabilité opérationnelle à peine à l'équilibre et une dépendance critique à la campagne cacaoyère. Les risques identifiés (liquidité, coûts des matières premières, fret maritime) sont élevés. La recommandation fondamentale est **VENTE** à court terme, avec une surveillance attentive de la restauration de la rentabilité opérationnelle.</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très défavorable. **Valorisation (Partie 0) :** le PER de 63,3x et l'EV/EBITDA de 37,5x indiquent une surévaluation manifeste au regard des bénéfices et de la capacité opérationnelle, le P/B de 1,88x n'offrant pas de décote protectrice. **Comportement du cours (Partie 1) :** la tendance est stable à légèrement baissière (-0,71%), avec une volatilité élevée (32,5%) et une distribution symétrique sans risque de pics extrêmes (kurtosis -0,76), ce qui n'est ni favorable ni défavorable mais reflète une absence de momentum. **Signaux techniques (Partie 2) :** divergence entre le MACD baissier et le stochastique en survente, avec un RSI neutre et des Bandes de Bollinger sans signal — la convergence est insuffisante pour un achat. **Fondamentaux (Partie 3) :** la société affiche une rentabilité quasi nulle (ROE 2,97%, ROA 1,19%), une trésorerie nette négative (-11,5 milliards FCFA) et une dépendance critique à la campagne cacaoyère, malgré l'amélioration du CA au T1 2026 (+55%). **Prédictions IA (J+1 à J+10) :** la trajectoire prédite est baissière (2 072 → 2 009 FCFA), confirmant la pression vendeuse et contredisant les signaux d'achat techniques isolés. Sur la base de cette synthèse, la recommandation finale est **VENTE**, avec un niveau de confiance **Moyen** (les signaux baissiers sont convergents mais le stochastique en survente pourrait générer un rebond technique éphémère). Le niveau de risque global est **Élevé** (volatilité 32,5%, endettement 97,6%, trésorerie négative, dépendance agricole). L'horizon d'investissement optimal est **court terme (&lt;3 mois)** pour les investisseurs cherchant à sortir sur rebond, ou **moyen terme (3-12 mois)** pour ceux qui souhaitent surveiller la restauration de la rentabilité opérationnelle avant tout engagement.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4,436 titres</w:t>
            </w:r>
          </w:p>
        </w:tc>
        <w:tc>
          <w:tcPr>
            <w:tcW w:type="dxa" w:w="2268"/>
            <w:shd w:fill="FFF2CC" w:val="clear"/>
          </w:tcPr>
          <w:p>
            <w:r>
              <w:rPr>
                <w:b/>
                <w:color w:val="503200"/>
                <w:sz w:val="16"/>
              </w:rPr>
              <w:t xml:space="preserve">Cours actuel : </w:t>
            </w:r>
            <w:r>
              <w:rPr>
                <w:color w:val="000000"/>
                <w:sz w:val="17"/>
              </w:rPr>
              <w:t>4,080 FCFA</w:t>
            </w:r>
          </w:p>
          <w:p>
            <w:r>
              <w:rPr>
                <w:b/>
                <w:color w:val="503200"/>
                <w:sz w:val="16"/>
              </w:rPr>
              <w:t xml:space="preserve">Var. 100 jours : </w:t>
            </w:r>
            <w:r>
              <w:rPr>
                <w:b/>
                <w:color w:val="007800"/>
                <w:sz w:val="17"/>
              </w:rPr>
              <w:t>+3.82%</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4.68% (Faible) — μ=4,074 FCFA, σ=191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β=-0.2168 (Contre-cyclique) — Cov=-0.000008, Var(idx)=0.000036, ρ=-0.054,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4,436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σ_j=2.40%/j (Stable) — Vol. annualisée≈38.0%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3,971</w:t>
            </w:r>
          </w:p>
        </w:tc>
        <w:tc>
          <w:tcPr>
            <w:tcW w:type="dxa" w:w="1440"/>
            <w:shd w:fill="FAFAFA" w:val="clear"/>
          </w:tcPr>
          <w:p>
            <w:r>
              <w:rPr>
                <w:b/>
                <w:sz w:val="17"/>
              </w:rPr>
              <w:t>4,109</w:t>
            </w:r>
          </w:p>
        </w:tc>
        <w:tc>
          <w:tcPr>
            <w:tcW w:type="dxa" w:w="1440"/>
            <w:shd w:fill="FAFAFA" w:val="clear"/>
          </w:tcPr>
          <w:p>
            <w:r>
              <w:rPr>
                <w:sz w:val="17"/>
              </w:rPr>
              <w:t>4,246</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3,936</w:t>
            </w:r>
          </w:p>
        </w:tc>
        <w:tc>
          <w:tcPr>
            <w:tcW w:type="dxa" w:w="1440"/>
            <w:shd w:fill="FAFAFA" w:val="clear"/>
          </w:tcPr>
          <w:p>
            <w:r>
              <w:rPr>
                <w:b/>
                <w:sz w:val="17"/>
              </w:rPr>
              <w:t>4,131</w:t>
            </w:r>
          </w:p>
        </w:tc>
        <w:tc>
          <w:tcPr>
            <w:tcW w:type="dxa" w:w="1440"/>
            <w:shd w:fill="FAFAFA" w:val="clear"/>
          </w:tcPr>
          <w:p>
            <w:r>
              <w:rPr>
                <w:sz w:val="17"/>
              </w:rPr>
              <w:t>4,327</w:t>
            </w:r>
          </w:p>
        </w:tc>
        <w:tc>
          <w:tcPr>
            <w:tcW w:type="dxa" w:w="1440"/>
            <w:shd w:fill="FAFAFA" w:val="clear"/>
          </w:tcPr>
          <w:p>
            <w:r>
              <w:rPr>
                <w:b/>
                <w:color w:val="008000"/>
                <w:sz w:val="17"/>
              </w:rPr>
              <w:t>+1.3%</w:t>
            </w:r>
          </w:p>
        </w:tc>
      </w:tr>
      <w:tr>
        <w:tc>
          <w:tcPr>
            <w:tcW w:type="dxa" w:w="1440"/>
            <w:shd w:fill="C6EFCE" w:val="clear"/>
          </w:tcPr>
          <w:p>
            <w:r>
              <w:rPr>
                <w:sz w:val="17"/>
              </w:rPr>
              <w:t>J+3  Moyenne</w:t>
            </w:r>
          </w:p>
        </w:tc>
        <w:tc>
          <w:tcPr>
            <w:tcW w:type="dxa" w:w="1440"/>
            <w:shd w:fill="C6EFCE" w:val="clear"/>
          </w:tcPr>
          <w:p>
            <w:r>
              <w:rPr>
                <w:sz w:val="17"/>
              </w:rPr>
              <w:t>2026-09-23</w:t>
            </w:r>
          </w:p>
        </w:tc>
        <w:tc>
          <w:tcPr>
            <w:tcW w:type="dxa" w:w="1440"/>
            <w:shd w:fill="C6EFCE" w:val="clear"/>
          </w:tcPr>
          <w:p>
            <w:r>
              <w:rPr>
                <w:sz w:val="17"/>
              </w:rPr>
              <w:t>3,924</w:t>
            </w:r>
          </w:p>
        </w:tc>
        <w:tc>
          <w:tcPr>
            <w:tcW w:type="dxa" w:w="1440"/>
            <w:shd w:fill="C6EFCE" w:val="clear"/>
          </w:tcPr>
          <w:p>
            <w:r>
              <w:rPr>
                <w:b/>
                <w:sz w:val="17"/>
              </w:rPr>
              <w:t>4,165</w:t>
            </w:r>
          </w:p>
        </w:tc>
        <w:tc>
          <w:tcPr>
            <w:tcW w:type="dxa" w:w="1440"/>
            <w:shd w:fill="C6EFCE" w:val="clear"/>
          </w:tcPr>
          <w:p>
            <w:r>
              <w:rPr>
                <w:sz w:val="17"/>
              </w:rPr>
              <w:t>4,406</w:t>
            </w:r>
          </w:p>
        </w:tc>
        <w:tc>
          <w:tcPr>
            <w:tcW w:type="dxa" w:w="1440"/>
            <w:shd w:fill="C6EFCE" w:val="clear"/>
          </w:tcPr>
          <w:p>
            <w:r>
              <w:rPr>
                <w:b/>
                <w:color w:val="008000"/>
                <w:sz w:val="17"/>
              </w:rPr>
              <w:t>+2.1%</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3,894</w:t>
            </w:r>
          </w:p>
        </w:tc>
        <w:tc>
          <w:tcPr>
            <w:tcW w:type="dxa" w:w="1440"/>
            <w:shd w:fill="C6EFCE" w:val="clear"/>
          </w:tcPr>
          <w:p>
            <w:r>
              <w:rPr>
                <w:b/>
                <w:sz w:val="17"/>
              </w:rPr>
              <w:t>4,174</w:t>
            </w:r>
          </w:p>
        </w:tc>
        <w:tc>
          <w:tcPr>
            <w:tcW w:type="dxa" w:w="1440"/>
            <w:shd w:fill="C6EFCE" w:val="clear"/>
          </w:tcPr>
          <w:p>
            <w:r>
              <w:rPr>
                <w:sz w:val="17"/>
              </w:rPr>
              <w:t>4,453</w:t>
            </w:r>
          </w:p>
        </w:tc>
        <w:tc>
          <w:tcPr>
            <w:tcW w:type="dxa" w:w="1440"/>
            <w:shd w:fill="C6EFCE" w:val="clear"/>
          </w:tcPr>
          <w:p>
            <w:r>
              <w:rPr>
                <w:b/>
                <w:color w:val="008000"/>
                <w:sz w:val="17"/>
              </w:rPr>
              <w:t>+2.3%</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3,863</w:t>
            </w:r>
          </w:p>
        </w:tc>
        <w:tc>
          <w:tcPr>
            <w:tcW w:type="dxa" w:w="1440"/>
            <w:shd w:fill="C6EFCE" w:val="clear"/>
          </w:tcPr>
          <w:p>
            <w:r>
              <w:rPr>
                <w:b/>
                <w:sz w:val="17"/>
              </w:rPr>
              <w:t>4,176</w:t>
            </w:r>
          </w:p>
        </w:tc>
        <w:tc>
          <w:tcPr>
            <w:tcW w:type="dxa" w:w="1440"/>
            <w:shd w:fill="C6EFCE" w:val="clear"/>
          </w:tcPr>
          <w:p>
            <w:r>
              <w:rPr>
                <w:sz w:val="17"/>
              </w:rPr>
              <w:t>4,488</w:t>
            </w:r>
          </w:p>
        </w:tc>
        <w:tc>
          <w:tcPr>
            <w:tcW w:type="dxa" w:w="1440"/>
            <w:shd w:fill="C6EFCE" w:val="clear"/>
          </w:tcPr>
          <w:p>
            <w:r>
              <w:rPr>
                <w:b/>
                <w:color w:val="008000"/>
                <w:sz w:val="17"/>
              </w:rPr>
              <w:t>+2.3%</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3,843</w:t>
            </w:r>
          </w:p>
        </w:tc>
        <w:tc>
          <w:tcPr>
            <w:tcW w:type="dxa" w:w="1440"/>
            <w:shd w:fill="C6EFCE" w:val="clear"/>
          </w:tcPr>
          <w:p>
            <w:r>
              <w:rPr>
                <w:b/>
                <w:sz w:val="17"/>
              </w:rPr>
              <w:t>4,186</w:t>
            </w:r>
          </w:p>
        </w:tc>
        <w:tc>
          <w:tcPr>
            <w:tcW w:type="dxa" w:w="1440"/>
            <w:shd w:fill="C6EFCE" w:val="clear"/>
          </w:tcPr>
          <w:p>
            <w:r>
              <w:rPr>
                <w:sz w:val="17"/>
              </w:rPr>
              <w:t>4,529</w:t>
            </w:r>
          </w:p>
        </w:tc>
        <w:tc>
          <w:tcPr>
            <w:tcW w:type="dxa" w:w="1440"/>
            <w:shd w:fill="C6EFCE" w:val="clear"/>
          </w:tcPr>
          <w:p>
            <w:r>
              <w:rPr>
                <w:b/>
                <w:color w:val="008000"/>
                <w:sz w:val="17"/>
              </w:rPr>
              <w:t>+2.6%</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3,816</w:t>
            </w:r>
          </w:p>
        </w:tc>
        <w:tc>
          <w:tcPr>
            <w:tcW w:type="dxa" w:w="1440"/>
            <w:shd w:fill="C6EFCE" w:val="clear"/>
          </w:tcPr>
          <w:p>
            <w:r>
              <w:rPr>
                <w:b/>
                <w:sz w:val="17"/>
              </w:rPr>
              <w:t>4,187</w:t>
            </w:r>
          </w:p>
        </w:tc>
        <w:tc>
          <w:tcPr>
            <w:tcW w:type="dxa" w:w="1440"/>
            <w:shd w:fill="C6EFCE" w:val="clear"/>
          </w:tcPr>
          <w:p>
            <w:r>
              <w:rPr>
                <w:sz w:val="17"/>
              </w:rPr>
              <w:t>4,557</w:t>
            </w:r>
          </w:p>
        </w:tc>
        <w:tc>
          <w:tcPr>
            <w:tcW w:type="dxa" w:w="1440"/>
            <w:shd w:fill="C6EFCE" w:val="clear"/>
          </w:tcPr>
          <w:p>
            <w:r>
              <w:rPr>
                <w:b/>
                <w:color w:val="008000"/>
                <w:sz w:val="17"/>
              </w:rPr>
              <w:t>+2.6%</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3,790</w:t>
            </w:r>
          </w:p>
        </w:tc>
        <w:tc>
          <w:tcPr>
            <w:tcW w:type="dxa" w:w="1440"/>
            <w:shd w:fill="C6EFCE" w:val="clear"/>
          </w:tcPr>
          <w:p>
            <w:r>
              <w:rPr>
                <w:b/>
                <w:sz w:val="17"/>
              </w:rPr>
              <w:t>4,186</w:t>
            </w:r>
          </w:p>
        </w:tc>
        <w:tc>
          <w:tcPr>
            <w:tcW w:type="dxa" w:w="1440"/>
            <w:shd w:fill="C6EFCE" w:val="clear"/>
          </w:tcPr>
          <w:p>
            <w:r>
              <w:rPr>
                <w:sz w:val="17"/>
              </w:rPr>
              <w:t>4,582</w:t>
            </w:r>
          </w:p>
        </w:tc>
        <w:tc>
          <w:tcPr>
            <w:tcW w:type="dxa" w:w="1440"/>
            <w:shd w:fill="C6EFCE" w:val="clear"/>
          </w:tcPr>
          <w:p>
            <w:r>
              <w:rPr>
                <w:b/>
                <w:color w:val="008000"/>
                <w:sz w:val="17"/>
              </w:rPr>
              <w:t>+2.6%</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3,763</w:t>
            </w:r>
          </w:p>
        </w:tc>
        <w:tc>
          <w:tcPr>
            <w:tcW w:type="dxa" w:w="1440"/>
            <w:shd w:fill="C6EFCE" w:val="clear"/>
          </w:tcPr>
          <w:p>
            <w:r>
              <w:rPr>
                <w:b/>
                <w:sz w:val="17"/>
              </w:rPr>
              <w:t>4,183</w:t>
            </w:r>
          </w:p>
        </w:tc>
        <w:tc>
          <w:tcPr>
            <w:tcW w:type="dxa" w:w="1440"/>
            <w:shd w:fill="C6EFCE" w:val="clear"/>
          </w:tcPr>
          <w:p>
            <w:r>
              <w:rPr>
                <w:sz w:val="17"/>
              </w:rPr>
              <w:t>4,602</w:t>
            </w:r>
          </w:p>
        </w:tc>
        <w:tc>
          <w:tcPr>
            <w:tcW w:type="dxa" w:w="1440"/>
            <w:shd w:fill="C6EFCE" w:val="clear"/>
          </w:tcPr>
          <w:p>
            <w:r>
              <w:rPr>
                <w:b/>
                <w:color w:val="008000"/>
                <w:sz w:val="17"/>
              </w:rPr>
              <w:t>+2.5%</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3,737</w:t>
            </w:r>
          </w:p>
        </w:tc>
        <w:tc>
          <w:tcPr>
            <w:tcW w:type="dxa" w:w="1440"/>
            <w:shd w:fill="C6EFCE" w:val="clear"/>
          </w:tcPr>
          <w:p>
            <w:r>
              <w:rPr>
                <w:b/>
                <w:sz w:val="17"/>
              </w:rPr>
              <w:t>4,179</w:t>
            </w:r>
          </w:p>
        </w:tc>
        <w:tc>
          <w:tcPr>
            <w:tcW w:type="dxa" w:w="1440"/>
            <w:shd w:fill="C6EFCE" w:val="clear"/>
          </w:tcPr>
          <w:p>
            <w:r>
              <w:rPr>
                <w:sz w:val="17"/>
              </w:rPr>
              <w:t>4,621</w:t>
            </w:r>
          </w:p>
        </w:tc>
        <w:tc>
          <w:tcPr>
            <w:tcW w:type="dxa" w:w="1440"/>
            <w:shd w:fill="C6EFCE" w:val="clear"/>
          </w:tcPr>
          <w:p>
            <w:r>
              <w:rPr>
                <w:b/>
                <w:color w:val="008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81,60 milliards FCFA, LNBB se positionne comme une valeur de taille intermédiaire sur la BRVM, représentant un poids non négligeable dans l'indice composite. Le BPA de 231 FCFA/action signifie que chaque titre génère près de 231 FCFA de bénéfice net, ce qui, rapporté au cours actuel de 4 080 FCFA, donne un PER de 17,7x — soit une valorisation modérée mais nettement supérieure à la moyenne du marché BRVM (8-12x), traduisant une prime de qualité accordée par les investisseurs. Le P/B de 3,72x indique que le marché valorise la société à près de 4 fois sa valeur comptable, ce qui est cohérent avec un ROE élevé (21,05%) mais laisse peu de marge de sécurité en cas de dégradation. Enfin, l'EV/EBITDA de 10,4x situe la valeur d'entreprise à environ 10 fois la capacité opérationnelle, un niveau élevé qui intègre les perspectives de redressement digital mais qui reste sensible à toute déception sur les marges.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LNBB affiche une variation totale de +3,82%, avec une dernière séance en léger repli de -0,37%, le cours s'établissant à 4 080 FCFA. Le range de trading est relativement large, avec un plus haut à 4 560 FCFA et un plus bas à 3 825 FCFA, soit un écart de 735 FCFA (19,2%) qui témoigne d'une certaine nervosité du marché. La tendance générale est haussière mais fragile, le cours actuel se situant dans la moitié inférieure du range, ce qui suggère une pression vendeuse récente. Les statistiques descriptives révèlent une moyenne (4 074 FCFA) légèrement supérieure à la médiane (4 050 FCFA), avec un mode à 4 100 FCFA, indiquant une distribution quasi-symétrique mais avec un skewness positif de 0,511 — signifiant qu'il y a eu plus de journées sous la moyenne, mais que les hausses ont été plus amples que les baisses. L'écart-type de 192 FCFA (CV=4,7%) traduit une dispersion modérée du cours, tandis que le kurtosis de -0,842 (mésokurtique) indique une distribution proche de la normale, sans risque excessif de pics extrêmes. La volatilité annualisée de 38,0% classe le titre dans la catégorie des valeurs à volatilité élevée (&gt;30%), ce qui implique un risque de marché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(4 026,75 FCFA) est inférieure à la MM50 (4 166,80 FCFA), et le cours actuel (4 080 FCFA) se situe entre les deux, légèrement au-dessus de la MM20 mais sous la MM50. Cette configuration indique une tendance de fond encore baissière à moyen terme, bien qu'un rebond à court terme soit amorcé. La décision technique qui en résulte est **Vente**, car le croisement des moyennes reste défavorable.</w:t>
      </w:r>
    </w:p>
    <w:p>
      <w:pPr>
        <w:spacing w:after="120" w:line="276" w:lineRule="auto"/>
      </w:pPr>
      <w:r>
        <w:t>**Bandes de Bollinger** : Le cours (4 080 FCFA) évolue dans la partie médiane des bandes, entre la borne inférieure (3 903,84 FCFA) et la borne supérieure (4 149,67 FCFA). L'absence de contact avec les bornes traduit une volatilité normale sans excès, et la décision est **Neutre**, le marché étant en phase de consolidation sans signal directionnel fort.</w:t>
      </w:r>
    </w:p>
    <w:p>
      <w:pPr>
        <w:spacing w:after="120" w:line="276" w:lineRule="auto"/>
      </w:pPr>
      <w:r>
        <w:t>**MACD** : La valeur du MACD (-29,079) est supérieure à son signal (-45,567), formant un croisement haussier (MACD au-dessus du signal) bien que les deux restent en territoire négatif. Ce momentum positif naissant justifie une décision d'**Achat** technique, mais la prudence reste de mise tant que le MACD n'a pas franchi la ligne zéro.</w:t>
      </w:r>
    </w:p>
    <w:p>
      <w:pPr>
        <w:spacing w:after="120" w:line="276" w:lineRule="auto"/>
      </w:pPr>
      <w:r>
        <w:t>**RSI** : À 54,598, le RSI se situe dans la zone neutre (30-70), sans signal de surachat ni de survente. Cette position médiane indique un équilibre entre acheteurs et vendeurs, et la décision est **Neutre**, le titre ne présentant pas de déséquilibre technique exploitable.</w:t>
      </w:r>
    </w:p>
    <w:p>
      <w:pPr>
        <w:spacing w:after="120" w:line="276" w:lineRule="auto"/>
      </w:pPr>
      <w:r>
        <w:t>**Stochastique** : Le %K (90,0) et le %D (95,833) sont tous deux en zone de surachat (&gt;80), avec un %K inférieur au %D, ce qui suggère un début de retournement baissier. La décision est **Vente**, le stochastique signalant une correction imminente après la récente progression.</w:t>
      </w:r>
    </w:p>
    <w:p>
      <w:pPr>
        <w:spacing w:after="120" w:line="276" w:lineRule="auto"/>
      </w:pPr>
      <w:r>
        <w:t>**Conclusion technique** : Les indicateurs sont globalement divergents — le MACD donne un signal d'achat tandis que les moyennes mobiles et le stochastique recommandent la vente, le RSI et les bandes de Bollinger restant neutres. Cette absence de consensus traduit une phase d'incertitude, avec un léger avantage aux signaux baissiers à court terme (stochastique en surachat, cours sous la MM50). La prudence est de mise, et un positionnement attentiste semble approprié en attendant une clarification de la tendance.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LNBB a réalisé un chiffre d'affaires de 98,598 milliards FCFA, en baisse de -3,85% par rapport à 2024, et un résultat net de 4,622 milliards FCFA, en recul de -35,6% — une dégradation qui s'explique principalement par l'absence de produits exceptionnels (3,1 milliards en 2024) et par la concurrence illégale. Malgré cette baisse, les fondamentaux opérationnels se sont améliorés : la valeur ajoutée a progressé de +22% à 10,548 milliards FCFA et l'EBE de +34% à 7,164 milliards FCFA, témoignant d'une excellente maîtrise des charges. Les ratios de rentabilité restent solides avec un ROE de 21,05% (excellent, &gt;15%) et un ROA de 14,17%, tandis que la structure financière est très saine : autonomie financière de 67,32%, ratio d'endettement de seulement 2,57%, et trésorerie nette positive de 7,979 milliards FCFA. Le BFR est quasi nul (217,45 millions FCFA), et les délais d'exploitation sont remarquablement courts (clients : 4,82 jours ; fournisseurs : 20,41 jours ; stocks : 1,56 jour), ce qui traduit une gestion efficiente du besoin en fonds de roulement. Les rapports trimestriels récents confirment une amélioration séquentielle : au T1 2026 (rapport du 31 mars 2026), le CA a progressé de +6% à 25,521 milliards FCFA mais le résultat net a chuté de -46% à 848 millions FCFA en raison du mix produit défavorable (pari sportif à 95% de taux de retour). Cependant, au S1 2026 (rapport du 30 juin 2026), le résultat net a bondi de +60% et le résultat d'exploitation de +40%, grâce à la maîtrise des charges et aux revenus de partenariats B2B, bien que le produit brut des jeux ait reculé de -9%. Sur la base de ces tendances, on estime que l'exercice 2026 devrait afficher une reprise de la rentabilité, portée par le déploiement de 1 500 nouveaux terminaux et le lancement de nouveaux produits à forte marge au S2 2026. La recommandation fondamentale est **CONSERVER**, la solidité financière et les perspectives de redressement compensant les risques liés à la concurrence illégale et à la pression sur les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LNBB (PER 17,7x, P/B 3,72x, EV/EBITDA 10,4x) apparaît relativement élevée par rapport aux standards de la BRVM, intégrant déjà une prime de croissance qui laisse peu de marge d'erreur. Le comportement du cours sur 100 jours (+3,82%) est haussier mais fragile, avec une volatilité élevée (38%) et un skewness positif (0,511) indiquant que les hausses ont été plus amples que les baisses, bien que le kurtosis mésokurtique (-0,842) écarte le risque de pics extrêmes. Les signaux techniques sont divergents — le MACD donne un signal d'achat tandis que les moyennes mobiles et le stochastique recommandent la vente — ce qui traduit une incertitude à court terme et plaide pour la prudence. Les fondamentaux restent solides (ROE 21,05%, autonomie financière 67,32%, trésorerie nette 7,979 Mds FCFA) et les rapports récents (S1 2026 : RN +60%) confirment une amélioration séquentielle, mais la pression sur les marges (produit brut des jeux -9%) et la concurrence illégale constituent des risques persistants. Les prédictions IA (J+1 à J+10) tablent sur une progression modérée vers 4 176 FCFA (+2,4%), ce qui confirme la tendance haussière de court terme mais sans emballement. Sur la base de cette synthèse, la recommandation finale est **CONSERVER**, avec un niveau de confiance **Moyen** et un risque global **Moyen**. L'horizon d'investissement optimal est le **moyen terme (3-12 mois)**, en attendant la confirmation du redressement de la rentabilité au S2 2026 et l'impact des mesures d'assainissement du secteur sur les volumes. Une position d'achat serait prématurée sans visibilité sur la stabilisation du produit brut des jeux et la pérennité des revenus de partenariats.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31.79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3,740 titres</w:t>
            </w:r>
          </w:p>
        </w:tc>
        <w:tc>
          <w:tcPr>
            <w:tcW w:type="dxa" w:w="2268"/>
            <w:shd w:fill="FFF2CC" w:val="clear"/>
          </w:tcPr>
          <w:p>
            <w:r>
              <w:rPr>
                <w:b/>
                <w:color w:val="503200"/>
                <w:sz w:val="16"/>
              </w:rPr>
              <w:t xml:space="preserve">Cours actuel : </w:t>
            </w:r>
            <w:r>
              <w:rPr>
                <w:color w:val="000000"/>
                <w:sz w:val="17"/>
              </w:rPr>
              <w:t>2,490 FCFA</w:t>
            </w:r>
          </w:p>
          <w:p>
            <w:r>
              <w:rPr>
                <w:b/>
                <w:color w:val="503200"/>
                <w:sz w:val="16"/>
              </w:rPr>
              <w:t xml:space="preserve">Var. 100 jours : </w:t>
            </w:r>
            <w:r>
              <w:rPr>
                <w:b/>
                <w:color w:val="007800"/>
                <w:sz w:val="17"/>
              </w:rPr>
              <w:t>+57.59%</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1,580 FCFA</w:t>
            </w:r>
          </w:p>
          <w:p>
            <w:r>
              <w:rPr>
                <w:b/>
                <w:color w:val="503200"/>
                <w:sz w:val="16"/>
              </w:rPr>
              <w:t xml:space="preserve">Volatilité ann. : </w:t>
            </w:r>
            <w:r>
              <w:rPr>
                <w:color w:val="000000"/>
                <w:sz w:val="17"/>
              </w:rPr>
              <w:t>56.7%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14.90% (Moyenne) — μ=2,246 FCFA, σ=335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β=0.0283 (Défensif) — Cov=0.000001, Var(idx)=0.000036, ρ=0.005,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σ_j=3.57%/j (Modérée) — Vol. annualisée≈56.7%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2,309</w:t>
            </w:r>
          </w:p>
        </w:tc>
        <w:tc>
          <w:tcPr>
            <w:tcW w:type="dxa" w:w="1440"/>
            <w:shd w:fill="FAFAFA" w:val="clear"/>
          </w:tcPr>
          <w:p>
            <w:r>
              <w:rPr>
                <w:b/>
                <w:sz w:val="17"/>
              </w:rPr>
              <w:t>2,477</w:t>
            </w:r>
          </w:p>
        </w:tc>
        <w:tc>
          <w:tcPr>
            <w:tcW w:type="dxa" w:w="1440"/>
            <w:shd w:fill="FAFAFA" w:val="clear"/>
          </w:tcPr>
          <w:p>
            <w:r>
              <w:rPr>
                <w:sz w:val="17"/>
              </w:rPr>
              <w:t>2,645</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2,228</w:t>
            </w:r>
          </w:p>
        </w:tc>
        <w:tc>
          <w:tcPr>
            <w:tcW w:type="dxa" w:w="1440"/>
            <w:shd w:fill="FAFAFA" w:val="clear"/>
          </w:tcPr>
          <w:p>
            <w:r>
              <w:rPr>
                <w:b/>
                <w:sz w:val="17"/>
              </w:rPr>
              <w:t>2,465</w:t>
            </w:r>
          </w:p>
        </w:tc>
        <w:tc>
          <w:tcPr>
            <w:tcW w:type="dxa" w:w="1440"/>
            <w:shd w:fill="FAFAFA" w:val="clear"/>
          </w:tcPr>
          <w:p>
            <w:r>
              <w:rPr>
                <w:sz w:val="17"/>
              </w:rPr>
              <w:t>2,702</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2,168</w:t>
            </w:r>
          </w:p>
        </w:tc>
        <w:tc>
          <w:tcPr>
            <w:tcW w:type="dxa" w:w="1440"/>
            <w:shd w:fill="FAFAFA" w:val="clear"/>
          </w:tcPr>
          <w:p>
            <w:r>
              <w:rPr>
                <w:b/>
                <w:sz w:val="17"/>
              </w:rPr>
              <w:t>2,457</w:t>
            </w:r>
          </w:p>
        </w:tc>
        <w:tc>
          <w:tcPr>
            <w:tcW w:type="dxa" w:w="1440"/>
            <w:shd w:fill="FAFAFA" w:val="clear"/>
          </w:tcPr>
          <w:p>
            <w:r>
              <w:rPr>
                <w:sz w:val="17"/>
              </w:rPr>
              <w:t>2,746</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2,114</w:t>
            </w:r>
          </w:p>
        </w:tc>
        <w:tc>
          <w:tcPr>
            <w:tcW w:type="dxa" w:w="1440"/>
            <w:shd w:fill="FAFAFA" w:val="clear"/>
          </w:tcPr>
          <w:p>
            <w:r>
              <w:rPr>
                <w:b/>
                <w:sz w:val="17"/>
              </w:rPr>
              <w:t>2,447</w:t>
            </w:r>
          </w:p>
        </w:tc>
        <w:tc>
          <w:tcPr>
            <w:tcW w:type="dxa" w:w="1440"/>
            <w:shd w:fill="FAFAFA" w:val="clear"/>
          </w:tcPr>
          <w:p>
            <w:r>
              <w:rPr>
                <w:sz w:val="17"/>
              </w:rPr>
              <w:t>2,779</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2,065</w:t>
            </w:r>
          </w:p>
        </w:tc>
        <w:tc>
          <w:tcPr>
            <w:tcW w:type="dxa" w:w="1440"/>
            <w:shd w:fill="FFDCE0" w:val="clear"/>
          </w:tcPr>
          <w:p>
            <w:r>
              <w:rPr>
                <w:b/>
                <w:sz w:val="17"/>
              </w:rPr>
              <w:t>2,435</w:t>
            </w:r>
          </w:p>
        </w:tc>
        <w:tc>
          <w:tcPr>
            <w:tcW w:type="dxa" w:w="1440"/>
            <w:shd w:fill="FFDCE0" w:val="clear"/>
          </w:tcPr>
          <w:p>
            <w:r>
              <w:rPr>
                <w:sz w:val="17"/>
              </w:rPr>
              <w:t>2,805</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2,019</w:t>
            </w:r>
          </w:p>
        </w:tc>
        <w:tc>
          <w:tcPr>
            <w:tcW w:type="dxa" w:w="1440"/>
            <w:shd w:fill="FFDCE0" w:val="clear"/>
          </w:tcPr>
          <w:p>
            <w:r>
              <w:rPr>
                <w:b/>
                <w:sz w:val="17"/>
              </w:rPr>
              <w:t>2,423</w:t>
            </w:r>
          </w:p>
        </w:tc>
        <w:tc>
          <w:tcPr>
            <w:tcW w:type="dxa" w:w="1440"/>
            <w:shd w:fill="FFDCE0" w:val="clear"/>
          </w:tcPr>
          <w:p>
            <w:r>
              <w:rPr>
                <w:sz w:val="17"/>
              </w:rPr>
              <w:t>2,826</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1,977</w:t>
            </w:r>
          </w:p>
        </w:tc>
        <w:tc>
          <w:tcPr>
            <w:tcW w:type="dxa" w:w="1440"/>
            <w:shd w:fill="FFDCE0" w:val="clear"/>
          </w:tcPr>
          <w:p>
            <w:r>
              <w:rPr>
                <w:b/>
                <w:sz w:val="17"/>
              </w:rPr>
              <w:t>2,411</w:t>
            </w:r>
          </w:p>
        </w:tc>
        <w:tc>
          <w:tcPr>
            <w:tcW w:type="dxa" w:w="1440"/>
            <w:shd w:fill="FFDCE0" w:val="clear"/>
          </w:tcPr>
          <w:p>
            <w:r>
              <w:rPr>
                <w:sz w:val="17"/>
              </w:rPr>
              <w:t>2,844</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1,938</w:t>
            </w:r>
          </w:p>
        </w:tc>
        <w:tc>
          <w:tcPr>
            <w:tcW w:type="dxa" w:w="1440"/>
            <w:shd w:fill="FFDCE0" w:val="clear"/>
          </w:tcPr>
          <w:p>
            <w:r>
              <w:rPr>
                <w:b/>
                <w:sz w:val="17"/>
              </w:rPr>
              <w:t>2,399</w:t>
            </w:r>
          </w:p>
        </w:tc>
        <w:tc>
          <w:tcPr>
            <w:tcW w:type="dxa" w:w="1440"/>
            <w:shd w:fill="FFDCE0" w:val="clear"/>
          </w:tcPr>
          <w:p>
            <w:r>
              <w:rPr>
                <w:sz w:val="17"/>
              </w:rPr>
              <w:t>2,860</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1,901</w:t>
            </w:r>
          </w:p>
        </w:tc>
        <w:tc>
          <w:tcPr>
            <w:tcW w:type="dxa" w:w="1440"/>
            <w:shd w:fill="FFDCE0" w:val="clear"/>
          </w:tcPr>
          <w:p>
            <w:r>
              <w:rPr>
                <w:b/>
                <w:sz w:val="17"/>
              </w:rPr>
              <w:t>2,388</w:t>
            </w:r>
          </w:p>
        </w:tc>
        <w:tc>
          <w:tcPr>
            <w:tcW w:type="dxa" w:w="1440"/>
            <w:shd w:fill="FFDCE0" w:val="clear"/>
          </w:tcPr>
          <w:p>
            <w:r>
              <w:rPr>
                <w:sz w:val="17"/>
              </w:rPr>
              <w:t>2,874</w:t>
            </w:r>
          </w:p>
        </w:tc>
        <w:tc>
          <w:tcPr>
            <w:tcW w:type="dxa" w:w="1440"/>
            <w:shd w:fill="FFDCE0" w:val="clear"/>
          </w:tcPr>
          <w:p>
            <w:r>
              <w:rPr>
                <w:b/>
                <w:color w:val="C00000"/>
                <w:sz w:val="17"/>
              </w:rPr>
              <w:t>-4.1%</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1,866</w:t>
            </w:r>
          </w:p>
        </w:tc>
        <w:tc>
          <w:tcPr>
            <w:tcW w:type="dxa" w:w="1440"/>
            <w:shd w:fill="FFDCE0" w:val="clear"/>
          </w:tcPr>
          <w:p>
            <w:r>
              <w:rPr>
                <w:b/>
                <w:sz w:val="17"/>
              </w:rPr>
              <w:t>2,377</w:t>
            </w:r>
          </w:p>
        </w:tc>
        <w:tc>
          <w:tcPr>
            <w:tcW w:type="dxa" w:w="1440"/>
            <w:shd w:fill="FFDCE0" w:val="clear"/>
          </w:tcPr>
          <w:p>
            <w:r>
              <w:rPr>
                <w:sz w:val="17"/>
              </w:rPr>
              <w:t>2,888</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RAPPORT D'ANALYSE FINANCIÈRE — NEIC (NEI-CEDA CI)</w:t>
        <w:br/>
        <w:t>**Bourse Régionale des Valeurs Mobilières (BRVM) — Secteur : Édition &amp; Diffusion**</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31,79 milliards FCFA, NEIC se positionne comme une valeur de taille moyenne sur le compartiment des sociétés non bancaires de la BRVM, ce qui reste modeste à l'échelle régionale mais significatif pour le secteur de l'édition. Le BPA de 160 FCFA/action indique que chaque titre génère 160 FCFA de bénéfice net, un niveau correct qui, rapporté au cours actuel de 2 490 FCFA, donne un PER de 15,6x — soit une valorisation modérée mais supérieure à la moyenne du marché BRVM (généralement comprise entre 8 et 12x), traduisant une prime de croissance anticipée par le marché. Le P/B de 5,52x constitue en revanche un signal d'alerte : le marché valorise NEIC à plus de 5 fois sa valeur comptable, une prime exigeante qui n'est justifiable que par une rentabilité des fonds propres très élevée (ROE de 35,4% en 2025). Enfin, l'EV/EBITDA de 23,3x, très supérieur au seuil de 15x, confirme que la valeur d'entreprise intègre une forte anticipation de croissance opérationnelle, ce qui rend le titre vulnérable à toute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NEIC affiche une performance spectaculaire de +57,59%, portant le cours à 2 490 FCFA, malgré un repli de -2,35% lors de la dernière séance (J-1) qui marque une pause dans l'élan haussier. Le titre a évolué dans un range très large de 1 580 FCFA (plus bas) à 3 000 FCFA (plus haut), soit une amplitude de 89,9%, témoignant d'une forte volatilité et d'un intérêt marqué des investisseurs. La tendance générale est clairement haussière, mais le cours actuel (2 490 FCFA) se situe désormais sous la moyenne (2 246 FCFA) et la médiane (2 240 FCFA) — un écart faible entre ces deux mesures centrales indiquant une distribution quasi symétrique, cohérente avec le skewness de 0,668 qui révèle toutefois une légère asymétrie positive (quelques journées de forte hausse tirent la moyenne vers le haut). L'écart-type de 336 FCFA et le coefficient de variation de 15,0% traduisent une dispersion modérée du cours autour de sa moyenne, tandis que le kurtosis de 0,013 (mésokurtique) suggère une distribution proche de la normale, sans risque excessif de pics extrêmes. La volatilité annualisée de 56,7% classe le titre dans la catégorie des valeurs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2 788,75 FCFA et la MM50 à 2 450,90 FCFA, toutes deux supérieures au cours actuel de 2 490 FCFA — le titre évolue donc sous sa moyenne court terme mais au-dessus de sa moyenne moyen terme. Cette configuration (MM20 &gt; MM50 &gt; cours) signale un ralentissement de la dynamique haussière, mais la décision technique reste « Achat » car la MM50 sert de support dynamique et le croisement des moyennes demeure haussier.</w:t>
      </w:r>
    </w:p>
    <w:p>
      <w:pPr>
        <w:spacing w:after="120" w:line="276" w:lineRule="auto"/>
      </w:pPr>
      <w:r>
        <w:t>**Bandes de Bollinger :** Le cours (2 490 FCFA) se situe dans la partie basse de la bande, entre la borne inférieure (2 396,69 FCFA) et la borne supérieure (3 180,81 FCFA), sans atteindre les extrêmes. Cette position médiane-basse, combinée à une largeur de bande élevée (784 FCFA), traduit une volatilité importante mais sans signal de survente ou de surachat — la décision « Neutre » reflète cette absence de signal directionnel fort.</w:t>
      </w:r>
    </w:p>
    <w:p>
      <w:pPr>
        <w:spacing w:after="120" w:line="276" w:lineRule="auto"/>
      </w:pPr>
      <w:r>
        <w:t>**MACD :** La valeur du MACD (55,02) est nettement inférieure à son signal (113,78), générant une divergence baissière qui indique un essoufflement du momentum haussier. La décision « Vente » suggère que la pression acheteuse s'affaiblit et qu'un retournement ou une consolidation est probable à court terme.</w:t>
      </w:r>
    </w:p>
    <w:p>
      <w:pPr>
        <w:spacing w:after="120" w:line="276" w:lineRule="auto"/>
      </w:pPr>
      <w:r>
        <w:t>**RSI :** À 27,27, le RSI se situe en zone de survente (&lt;30), ce qui constitue un signal d'achat technique classique — le titre pourrait être survendu après la correction récente et offrir un point d'entrée intéressant. La décision « Achat » est cohérente avec cette lecture contrarienne.</w:t>
      </w:r>
    </w:p>
    <w:p>
      <w:pPr>
        <w:spacing w:after="120" w:line="276" w:lineRule="auto"/>
      </w:pPr>
      <w:r>
        <w:t>**Stochastique :** Le %K (0,0) et le %D (10,36) sont tous deux en zone extrême de survente, avec un %K au plancher absolu — cette configuration précède souvent un rebond technique. La décision « Achat » est justifiée par cette position extrême qui suggère une probabilité élevée de retournement à la hausse.</w:t>
      </w:r>
    </w:p>
    <w:p>
      <w:pPr>
        <w:spacing w:after="120" w:line="276" w:lineRule="auto"/>
      </w:pPr>
      <w:r>
        <w:t>**Conclusion technique :** Les indicateurs présentent une divergence notable : le MACD est baissier (vente) tandis que le RSI et le Stochastique sont en survente extrême (achat), et les moyennes mobiles restent globalement haussières. Cette configuration contradictoire suggère que le titre se trouve dans une phase de consolidation après une forte hausse, avec un potentiel de rebond technique à court terme porté par la survente, mais une prudence recommandée tant que le MACD n'a pas confirmé un retournement. La convergence des signaux de survente (RSI + Stochastique) plaide pour un point d'entrée tactique, à condition de surveiller la réaction du cours face à la MM50 (2 450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NEIC affiche un chiffre d'affaires de 5,139 milliards FCFA, un résultat net de 2,037 milliards FCFA (marge nette de 39,6%), un ROE exceptionnel de 35,39% et un ROA de 27,25% — des niveaux de rentabilité très élevés qui expliquent la prime de valorisation du titre. La structure financière est remarquablement saine : autonomie financière de 77,01%, solvabilité générale de 435,02%, liquidité générale de 448,86% et trésorerie nette de 4,196 milliards FCFA. Le BFR de 1,498 milliard FCFA reste positif mais le fonds de roulement de 5,693 milliards FCFA assure une couverture confortable. Point de vigilance : le délai clients de 154,72 jours est élevé (risque de trésorerie), compensé par un délai fournisseurs de 69,56 jours et une durée de stockage de 54,49 jours. Le taux de croissance du CA est toutefois négatif (-23,80%), signalant une contraction de l'activité commerciale.</w:t>
      </w:r>
    </w:p>
    <w:p>
      <w:pPr>
        <w:spacing w:after="120" w:line="276" w:lineRule="auto"/>
      </w:pPr>
      <w:r>
        <w:t>**Analyse sectorielle (entreprise) :** En tant que société non bancaire, NEIC se distingue par une marge brute de 24,45%, une marge opérationnelle de 23,60% et une marge nette de 39,63% — cette dernière étant artificiellement gonflée par des éléments non récurrents (reprise de provision). La rotation des actifs de 68,77% indique une utilisation modérée du bilan pour générer du chiffre d'affaires, tandis que le financement des immobilisations (3 960,59%) et la couverture des investissements par la CAF (2 317,76%) témoignent d'une capacité d'autofinancement largement suffisante.</w:t>
      </w:r>
    </w:p>
    <w:p>
      <w:pPr>
        <w:spacing w:after="120" w:line="276" w:lineRule="auto"/>
      </w:pPr>
      <w:r>
        <w:t>**Estimations basées sur les rapports trimestriels :** Le rapport du T3 2025 (daté du 30/09/2025) révèle un chiffre d'affaires de 3 406 millions FCFA, en baisse de 35% sur un an, mais un résultat net exceptionnel de 1 596 millions FCFA (+125%) dû à une reprise de provision pour redressement fiscal — un élément non récurrent qui masque la dégradation opérationnelle. Le rapport du T1 2026 (daté du 31/03/2026) montre une reprise encourageante : le CA double à 115,1 millions FCFA (+137%) et la perte nette se réduit à -168,9 millions FCFA (contre -189,9 millions au T1 2025), avec un résultat financier positif de 41,7 millions FCFA. On estime donc que l'exercice 2026 pourrait marquer une amélioration progressive de la rentabilité opérationnelle, mais la dépendance aux éléments financiers et la saisonnalité extrême (le T1 ne représente que 0,7% du CA annuel) rendent les projections annuelles incertaines. Le rapport annuel 2025 (publié en 2025) confirme un résultat net de 2,04 milliards FCFA (+169%) et un dividende généreux de 2,04 milliards FCFA (100% du résultat net), mais cette politique de distribution intégrale limite la capacité d'autofinancement future.</w:t>
      </w:r>
    </w:p>
    <w:p>
      <w:pPr>
        <w:spacing w:after="120" w:line="276" w:lineRule="auto"/>
      </w:pPr>
      <w:r>
        <w:t>**Évolution pluriannuelle :** Les états financiers 2024 (datés du 31/12/2024) faisaient état d'une perte nette de 759,37 millions FCFA, avant le redressement spectaculaire de 2025 — cette volatilité extrême des résultats (perte en 2024, bénéfice record en 2025) souligne la sensibilité de NEIC aux éléments exceptionnels et aux cycles de commandes publiques. Le rapport du T3 2024 (daté du 30/09/2024) mentionnait déjà une baisse de 28% du CA et une chute de 53% du résultat opérationnel, confirmant la tendance baissière de l'activité sous-jacente.</w:t>
      </w:r>
    </w:p>
    <w:p>
      <w:pPr>
        <w:spacing w:after="120" w:line="276" w:lineRule="auto"/>
      </w:pPr>
      <w:r>
        <w:t>**Recommandation fondamentale :** La solidité financière de NEIC est incontestable (trésorerie abondante, endettement faible, rentabilité élevée), mais la qualité des bénéfices est discutable en raison de la dépendance aux éléments non récurrents et de la contraction du chiffre d'affaires. Le redressement du T1 2026 est encourageant mais fragile, et la distribution de 100% du résultat en dividende en 2025 prive l'entreprise de ressources pour financer sa croissance. Les risques principaux sont la poursuite de la baisse du CA, la dépendance aux marchés publics et la digitalisation du secteur. Perspective : CONSERVER avec vigilance, en attendant la confirmation d'une reprise durable de l'activité commerciale.</w:t>
      </w:r>
    </w:p>
    <w:p>
      <w:pPr>
        <w:spacing w:after="120" w:line="276" w:lineRule="auto"/>
      </w:pPr>
      <w:r>
        <w:t>---</w:t>
      </w:r>
    </w:p>
    <w:p>
      <w:pPr>
        <w:spacing w:after="120" w:line="276" w:lineRule="auto"/>
      </w:pPr>
      <w:r>
        <w:t>## PARTIE 4 : CONCLUSION D'INVESTISSEMENT</w:t>
      </w:r>
    </w:p>
    <w:p>
      <w:pPr>
        <w:spacing w:after="120" w:line="276" w:lineRule="auto"/>
      </w:pPr>
      <w:r>
        <w:t>La valorisation de NEIC (Partie 0) apparaît exigeante : le PER de 15,6x et surtout le P/B de 5,52x et l'EV/EBITDA de 23,3x intègrent une forte prime de croissance qui contraste avec la contraction du chiffre d'affaires (-23,8% en 2025) — le marché anticipe donc un redressement qui reste à confirmer. Le comportement du cours (Partie 1) est haussier sur 100 jours (+57,59%) mais la volatilité annualisée de 56,7% et le skewness positif de 0,668 indiquent un risque de correction, tandis que le kurtosis de 0,013 suggère une distribution normale sans risque extrême. Les signaux techniques (Partie 2) sont divergents : le MACD est baissier (vente) mais le RSI (27,27) et le Stochastique (0,0) sont en survente extrême (achat), créant une opportunité tactique de rebond mais sans confirmation de tendance. Les fondamentaux (Partie 3) révèlent une société financièrement solide (ROE de 35,4%, trésorerie de 4,2 milliards FCFA) mais dont la qualité des bénéfices est affectée par des éléments non récurrents et dont l'activité commerciale se contracte — le redressement du T1 2026 (+137% de CA) est prometteur mais fragile. Les prédictions IA (J+1 à J+10) anticipent une légère baisse du cours de 2 477 FCFA à 2 435 FCFA, soit une contraction de -1,7% sur 10 jours, ce qui contredit les signaux de survente technique et suggère que la consolidation pourrait se poursuivre à court terme.</w:t>
      </w:r>
    </w:p>
    <w:p>
      <w:pPr>
        <w:spacing w:after="120" w:line="276" w:lineRule="auto"/>
      </w:pPr>
      <w:r>
        <w:t>**Recommandation finale : CONSERVER.** La convergence entre une valorisation exigeante, des signaux techniques contradictoires (survente vs MACD baissier), des fondamentaux solides mais une activité en contraction, et des prédictions IA légèrement baissières plaide pour une position attentiste. Le niveau de confiance est **Moyen** (les signaux ne convergent pas clairement) et le niveau de risque global est **Élevé** (volatilité de 56,7%, dépendance aux éléments exceptionnels, distribution intégrale du dividende). L'horizon d'investissement optimal est **moyen terme (3-12 mois)**, en attendant la confirmation d'une reprise durable du chiffre d'affaires et d'une amélioration de la qualité des bénéfices — un passage à ACHAT serait justifié si le CA du T2 2026 confirme la tendance haussière du T1 et si le MACD se retourne à la hausse.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2,450 titres</w:t>
            </w:r>
          </w:p>
        </w:tc>
        <w:tc>
          <w:tcPr>
            <w:tcW w:type="dxa" w:w="2268"/>
            <w:shd w:fill="FFF2CC" w:val="clear"/>
          </w:tcPr>
          <w:p>
            <w:r>
              <w:rPr>
                <w:b/>
                <w:color w:val="503200"/>
                <w:sz w:val="16"/>
              </w:rPr>
              <w:t xml:space="preserve">Cours actuel : </w:t>
            </w:r>
            <w:r>
              <w:rPr>
                <w:color w:val="000000"/>
                <w:sz w:val="17"/>
              </w:rPr>
              <w:t>24,500 FCFA</w:t>
            </w:r>
          </w:p>
          <w:p>
            <w:r>
              <w:rPr>
                <w:b/>
                <w:color w:val="503200"/>
                <w:sz w:val="16"/>
              </w:rPr>
              <w:t xml:space="preserve">Var. 100 jours : </w:t>
            </w:r>
            <w:r>
              <w:rPr>
                <w:b/>
                <w:color w:val="007800"/>
                <w:sz w:val="17"/>
              </w:rPr>
              <w:t>+76.26%</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16.27% (Élevée) — μ=20,431 FCFA, σ=3,323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β=1.2569 (Agressif) — Cov=0.000045, Var(idx)=0.000036, ρ=0.302,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23,798</w:t>
            </w:r>
          </w:p>
        </w:tc>
        <w:tc>
          <w:tcPr>
            <w:tcW w:type="dxa" w:w="1440"/>
            <w:shd w:fill="FAFAFA" w:val="clear"/>
          </w:tcPr>
          <w:p>
            <w:r>
              <w:rPr>
                <w:b/>
                <w:sz w:val="17"/>
              </w:rPr>
              <w:t>24,469</w:t>
            </w:r>
          </w:p>
        </w:tc>
        <w:tc>
          <w:tcPr>
            <w:tcW w:type="dxa" w:w="1440"/>
            <w:shd w:fill="FAFAFA" w:val="clear"/>
          </w:tcPr>
          <w:p>
            <w:r>
              <w:rPr>
                <w:sz w:val="17"/>
              </w:rPr>
              <w:t>25,139</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23,504</w:t>
            </w:r>
          </w:p>
        </w:tc>
        <w:tc>
          <w:tcPr>
            <w:tcW w:type="dxa" w:w="1440"/>
            <w:shd w:fill="FAFAFA" w:val="clear"/>
          </w:tcPr>
          <w:p>
            <w:r>
              <w:rPr>
                <w:b/>
                <w:sz w:val="17"/>
              </w:rPr>
              <w:t>24,452</w:t>
            </w:r>
          </w:p>
        </w:tc>
        <w:tc>
          <w:tcPr>
            <w:tcW w:type="dxa" w:w="1440"/>
            <w:shd w:fill="FAFAFA" w:val="clear"/>
          </w:tcPr>
          <w:p>
            <w:r>
              <w:rPr>
                <w:sz w:val="17"/>
              </w:rPr>
              <w:t>25,400</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23,279</w:t>
            </w:r>
          </w:p>
        </w:tc>
        <w:tc>
          <w:tcPr>
            <w:tcW w:type="dxa" w:w="1440"/>
            <w:shd w:fill="FAFAFA" w:val="clear"/>
          </w:tcPr>
          <w:p>
            <w:r>
              <w:rPr>
                <w:b/>
                <w:sz w:val="17"/>
              </w:rPr>
              <w:t>24,439</w:t>
            </w:r>
          </w:p>
        </w:tc>
        <w:tc>
          <w:tcPr>
            <w:tcW w:type="dxa" w:w="1440"/>
            <w:shd w:fill="FAFAFA" w:val="clear"/>
          </w:tcPr>
          <w:p>
            <w:r>
              <w:rPr>
                <w:sz w:val="17"/>
              </w:rPr>
              <w:t>25,599</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23,090</w:t>
            </w:r>
          </w:p>
        </w:tc>
        <w:tc>
          <w:tcPr>
            <w:tcW w:type="dxa" w:w="1440"/>
            <w:shd w:fill="FAFAFA" w:val="clear"/>
          </w:tcPr>
          <w:p>
            <w:r>
              <w:rPr>
                <w:b/>
                <w:sz w:val="17"/>
              </w:rPr>
              <w:t>24,429</w:t>
            </w:r>
          </w:p>
        </w:tc>
        <w:tc>
          <w:tcPr>
            <w:tcW w:type="dxa" w:w="1440"/>
            <w:shd w:fill="FAFAFA" w:val="clear"/>
          </w:tcPr>
          <w:p>
            <w:r>
              <w:rPr>
                <w:sz w:val="17"/>
              </w:rPr>
              <w:t>25,768</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22,923</w:t>
            </w:r>
          </w:p>
        </w:tc>
        <w:tc>
          <w:tcPr>
            <w:tcW w:type="dxa" w:w="1440"/>
            <w:shd w:fill="FAFAFA" w:val="clear"/>
          </w:tcPr>
          <w:p>
            <w:r>
              <w:rPr>
                <w:b/>
                <w:sz w:val="17"/>
              </w:rPr>
              <w:t>24,420</w:t>
            </w:r>
          </w:p>
        </w:tc>
        <w:tc>
          <w:tcPr>
            <w:tcW w:type="dxa" w:w="1440"/>
            <w:shd w:fill="FAFAFA" w:val="clear"/>
          </w:tcPr>
          <w:p>
            <w:r>
              <w:rPr>
                <w:sz w:val="17"/>
              </w:rPr>
              <w:t>25,916</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22,773</w:t>
            </w:r>
          </w:p>
        </w:tc>
        <w:tc>
          <w:tcPr>
            <w:tcW w:type="dxa" w:w="1440"/>
            <w:shd w:fill="FAFAFA" w:val="clear"/>
          </w:tcPr>
          <w:p>
            <w:r>
              <w:rPr>
                <w:b/>
                <w:sz w:val="17"/>
              </w:rPr>
              <w:t>24,411</w:t>
            </w:r>
          </w:p>
        </w:tc>
        <w:tc>
          <w:tcPr>
            <w:tcW w:type="dxa" w:w="1440"/>
            <w:shd w:fill="FAFAFA" w:val="clear"/>
          </w:tcPr>
          <w:p>
            <w:r>
              <w:rPr>
                <w:sz w:val="17"/>
              </w:rPr>
              <w:t>26,050</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22,634</w:t>
            </w:r>
          </w:p>
        </w:tc>
        <w:tc>
          <w:tcPr>
            <w:tcW w:type="dxa" w:w="1440"/>
            <w:shd w:fill="FAFAFA" w:val="clear"/>
          </w:tcPr>
          <w:p>
            <w:r>
              <w:rPr>
                <w:b/>
                <w:sz w:val="17"/>
              </w:rPr>
              <w:t>24,404</w:t>
            </w:r>
          </w:p>
        </w:tc>
        <w:tc>
          <w:tcPr>
            <w:tcW w:type="dxa" w:w="1440"/>
            <w:shd w:fill="FAFAFA" w:val="clear"/>
          </w:tcPr>
          <w:p>
            <w:r>
              <w:rPr>
                <w:sz w:val="17"/>
              </w:rPr>
              <w:t>26,173</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2026-09-30</w:t>
            </w:r>
          </w:p>
        </w:tc>
        <w:tc>
          <w:tcPr>
            <w:tcW w:type="dxa" w:w="1440"/>
            <w:shd w:fill="FAFAFA" w:val="clear"/>
          </w:tcPr>
          <w:p>
            <w:r>
              <w:rPr>
                <w:sz w:val="17"/>
              </w:rPr>
              <w:t>22,505</w:t>
            </w:r>
          </w:p>
        </w:tc>
        <w:tc>
          <w:tcPr>
            <w:tcW w:type="dxa" w:w="1440"/>
            <w:shd w:fill="FAFAFA" w:val="clear"/>
          </w:tcPr>
          <w:p>
            <w:r>
              <w:rPr>
                <w:b/>
                <w:sz w:val="17"/>
              </w:rPr>
              <w:t>24,396</w:t>
            </w:r>
          </w:p>
        </w:tc>
        <w:tc>
          <w:tcPr>
            <w:tcW w:type="dxa" w:w="1440"/>
            <w:shd w:fill="FAFAFA" w:val="clear"/>
          </w:tcPr>
          <w:p>
            <w:r>
              <w:rPr>
                <w:sz w:val="17"/>
              </w:rPr>
              <w:t>26,287</w:t>
            </w:r>
          </w:p>
        </w:tc>
        <w:tc>
          <w:tcPr>
            <w:tcW w:type="dxa" w:w="1440"/>
            <w:shd w:fill="FAFAFA" w:val="clear"/>
          </w:tcPr>
          <w:p>
            <w:r>
              <w:rPr>
                <w:b/>
                <w:color w:val="C00000"/>
                <w:sz w:val="17"/>
              </w:rPr>
              <w:t>-0.4%</w:t>
            </w:r>
          </w:p>
        </w:tc>
      </w:tr>
      <w:tr>
        <w:tc>
          <w:tcPr>
            <w:tcW w:type="dxa" w:w="1440"/>
            <w:shd w:fill="FAFAFA" w:val="clear"/>
          </w:tcPr>
          <w:p>
            <w:r>
              <w:rPr>
                <w:sz w:val="17"/>
              </w:rPr>
              <w:t>J+9  ⭐</w:t>
            </w:r>
          </w:p>
        </w:tc>
        <w:tc>
          <w:tcPr>
            <w:tcW w:type="dxa" w:w="1440"/>
            <w:shd w:fill="FAFAFA" w:val="clear"/>
          </w:tcPr>
          <w:p>
            <w:r>
              <w:rPr>
                <w:sz w:val="17"/>
              </w:rPr>
              <w:t>2026-10-01</w:t>
            </w:r>
          </w:p>
        </w:tc>
        <w:tc>
          <w:tcPr>
            <w:tcW w:type="dxa" w:w="1440"/>
            <w:shd w:fill="FAFAFA" w:val="clear"/>
          </w:tcPr>
          <w:p>
            <w:r>
              <w:rPr>
                <w:sz w:val="17"/>
              </w:rPr>
              <w:t>22,384</w:t>
            </w:r>
          </w:p>
        </w:tc>
        <w:tc>
          <w:tcPr>
            <w:tcW w:type="dxa" w:w="1440"/>
            <w:shd w:fill="FAFAFA" w:val="clear"/>
          </w:tcPr>
          <w:p>
            <w:r>
              <w:rPr>
                <w:b/>
                <w:sz w:val="17"/>
              </w:rPr>
              <w:t>24,389</w:t>
            </w:r>
          </w:p>
        </w:tc>
        <w:tc>
          <w:tcPr>
            <w:tcW w:type="dxa" w:w="1440"/>
            <w:shd w:fill="FAFAFA" w:val="clear"/>
          </w:tcPr>
          <w:p>
            <w:r>
              <w:rPr>
                <w:sz w:val="17"/>
              </w:rPr>
              <w:t>26,394</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2026-10-02</w:t>
            </w:r>
          </w:p>
        </w:tc>
        <w:tc>
          <w:tcPr>
            <w:tcW w:type="dxa" w:w="1440"/>
            <w:shd w:fill="FAFAFA" w:val="clear"/>
          </w:tcPr>
          <w:p>
            <w:r>
              <w:rPr>
                <w:sz w:val="17"/>
              </w:rPr>
              <w:t>22,269</w:t>
            </w:r>
          </w:p>
        </w:tc>
        <w:tc>
          <w:tcPr>
            <w:tcW w:type="dxa" w:w="1440"/>
            <w:shd w:fill="FAFAFA" w:val="clear"/>
          </w:tcPr>
          <w:p>
            <w:r>
              <w:rPr>
                <w:b/>
                <w:sz w:val="17"/>
              </w:rPr>
              <w:t>24,382</w:t>
            </w:r>
          </w:p>
        </w:tc>
        <w:tc>
          <w:tcPr>
            <w:tcW w:type="dxa" w:w="1440"/>
            <w:shd w:fill="FAFAFA" w:val="clear"/>
          </w:tcPr>
          <w:p>
            <w:r>
              <w:rPr>
                <w:sz w:val="17"/>
              </w:rPr>
              <w:t>26,495</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NSBC (NSIA Banque Côte d'Ivoire)**</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606,00 milliards FCFA, NSBC s'impose comme l'une des valeurs bancaires les plus importantes de la cote BRVM, témoignant de la confiance des investisseurs envers le groupe NSIA. Le BPA de 1 646 FCFA/action signifie que chaque titre génère près de 1 646 FCFA de bénéfice net, un niveau élevé qui traduit la forte rentabilité de la banque. Le PER de 14,9x se situe au-dessus de la moyenne du marché BRVM (généralement comprise entre 8 et 12x), ce qui indique que les investisseurs acceptent de payer une prime pour la qualité de la croissance, sans pour autant que la valorisation soit déraisonnable. Le P/B de 2,60x montre que le marché valorise la banque à 2,6 fois sa valeur comptable, une prime de croissance justifiée par un ROE de 17,45% nettement supérieur au coût des fonds propres. En revanche, l'EV/EBITDA de 22,2x apparaît très exigeant (seuil d'alerte &gt;15x), ce qui suggère que la valeur intègre déjà une bonne partie des perspectives favorables et laisse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NSBC a enregistré une progression spectaculaire de +76,26%, passant d'un plus bas de 13 810 FCFA à un plus haut de 24 885 FCFA, pour un cours actuel de 24 500 FCFA ; la dernière séance (J-1) est quasi stable avec -0,02%. Cette tendance nettement haussière traduit un engouement marqué des investisseurs pour le titre, porté par les excellents résultats publiés (T1 2026 : résultat net +53%). Les statistiques descriptives révèlent une moyenne de 20 431 FCFA contre une médiane de 21 130 FCFA : cet écart de près de 700 FCFA indique une distribution légèrement asymétrique, avec davantage de séances passées au-dessus de la moyenne, ce que confirme le skewness négatif de -0,683 (asymétrie à gauche, plus de journées à cours élevé). L'écart-type de 3 340 FCFA et le coefficient de variation de 16,3% traduisent une dispersion modérée du cours autour de sa moyenne, tandis que le kurtosis de -0,637 (mésokurtique) indique une distribution proche de la normale, sans risque de pics extrêmes marqués. La volatilité annualisée de 39,6% classe le titre dans la catégorie des valeurs à volatilité élevée (&gt;30%), ce qui est cohérent avec la forte appréciation récente et appelle à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(23 647 FCFA) et la MM50 (23 218 FCFA) se situent toutes deux sous le cours actuel (24 500 FCFA), avec une MM20 supérieure à la MM50 — configuration haussière classique. Le cours évoluant au-dessus de ses deux moyennes, la dynamique de fond reste positive, ce qui justifie la décision « Achat ».</w:t>
      </w:r>
    </w:p>
    <w:p>
      <w:pPr>
        <w:spacing w:after="120" w:line="276" w:lineRule="auto"/>
      </w:pPr>
      <w:r>
        <w:t>**Bandes de Bollinger** : Le cours (24 500 FCFA) évolue dans la partie haute du canal, entre la borne inférieure (21 954 FCFA) et la borne supérieure (25 340 FCFA), sans la franchir. Cette position proche de la borne haute, combinée à un rétrécissement relatif du canal, suggère une phase de consolidation après la forte hausse, d'où la décision « Neutre ».</w:t>
      </w:r>
    </w:p>
    <w:p>
      <w:pPr>
        <w:spacing w:after="120" w:line="276" w:lineRule="auto"/>
      </w:pPr>
      <w:r>
        <w:t>**MACD** : La ligne MACD (458,92) se maintient au-dessus de sa ligne de signal (405,51), avec un histogramme positif. Ce croisement haussier confirme la persistance du momentum acheteur, bien que l'écart entre les deux lignes tende à se réduire, signalant un essoufflement progressif — décision « Achat » maintenue.</w:t>
      </w:r>
    </w:p>
    <w:p>
      <w:pPr>
        <w:spacing w:after="120" w:line="276" w:lineRule="auto"/>
      </w:pPr>
      <w:r>
        <w:t>**RSI** : À 69,93, le RSI frôle le seuil de surachat (70) sans le franchir. Cette valeur élevée traduit une forte pression acheteuse mais n'invalide pas la tendance ; la décision « Neutre » reflète la prudence face à un potentiel essoufflement à court terme.</w:t>
      </w:r>
    </w:p>
    <w:p>
      <w:pPr>
        <w:spacing w:after="120" w:line="276" w:lineRule="auto"/>
      </w:pPr>
      <w:r>
        <w:t>**Stochastique** : Le %K (80,05) et le %D (81,41) évoluent tous deux en zone de surachat (&gt;80), avec un %K légèrement sous le %D — configuration de possible croisement baissier à venir. Cette divergence relative justifie la décision « Vente » à court terme, signalant un risque de correction technique.</w:t>
      </w:r>
    </w:p>
    <w:p>
      <w:pPr>
        <w:spacing w:after="120" w:line="276" w:lineRule="auto"/>
      </w:pPr>
      <w:r>
        <w:t>**Conclusion technique** : Les indicateurs de tendance (MM, MACD) restent haussiers et confirment la solidité du mouvement de fond, tandis que les oscillateurs (RSI, Stochastique) affichent des signaux de surachat annonçant une possible consolidation. Le titre se trouve dans une zone charnière : la tendance de moyen terme demeure positive, mais le risque de prise de bénéfices à court terme est réel, ce qui plaide pour une attitude attentiste avant tout renforcement.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NSIA Banque Côte d'Ivoire a réalisé un Produit Net Bancaire (équivalent du chiffre d'affaires pour une banque) de 112,928 milliards FCFA, en croissance de +15,45% sur un an, et un résultat net de 40,712 milliards FCFA, soit une marge nette élevée de 36,05%. Le ROE s'établit à 17,45% (&gt;15% = excellent) et le ROA à 1,32%, confirmant la forte rentabilité des fonds propres et la bonne efficacité de l'actif. Le coefficient d'exploitation de 54,59% (&lt;60% = banque efficace) témoigne d'une maîtrise satisfaisante des charges, tandis que le coût du risque rapporté aux charges financières s'élève à 7,54%, un niveau à surveiller car il traduit une dégradation du portefeuille de crédits (provisions de -8,51 milliards FCFA en 2025 contre une reprise de +0,6 milliard en 2024, selon le rapport annuel 2025 analysé le 13/05/2026). La structure bilancielle reste solide : les dépôts clientèle (2 242,2 milliards FCFA) couvrent largement les créances clientèle (1 818,7 milliards FCFA), soit un ratio de transformation de 81%, et l'autonomie financière de 7,59% est conforme aux normes bancaires. Sur la base du rapport T1 2026 (publié le 01/05/2026), le PNB a bondi de +28% à 28,6 milliards FCFA et le résultat net de +53% à 10,9 milliards FCFA, avec une marge nette portée à 38,1% ; on estime donc que l'exercice 2026 devrait afficher une nouvelle accélération de la rentabilité, sous réserve que le coût du risque reste maîtrisé et que la dépendance aux revenus « titres » (moteur de la croissance trimestrielle) ne s'avère pas volatile. La recommandation fondamentale est de **CONSERVER** : la banque est solide, en pleine expansion (bilan +22% à 3 073 milliards FCFA en 2025), mais la dégradation du coût du risque et l'absence d'information sur le dividende appellent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raisonnable sur le PER (14,9x) et le P/B (2,60x), mais exigeante sur l'EV/EBITDA (22,2x), ce qui suggère une valeur correctement valorisée, sans décote manifeste. Le comportement du cours (Partie 1) est nettement haussier (+76,26% sur 100 jours) avec une volatilité élevée (39,6%) et une asymétrie négative (skewness -0,683) indiquant que le marché a surtout traité le titre à des niveaux élevés — un signal de maturité du mouvement. Les signaux techniques (Partie 2) sont divergents : les moyennes mobiles et le MACD confirment la tendance haussière, mais le RSI (69,93) et le stochastique (80/81) signalent un surachat imminent, plaidant pour une consolidation. Les fondamentaux (Partie 3) demeurent excellents (ROE 17,45%, marge nette 36%, PNB +15,45% en 2025, T1 2026 en accélération), mais le coût du risque constitue un point de vigilance majeur. Les prédictions IA (J+1 à J+10) anticipent une légère érosion du cours vers 24 420-24 469 FCFA, confirmant l'hypothèse d'une pause technique après la forte hausse. **Recommandation finale : CONSERVER**, avec un niveau de confiance **Moyen** et un risque global **Moyen** : la convergence entre fondamentaux solides et signaux techniques de surachat justifie de ne pas renforcer à ces niveaux, tout en conservant la position pour profiter de la dynamique de croissance. L'horizon d'investissement optimal est le **moyen terme (3-12 mois)**, le temps que la consolidation technique s'achève et que les résultats semestriels 2026 confirment la tendance haussière de la rentabilité.</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353.13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1,216 titres</w:t>
            </w:r>
          </w:p>
        </w:tc>
        <w:tc>
          <w:tcPr>
            <w:tcW w:type="dxa" w:w="2268"/>
            <w:shd w:fill="FFF2CC" w:val="clear"/>
          </w:tcPr>
          <w:p>
            <w:r>
              <w:rPr>
                <w:b/>
                <w:color w:val="503200"/>
                <w:sz w:val="16"/>
              </w:rPr>
              <w:t xml:space="preserve">Cours actuel : </w:t>
            </w:r>
            <w:r>
              <w:rPr>
                <w:color w:val="000000"/>
                <w:sz w:val="17"/>
              </w:rPr>
              <w:t>16,000 FCFA</w:t>
            </w:r>
          </w:p>
          <w:p>
            <w:r>
              <w:rPr>
                <w:b/>
                <w:color w:val="503200"/>
                <w:sz w:val="16"/>
              </w:rPr>
              <w:t xml:space="preserve">Var. 100 jours : </w:t>
            </w:r>
            <w:r>
              <w:rPr>
                <w:b/>
                <w:color w:val="007800"/>
                <w:sz w:val="17"/>
              </w:rPr>
              <w:t>+29.29%</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12.65% (Moyenne) — μ=15,143 FCFA, σ=1,916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β=0.1494 (Défensif) — Cov=0.000005, Var(idx)=0.000036, ρ=0.037,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2026-09-21</w:t>
            </w:r>
          </w:p>
        </w:tc>
        <w:tc>
          <w:tcPr>
            <w:tcW w:type="dxa" w:w="1440"/>
            <w:shd w:fill="C6EFCE" w:val="clear"/>
          </w:tcPr>
          <w:p>
            <w:r>
              <w:rPr>
                <w:sz w:val="17"/>
              </w:rPr>
              <w:t>15,748</w:t>
            </w:r>
          </w:p>
        </w:tc>
        <w:tc>
          <w:tcPr>
            <w:tcW w:type="dxa" w:w="1440"/>
            <w:shd w:fill="C6EFCE" w:val="clear"/>
          </w:tcPr>
          <w:p>
            <w:r>
              <w:rPr>
                <w:b/>
                <w:sz w:val="17"/>
              </w:rPr>
              <w:t>16,452</w:t>
            </w:r>
          </w:p>
        </w:tc>
        <w:tc>
          <w:tcPr>
            <w:tcW w:type="dxa" w:w="1440"/>
            <w:shd w:fill="C6EFCE" w:val="clear"/>
          </w:tcPr>
          <w:p>
            <w:r>
              <w:rPr>
                <w:sz w:val="17"/>
              </w:rPr>
              <w:t>17,155</w:t>
            </w:r>
          </w:p>
        </w:tc>
        <w:tc>
          <w:tcPr>
            <w:tcW w:type="dxa" w:w="1440"/>
            <w:shd w:fill="C6EFCE" w:val="clear"/>
          </w:tcPr>
          <w:p>
            <w:r>
              <w:rPr>
                <w:b/>
                <w:color w:val="008000"/>
                <w:sz w:val="17"/>
              </w:rPr>
              <w:t>+2.8%</w:t>
            </w:r>
          </w:p>
        </w:tc>
      </w:tr>
      <w:tr>
        <w:tc>
          <w:tcPr>
            <w:tcW w:type="dxa" w:w="1440"/>
            <w:shd w:fill="C6EFCE" w:val="clear"/>
          </w:tcPr>
          <w:p>
            <w:r>
              <w:rPr>
                <w:sz w:val="17"/>
              </w:rPr>
              <w:t>J+2  ⭐</w:t>
            </w:r>
          </w:p>
        </w:tc>
        <w:tc>
          <w:tcPr>
            <w:tcW w:type="dxa" w:w="1440"/>
            <w:shd w:fill="C6EFCE" w:val="clear"/>
          </w:tcPr>
          <w:p>
            <w:r>
              <w:rPr>
                <w:sz w:val="17"/>
              </w:rPr>
              <w:t>2026-09-22</w:t>
            </w:r>
          </w:p>
        </w:tc>
        <w:tc>
          <w:tcPr>
            <w:tcW w:type="dxa" w:w="1440"/>
            <w:shd w:fill="C6EFCE" w:val="clear"/>
          </w:tcPr>
          <w:p>
            <w:r>
              <w:rPr>
                <w:sz w:val="17"/>
              </w:rPr>
              <w:t>15,418</w:t>
            </w:r>
          </w:p>
        </w:tc>
        <w:tc>
          <w:tcPr>
            <w:tcW w:type="dxa" w:w="1440"/>
            <w:shd w:fill="C6EFCE" w:val="clear"/>
          </w:tcPr>
          <w:p>
            <w:r>
              <w:rPr>
                <w:b/>
                <w:sz w:val="17"/>
              </w:rPr>
              <w:t>16,410</w:t>
            </w:r>
          </w:p>
        </w:tc>
        <w:tc>
          <w:tcPr>
            <w:tcW w:type="dxa" w:w="1440"/>
            <w:shd w:fill="C6EFCE" w:val="clear"/>
          </w:tcPr>
          <w:p>
            <w:r>
              <w:rPr>
                <w:sz w:val="17"/>
              </w:rPr>
              <w:t>17,402</w:t>
            </w:r>
          </w:p>
        </w:tc>
        <w:tc>
          <w:tcPr>
            <w:tcW w:type="dxa" w:w="1440"/>
            <w:shd w:fill="C6EFCE" w:val="clear"/>
          </w:tcPr>
          <w:p>
            <w:r>
              <w:rPr>
                <w:b/>
                <w:color w:val="008000"/>
                <w:sz w:val="17"/>
              </w:rPr>
              <w:t>+2.6%</w:t>
            </w:r>
          </w:p>
        </w:tc>
      </w:tr>
      <w:tr>
        <w:tc>
          <w:tcPr>
            <w:tcW w:type="dxa" w:w="1440"/>
            <w:shd w:fill="C6EFCE" w:val="clear"/>
          </w:tcPr>
          <w:p>
            <w:r>
              <w:rPr>
                <w:sz w:val="17"/>
              </w:rPr>
              <w:t>J+3  ⭐</w:t>
            </w:r>
          </w:p>
        </w:tc>
        <w:tc>
          <w:tcPr>
            <w:tcW w:type="dxa" w:w="1440"/>
            <w:shd w:fill="C6EFCE" w:val="clear"/>
          </w:tcPr>
          <w:p>
            <w:r>
              <w:rPr>
                <w:sz w:val="17"/>
              </w:rPr>
              <w:t>2026-09-23</w:t>
            </w:r>
          </w:p>
        </w:tc>
        <w:tc>
          <w:tcPr>
            <w:tcW w:type="dxa" w:w="1440"/>
            <w:shd w:fill="C6EFCE" w:val="clear"/>
          </w:tcPr>
          <w:p>
            <w:r>
              <w:rPr>
                <w:sz w:val="17"/>
              </w:rPr>
              <w:t>15,192</w:t>
            </w:r>
          </w:p>
        </w:tc>
        <w:tc>
          <w:tcPr>
            <w:tcW w:type="dxa" w:w="1440"/>
            <w:shd w:fill="C6EFCE" w:val="clear"/>
          </w:tcPr>
          <w:p>
            <w:r>
              <w:rPr>
                <w:b/>
                <w:sz w:val="17"/>
              </w:rPr>
              <w:t>16,407</w:t>
            </w:r>
          </w:p>
        </w:tc>
        <w:tc>
          <w:tcPr>
            <w:tcW w:type="dxa" w:w="1440"/>
            <w:shd w:fill="C6EFCE" w:val="clear"/>
          </w:tcPr>
          <w:p>
            <w:r>
              <w:rPr>
                <w:sz w:val="17"/>
              </w:rPr>
              <w:t>17,622</w:t>
            </w:r>
          </w:p>
        </w:tc>
        <w:tc>
          <w:tcPr>
            <w:tcW w:type="dxa" w:w="1440"/>
            <w:shd w:fill="C6EFCE" w:val="clear"/>
          </w:tcPr>
          <w:p>
            <w:r>
              <w:rPr>
                <w:b/>
                <w:color w:val="008000"/>
                <w:sz w:val="17"/>
              </w:rPr>
              <w:t>+2.5%</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15,009</w:t>
            </w:r>
          </w:p>
        </w:tc>
        <w:tc>
          <w:tcPr>
            <w:tcW w:type="dxa" w:w="1440"/>
            <w:shd w:fill="C6EFCE" w:val="clear"/>
          </w:tcPr>
          <w:p>
            <w:r>
              <w:rPr>
                <w:b/>
                <w:sz w:val="17"/>
              </w:rPr>
              <w:t>16,412</w:t>
            </w:r>
          </w:p>
        </w:tc>
        <w:tc>
          <w:tcPr>
            <w:tcW w:type="dxa" w:w="1440"/>
            <w:shd w:fill="C6EFCE" w:val="clear"/>
          </w:tcPr>
          <w:p>
            <w:r>
              <w:rPr>
                <w:sz w:val="17"/>
              </w:rPr>
              <w:t>17,816</w:t>
            </w:r>
          </w:p>
        </w:tc>
        <w:tc>
          <w:tcPr>
            <w:tcW w:type="dxa" w:w="1440"/>
            <w:shd w:fill="C6EFCE" w:val="clear"/>
          </w:tcPr>
          <w:p>
            <w:r>
              <w:rPr>
                <w:b/>
                <w:color w:val="008000"/>
                <w:sz w:val="17"/>
              </w:rPr>
              <w:t>+2.6%</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14,848</w:t>
            </w:r>
          </w:p>
        </w:tc>
        <w:tc>
          <w:tcPr>
            <w:tcW w:type="dxa" w:w="1440"/>
            <w:shd w:fill="C6EFCE" w:val="clear"/>
          </w:tcPr>
          <w:p>
            <w:r>
              <w:rPr>
                <w:b/>
                <w:sz w:val="17"/>
              </w:rPr>
              <w:t>16,418</w:t>
            </w:r>
          </w:p>
        </w:tc>
        <w:tc>
          <w:tcPr>
            <w:tcW w:type="dxa" w:w="1440"/>
            <w:shd w:fill="C6EFCE" w:val="clear"/>
          </w:tcPr>
          <w:p>
            <w:r>
              <w:rPr>
                <w:sz w:val="17"/>
              </w:rPr>
              <w:t>17,988</w:t>
            </w:r>
          </w:p>
        </w:tc>
        <w:tc>
          <w:tcPr>
            <w:tcW w:type="dxa" w:w="1440"/>
            <w:shd w:fill="C6EFCE" w:val="clear"/>
          </w:tcPr>
          <w:p>
            <w:r>
              <w:rPr>
                <w:b/>
                <w:color w:val="008000"/>
                <w:sz w:val="17"/>
              </w:rPr>
              <w:t>+2.6%</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14,702</w:t>
            </w:r>
          </w:p>
        </w:tc>
        <w:tc>
          <w:tcPr>
            <w:tcW w:type="dxa" w:w="1440"/>
            <w:shd w:fill="C6EFCE" w:val="clear"/>
          </w:tcPr>
          <w:p>
            <w:r>
              <w:rPr>
                <w:b/>
                <w:sz w:val="17"/>
              </w:rPr>
              <w:t>16,422</w:t>
            </w:r>
          </w:p>
        </w:tc>
        <w:tc>
          <w:tcPr>
            <w:tcW w:type="dxa" w:w="1440"/>
            <w:shd w:fill="C6EFCE" w:val="clear"/>
          </w:tcPr>
          <w:p>
            <w:r>
              <w:rPr>
                <w:sz w:val="17"/>
              </w:rPr>
              <w:t>18,143</w:t>
            </w:r>
          </w:p>
        </w:tc>
        <w:tc>
          <w:tcPr>
            <w:tcW w:type="dxa" w:w="1440"/>
            <w:shd w:fill="C6EFCE" w:val="clear"/>
          </w:tcPr>
          <w:p>
            <w:r>
              <w:rPr>
                <w:b/>
                <w:color w:val="008000"/>
                <w:sz w:val="17"/>
              </w:rPr>
              <w:t>+2.6%</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14,567</w:t>
            </w:r>
          </w:p>
        </w:tc>
        <w:tc>
          <w:tcPr>
            <w:tcW w:type="dxa" w:w="1440"/>
            <w:shd w:fill="C6EFCE" w:val="clear"/>
          </w:tcPr>
          <w:p>
            <w:r>
              <w:rPr>
                <w:b/>
                <w:sz w:val="17"/>
              </w:rPr>
              <w:t>16,425</w:t>
            </w:r>
          </w:p>
        </w:tc>
        <w:tc>
          <w:tcPr>
            <w:tcW w:type="dxa" w:w="1440"/>
            <w:shd w:fill="C6EFCE" w:val="clear"/>
          </w:tcPr>
          <w:p>
            <w:r>
              <w:rPr>
                <w:sz w:val="17"/>
              </w:rPr>
              <w:t>18,284</w:t>
            </w:r>
          </w:p>
        </w:tc>
        <w:tc>
          <w:tcPr>
            <w:tcW w:type="dxa" w:w="1440"/>
            <w:shd w:fill="C6EFCE" w:val="clear"/>
          </w:tcPr>
          <w:p>
            <w:r>
              <w:rPr>
                <w:b/>
                <w:color w:val="008000"/>
                <w:sz w:val="17"/>
              </w:rPr>
              <w:t>+2.7%</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14,441</w:t>
            </w:r>
          </w:p>
        </w:tc>
        <w:tc>
          <w:tcPr>
            <w:tcW w:type="dxa" w:w="1440"/>
            <w:shd w:fill="C6EFCE" w:val="clear"/>
          </w:tcPr>
          <w:p>
            <w:r>
              <w:rPr>
                <w:b/>
                <w:sz w:val="17"/>
              </w:rPr>
              <w:t>16,428</w:t>
            </w:r>
          </w:p>
        </w:tc>
        <w:tc>
          <w:tcPr>
            <w:tcW w:type="dxa" w:w="1440"/>
            <w:shd w:fill="C6EFCE" w:val="clear"/>
          </w:tcPr>
          <w:p>
            <w:r>
              <w:rPr>
                <w:sz w:val="17"/>
              </w:rPr>
              <w:t>18,415</w:t>
            </w:r>
          </w:p>
        </w:tc>
        <w:tc>
          <w:tcPr>
            <w:tcW w:type="dxa" w:w="1440"/>
            <w:shd w:fill="C6EFCE" w:val="clear"/>
          </w:tcPr>
          <w:p>
            <w:r>
              <w:rPr>
                <w:b/>
                <w:color w:val="008000"/>
                <w:sz w:val="17"/>
              </w:rPr>
              <w:t>+2.7%</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14,322</w:t>
            </w:r>
          </w:p>
        </w:tc>
        <w:tc>
          <w:tcPr>
            <w:tcW w:type="dxa" w:w="1440"/>
            <w:shd w:fill="C6EFCE" w:val="clear"/>
          </w:tcPr>
          <w:p>
            <w:r>
              <w:rPr>
                <w:b/>
                <w:sz w:val="17"/>
              </w:rPr>
              <w:t>16,430</w:t>
            </w:r>
          </w:p>
        </w:tc>
        <w:tc>
          <w:tcPr>
            <w:tcW w:type="dxa" w:w="1440"/>
            <w:shd w:fill="C6EFCE" w:val="clear"/>
          </w:tcPr>
          <w:p>
            <w:r>
              <w:rPr>
                <w:sz w:val="17"/>
              </w:rPr>
              <w:t>18,537</w:t>
            </w:r>
          </w:p>
        </w:tc>
        <w:tc>
          <w:tcPr>
            <w:tcW w:type="dxa" w:w="1440"/>
            <w:shd w:fill="C6EFCE" w:val="clear"/>
          </w:tcPr>
          <w:p>
            <w:r>
              <w:rPr>
                <w:b/>
                <w:color w:val="008000"/>
                <w:sz w:val="17"/>
              </w:rPr>
              <w:t>+2.7%</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14,210</w:t>
            </w:r>
          </w:p>
        </w:tc>
        <w:tc>
          <w:tcPr>
            <w:tcW w:type="dxa" w:w="1440"/>
            <w:shd w:fill="C6EFCE" w:val="clear"/>
          </w:tcPr>
          <w:p>
            <w:r>
              <w:rPr>
                <w:b/>
                <w:sz w:val="17"/>
              </w:rPr>
              <w:t>16,432</w:t>
            </w:r>
          </w:p>
        </w:tc>
        <w:tc>
          <w:tcPr>
            <w:tcW w:type="dxa" w:w="1440"/>
            <w:shd w:fill="C6EFCE" w:val="clear"/>
          </w:tcPr>
          <w:p>
            <w:r>
              <w:rPr>
                <w:sz w:val="17"/>
              </w:rPr>
              <w:t>18,653</w:t>
            </w:r>
          </w:p>
        </w:tc>
        <w:tc>
          <w:tcPr>
            <w:tcW w:type="dxa" w:w="1440"/>
            <w:shd w:fill="C6EFCE" w:val="clear"/>
          </w:tcPr>
          <w:p>
            <w:r>
              <w:rPr>
                <w:b/>
                <w:color w:val="008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353,13 milliards FCFA, Nestlé CI figure parmi les valeurs les plus capitalisées de la BRVM, ce qui en fait un pilier de l'indice BRVM Composite et un titre de référence pour les investisseurs institutionnels. Le BPA de 835 FCFA/action signifie que chaque titre génère un bénéfice net de 835 FCFA, ce qui, rapporté au cours actuel de 16 000 FCFA, donne un PER de 19,2x — nettement supérieur à la moyenne du marché BRVM (8-12x), traduisant une prime de qualité que les investisseurs acceptent de payer pour cette valeur défensive. Le P/B de 11,93x, très au-dessus du seuil de 4x, confirme cette valorisation exigeante : le marché valorise l'entreprise à près de douze fois sa valeur comptable, ce qui se justifie par un ROE exceptionnel de 62,3% mais laisse peu de marge d'erreur en cas de déception. Enfin, l'EV/EBITDA de 9,5x, dans la fourchette raisonnable de 5-10x, indique que la valeur totale de l'entreprise (dette incluse) reste cohérente avec sa capacité opérationnelle à générer des liquidités, ce qui tempère le caractère tendu du PER et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NTLC affiche une performance remarquable de +29,29%, passant d'un plus bas de 11 150 FCFA à un plus haut de 18 000 FCFA, soit un range de trading de 6 850 FCFA (61% d'amplitude) qui témoigne d'une dynamique haussière puissante. Cependant, la dernière séance (J-1) enregistre un repli de -2,17%, signalant une prise de bénéfices après le rallye, le cours actuel de 16 000 FCFA se situant désormais à 11% sous son plus haut. La moyenne (15 143 FCFA) est inférieure à la médiane (15 995 FCFA), ce qui indique une asymétrie négative confirmée par le skewness de -0,702 : les journées de forte hausse ont tiré la moyenne vers le bas relativement à la médiane, signe que le titre a connu plus de séances au-dessus de la moyenne que l'inverse. L'écart-type de 1 925 FCFA avec un coefficient de variation de 12,7% révèle une dispersion modérée du cours, tandis que le kurtosis de -0,981 (mésokurtique) indique une distribution proche de la normale, sans risque excessif de pics extrêmes. La volatilité annualisée de 38,6% classe le titre dans la catégorie des valeurs à volatilité élevée (&gt;30%), ce qui est cohérent avec un marché frontière comme la BRVM et appelle à une gestion prudente des points d'entrée.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(16 711,5 FCFA) et la MM50 (16 628,4 FCFA) sont toutes deux supérieures au cours actuel de 16 000 FCFA, ce qui place le titre en position de faiblesse relative à court terme. Toutefois, la MM20 étant légèrement au-dessus de la MM50, la configuration reste haussière de fond, et la décision « Achat » suggère que le repli actuel constitue une opportunité de rebond vers ces niveaux de référence.</w:t>
      </w:r>
    </w:p>
    <w:p>
      <w:pPr>
        <w:spacing w:after="120" w:line="276" w:lineRule="auto"/>
      </w:pPr>
      <w:r>
        <w:t>**Bandes de Bollinger** : Le cours (16 000 FCFA) évolue dans la partie basse de la bande, proche de la borne inférieure (15 822,7 FCFA) et loin de la borne supérieure (17 600,3 FCFA), ce qui indique une pression vendeuse récente mais aussi un potentiel de rebond technique. La décision « Neutre » reflète l'absence de signal directionnel fort, le cours n'ayant pas encore cassé la borne inférieure.</w:t>
      </w:r>
    </w:p>
    <w:p>
      <w:pPr>
        <w:spacing w:after="120" w:line="276" w:lineRule="auto"/>
      </w:pPr>
      <w:r>
        <w:t>**MACD** : La valeur du MACD (-80,257) est négative et inférieure à son signal (25,561), générant une divergence baissière qui confirme la perte de momentum haussier. La décision « Vente » invite à la prudence à court terme, le croisement à la baisse étant un signal de correction en cours.</w:t>
      </w:r>
    </w:p>
    <w:p>
      <w:pPr>
        <w:spacing w:after="120" w:line="276" w:lineRule="auto"/>
      </w:pPr>
      <w:r>
        <w:t>**RSI** : À 42,618, le RSI se situe en zone neutre (30-70), sans signal de survente ni de surachat. La décision « Neutre » indique que le titre n'est ni épuisé à la baisse ni vulnérable à une correction imminente, laissant la porte ouverte à une stabilisation.</w:t>
      </w:r>
    </w:p>
    <w:p>
      <w:pPr>
        <w:spacing w:after="120" w:line="276" w:lineRule="auto"/>
      </w:pPr>
      <w:r>
        <w:t>**Stochastique** : Le %K à 0,0 et le %D à 10,807 sont en zone de survente extrême, avec un %K qui touche le plancher, ce qui précède historiquement un rebond technique. La décision « Achat » contraste avec le MACD et suggère qu'un retournement haussier pourrait se produire à court terme.</w:t>
      </w:r>
    </w:p>
    <w:p>
      <w:pPr>
        <w:spacing w:after="120" w:line="276" w:lineRule="auto"/>
      </w:pPr>
      <w:r>
        <w:t>**Conclusion technique** : Les indicateurs sont divergents — le MACD est baissier tandis que le stochastique est en survente extrême et les MM restent haussières de fond. Cette configuration suggère une correction en fin de course, avec un potentiel de rebond vers 16 700 FCFA (MM20) si le support de 15 800 FCFA tient. La prudence reste de mise à court terme, mais le titre n'est pas en tendance baissière structurelle.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Nestlé Côte d'Ivoire a réalisé un chiffre d'affaires de 233,26 milliards FCFA, en croissance de 5,97% par rapport à 2024 (220,11 milliards FCFA), avec un résultat net de 18,43 milliards FCFA (+1,53%), une marge nette de 7,90% et un ROE exceptionnel de 62,28% pour un ROA de 9,70% (données structurées brvm_donnees_financieres, exercice 2025). La structure financière révèle toutefois des fragilités : l'autonomie financière n'est que de 15,58% (capitaux propres/total bilan), le ratio d'endettement atteint 135,85% et la trésorerie nette est négative à -46,83 milliards FCFA, tandis que le BFR de 22,63 milliards FCFA et les délais clients de 74,30 jours (contre 59,39 jours de stockage) pèsent sur le cycle d'exploitation. Le rapport annuel 2025 (publié le 31/12/2025, analysé par DeepSeek) confirme cette dynamique : la croissance du CA (+5,97%) n'a pas été intégralement répercutée en bas de bilan, les charges externes et fiscales ayant progressé plus vite, et la politique de dividende a été drastiquement réduite (9,27 milliards FCFA distribués contre 18,10 milliards en 2024, soit un payout de 50,3% contre 99,7%). Le rapport T1 2026 (arrêté au 31/03/2026, analysé par DeepSeek) marque une inflexion majeure : le CA bondit de +31% à 70,82 milliards FCFA et le résultat net de +37% à 7,53 milliards FCFA, avec une marge nette en amélioration à 10,6% (contre 10,1% au T1 2025), ce qui suggère que les mesures correctives commencent à porter leurs fruits. Sur la base de ce T1 2026, on peut estimer que l'exercice 2026 devrait afficher une accélération de la croissance du CA (potentiellement +15-20% en rythme annualisé) et une amélioration de la rentabilité nette, sous réserve que la pression sur les coûts des matières premières (cacao, lait, emballages) reste maîtrisée. La recommandation fondamentale est de **conserver** le titre : la solidité du modèle Nestlé (marque, distribution, leadership) et l'amélioration séquentielle des marges au T1 2026 compensent les risques liés à l'endettement élevé, à la dépendance aux matières premières et à la réduction du dividende.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NTLC (PER 19,2x, P/B 11,93x) est exigeante et intègre déjà une prime de qualité, ce qui limite le potentiel de revalorisation à court terme mais se justifie par un ROE de 62,28% et un EV/EBITDA raisonnable de 9,5x. Le comportement du cours sur 100 jours est haussier (+29,29%) mais la correction récente (-2,17% en J-1) et la volatilité élevée (38,6%) appellent à la prudence, tandis que les statistiques descriptives (skewness négatif, kurtosis proche de la normale) indiquent un titre sans risque extrême de krach. Les signaux techniques sont divergents : le MACD est baissier, le stochastique est en survente extrême (signal d'achat contrarien), les MM restent haussières de fond et le RSI est neutre — cette configuration suggère une correction en fin de course avec un potentiel de rebond vers 16 700 FCFA. Les fondamentaux sont solides mais perfectibles : la croissance du CA (+5,97% en 2025) et l'amélioration spectaculaire du T1 2026 (+31% de CA, +37% de résultat net) sont des signaux positifs, mais l'endettement élevé (135,85%) et la trésorerie nette négative (-46,83 milliards FCFA) constituent des risques à surveiller. Les prédictions IA (16 452 FCFA à J+1, puis stabilisation autour de 16 410-16 418 FCFA jusqu'à J+10) confirment une trajectoire légèrement haussière à court terme, en ligne avec le scénario de rebond technique post-survente. Sur la base de cette synthèse, la recommandation finale est **CONSERVER** avec un niveau de confiance **Moyen** et un risque global **Moyen** : le titre offre une qualité fondamentale indéniable et un potentiel de rebond à court terme, mais sa valorisation tendue et son endettement limitent le potentiel de hausse immédiat. L'horizon d'investissement optimal est le **moyen terme (3-12 mois)**, le temps que les effets du T1 2026 se confirment sur l'ensemble de l'exercice et que la stratégie de réinvestissement (report à nouveau de 9,22 milliards FCFA) porte ses fruits.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5,227 titres</w:t>
            </w:r>
          </w:p>
        </w:tc>
        <w:tc>
          <w:tcPr>
            <w:tcW w:type="dxa" w:w="2268"/>
            <w:shd w:fill="FFF2CC" w:val="clear"/>
          </w:tcPr>
          <w:p>
            <w:r>
              <w:rPr>
                <w:b/>
                <w:color w:val="503200"/>
                <w:sz w:val="16"/>
              </w:rPr>
              <w:t xml:space="preserve">Cours actuel : </w:t>
            </w:r>
            <w:r>
              <w:rPr>
                <w:color w:val="000000"/>
                <w:sz w:val="17"/>
              </w:rPr>
              <w:t>2,900 FCFA</w:t>
            </w:r>
          </w:p>
          <w:p>
            <w:r>
              <w:rPr>
                <w:b/>
                <w:color w:val="503200"/>
                <w:sz w:val="16"/>
              </w:rPr>
              <w:t xml:space="preserve">Var. 100 jours : </w:t>
            </w:r>
            <w:r>
              <w:rPr>
                <w:b/>
                <w:color w:val="007800"/>
                <w:sz w:val="17"/>
              </w:rPr>
              <w:t>+7.01%</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2.92% (Faible) — μ=2,833 FCFA, σ=83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β=0.3764 (Défensif) — Cov=0.000014, Var(idx)=0.000036, ρ=0.117,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2,804</w:t>
            </w:r>
          </w:p>
        </w:tc>
        <w:tc>
          <w:tcPr>
            <w:tcW w:type="dxa" w:w="1440"/>
            <w:shd w:fill="FAFAFA" w:val="clear"/>
          </w:tcPr>
          <w:p>
            <w:r>
              <w:rPr>
                <w:b/>
                <w:sz w:val="17"/>
              </w:rPr>
              <w:t>2,877</w:t>
            </w:r>
          </w:p>
        </w:tc>
        <w:tc>
          <w:tcPr>
            <w:tcW w:type="dxa" w:w="1440"/>
            <w:shd w:fill="FAFAFA" w:val="clear"/>
          </w:tcPr>
          <w:p>
            <w:r>
              <w:rPr>
                <w:sz w:val="17"/>
              </w:rPr>
              <w:t>2,951</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2,770</w:t>
            </w:r>
          </w:p>
        </w:tc>
        <w:tc>
          <w:tcPr>
            <w:tcW w:type="dxa" w:w="1440"/>
            <w:shd w:fill="FAFAFA" w:val="clear"/>
          </w:tcPr>
          <w:p>
            <w:r>
              <w:rPr>
                <w:b/>
                <w:sz w:val="17"/>
              </w:rPr>
              <w:t>2,873</w:t>
            </w:r>
          </w:p>
        </w:tc>
        <w:tc>
          <w:tcPr>
            <w:tcW w:type="dxa" w:w="1440"/>
            <w:shd w:fill="FAFAFA" w:val="clear"/>
          </w:tcPr>
          <w:p>
            <w:r>
              <w:rPr>
                <w:sz w:val="17"/>
              </w:rPr>
              <w:t>2,977</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2,741</w:t>
            </w:r>
          </w:p>
        </w:tc>
        <w:tc>
          <w:tcPr>
            <w:tcW w:type="dxa" w:w="1440"/>
            <w:shd w:fill="FAFAFA" w:val="clear"/>
          </w:tcPr>
          <w:p>
            <w:r>
              <w:rPr>
                <w:b/>
                <w:sz w:val="17"/>
              </w:rPr>
              <w:t>2,867</w:t>
            </w:r>
          </w:p>
        </w:tc>
        <w:tc>
          <w:tcPr>
            <w:tcW w:type="dxa" w:w="1440"/>
            <w:shd w:fill="FAFAFA" w:val="clear"/>
          </w:tcPr>
          <w:p>
            <w:r>
              <w:rPr>
                <w:sz w:val="17"/>
              </w:rPr>
              <w:t>2,993</w:t>
            </w:r>
          </w:p>
        </w:tc>
        <w:tc>
          <w:tcPr>
            <w:tcW w:type="dxa" w:w="1440"/>
            <w:shd w:fill="FAFAFA" w:val="clear"/>
          </w:tcPr>
          <w:p>
            <w:r>
              <w:rPr>
                <w:b/>
                <w:color w:val="C00000"/>
                <w:sz w:val="17"/>
              </w:rPr>
              <w:t>-1.1%</w:t>
            </w:r>
          </w:p>
        </w:tc>
      </w:tr>
      <w:tr>
        <w:tc>
          <w:tcPr>
            <w:tcW w:type="dxa" w:w="1440"/>
            <w:shd w:fill="FAFAFA" w:val="clear"/>
          </w:tcPr>
          <w:p>
            <w:r>
              <w:rPr>
                <w:sz w:val="17"/>
              </w:rPr>
              <w:t>J+4  Moyenne</w:t>
            </w:r>
          </w:p>
        </w:tc>
        <w:tc>
          <w:tcPr>
            <w:tcW w:type="dxa" w:w="1440"/>
            <w:shd w:fill="FAFAFA" w:val="clear"/>
          </w:tcPr>
          <w:p>
            <w:r>
              <w:rPr>
                <w:sz w:val="17"/>
              </w:rPr>
              <w:t>2026-09-24</w:t>
            </w:r>
          </w:p>
        </w:tc>
        <w:tc>
          <w:tcPr>
            <w:tcW w:type="dxa" w:w="1440"/>
            <w:shd w:fill="FAFAFA" w:val="clear"/>
          </w:tcPr>
          <w:p>
            <w:r>
              <w:rPr>
                <w:sz w:val="17"/>
              </w:rPr>
              <w:t>2,715</w:t>
            </w:r>
          </w:p>
        </w:tc>
        <w:tc>
          <w:tcPr>
            <w:tcW w:type="dxa" w:w="1440"/>
            <w:shd w:fill="FAFAFA" w:val="clear"/>
          </w:tcPr>
          <w:p>
            <w:r>
              <w:rPr>
                <w:b/>
                <w:sz w:val="17"/>
              </w:rPr>
              <w:t>2,860</w:t>
            </w:r>
          </w:p>
        </w:tc>
        <w:tc>
          <w:tcPr>
            <w:tcW w:type="dxa" w:w="1440"/>
            <w:shd w:fill="FAFAFA" w:val="clear"/>
          </w:tcPr>
          <w:p>
            <w:r>
              <w:rPr>
                <w:sz w:val="17"/>
              </w:rPr>
              <w:t>3,006</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2026-09-25</w:t>
            </w:r>
          </w:p>
        </w:tc>
        <w:tc>
          <w:tcPr>
            <w:tcW w:type="dxa" w:w="1440"/>
            <w:shd w:fill="FAFAFA" w:val="clear"/>
          </w:tcPr>
          <w:p>
            <w:r>
              <w:rPr>
                <w:sz w:val="17"/>
              </w:rPr>
              <w:t>2,691</w:t>
            </w:r>
          </w:p>
        </w:tc>
        <w:tc>
          <w:tcPr>
            <w:tcW w:type="dxa" w:w="1440"/>
            <w:shd w:fill="FAFAFA" w:val="clear"/>
          </w:tcPr>
          <w:p>
            <w:r>
              <w:rPr>
                <w:b/>
                <w:sz w:val="17"/>
              </w:rPr>
              <w:t>2,854</w:t>
            </w:r>
          </w:p>
        </w:tc>
        <w:tc>
          <w:tcPr>
            <w:tcW w:type="dxa" w:w="1440"/>
            <w:shd w:fill="FAFAFA" w:val="clear"/>
          </w:tcPr>
          <w:p>
            <w:r>
              <w:rPr>
                <w:sz w:val="17"/>
              </w:rPr>
              <w:t>3,016</w:t>
            </w:r>
          </w:p>
        </w:tc>
        <w:tc>
          <w:tcPr>
            <w:tcW w:type="dxa" w:w="1440"/>
            <w:shd w:fill="FAFAFA" w:val="clear"/>
          </w:tcPr>
          <w:p>
            <w:r>
              <w:rPr>
                <w:b/>
                <w:color w:val="C00000"/>
                <w:sz w:val="17"/>
              </w:rPr>
              <w:t>-1.6%</w:t>
            </w:r>
          </w:p>
        </w:tc>
      </w:tr>
      <w:tr>
        <w:tc>
          <w:tcPr>
            <w:tcW w:type="dxa" w:w="1440"/>
            <w:shd w:fill="FAFAFA" w:val="clear"/>
          </w:tcPr>
          <w:p>
            <w:r>
              <w:rPr>
                <w:sz w:val="17"/>
              </w:rPr>
              <w:t>J+6  Moyenne</w:t>
            </w:r>
          </w:p>
        </w:tc>
        <w:tc>
          <w:tcPr>
            <w:tcW w:type="dxa" w:w="1440"/>
            <w:shd w:fill="FAFAFA" w:val="clear"/>
          </w:tcPr>
          <w:p>
            <w:r>
              <w:rPr>
                <w:sz w:val="17"/>
              </w:rPr>
              <w:t>2026-09-28</w:t>
            </w:r>
          </w:p>
        </w:tc>
        <w:tc>
          <w:tcPr>
            <w:tcW w:type="dxa" w:w="1440"/>
            <w:shd w:fill="FAFAFA" w:val="clear"/>
          </w:tcPr>
          <w:p>
            <w:r>
              <w:rPr>
                <w:sz w:val="17"/>
              </w:rPr>
              <w:t>2,670</w:t>
            </w:r>
          </w:p>
        </w:tc>
        <w:tc>
          <w:tcPr>
            <w:tcW w:type="dxa" w:w="1440"/>
            <w:shd w:fill="FAFAFA" w:val="clear"/>
          </w:tcPr>
          <w:p>
            <w:r>
              <w:rPr>
                <w:b/>
                <w:sz w:val="17"/>
              </w:rPr>
              <w:t>2,847</w:t>
            </w:r>
          </w:p>
        </w:tc>
        <w:tc>
          <w:tcPr>
            <w:tcW w:type="dxa" w:w="1440"/>
            <w:shd w:fill="FAFAFA" w:val="clear"/>
          </w:tcPr>
          <w:p>
            <w:r>
              <w:rPr>
                <w:sz w:val="17"/>
              </w:rPr>
              <w:t>3,025</w:t>
            </w:r>
          </w:p>
        </w:tc>
        <w:tc>
          <w:tcPr>
            <w:tcW w:type="dxa" w:w="1440"/>
            <w:shd w:fill="FAFAFA" w:val="clear"/>
          </w:tcPr>
          <w:p>
            <w:r>
              <w:rPr>
                <w:b/>
                <w:color w:val="C00000"/>
                <w:sz w:val="17"/>
              </w:rPr>
              <w:t>-1.8%</w:t>
            </w:r>
          </w:p>
        </w:tc>
      </w:tr>
      <w:tr>
        <w:tc>
          <w:tcPr>
            <w:tcW w:type="dxa" w:w="1440"/>
            <w:shd w:fill="FFDCE0" w:val="clear"/>
          </w:tcPr>
          <w:p>
            <w:r>
              <w:rPr>
                <w:sz w:val="17"/>
              </w:rPr>
              <w:t>J+7  Moyenne</w:t>
            </w:r>
          </w:p>
        </w:tc>
        <w:tc>
          <w:tcPr>
            <w:tcW w:type="dxa" w:w="1440"/>
            <w:shd w:fill="FFDCE0" w:val="clear"/>
          </w:tcPr>
          <w:p>
            <w:r>
              <w:rPr>
                <w:sz w:val="17"/>
              </w:rPr>
              <w:t>2026-09-29</w:t>
            </w:r>
          </w:p>
        </w:tc>
        <w:tc>
          <w:tcPr>
            <w:tcW w:type="dxa" w:w="1440"/>
            <w:shd w:fill="FFDCE0" w:val="clear"/>
          </w:tcPr>
          <w:p>
            <w:r>
              <w:rPr>
                <w:sz w:val="17"/>
              </w:rPr>
              <w:t>2,650</w:t>
            </w:r>
          </w:p>
        </w:tc>
        <w:tc>
          <w:tcPr>
            <w:tcW w:type="dxa" w:w="1440"/>
            <w:shd w:fill="FFDCE0" w:val="clear"/>
          </w:tcPr>
          <w:p>
            <w:r>
              <w:rPr>
                <w:b/>
                <w:sz w:val="17"/>
              </w:rPr>
              <w:t>2,841</w:t>
            </w:r>
          </w:p>
        </w:tc>
        <w:tc>
          <w:tcPr>
            <w:tcW w:type="dxa" w:w="1440"/>
            <w:shd w:fill="FFDCE0" w:val="clear"/>
          </w:tcPr>
          <w:p>
            <w:r>
              <w:rPr>
                <w:sz w:val="17"/>
              </w:rPr>
              <w:t>3,032</w:t>
            </w:r>
          </w:p>
        </w:tc>
        <w:tc>
          <w:tcPr>
            <w:tcW w:type="dxa" w:w="1440"/>
            <w:shd w:fill="FFDCE0" w:val="clear"/>
          </w:tcPr>
          <w:p>
            <w:r>
              <w:rPr>
                <w:b/>
                <w:color w:val="C00000"/>
                <w:sz w:val="17"/>
              </w:rPr>
              <w:t>-2.0%</w:t>
            </w:r>
          </w:p>
        </w:tc>
      </w:tr>
      <w:tr>
        <w:tc>
          <w:tcPr>
            <w:tcW w:type="dxa" w:w="1440"/>
            <w:shd w:fill="FFDCE0" w:val="clear"/>
          </w:tcPr>
          <w:p>
            <w:r>
              <w:rPr>
                <w:sz w:val="17"/>
              </w:rPr>
              <w:t>J+8  Moyenne</w:t>
            </w:r>
          </w:p>
        </w:tc>
        <w:tc>
          <w:tcPr>
            <w:tcW w:type="dxa" w:w="1440"/>
            <w:shd w:fill="FFDCE0" w:val="clear"/>
          </w:tcPr>
          <w:p>
            <w:r>
              <w:rPr>
                <w:sz w:val="17"/>
              </w:rPr>
              <w:t>2026-09-30</w:t>
            </w:r>
          </w:p>
        </w:tc>
        <w:tc>
          <w:tcPr>
            <w:tcW w:type="dxa" w:w="1440"/>
            <w:shd w:fill="FFDCE0" w:val="clear"/>
          </w:tcPr>
          <w:p>
            <w:r>
              <w:rPr>
                <w:sz w:val="17"/>
              </w:rPr>
              <w:t>2,631</w:t>
            </w:r>
          </w:p>
        </w:tc>
        <w:tc>
          <w:tcPr>
            <w:tcW w:type="dxa" w:w="1440"/>
            <w:shd w:fill="FFDCE0" w:val="clear"/>
          </w:tcPr>
          <w:p>
            <w:r>
              <w:rPr>
                <w:b/>
                <w:sz w:val="17"/>
              </w:rPr>
              <w:t>2,835</w:t>
            </w:r>
          </w:p>
        </w:tc>
        <w:tc>
          <w:tcPr>
            <w:tcW w:type="dxa" w:w="1440"/>
            <w:shd w:fill="FFDCE0" w:val="clear"/>
          </w:tcPr>
          <w:p>
            <w:r>
              <w:rPr>
                <w:sz w:val="17"/>
              </w:rPr>
              <w:t>3,039</w:t>
            </w:r>
          </w:p>
        </w:tc>
        <w:tc>
          <w:tcPr>
            <w:tcW w:type="dxa" w:w="1440"/>
            <w:shd w:fill="FFDCE0" w:val="clear"/>
          </w:tcPr>
          <w:p>
            <w:r>
              <w:rPr>
                <w:b/>
                <w:color w:val="C00000"/>
                <w:sz w:val="17"/>
              </w:rPr>
              <w:t>-2.2%</w:t>
            </w:r>
          </w:p>
        </w:tc>
      </w:tr>
      <w:tr>
        <w:tc>
          <w:tcPr>
            <w:tcW w:type="dxa" w:w="1440"/>
            <w:shd w:fill="FFDCE0" w:val="clear"/>
          </w:tcPr>
          <w:p>
            <w:r>
              <w:rPr>
                <w:sz w:val="17"/>
              </w:rPr>
              <w:t>J+9  Moyenne</w:t>
            </w:r>
          </w:p>
        </w:tc>
        <w:tc>
          <w:tcPr>
            <w:tcW w:type="dxa" w:w="1440"/>
            <w:shd w:fill="FFDCE0" w:val="clear"/>
          </w:tcPr>
          <w:p>
            <w:r>
              <w:rPr>
                <w:sz w:val="17"/>
              </w:rPr>
              <w:t>2026-10-01</w:t>
            </w:r>
          </w:p>
        </w:tc>
        <w:tc>
          <w:tcPr>
            <w:tcW w:type="dxa" w:w="1440"/>
            <w:shd w:fill="FFDCE0" w:val="clear"/>
          </w:tcPr>
          <w:p>
            <w:r>
              <w:rPr>
                <w:sz w:val="17"/>
              </w:rPr>
              <w:t>2,613</w:t>
            </w:r>
          </w:p>
        </w:tc>
        <w:tc>
          <w:tcPr>
            <w:tcW w:type="dxa" w:w="1440"/>
            <w:shd w:fill="FFDCE0" w:val="clear"/>
          </w:tcPr>
          <w:p>
            <w:r>
              <w:rPr>
                <w:b/>
                <w:sz w:val="17"/>
              </w:rPr>
              <w:t>2,829</w:t>
            </w:r>
          </w:p>
        </w:tc>
        <w:tc>
          <w:tcPr>
            <w:tcW w:type="dxa" w:w="1440"/>
            <w:shd w:fill="FFDCE0" w:val="clear"/>
          </w:tcPr>
          <w:p>
            <w:r>
              <w:rPr>
                <w:sz w:val="17"/>
              </w:rPr>
              <w:t>3,045</w:t>
            </w:r>
          </w:p>
        </w:tc>
        <w:tc>
          <w:tcPr>
            <w:tcW w:type="dxa" w:w="1440"/>
            <w:shd w:fill="FFDCE0" w:val="clear"/>
          </w:tcPr>
          <w:p>
            <w:r>
              <w:rPr>
                <w:b/>
                <w:color w:val="C00000"/>
                <w:sz w:val="17"/>
              </w:rPr>
              <w:t>-2.5%</w:t>
            </w:r>
          </w:p>
        </w:tc>
      </w:tr>
      <w:tr>
        <w:tc>
          <w:tcPr>
            <w:tcW w:type="dxa" w:w="1440"/>
            <w:shd w:fill="FFDCE0" w:val="clear"/>
          </w:tcPr>
          <w:p>
            <w:r>
              <w:rPr>
                <w:sz w:val="17"/>
              </w:rPr>
              <w:t>J+10  Moyenne</w:t>
            </w:r>
          </w:p>
        </w:tc>
        <w:tc>
          <w:tcPr>
            <w:tcW w:type="dxa" w:w="1440"/>
            <w:shd w:fill="FFDCE0" w:val="clear"/>
          </w:tcPr>
          <w:p>
            <w:r>
              <w:rPr>
                <w:sz w:val="17"/>
              </w:rPr>
              <w:t>2026-10-02</w:t>
            </w:r>
          </w:p>
        </w:tc>
        <w:tc>
          <w:tcPr>
            <w:tcW w:type="dxa" w:w="1440"/>
            <w:shd w:fill="FFDCE0" w:val="clear"/>
          </w:tcPr>
          <w:p>
            <w:r>
              <w:rPr>
                <w:sz w:val="17"/>
              </w:rPr>
              <w:t>2,596</w:t>
            </w:r>
          </w:p>
        </w:tc>
        <w:tc>
          <w:tcPr>
            <w:tcW w:type="dxa" w:w="1440"/>
            <w:shd w:fill="FFDCE0" w:val="clear"/>
          </w:tcPr>
          <w:p>
            <w:r>
              <w:rPr>
                <w:b/>
                <w:sz w:val="17"/>
              </w:rPr>
              <w:t>2,823</w:t>
            </w:r>
          </w:p>
        </w:tc>
        <w:tc>
          <w:tcPr>
            <w:tcW w:type="dxa" w:w="1440"/>
            <w:shd w:fill="FFDCE0" w:val="clear"/>
          </w:tcPr>
          <w:p>
            <w:r>
              <w:rPr>
                <w:sz w:val="17"/>
              </w:rPr>
              <w:t>3,050</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w:t>
        <w:br/>
        <w:t>*Bourse Régionale des Valeurs Mobilières (BRVM) — Secteur Télécommunications*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197,20 milliards FCFA, ONTBF se positionne parmi les valeurs moyennes-capitalisations de la BRVM, loin derrière Sonatel mais devant la plupart des valeurs bancaires régionales. Le BPA de 234 FCFA par action signifie que chaque titre génère près de 234 FCFA de bénéfice net, ce qui, rapporté au cours actuel de 2 900 FCFA, donne un PER de 12,4x — un niveau modéré, légèrement supérieur à la moyenne BRVM (8-12x), traduisant une prime de qualité justifiée par la solidité du bilan et la régularité du dividende. Le P/B de 3,43x indique que le marché valorise l'entreprise à plus de trois fois sa valeur comptable (57,54 Mds FCFA de capitaux propres), une prime de croissance significative qui se justifie par la rentabilité exceptionnelle des fonds propres (ROE de 27,6%). Enfin, l'EV/EBITDA de 5,2x, bien inférieur à la fourchette de 5-10x, suggère que la valeur d'entreprise reste raisonnablement valorisée par rapport à sa capacité opérationnelle, offrant une marge de sécurité appréciable pour l'investisseur.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ONTBF affiche une progression totale de +7,01%, avec une dernière séance en hausse de +0,35%, clôturant à 2 900 FCFA. Le titre a évolué dans un range de 460 FCFA, entre un plus bas de 2 610 FCFA et un plus haut de 3 070 FCFA, témoignant d'une tendance générale haussière mais avec des phases de consolidation. Les statistiques descriptives révèlent une distribution remarquablement symétrique : la moyenne (2 833 FCFA) et la médiane (2 828 FCFA) sont quasi confondues, et le skewness de -0,040 confirme cette symétrie, indiquant l'absence de biais directionnel marqué. L'écart-type de 83 FCFA, avec un coefficient de variation de seulement 2,9%, traduit une dispersion très faible du cours autour de sa moyenne — le titre est remarquablement stable. Le kurtosis de 0,012, proche de zéro, indique une distribution mésokurtique, c'est-à-dire sans risque excessif de pics extrêmes, ce qui est rassurant pour la gestion du risque. La volatilité annualisée de 30,6% place le titre dans la catégorie des valeurs à volatilité élevée (&gt;30%), ce qui contraste avec la faible dispersion observée sur 100 jours — cette divergence suggère que la volatilité pourrait s'être concentrée sur des périodes spécifiques plutôt que sur l'ensemble de la période.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(2 880,25 FCFA) et la MM50 (2 850,80 FCFA) se situent toutes deux en dessous du cours actuel (2 900 FCFA), avec la MM20 au-dessus de la MM50, configurant un croisement haussier classique. Cette configuration en "golden cross" confirme la dynamique positive et justifie la décision d'achat.</w:t>
      </w:r>
    </w:p>
    <w:p>
      <w:pPr>
        <w:spacing w:after="120" w:line="276" w:lineRule="auto"/>
      </w:pPr>
      <w:r>
        <w:t>**Bandes de Bollinger** : Le cours (2 900 FCFA) évolue dans la partie supérieure de la bande, entre la borne inférieure (2 826,01 FCFA) et la borne supérieure (2 934,49 FCFA), sans franchir cette dernière. Cette position neutre indique une absence de signal directionnel fort, le titre évoluant dans un canal relativement étroit.</w:t>
      </w:r>
    </w:p>
    <w:p>
      <w:pPr>
        <w:spacing w:after="120" w:line="276" w:lineRule="auto"/>
      </w:pPr>
      <w:r>
        <w:t>**MACD** : La valeur du MACD (1,839) est inférieure à son signal (3,513), générant une divergence baissière qui traduit un essoufflement du momentum haussier. Cette configuration justifie la décision de vente à court terme, bien que l'écart reste modéré.</w:t>
      </w:r>
    </w:p>
    <w:p>
      <w:pPr>
        <w:spacing w:after="120" w:line="276" w:lineRule="auto"/>
      </w:pPr>
      <w:r>
        <w:t>**RSI** : À 51,316, le RSI se situe parfaitement dans la zone neutre (30-70), sans signal de surachat ni de survente. Cette position médiane confirme l'absence de pression directionnelle immédiate et justifie la décision neutre.</w:t>
      </w:r>
    </w:p>
    <w:p>
      <w:pPr>
        <w:spacing w:after="120" w:line="276" w:lineRule="auto"/>
      </w:pPr>
      <w:r>
        <w:t>**Stochastique** : Le %K (82,609) est nettement supérieur au %D (59,42), avec un %K en zone de surachat (&gt;80). Cette configuration suggère une possible correction à court terme, justifiant la décision de vente, d'autant que le croisement %K/%D pourrait se retourner.</w:t>
      </w:r>
    </w:p>
    <w:p>
      <w:pPr>
        <w:spacing w:after="120" w:line="276" w:lineRule="auto"/>
      </w:pPr>
      <w:r>
        <w:t>**Conclusion technique** : Les indicateurs présentent une divergence notable : les moyennes mobiles sont haussières tandis que le MACD et le stochastique signalent une vente. Le RSI et les bandes de Bollinger restent neutres. Cette configuration mitigée suggère une phase de consolidation imminent, avec un potentiel de correction limité vers 2 850-2 880 FCFA avant une reprise éventuelle.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ONTBF a réalisé un chiffre d'affaires de 146,18 milliards FCFA, en hausse de 3,1% par rapport à 2024, porté par le FTTH (+33%), l'Internet mobile (+4,6%) et le Mobile Money (+14%). Le résultat net s'établit à 15,89 milliards FCFA, en net repli de 26% par rapport aux 21,47 milliards de 2024, sous l'effet d'une compression des marges (marge nette de 10,87% contre 15,1% en 2024) et d'une hausse des charges opérationnelles. Le ROE reste exceptionnel à 27,61%, bien supérieur au seuil de 15%, tandis que le ROA de 4,89% reflète la lourdeur du bilan (324,9 Mds FCFA d'actifs). Le coefficient d'exploitation de 67,07% — bien qu'en hausse — reste inférieur au seuil de 60% qui caractérise une banque efficace, mais ONTBF n'étant pas une banque, ce ratio doit être interprété comme un indicateur de la pression sur les coûts. Le coût du risque (3,57%) et la couverture des intérêts (491,55%) témoignent d'une structure financière solide, avec une capacité de remboursement de 2,29 années.</w:t>
      </w:r>
    </w:p>
    <w:p>
      <w:pPr>
        <w:spacing w:after="120" w:line="276" w:lineRule="auto"/>
      </w:pPr>
      <w:r>
        <w:t>**Estimations basées sur les rapports trimestriels** : Le rapport T1 2026 (publié le 9 avril 2026) indique un chiffre d'affaires de 37,1 Mds FCFA (+2,7%) et un résultat net de 3,58 Mds FCFA, avec un taux de marge EBITDA maintenu à 41,3%. Sur cette base, on estime que l'exercice 2026 devrait enregistrer une croissance du CA de l'ordre de 2,5-3%, avec un résultat net potentiellement stabilisé autour de 15-16 Mds FCFA si les efforts d'optimisation des coûts portent leurs fruits. Le rapport S1 2025 (30 juin 2025) confirmait déjà cette tendance avec un CA de 73,81 Mds FCFA (+4,0%) et un résultat net de 7,67 Mds FCFA (-17,8%), tandis que le rapport 9 mois 2025 (30 septembre 2025) montrait une érosion continue avec un résultat net de 11,00 Mds FCFA (-17,2%).</w:t>
      </w:r>
    </w:p>
    <w:p>
      <w:pPr>
        <w:spacing w:after="120" w:line="276" w:lineRule="auto"/>
      </w:pPr>
      <w:r>
        <w:t>**Évolution pluriannuelle** : Les états financiers certifiés 2024 (publiés le 31 décembre 2024) montraient une performance solide avec un CA de 141,84 Mds FCFA (+1,9%) et un résultat net de 21,47 Mds FCFA (+1,6%), avec un ROE de 34,3%. La dégradation de 2025 marque donc une rupture dans la trajectoire de rentabilité, principalement attribuable à des facteurs exogènes (contexte sécuritaire, coûts énergétiques, sanction ARCEP de 1,543 Md FCFA) et à des charges exceptionnelles (indemnités de fin d'engagement).</w:t>
      </w:r>
    </w:p>
    <w:p>
      <w:pPr>
        <w:spacing w:after="120" w:line="276" w:lineRule="auto"/>
      </w:pPr>
      <w:r>
        <w:t>**Recommandation fondamentale** : Malgré la baisse du résultat net, ONTBF conserve des fondamentaux solides : génération de trésorerie élevée (CAFG de 46,95 Mds FCFA), dividende attractif (166,08 FCFA/action, soit un rendement de 5,7% au cours actuel), et position dominante sur le segment porteur du FTTH. Les risques principaux résident dans la persistance de la pression sur les marges, l'endettement en hausse (107,6 Mds FCFA de dettes financières) et l'instabilité sécuritaire. La notation GCR A+(WU) avec perspective stable confirme la solidité financière. **Recommandation : CONSERVER**, en attendant des signes tangibles d'amélioration de la rentabilité opérationnelle.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**Sur le plan de la valorisation (Partie 0)** , le PER de 12,4x et l'EV/EBITDA de 5,2x indiquent une valorisation raisonnable, voire légèrement sous-évaluée par rapport au potentiel de l'entreprise, bien que le P/B de 3,43x traduise une prime de croissance déjà intégrée. **Le comportement du cours (Partie 1)** est rassurant : la tendance haussière de +7,01% sur 100 jours, la faible dispersion (CV de 2,9%) et la distribution symétrique (skewness de -0,040) témoignent d'une certaine stabilité, même si la volatilité annualisée de 30,6% reste élevée. **Les signaux techniques (Partie 2)** sont mitigés : les moyennes mobiles sont haussières mais le MACD et le stochastique signalent une vente, suggérant une consolidation à court terme. **Les fondamentaux (Partie 3)** demeurent solides malgré la baisse du résultat net : le ROE de 27,61%, la génération de trésorerie et le dividende attractif compensent partiellement la compression des marges. **Les prédictions IA (J+1 à J+10)** anticipent une légère baisse vers 2 854-2 877 FCFA, confirmant la possibilité d'une correction technique à court terme.</w:t>
      </w:r>
    </w:p>
    <w:p>
      <w:pPr>
        <w:spacing w:after="120" w:line="276" w:lineRule="auto"/>
      </w:pPr>
      <w:r>
        <w:t>**Recommandation finale : CONSERVER**</w:t>
      </w:r>
    </w:p>
    <w:p>
      <w:pPr>
        <w:spacing w:after="120" w:line="276" w:lineRule="auto"/>
      </w:pPr>
      <w:r>
        <w:t>Cette recommandation résulte d'une convergence partielle des signaux : la valorisation et les fondamentaux plaident pour une position haussière à moyen terme, mais les signaux techniques à court terme et les prédictions IA suggèrent une prudence immédiate. Le titre n'est ni à acheter agressivement (en raison de la dégradation des marges et des risques sécuritaires), ni à vendre (grâce à la solidité du bilan et au rendement du dividende). **Niveau de confiance : Moyen** — les fondamentaux sont robustes mais l'incertitude sur la trajectoire des marges persiste. **Niveau de risque global : Moyen** — les risques opérationnels et réglementaires sont significatifs mais atténués par la solidité financière. **Horizon d'investissement optimal : Moyen terme (3-12 mois)** — le temps que les efforts d'optimisation des coûts portent leurs fruits et que la tendance des marges s'inverse. Les investisseurs en quête de rendement régulier trouveront dans ONTBF une valeur défensive avec un dividende sécurisé, tandis que les investisseurs en capital rechercheront des points d'entrée plus favorables autour de 2 800-2 850 FCFA.</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3344.55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3,060 titres</w:t>
            </w:r>
          </w:p>
        </w:tc>
        <w:tc>
          <w:tcPr>
            <w:tcW w:type="dxa" w:w="2268"/>
            <w:shd w:fill="FFF2CC" w:val="clear"/>
          </w:tcPr>
          <w:p>
            <w:r>
              <w:rPr>
                <w:b/>
                <w:color w:val="503200"/>
                <w:sz w:val="16"/>
              </w:rPr>
              <w:t xml:space="preserve">Cours actuel : </w:t>
            </w:r>
            <w:r>
              <w:rPr>
                <w:color w:val="000000"/>
                <w:sz w:val="17"/>
              </w:rPr>
              <w:t>22,200 FCFA</w:t>
            </w:r>
          </w:p>
          <w:p>
            <w:r>
              <w:rPr>
                <w:b/>
                <w:color w:val="503200"/>
                <w:sz w:val="16"/>
              </w:rPr>
              <w:t xml:space="preserve">Var. 100 jours : </w:t>
            </w:r>
            <w:r>
              <w:rPr>
                <w:b/>
                <w:color w:val="007800"/>
                <w:sz w:val="17"/>
              </w:rPr>
              <w:t>+48.99%</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13.54% (Moyenne) — μ=17,347 FCFA, σ=2,349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β=1.3744 (Agressif) — Cov=0.000050, Var(idx)=0.000036, ρ=0.436,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3,060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21,540</w:t>
            </w:r>
          </w:p>
        </w:tc>
        <w:tc>
          <w:tcPr>
            <w:tcW w:type="dxa" w:w="1440"/>
            <w:shd w:fill="FAFAFA" w:val="clear"/>
          </w:tcPr>
          <w:p>
            <w:r>
              <w:rPr>
                <w:b/>
                <w:sz w:val="17"/>
              </w:rPr>
              <w:t>22,243</w:t>
            </w:r>
          </w:p>
        </w:tc>
        <w:tc>
          <w:tcPr>
            <w:tcW w:type="dxa" w:w="1440"/>
            <w:shd w:fill="FAFAFA" w:val="clear"/>
          </w:tcPr>
          <w:p>
            <w:r>
              <w:rPr>
                <w:sz w:val="17"/>
              </w:rPr>
              <w:t>22,947</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21,229</w:t>
            </w:r>
          </w:p>
        </w:tc>
        <w:tc>
          <w:tcPr>
            <w:tcW w:type="dxa" w:w="1440"/>
            <w:shd w:fill="FAFAFA" w:val="clear"/>
          </w:tcPr>
          <w:p>
            <w:r>
              <w:rPr>
                <w:b/>
                <w:sz w:val="17"/>
              </w:rPr>
              <w:t>22,222</w:t>
            </w:r>
          </w:p>
        </w:tc>
        <w:tc>
          <w:tcPr>
            <w:tcW w:type="dxa" w:w="1440"/>
            <w:shd w:fill="FAFAFA" w:val="clear"/>
          </w:tcPr>
          <w:p>
            <w:r>
              <w:rPr>
                <w:sz w:val="17"/>
              </w:rPr>
              <w:t>23,216</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20,992</w:t>
            </w:r>
          </w:p>
        </w:tc>
        <w:tc>
          <w:tcPr>
            <w:tcW w:type="dxa" w:w="1440"/>
            <w:shd w:fill="FAFAFA" w:val="clear"/>
          </w:tcPr>
          <w:p>
            <w:r>
              <w:rPr>
                <w:b/>
                <w:sz w:val="17"/>
              </w:rPr>
              <w:t>22,208</w:t>
            </w:r>
          </w:p>
        </w:tc>
        <w:tc>
          <w:tcPr>
            <w:tcW w:type="dxa" w:w="1440"/>
            <w:shd w:fill="FAFAFA" w:val="clear"/>
          </w:tcPr>
          <w:p>
            <w:r>
              <w:rPr>
                <w:sz w:val="17"/>
              </w:rPr>
              <w:t>23,425</w:t>
            </w:r>
          </w:p>
        </w:tc>
        <w:tc>
          <w:tcPr>
            <w:tcW w:type="dxa" w:w="1440"/>
            <w:shd w:fill="FAFAFA" w:val="clear"/>
          </w:tcPr>
          <w:p>
            <w:r>
              <w:rPr>
                <w:b/>
                <w:color w:val="008000"/>
                <w:sz w:val="17"/>
              </w:rPr>
              <w:t>+0.0%</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20,792</w:t>
            </w:r>
          </w:p>
        </w:tc>
        <w:tc>
          <w:tcPr>
            <w:tcW w:type="dxa" w:w="1440"/>
            <w:shd w:fill="FAFAFA" w:val="clear"/>
          </w:tcPr>
          <w:p>
            <w:r>
              <w:rPr>
                <w:b/>
                <w:sz w:val="17"/>
              </w:rPr>
              <w:t>22,196</w:t>
            </w:r>
          </w:p>
        </w:tc>
        <w:tc>
          <w:tcPr>
            <w:tcW w:type="dxa" w:w="1440"/>
            <w:shd w:fill="FAFAFA" w:val="clear"/>
          </w:tcPr>
          <w:p>
            <w:r>
              <w:rPr>
                <w:sz w:val="17"/>
              </w:rPr>
              <w:t>23,599</w:t>
            </w:r>
          </w:p>
        </w:tc>
        <w:tc>
          <w:tcPr>
            <w:tcW w:type="dxa" w:w="1440"/>
            <w:shd w:fill="FAFAFA" w:val="clear"/>
          </w:tcPr>
          <w:p>
            <w:r>
              <w:rPr>
                <w:b/>
                <w:color w:val="C00000"/>
                <w:sz w:val="17"/>
              </w:rPr>
              <w:t>-0.0%</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20,615</w:t>
            </w:r>
          </w:p>
        </w:tc>
        <w:tc>
          <w:tcPr>
            <w:tcW w:type="dxa" w:w="1440"/>
            <w:shd w:fill="FAFAFA" w:val="clear"/>
          </w:tcPr>
          <w:p>
            <w:r>
              <w:rPr>
                <w:b/>
                <w:sz w:val="17"/>
              </w:rPr>
              <w:t>22,183</w:t>
            </w:r>
          </w:p>
        </w:tc>
        <w:tc>
          <w:tcPr>
            <w:tcW w:type="dxa" w:w="1440"/>
            <w:shd w:fill="FAFAFA" w:val="clear"/>
          </w:tcPr>
          <w:p>
            <w:r>
              <w:rPr>
                <w:sz w:val="17"/>
              </w:rPr>
              <w:t>23,752</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20,454</w:t>
            </w:r>
          </w:p>
        </w:tc>
        <w:tc>
          <w:tcPr>
            <w:tcW w:type="dxa" w:w="1440"/>
            <w:shd w:fill="FAFAFA" w:val="clear"/>
          </w:tcPr>
          <w:p>
            <w:r>
              <w:rPr>
                <w:b/>
                <w:sz w:val="17"/>
              </w:rPr>
              <w:t>22,171</w:t>
            </w:r>
          </w:p>
        </w:tc>
        <w:tc>
          <w:tcPr>
            <w:tcW w:type="dxa" w:w="1440"/>
            <w:shd w:fill="FAFAFA" w:val="clear"/>
          </w:tcPr>
          <w:p>
            <w:r>
              <w:rPr>
                <w:sz w:val="17"/>
              </w:rPr>
              <w:t>23,888</w:t>
            </w:r>
          </w:p>
        </w:tc>
        <w:tc>
          <w:tcPr>
            <w:tcW w:type="dxa" w:w="1440"/>
            <w:shd w:fill="FAFAFA" w:val="clear"/>
          </w:tcPr>
          <w:p>
            <w:r>
              <w:rPr>
                <w:b/>
                <w:color w:val="C00000"/>
                <w:sz w:val="17"/>
              </w:rPr>
              <w:t>-0.1%</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20,305</w:t>
            </w:r>
          </w:p>
        </w:tc>
        <w:tc>
          <w:tcPr>
            <w:tcW w:type="dxa" w:w="1440"/>
            <w:shd w:fill="FAFAFA" w:val="clear"/>
          </w:tcPr>
          <w:p>
            <w:r>
              <w:rPr>
                <w:b/>
                <w:sz w:val="17"/>
              </w:rPr>
              <w:t>22,159</w:t>
            </w:r>
          </w:p>
        </w:tc>
        <w:tc>
          <w:tcPr>
            <w:tcW w:type="dxa" w:w="1440"/>
            <w:shd w:fill="FAFAFA" w:val="clear"/>
          </w:tcPr>
          <w:p>
            <w:r>
              <w:rPr>
                <w:sz w:val="17"/>
              </w:rPr>
              <w:t>24,013</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2026-09-30</w:t>
            </w:r>
          </w:p>
        </w:tc>
        <w:tc>
          <w:tcPr>
            <w:tcW w:type="dxa" w:w="1440"/>
            <w:shd w:fill="FAFAFA" w:val="clear"/>
          </w:tcPr>
          <w:p>
            <w:r>
              <w:rPr>
                <w:sz w:val="17"/>
              </w:rPr>
              <w:t>20,166</w:t>
            </w:r>
          </w:p>
        </w:tc>
        <w:tc>
          <w:tcPr>
            <w:tcW w:type="dxa" w:w="1440"/>
            <w:shd w:fill="FAFAFA" w:val="clear"/>
          </w:tcPr>
          <w:p>
            <w:r>
              <w:rPr>
                <w:b/>
                <w:sz w:val="17"/>
              </w:rPr>
              <w:t>22,147</w:t>
            </w:r>
          </w:p>
        </w:tc>
        <w:tc>
          <w:tcPr>
            <w:tcW w:type="dxa" w:w="1440"/>
            <w:shd w:fill="FAFAFA" w:val="clear"/>
          </w:tcPr>
          <w:p>
            <w:r>
              <w:rPr>
                <w:sz w:val="17"/>
              </w:rPr>
              <w:t>24,128</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2026-10-01</w:t>
            </w:r>
          </w:p>
        </w:tc>
        <w:tc>
          <w:tcPr>
            <w:tcW w:type="dxa" w:w="1440"/>
            <w:shd w:fill="FAFAFA" w:val="clear"/>
          </w:tcPr>
          <w:p>
            <w:r>
              <w:rPr>
                <w:sz w:val="17"/>
              </w:rPr>
              <w:t>20,036</w:t>
            </w:r>
          </w:p>
        </w:tc>
        <w:tc>
          <w:tcPr>
            <w:tcW w:type="dxa" w:w="1440"/>
            <w:shd w:fill="FAFAFA" w:val="clear"/>
          </w:tcPr>
          <w:p>
            <w:r>
              <w:rPr>
                <w:b/>
                <w:sz w:val="17"/>
              </w:rPr>
              <w:t>22,136</w:t>
            </w:r>
          </w:p>
        </w:tc>
        <w:tc>
          <w:tcPr>
            <w:tcW w:type="dxa" w:w="1440"/>
            <w:shd w:fill="FAFAFA" w:val="clear"/>
          </w:tcPr>
          <w:p>
            <w:r>
              <w:rPr>
                <w:sz w:val="17"/>
              </w:rPr>
              <w:t>24,236</w:t>
            </w:r>
          </w:p>
        </w:tc>
        <w:tc>
          <w:tcPr>
            <w:tcW w:type="dxa" w:w="1440"/>
            <w:shd w:fill="FAFAFA" w:val="clear"/>
          </w:tcPr>
          <w:p>
            <w:r>
              <w:rPr>
                <w:b/>
                <w:color w:val="C00000"/>
                <w:sz w:val="17"/>
              </w:rPr>
              <w:t>-0.3%</w:t>
            </w:r>
          </w:p>
        </w:tc>
      </w:tr>
      <w:tr>
        <w:tc>
          <w:tcPr>
            <w:tcW w:type="dxa" w:w="1440"/>
            <w:shd w:fill="FAFAFA" w:val="clear"/>
          </w:tcPr>
          <w:p>
            <w:r>
              <w:rPr>
                <w:sz w:val="17"/>
              </w:rPr>
              <w:t>J+10  ⭐</w:t>
            </w:r>
          </w:p>
        </w:tc>
        <w:tc>
          <w:tcPr>
            <w:tcW w:type="dxa" w:w="1440"/>
            <w:shd w:fill="FAFAFA" w:val="clear"/>
          </w:tcPr>
          <w:p>
            <w:r>
              <w:rPr>
                <w:sz w:val="17"/>
              </w:rPr>
              <w:t>2026-10-02</w:t>
            </w:r>
          </w:p>
        </w:tc>
        <w:tc>
          <w:tcPr>
            <w:tcW w:type="dxa" w:w="1440"/>
            <w:shd w:fill="FAFAFA" w:val="clear"/>
          </w:tcPr>
          <w:p>
            <w:r>
              <w:rPr>
                <w:sz w:val="17"/>
              </w:rPr>
              <w:t>19,912</w:t>
            </w:r>
          </w:p>
        </w:tc>
        <w:tc>
          <w:tcPr>
            <w:tcW w:type="dxa" w:w="1440"/>
            <w:shd w:fill="FAFAFA" w:val="clear"/>
          </w:tcPr>
          <w:p>
            <w:r>
              <w:rPr>
                <w:b/>
                <w:sz w:val="17"/>
              </w:rPr>
              <w:t>22,124</w:t>
            </w:r>
          </w:p>
        </w:tc>
        <w:tc>
          <w:tcPr>
            <w:tcW w:type="dxa" w:w="1440"/>
            <w:shd w:fill="FAFAFA" w:val="clear"/>
          </w:tcPr>
          <w:p>
            <w:r>
              <w:rPr>
                <w:sz w:val="17"/>
              </w:rPr>
              <w:t>24,337</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3 344,55 milliards FCFA, ORAC s'impose comme la première capitalisation de la BRVM, représentant à elle seule plus de 25% de la capitalisation totale du marché régional — un poids systémique qui en fait un incontournable pour tout investisseur institutionnel. Le BPA de 1 114 FCFA/action signifie que chaque titre génère un bénéfice net de plus de mille francs CFA, un niveau exceptionnel qui traduit la forte rentabilité de l'opérateur télécom. Le PER de 19,9x situe le titre nettement au-dessus de la moyenne BRVM (~8-12x), ce qui indique que les investisseurs acceptent de payer une prime significative pour la qualité de la croissance et la régularité des dividendes, mais réduit la marge de sécurité en cas de déception. Le P/B de 4,73x confirme cette valorisation exigeante : le marché valorise ORAC à près de cinq fois sa valeur comptable, reflétant la prééminence des actifs immatériels (marque, réseau, base clients) dans un modèle télécom intensif en capital. L'EV/EBITDA de 7,9x, dans la fourchette raisonnable de 5-10x, tempère ce constat : rapportée à sa capacité opérationnelle, la valeur totale de l'entreprise reste correctement valorisée, ce qui suggère que la prime de PER est davantage portée par la qualité des bénéfices que par une bulle spéculative.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ORAC affiche une progression spectaculaire de +48,99%, clôturant à 22 200 FCFA après une séance J-1 stable (+0,00%). Le range de trading est particulièrement large, oscillant entre un plus bas de 14 650 FCFA et un plus haut de 22 500 FCFA, soit une amplitude de plus de 53% qui témoigne d'un momentum haussier puissant et d'un intérêt croissant des investisseurs. La tendance générale est clairement haussière, le cours actuel évoluant à proximité immédiate de son sommet historique sur la période. Les statistiques descriptives révèlent une distribution asymétrique : la moyenne (17 347 FCFA) dépasse la médiane (16 550 FCFA), elle-même supérieure au mode (16 000 FCFA), confirmant que le cours a passé davantage de séances sous sa moyenne avant de s'envoler en fin de période. L'écart-type de 2 361 FCFA (CV=13,6%) indique une dispersion modérée, tandis que le kurtosis de -0,252 (mésokurtique) suggère une distribution proche de la normale, sans risque excessif de pics extrêmes. Le skewness de +1,103 (asymétrie positive) révèle toutefois une prédominance de journées sous la moyenne, typique d'un titre qui consolide longuement avant de s'apprécier brutalement. La volatilité annualisée de 29,9% place ORAC en zone modérée haute, cohérente avec un titre de croissance à forte liquidité relative.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(21 647,25 FCFA) et la MM50 (18 875,60 FCFA) se situent toutes deux sous le cours actuel (22 200 FCFA), avec la MM20 au-dessus de la MM50 — configuration haussière classique en « golden cross ». L'écart de 2 772 FCFA entre les deux moyennes confirme la vigueur du mouvement, et la décision technique est logiquement à l'**Achat**.</w:t>
      </w:r>
    </w:p>
    <w:p>
      <w:pPr>
        <w:spacing w:after="120" w:line="276" w:lineRule="auto"/>
      </w:pPr>
      <w:r>
        <w:t>**Bandes de Bollinger** : Le cours (22 200 FCFA) évolue dans la moitié supérieure de la bande, entre la borne inférieure (20 413,82 FCFA) et la borne supérieure (22 880,69 FCFA), sans la franchir. Cette position haute mais non extrême traduit une volatilité maîtrisée et une décision **Neutre** : le titre est proche de la résistance mais n'affiche pas de signal de surachat violent.</w:t>
      </w:r>
    </w:p>
    <w:p>
      <w:pPr>
        <w:spacing w:after="120" w:line="276" w:lineRule="auto"/>
      </w:pPr>
      <w:r>
        <w:t>**MACD** : La valeur du MACD (997,07) est inférieure à son signal (1 084,38), générant un croisement baissier qui indique un essoufflement du momentum haussier. Bien que le MACD reste largement positif, cette divergence justifie une décision de **Vente** à court terme, signalant une possible consolidation.</w:t>
      </w:r>
    </w:p>
    <w:p>
      <w:pPr>
        <w:spacing w:after="120" w:line="276" w:lineRule="auto"/>
      </w:pPr>
      <w:r>
        <w:t>**RSI** : À 64,42, le RSI se situe en zone neutre haute, sans atteindre le seuil de surachat de 70. Cette configuration indique que le titre conserve un potentiel de hausse résiduel mais approche de zones où la prudence s'impose, d'où une décision **Neutre**.</w:t>
      </w:r>
    </w:p>
    <w:p>
      <w:pPr>
        <w:spacing w:after="120" w:line="276" w:lineRule="auto"/>
      </w:pPr>
      <w:r>
        <w:t>**Stochastique** : Le %K (79,87) est légèrement sous le %D (84,26), avec les deux indicateurs en zone haute (&gt;80). Ce croisement baissier en zone de surachat constitue un signal de prudence, bien que la décision reste **Neutre** en raison de l'absence de divergence marquée.</w:t>
      </w:r>
    </w:p>
    <w:p>
      <w:pPr>
        <w:spacing w:after="120" w:line="276" w:lineRule="auto"/>
      </w:pPr>
      <w:r>
        <w:t>**Conclusion technique** : Les indicateurs présentent une configuration mitigée. Les moyennes mobiles confirment la tendance haussière de fond, mais le MACD baissier, le stochastique en zone haute et le RSI proche de 70 suggèrent un essoufflement à court terme. Le titre évolue dans un couloir haussier mature, et une consolidation avant une nouvelle impulsion serait saine. La convergence des signaux plaide pour une pause technique plutôt qu'un retournement.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Orange Côte d'Ivoire a réalisé un chiffre d'affaires consolidé de 1 197,1 milliards FCFA, en progression de +10,4% sur un an, portée par la dynamique des trois filiales (Côte d'Ivoire, Burkina Faso, Libéria) et la performance d'Orange Money (+10,2% d'abonnés à 40,4 millions) et de la fibre (+59,9%). Le résultat net consolidé s'établit à 167,8 milliards FCFA (+6,1%), tandis que le résultat net part du groupe atteint 129,1 milliards FCFA (+14,5%), avec une marge nette de 14,0% (contre 14,6% en 2024). Les ratios de rentabilité demeurent excellents : le ROE de 23,71% (largement supérieur au seuil de 15% considéré comme excellent) et le ROA de 6,57% témoignent d'une création de valeur soutenue. La structure financière reste solide avec une autonomie financière de 27,71%, une solvabilité générale de 138,34% et une couverture des intérêts de 1 018,44%, bien que le ratio d'endettement de 47,46% mérite surveillance. Sur le plan opérationnel, le BFR est négatif (-198,0 milliards FCFA), ce qui est favorable, mais le délai clients de 52,26 jours et le délai fournisseurs de 210,87 jours révèlent un déséquilibre de trésorerie à surveiller. Les rapports trimestriels récents confirment l'accélération : le T1 2026 (publié en 2026) affiche un CA de 325,6 milliards FCFA (+14,8%) et un résultat net de 48,3 milliards FCFA (+25,2%), avec une marge nette en amélioration à 14,8%. Sur cette base, on estime que l'exercice 2026 devrait enregistrer une croissance du CA supérieure à 12% et un résultat net en progression de 15-20%, porté par l'effet de levier opérationnel retrouvé. Le dividende proposé de 800 FCFA/action (rendement de 3,6% au cours actuel) marque un recentrage de la politique de distribution (payout de 93,3% du résultat part du groupe), la société privilégiant l'autofinancement des investissements (184,2 milliards FCFA en 2025). La recommandation fondamentale est **CONSERVER**, avec un biais positif : la solidité du modèle et l'accélération récente sont attractives, mais la valorisation exigeante et la pression sur les marges (notamment au Burkina Faso)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exigeante : le PER de 19,9x et le P/B de 4,73x intègrent déjà une prime de qualité, bien que l'EV/EBITDA de 7,9x reste raisonnable. Le comportement du cours (Partie 1) est nettement haussier (+48,99% sur 100 jours), avec une volatilité modérée (29,9%) et des statistiques (skewness positif, kurtosis normal) qui suggèrent une tendance robuste mais des consolidations fréquentes. Les signaux techniques (Partie 2) sont mitigés : les moyennes mobiles confirment la tendance haussière, mais le MACD baissier et le stochastique en zone haute plaident pour une pause imminente. Les fondamentaux (Partie 3) sont solides : croissance à deux chiffres, ROE de 23,71%, et accélération confirmée par le T1 2026 (+25,2% de résultat net). Les prédictions IA (J+1 à J+10) anticipent une légère consolidation autour de 22 200 FCFA, en phase avec le signal technique de pause. Sur cette base, la recommandation finale est **CONSERVER**, avec un niveau de confiance **Moyen** et un risque global **Moyen**. La convergence entre fondamentaux solides et technique essoufflée suggère d'attendre une consolidation vers 21 000-21 500 FCFA pour renforcer, ou de conserver la position pour capter la croissance de long terme. L'horizon optimal est le **moyen terme (3-12 mois)**, le temps que les investissements (fibre, 5G, Orange Money) se traduisent pleinement en bénéfices et que la valorisation se normalise. Un passage à l'**ACHAT** serait justifié en cas de repli sous 20 500 FCFA ou de confirmation d'une accélération des marges au T2 2026.</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222.48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5,436 titres</w:t>
            </w:r>
          </w:p>
        </w:tc>
        <w:tc>
          <w:tcPr>
            <w:tcW w:type="dxa" w:w="2268"/>
            <w:shd w:fill="FFF2CC" w:val="clear"/>
          </w:tcPr>
          <w:p>
            <w:r>
              <w:rPr>
                <w:b/>
                <w:color w:val="503200"/>
                <w:sz w:val="16"/>
              </w:rPr>
              <w:t xml:space="preserve">Cours actuel : </w:t>
            </w:r>
            <w:r>
              <w:rPr>
                <w:color w:val="000000"/>
                <w:sz w:val="17"/>
              </w:rPr>
              <w:t>3,205 FCFA</w:t>
            </w:r>
          </w:p>
          <w:p>
            <w:r>
              <w:rPr>
                <w:b/>
                <w:color w:val="503200"/>
                <w:sz w:val="16"/>
              </w:rPr>
              <w:t xml:space="preserve">Var. 100 jours : </w:t>
            </w:r>
            <w:r>
              <w:rPr>
                <w:b/>
                <w:color w:val="B40000"/>
                <w:sz w:val="17"/>
              </w:rPr>
              <w:t>-2.73%</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9.19% (Moyenne) — μ=2,910 FCFA, σ=267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β=0.0926 (Défensif) — Cov=0.000003, Var(idx)=0.000036, ρ=0.020,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σ_j=2.72%/j (Stable) — Vol. annualisée≈43.2%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3,161</w:t>
            </w:r>
          </w:p>
        </w:tc>
        <w:tc>
          <w:tcPr>
            <w:tcW w:type="dxa" w:w="1440"/>
            <w:shd w:fill="FAFAFA" w:val="clear"/>
          </w:tcPr>
          <w:p>
            <w:r>
              <w:rPr>
                <w:b/>
                <w:sz w:val="17"/>
              </w:rPr>
              <w:t>3,245</w:t>
            </w:r>
          </w:p>
        </w:tc>
        <w:tc>
          <w:tcPr>
            <w:tcW w:type="dxa" w:w="1440"/>
            <w:shd w:fill="FAFAFA" w:val="clear"/>
          </w:tcPr>
          <w:p>
            <w:r>
              <w:rPr>
                <w:sz w:val="17"/>
              </w:rPr>
              <w:t>3,329</w:t>
            </w:r>
          </w:p>
        </w:tc>
        <w:tc>
          <w:tcPr>
            <w:tcW w:type="dxa" w:w="1440"/>
            <w:shd w:fill="FAFAFA" w:val="clear"/>
          </w:tcPr>
          <w:p>
            <w:r>
              <w:rPr>
                <w:b/>
                <w:color w:val="008000"/>
                <w:sz w:val="17"/>
              </w:rPr>
              <w:t>+1.2%</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3,127</w:t>
            </w:r>
          </w:p>
        </w:tc>
        <w:tc>
          <w:tcPr>
            <w:tcW w:type="dxa" w:w="1440"/>
            <w:shd w:fill="FAFAFA" w:val="clear"/>
          </w:tcPr>
          <w:p>
            <w:r>
              <w:rPr>
                <w:b/>
                <w:sz w:val="17"/>
              </w:rPr>
              <w:t>3,245</w:t>
            </w:r>
          </w:p>
        </w:tc>
        <w:tc>
          <w:tcPr>
            <w:tcW w:type="dxa" w:w="1440"/>
            <w:shd w:fill="FAFAFA" w:val="clear"/>
          </w:tcPr>
          <w:p>
            <w:r>
              <w:rPr>
                <w:sz w:val="17"/>
              </w:rPr>
              <w:t>3,364</w:t>
            </w:r>
          </w:p>
        </w:tc>
        <w:tc>
          <w:tcPr>
            <w:tcW w:type="dxa" w:w="1440"/>
            <w:shd w:fill="FAFAFA" w:val="clear"/>
          </w:tcPr>
          <w:p>
            <w:r>
              <w:rPr>
                <w:b/>
                <w:color w:val="008000"/>
                <w:sz w:val="17"/>
              </w:rPr>
              <w:t>+1.3%</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3,103</w:t>
            </w:r>
          </w:p>
        </w:tc>
        <w:tc>
          <w:tcPr>
            <w:tcW w:type="dxa" w:w="1440"/>
            <w:shd w:fill="FAFAFA" w:val="clear"/>
          </w:tcPr>
          <w:p>
            <w:r>
              <w:rPr>
                <w:b/>
                <w:sz w:val="17"/>
              </w:rPr>
              <w:t>3,249</w:t>
            </w:r>
          </w:p>
        </w:tc>
        <w:tc>
          <w:tcPr>
            <w:tcW w:type="dxa" w:w="1440"/>
            <w:shd w:fill="FAFAFA" w:val="clear"/>
          </w:tcPr>
          <w:p>
            <w:r>
              <w:rPr>
                <w:sz w:val="17"/>
              </w:rPr>
              <w:t>3,394</w:t>
            </w:r>
          </w:p>
        </w:tc>
        <w:tc>
          <w:tcPr>
            <w:tcW w:type="dxa" w:w="1440"/>
            <w:shd w:fill="FAFAFA" w:val="clear"/>
          </w:tcPr>
          <w:p>
            <w:r>
              <w:rPr>
                <w:b/>
                <w:color w:val="008000"/>
                <w:sz w:val="17"/>
              </w:rPr>
              <w:t>+1.4%</w:t>
            </w:r>
          </w:p>
        </w:tc>
      </w:tr>
      <w:tr>
        <w:tc>
          <w:tcPr>
            <w:tcW w:type="dxa" w:w="1440"/>
            <w:shd w:fill="FAFAFA" w:val="clear"/>
          </w:tcPr>
          <w:p>
            <w:r>
              <w:rPr>
                <w:sz w:val="17"/>
              </w:rPr>
              <w:t>J+4  Moyenne</w:t>
            </w:r>
          </w:p>
        </w:tc>
        <w:tc>
          <w:tcPr>
            <w:tcW w:type="dxa" w:w="1440"/>
            <w:shd w:fill="FAFAFA" w:val="clear"/>
          </w:tcPr>
          <w:p>
            <w:r>
              <w:rPr>
                <w:sz w:val="17"/>
              </w:rPr>
              <w:t>2026-09-24</w:t>
            </w:r>
          </w:p>
        </w:tc>
        <w:tc>
          <w:tcPr>
            <w:tcW w:type="dxa" w:w="1440"/>
            <w:shd w:fill="FAFAFA" w:val="clear"/>
          </w:tcPr>
          <w:p>
            <w:r>
              <w:rPr>
                <w:sz w:val="17"/>
              </w:rPr>
              <w:t>3,084</w:t>
            </w:r>
          </w:p>
        </w:tc>
        <w:tc>
          <w:tcPr>
            <w:tcW w:type="dxa" w:w="1440"/>
            <w:shd w:fill="FAFAFA" w:val="clear"/>
          </w:tcPr>
          <w:p>
            <w:r>
              <w:rPr>
                <w:b/>
                <w:sz w:val="17"/>
              </w:rPr>
              <w:t>3,252</w:t>
            </w:r>
          </w:p>
        </w:tc>
        <w:tc>
          <w:tcPr>
            <w:tcW w:type="dxa" w:w="1440"/>
            <w:shd w:fill="FAFAFA" w:val="clear"/>
          </w:tcPr>
          <w:p>
            <w:r>
              <w:rPr>
                <w:sz w:val="17"/>
              </w:rPr>
              <w:t>3,420</w:t>
            </w:r>
          </w:p>
        </w:tc>
        <w:tc>
          <w:tcPr>
            <w:tcW w:type="dxa" w:w="1440"/>
            <w:shd w:fill="FAFAFA" w:val="clear"/>
          </w:tcPr>
          <w:p>
            <w:r>
              <w:rPr>
                <w:b/>
                <w:color w:val="008000"/>
                <w:sz w:val="17"/>
              </w:rPr>
              <w:t>+1.5%</w:t>
            </w:r>
          </w:p>
        </w:tc>
      </w:tr>
      <w:tr>
        <w:tc>
          <w:tcPr>
            <w:tcW w:type="dxa" w:w="1440"/>
            <w:shd w:fill="FAFAFA" w:val="clear"/>
          </w:tcPr>
          <w:p>
            <w:r>
              <w:rPr>
                <w:sz w:val="17"/>
              </w:rPr>
              <w:t>J+5  Moyenne</w:t>
            </w:r>
          </w:p>
        </w:tc>
        <w:tc>
          <w:tcPr>
            <w:tcW w:type="dxa" w:w="1440"/>
            <w:shd w:fill="FAFAFA" w:val="clear"/>
          </w:tcPr>
          <w:p>
            <w:r>
              <w:rPr>
                <w:sz w:val="17"/>
              </w:rPr>
              <w:t>2026-09-25</w:t>
            </w:r>
          </w:p>
        </w:tc>
        <w:tc>
          <w:tcPr>
            <w:tcW w:type="dxa" w:w="1440"/>
            <w:shd w:fill="FAFAFA" w:val="clear"/>
          </w:tcPr>
          <w:p>
            <w:r>
              <w:rPr>
                <w:sz w:val="17"/>
              </w:rPr>
              <w:t>3,067</w:t>
            </w:r>
          </w:p>
        </w:tc>
        <w:tc>
          <w:tcPr>
            <w:tcW w:type="dxa" w:w="1440"/>
            <w:shd w:fill="FAFAFA" w:val="clear"/>
          </w:tcPr>
          <w:p>
            <w:r>
              <w:rPr>
                <w:b/>
                <w:sz w:val="17"/>
              </w:rPr>
              <w:t>3,255</w:t>
            </w:r>
          </w:p>
        </w:tc>
        <w:tc>
          <w:tcPr>
            <w:tcW w:type="dxa" w:w="1440"/>
            <w:shd w:fill="FAFAFA" w:val="clear"/>
          </w:tcPr>
          <w:p>
            <w:r>
              <w:rPr>
                <w:sz w:val="17"/>
              </w:rPr>
              <w:t>3,443</w:t>
            </w:r>
          </w:p>
        </w:tc>
        <w:tc>
          <w:tcPr>
            <w:tcW w:type="dxa" w:w="1440"/>
            <w:shd w:fill="FAFAFA" w:val="clear"/>
          </w:tcPr>
          <w:p>
            <w:r>
              <w:rPr>
                <w:b/>
                <w:color w:val="008000"/>
                <w:sz w:val="17"/>
              </w:rPr>
              <w:t>+1.6%</w:t>
            </w:r>
          </w:p>
        </w:tc>
      </w:tr>
      <w:tr>
        <w:tc>
          <w:tcPr>
            <w:tcW w:type="dxa" w:w="1440"/>
            <w:shd w:fill="FAFAFA" w:val="clear"/>
          </w:tcPr>
          <w:p>
            <w:r>
              <w:rPr>
                <w:sz w:val="17"/>
              </w:rPr>
              <w:t>J+6  Moyenne</w:t>
            </w:r>
          </w:p>
        </w:tc>
        <w:tc>
          <w:tcPr>
            <w:tcW w:type="dxa" w:w="1440"/>
            <w:shd w:fill="FAFAFA" w:val="clear"/>
          </w:tcPr>
          <w:p>
            <w:r>
              <w:rPr>
                <w:sz w:val="17"/>
              </w:rPr>
              <w:t>2026-09-28</w:t>
            </w:r>
          </w:p>
        </w:tc>
        <w:tc>
          <w:tcPr>
            <w:tcW w:type="dxa" w:w="1440"/>
            <w:shd w:fill="FAFAFA" w:val="clear"/>
          </w:tcPr>
          <w:p>
            <w:r>
              <w:rPr>
                <w:sz w:val="17"/>
              </w:rPr>
              <w:t>3,051</w:t>
            </w:r>
          </w:p>
        </w:tc>
        <w:tc>
          <w:tcPr>
            <w:tcW w:type="dxa" w:w="1440"/>
            <w:shd w:fill="FAFAFA" w:val="clear"/>
          </w:tcPr>
          <w:p>
            <w:r>
              <w:rPr>
                <w:b/>
                <w:sz w:val="17"/>
              </w:rPr>
              <w:t>3,258</w:t>
            </w:r>
          </w:p>
        </w:tc>
        <w:tc>
          <w:tcPr>
            <w:tcW w:type="dxa" w:w="1440"/>
            <w:shd w:fill="FAFAFA" w:val="clear"/>
          </w:tcPr>
          <w:p>
            <w:r>
              <w:rPr>
                <w:sz w:val="17"/>
              </w:rPr>
              <w:t>3,464</w:t>
            </w:r>
          </w:p>
        </w:tc>
        <w:tc>
          <w:tcPr>
            <w:tcW w:type="dxa" w:w="1440"/>
            <w:shd w:fill="FAFAFA" w:val="clear"/>
          </w:tcPr>
          <w:p>
            <w:r>
              <w:rPr>
                <w:b/>
                <w:color w:val="008000"/>
                <w:sz w:val="17"/>
              </w:rPr>
              <w:t>+1.6%</w:t>
            </w:r>
          </w:p>
        </w:tc>
      </w:tr>
      <w:tr>
        <w:tc>
          <w:tcPr>
            <w:tcW w:type="dxa" w:w="1440"/>
            <w:shd w:fill="FAFAFA" w:val="clear"/>
          </w:tcPr>
          <w:p>
            <w:r>
              <w:rPr>
                <w:sz w:val="17"/>
              </w:rPr>
              <w:t>J+7  Moyenne</w:t>
            </w:r>
          </w:p>
        </w:tc>
        <w:tc>
          <w:tcPr>
            <w:tcW w:type="dxa" w:w="1440"/>
            <w:shd w:fill="FAFAFA" w:val="clear"/>
          </w:tcPr>
          <w:p>
            <w:r>
              <w:rPr>
                <w:sz w:val="17"/>
              </w:rPr>
              <w:t>2026-09-29</w:t>
            </w:r>
          </w:p>
        </w:tc>
        <w:tc>
          <w:tcPr>
            <w:tcW w:type="dxa" w:w="1440"/>
            <w:shd w:fill="FAFAFA" w:val="clear"/>
          </w:tcPr>
          <w:p>
            <w:r>
              <w:rPr>
                <w:sz w:val="17"/>
              </w:rPr>
              <w:t>3,037</w:t>
            </w:r>
          </w:p>
        </w:tc>
        <w:tc>
          <w:tcPr>
            <w:tcW w:type="dxa" w:w="1440"/>
            <w:shd w:fill="FAFAFA" w:val="clear"/>
          </w:tcPr>
          <w:p>
            <w:r>
              <w:rPr>
                <w:b/>
                <w:sz w:val="17"/>
              </w:rPr>
              <w:t>3,260</w:t>
            </w:r>
          </w:p>
        </w:tc>
        <w:tc>
          <w:tcPr>
            <w:tcW w:type="dxa" w:w="1440"/>
            <w:shd w:fill="FAFAFA" w:val="clear"/>
          </w:tcPr>
          <w:p>
            <w:r>
              <w:rPr>
                <w:sz w:val="17"/>
              </w:rPr>
              <w:t>3,483</w:t>
            </w:r>
          </w:p>
        </w:tc>
        <w:tc>
          <w:tcPr>
            <w:tcW w:type="dxa" w:w="1440"/>
            <w:shd w:fill="FAFAFA" w:val="clear"/>
          </w:tcPr>
          <w:p>
            <w:r>
              <w:rPr>
                <w:b/>
                <w:color w:val="008000"/>
                <w:sz w:val="17"/>
              </w:rPr>
              <w:t>+1.7%</w:t>
            </w:r>
          </w:p>
        </w:tc>
      </w:tr>
      <w:tr>
        <w:tc>
          <w:tcPr>
            <w:tcW w:type="dxa" w:w="1440"/>
            <w:shd w:fill="FAFAFA" w:val="clear"/>
          </w:tcPr>
          <w:p>
            <w:r>
              <w:rPr>
                <w:sz w:val="17"/>
              </w:rPr>
              <w:t>J+8  Moyenne</w:t>
            </w:r>
          </w:p>
        </w:tc>
        <w:tc>
          <w:tcPr>
            <w:tcW w:type="dxa" w:w="1440"/>
            <w:shd w:fill="FAFAFA" w:val="clear"/>
          </w:tcPr>
          <w:p>
            <w:r>
              <w:rPr>
                <w:sz w:val="17"/>
              </w:rPr>
              <w:t>2026-09-30</w:t>
            </w:r>
          </w:p>
        </w:tc>
        <w:tc>
          <w:tcPr>
            <w:tcW w:type="dxa" w:w="1440"/>
            <w:shd w:fill="FAFAFA" w:val="clear"/>
          </w:tcPr>
          <w:p>
            <w:r>
              <w:rPr>
                <w:sz w:val="17"/>
              </w:rPr>
              <w:t>3,024</w:t>
            </w:r>
          </w:p>
        </w:tc>
        <w:tc>
          <w:tcPr>
            <w:tcW w:type="dxa" w:w="1440"/>
            <w:shd w:fill="FAFAFA" w:val="clear"/>
          </w:tcPr>
          <w:p>
            <w:r>
              <w:rPr>
                <w:b/>
                <w:sz w:val="17"/>
              </w:rPr>
              <w:t>3,263</w:t>
            </w:r>
          </w:p>
        </w:tc>
        <w:tc>
          <w:tcPr>
            <w:tcW w:type="dxa" w:w="1440"/>
            <w:shd w:fill="FAFAFA" w:val="clear"/>
          </w:tcPr>
          <w:p>
            <w:r>
              <w:rPr>
                <w:sz w:val="17"/>
              </w:rPr>
              <w:t>3,501</w:t>
            </w:r>
          </w:p>
        </w:tc>
        <w:tc>
          <w:tcPr>
            <w:tcW w:type="dxa" w:w="1440"/>
            <w:shd w:fill="FAFAFA" w:val="clear"/>
          </w:tcPr>
          <w:p>
            <w:r>
              <w:rPr>
                <w:b/>
                <w:color w:val="008000"/>
                <w:sz w:val="17"/>
              </w:rPr>
              <w:t>+1.8%</w:t>
            </w:r>
          </w:p>
        </w:tc>
      </w:tr>
      <w:tr>
        <w:tc>
          <w:tcPr>
            <w:tcW w:type="dxa" w:w="1440"/>
            <w:shd w:fill="FAFAFA" w:val="clear"/>
          </w:tcPr>
          <w:p>
            <w:r>
              <w:rPr>
                <w:sz w:val="17"/>
              </w:rPr>
              <w:t>J+9  Moyenne</w:t>
            </w:r>
          </w:p>
        </w:tc>
        <w:tc>
          <w:tcPr>
            <w:tcW w:type="dxa" w:w="1440"/>
            <w:shd w:fill="FAFAFA" w:val="clear"/>
          </w:tcPr>
          <w:p>
            <w:r>
              <w:rPr>
                <w:sz w:val="17"/>
              </w:rPr>
              <w:t>2026-10-01</w:t>
            </w:r>
          </w:p>
        </w:tc>
        <w:tc>
          <w:tcPr>
            <w:tcW w:type="dxa" w:w="1440"/>
            <w:shd w:fill="FAFAFA" w:val="clear"/>
          </w:tcPr>
          <w:p>
            <w:r>
              <w:rPr>
                <w:sz w:val="17"/>
              </w:rPr>
              <w:t>3,012</w:t>
            </w:r>
          </w:p>
        </w:tc>
        <w:tc>
          <w:tcPr>
            <w:tcW w:type="dxa" w:w="1440"/>
            <w:shd w:fill="FAFAFA" w:val="clear"/>
          </w:tcPr>
          <w:p>
            <w:r>
              <w:rPr>
                <w:b/>
                <w:sz w:val="17"/>
              </w:rPr>
              <w:t>3,265</w:t>
            </w:r>
          </w:p>
        </w:tc>
        <w:tc>
          <w:tcPr>
            <w:tcW w:type="dxa" w:w="1440"/>
            <w:shd w:fill="FAFAFA" w:val="clear"/>
          </w:tcPr>
          <w:p>
            <w:r>
              <w:rPr>
                <w:sz w:val="17"/>
              </w:rPr>
              <w:t>3,518</w:t>
            </w:r>
          </w:p>
        </w:tc>
        <w:tc>
          <w:tcPr>
            <w:tcW w:type="dxa" w:w="1440"/>
            <w:shd w:fill="FAFAFA" w:val="clear"/>
          </w:tcPr>
          <w:p>
            <w:r>
              <w:rPr>
                <w:b/>
                <w:color w:val="008000"/>
                <w:sz w:val="17"/>
              </w:rPr>
              <w:t>+1.9%</w:t>
            </w:r>
          </w:p>
        </w:tc>
      </w:tr>
      <w:tr>
        <w:tc>
          <w:tcPr>
            <w:tcW w:type="dxa" w:w="1440"/>
            <w:shd w:fill="FAFAFA" w:val="clear"/>
          </w:tcPr>
          <w:p>
            <w:r>
              <w:rPr>
                <w:sz w:val="17"/>
              </w:rPr>
              <w:t>J+10  Moyenne</w:t>
            </w:r>
          </w:p>
        </w:tc>
        <w:tc>
          <w:tcPr>
            <w:tcW w:type="dxa" w:w="1440"/>
            <w:shd w:fill="FAFAFA" w:val="clear"/>
          </w:tcPr>
          <w:p>
            <w:r>
              <w:rPr>
                <w:sz w:val="17"/>
              </w:rPr>
              <w:t>2026-10-02</w:t>
            </w:r>
          </w:p>
        </w:tc>
        <w:tc>
          <w:tcPr>
            <w:tcW w:type="dxa" w:w="1440"/>
            <w:shd w:fill="FAFAFA" w:val="clear"/>
          </w:tcPr>
          <w:p>
            <w:r>
              <w:rPr>
                <w:sz w:val="17"/>
              </w:rPr>
              <w:t>3,000</w:t>
            </w:r>
          </w:p>
        </w:tc>
        <w:tc>
          <w:tcPr>
            <w:tcW w:type="dxa" w:w="1440"/>
            <w:shd w:fill="FAFAFA" w:val="clear"/>
          </w:tcPr>
          <w:p>
            <w:r>
              <w:rPr>
                <w:b/>
                <w:sz w:val="17"/>
              </w:rPr>
              <w:t>3,267</w:t>
            </w:r>
          </w:p>
        </w:tc>
        <w:tc>
          <w:tcPr>
            <w:tcW w:type="dxa" w:w="1440"/>
            <w:shd w:fill="FAFAFA" w:val="clear"/>
          </w:tcPr>
          <w:p>
            <w:r>
              <w:rPr>
                <w:sz w:val="17"/>
              </w:rPr>
              <w:t>3,534</w:t>
            </w:r>
          </w:p>
        </w:tc>
        <w:tc>
          <w:tcPr>
            <w:tcW w:type="dxa" w:w="1440"/>
            <w:shd w:fill="FAFAFA" w:val="clear"/>
          </w:tcPr>
          <w:p>
            <w:r>
              <w:rPr>
                <w:b/>
                <w:color w:val="008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 RAPPORT D'ANALYSE FINANCIÈRE — ORGT (ORAGROUP S.A.)</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**222,48 milliards FCFA**, ORGT se positionne comme une valeur de premier plan de la cote BRVM, reflétant l'importance systémique du groupe bancaire panafricain dans l'UEMOA. Le BPA de **312 FCFA/action** confère au titre un PER de **10,3x**, légèrement supérieur à la moyenne du marché BRVM (~8-12x), ce qui traduit une valorisation modérée mais cohérente avec le redressement spectaculaire des bénéfices. Le ratio P/B de **1,97x** indique que le marché valorise l'action à près du double de sa valeur comptable, un niveau raisonnable pour une banque affichant un ROE de 19,1%. En revanche, l'**EV/EBITDA de 20,1x** apparaît très exigeant (&gt;15x), signalant que la valeur d'entreprise intègre déjà une part importante d'optimisme sur la capacité opérationnelle future — un point de vigilance pour les investisseurs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affiche une **variation totale de -2,73%**, intégralement concentrée sur la dernière séance (J-1 : -2,73%), ce qui traduit une correction récente après une phase de progression. Le cours actuel de **3 205 FCFA** se situe dans la partie haute du range de trading établi entre **2 435 FCFA** (plus bas) et **3 475 FCFA** (plus haut), soit une amplitude de plus de 1 000 FCFA — signe d'une dynamique haussière de fond malgré la respiration actuelle. La moyenne (**2 910 FCFA**) est nettement supérieure à la médiane (**2 780 FCFA**), ce qui révèle une asymétrie positive : les cours récents tirent la moyenne vers le haut, confirmant la tendance haussière. L'écart-type de **269 FCFA** avec un **CV de 9,2%** indique une dispersion modérée du cours autour de sa moyenne. Le **kurtosis de -1,335** (distribution platykurtique) signale une faible concentration des rendements et un risque de pics moins prononcé qu'une loi normale, tandis que le **skewness de 0,281** confirme une distribution quasi-symétrique avec une légère inclinaison positive. Enfin, la **volatilité annualisée de 43,2%** classe ORGT parmi les titres à volatilité élevée (&gt;30%), ce qui implique un risque de marché significatif mais aussi des opportunités de rendement accrues.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**3 237,25 FCFA** et la MM50 à **3 037,40 FCFA**, toutes deux inférieures au cours actuel de 3 205 FCFA pour la MM20 (léger écart) mais nettement en-dessous pour la MM50. Cette configuration — cours au-dessus des deux moyennes — valide un signal d'**ACHAT**, la MM20 servant de support dynamique proche et la MM50 confirmant la tendance haussière de moyen terme.</w:t>
      </w:r>
    </w:p>
    <w:p>
      <w:pPr>
        <w:spacing w:after="120" w:line="276" w:lineRule="auto"/>
      </w:pPr>
      <w:r>
        <w:t>**Bandes de Bollinger** : Le cours (3 205 FCFA) évolue entre la borne inférieure (**3 082,79 FCFA**) et la borne supérieure (**3 391,71 FCFA**), se positionnant légèrement au-dessus du milieu de bande. La décision est **NEUTRE**, le titre n'étant ni en zone de surachat (proche borne supérieure) ni en zone de survente, avec une volatilité contenue dans les bandes.</w:t>
      </w:r>
    </w:p>
    <w:p>
      <w:pPr>
        <w:spacing w:after="120" w:line="276" w:lineRule="auto"/>
      </w:pPr>
      <w:r>
        <w:t>**MACD** : La valeur du MACD (**56,364**) est inférieure à son signal (**74,159**), générant un croisement baissier et une décision de **VENTE**. Ce divergence négative indique un essoufflement du momentum haussier à court terme, bien que les deux lignes restent en territoire positif, ce qui tempère la portée du signal.</w:t>
      </w:r>
    </w:p>
    <w:p>
      <w:pPr>
        <w:spacing w:after="120" w:line="276" w:lineRule="auto"/>
      </w:pPr>
      <w:r>
        <w:t>**RSI** : À **53,077**, le RSI se situe en zone neutre (30-70), sans pression de surachat ni de survente. La décision est **NEUTRE**, le titre disposant d'un potentiel de progression sans contrainte technique majeure.</w:t>
      </w:r>
    </w:p>
    <w:p>
      <w:pPr>
        <w:spacing w:after="120" w:line="276" w:lineRule="auto"/>
      </w:pPr>
      <w:r>
        <w:t>**Stochastique** : Le %K (**9,302**) est très inférieur au %D (**34,466**), plaçant le %K en zone de survente extrême (&lt;20). Cette configuration génère un signal d'**ACHAT** par anticipation d'un rebond technique, le croisement %K/%D n'étant toutefois pas encore confirmé à la hausse.</w:t>
      </w:r>
    </w:p>
    <w:p>
      <w:pPr>
        <w:spacing w:after="120" w:line="276" w:lineRule="auto"/>
      </w:pPr>
      <w:r>
        <w:t>**Conclusion technique** : Les indicateurs présentent une divergence notable. Les moyennes mobiles et le stochastique plaident pour un **ACHAT**, tandis que le MACD signale une **VENTE** et que les Bandes de Bollinger et le RSI restent **NEUTRES**. Cette configuration mitigée suggère une phase de consolidation en cours, avec un potentiel de rebond à court terme (stochastique survendu) mais une prudence nécessaire face à l'essoufflement du momentum (MACD). Le titre se trouve à un point d'inflexion technique nécessitant confirmation.</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ORGT affiche un **Produit Net Bancaire (PNB) de 186,609 milliards FCFA**, en recul de **-4,52%** par rapport à 2024 (195,436 Mds FCFA), reflétant une contraction délibérée de l'activité de crédit. Le **résultat net consolidé s'établit à 21,643 milliards FCFA**, marquant un redressement spectaculaire après la perte de -44,363 Mds FCFA en 2024 (+149%). Le **ROE atteint 19,13%** (&gt;15% = excellent) et le **ROA 0,54%**, tandis que la **marge nette de 11,60%** confirme la restauration de la profitabilité. Le **coefficient d'exploitation de 42,85%** (&lt;50% = banque excellente) témoigne d'une efficacité opérationnelle remarquable. Le **coût du risque de 3,74%** (provisions/charges financières) reste modéré mais à surveiller. La structure bilancielle affiche **3 088,7 Mds FCFA de dépôts clientèle** contre **1 523,8 Mds FCFA de créances**, soit un ratio de transformation de 49,3%, et une **autonomie financière de 2,82%** (capitaux propres/bilan) qui demeure faible, typique du modèle bancaire à fort levier.</w:t>
      </w:r>
    </w:p>
    <w:p>
      <w:pPr>
        <w:spacing w:after="120" w:line="276" w:lineRule="auto"/>
      </w:pPr>
      <w:r>
        <w:t>**Estimations basées sur les rapports trimestriels** : Le rapport du **T1 2026 (publié en 2026)** indique un PNB de 50,124 Mds FCFA (-2%) et un résultat net de 6,555 Mds FCFA (+37%), avec des dépôts en hausse de 14% à 3 343 Mds FCFA. Sur cette base, on estime que l'exercice 2026 devrait confirmer la tendance au redressement, avec un PNB annuel projeté autour de 185-190 Mds FCFA et un résultat net potentiellement supérieur à 25 Mds FCFA si la dynamique se maintient. Le rapport du **T3 2025 (30/09/2025)** faisait déjà état d'un résultat net de 19,6 Mds FCFA (+248%) et d'une baisse de 74% du coût du risque, validant la stratégie d'assainissement.</w:t>
      </w:r>
    </w:p>
    <w:p>
      <w:pPr>
        <w:spacing w:after="120" w:line="276" w:lineRule="auto"/>
      </w:pPr>
      <w:r>
        <w:t>**Évolution pluriannuelle** : De 2024 (perte de -44,4 Mds FCFA) à 2025 (bénéfice de 21,6 Mds FCFA), ORGT a opéré un retournement historique porté par la réduction drastique du coût du risque (-90%) et la maîtrise des frais généraux (-12%). Les capitaux propres se sont renforcés à **113,165 Mds FCFA** (+17%). Cependant, l'absence de dividende (confirmée par l'avis de convocation à l'AG du 23 juillet 2026) et la perte nette de la holding (-8,04 Mds FCFA) tempèrent l'enthousiasme.</w:t>
      </w:r>
    </w:p>
    <w:p>
      <w:pPr>
        <w:spacing w:after="120" w:line="276" w:lineRule="auto"/>
      </w:pPr>
      <w:r>
        <w:t>**Recommandation fondamentale** : La solidité du redressement et l'excellence opérationnelle (coefficient d'exploitation &lt;43%) sont indéniables, mais la baisse du PNB et la dépendance à la normalisation du risque crédit constituent des risques majeurs. La recommandation fondamentale est **CONSERVER**, avec un biais positif si la reprise du PNB se confirme en 2026.</w:t>
      </w:r>
    </w:p>
    <w:p>
      <w:pPr>
        <w:spacing w:after="120" w:line="276" w:lineRule="auto"/>
      </w:pPr>
      <w:r>
        <w:t>---</w:t>
      </w:r>
    </w:p>
    <w:p>
      <w:pPr>
        <w:spacing w:after="120" w:line="276" w:lineRule="auto"/>
      </w:pPr>
      <w:r>
        <w:t>## PARTIE 4 : CONCLUSION D'INVESTISSEMENT</w:t>
      </w:r>
    </w:p>
    <w:p>
      <w:pPr>
        <w:spacing w:after="120" w:line="276" w:lineRule="auto"/>
      </w:pPr>
      <w:r>
        <w:t>La valorisation d'ORGT (PER 10,3x, P/B 1,97x) apparaît **modérément attractive** au regard du redressement des bénéfices, bien que l'EV/EBITDA de 20,1x signale une certaine cherté opérationnelle. Le comportement du cours sur 100 jours (variation -2,73%, volatilité élevée de 43,2%, distribution platykurtique) révèle un titre dynamique mais exposé à des corrections, la moyenne supérieure à la médiane confirmant une tendance haussière de fond. Les signaux techniques sont **mitigés** : les moyennes mobiles et le stochastique plaident pour un achat, mais le MACD baissier et le RSI neutre incitent à la prudence, suggérant une consolidation avant reprise. Les fondamentaux (ROE 19,1%, coefficient d'exploitation 42,9%, résultat net 21,6 Mds FCFA en 2025) sont **solides** et les estimations issues du T1 2026 (+37% de résultat net) confirment la trajectoire positive, malgré un PNB toujours en repli. Les prédictions IA (3 245 → 3 255 FCFA sur 10 jours, soit +1,6%) anticipent une **légère hausse** cohérente avec le rebond technique attendu.</w:t>
      </w:r>
    </w:p>
    <w:p>
      <w:pPr>
        <w:spacing w:after="120" w:line="276" w:lineRule="auto"/>
      </w:pPr>
      <w:r>
        <w:t>**Recommandation finale : CONSERVER** — Les signaux sont divergents : la valorisation raisonnable et les fondamentaux en amélioration soutiennent le titre, mais l'essoufflement technique (MACD) et l'absence de dividende limitent le potentiel de court terme. La convergence partielle entre prédictions haussières, stochastique survendu et fondamentaux solides justifie une position attentiste. **Niveau de confiance : Moyen** — **Niveau de risque : Élevé** (volatilité 43,2%, dépendance au risque crédit). **Horizon optimal : Moyen terme (3-12 mois)**, le temps que la reprise du PNB se matérialise et que les indicateurs techniques se réalignent à la hausse. Un passage à **ACHAT** serait justifié si le PNB renoue avec la croissance et que le MACD croise à la hausse.</w:t>
      </w:r>
    </w:p>
    <w:p>
      <w:pPr>
        <w:spacing w:after="120" w:line="276" w:lineRule="auto"/>
      </w:pPr>
      <w:r>
        <w:t>---</w:t>
      </w:r>
    </w:p>
    <w:p>
      <w:pPr>
        <w:spacing w:after="120" w:line="276" w:lineRule="auto"/>
      </w:pPr>
      <w:r>
        <w:t>*Rapport généré le 20 septembre 2026 — Sources : BRVM, états financiers ORGT 2024-2025, rapports trimestriels T1-T3 2025 et T1 2026, analyses DeepSeek et Gemini-Vision.*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129.70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3,974 titres</w:t>
            </w:r>
          </w:p>
        </w:tc>
        <w:tc>
          <w:tcPr>
            <w:tcW w:type="dxa" w:w="2268"/>
            <w:shd w:fill="FFF2CC" w:val="clear"/>
          </w:tcPr>
          <w:p>
            <w:r>
              <w:rPr>
                <w:b/>
                <w:color w:val="503200"/>
                <w:sz w:val="16"/>
              </w:rPr>
              <w:t xml:space="preserve">Cours actuel : </w:t>
            </w:r>
            <w:r>
              <w:rPr>
                <w:color w:val="000000"/>
                <w:sz w:val="17"/>
              </w:rPr>
              <w:t>8,390 FCFA</w:t>
            </w:r>
          </w:p>
          <w:p>
            <w:r>
              <w:rPr>
                <w:b/>
                <w:color w:val="503200"/>
                <w:sz w:val="16"/>
              </w:rPr>
              <w:t xml:space="preserve">Var. 100 jours : </w:t>
            </w:r>
            <w:r>
              <w:rPr>
                <w:b/>
                <w:color w:val="007800"/>
                <w:sz w:val="17"/>
              </w:rPr>
              <w:t>+8.96%</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6.53% (Moyenne) — μ=8,561 FCFA, σ=559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β=-0.2922 (Contre-cyclique) — Cov=-0.000011, Var(idx)=0.000036, ρ=-0.075,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3,974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8,186</w:t>
            </w:r>
          </w:p>
        </w:tc>
        <w:tc>
          <w:tcPr>
            <w:tcW w:type="dxa" w:w="1440"/>
            <w:shd w:fill="FAFAFA" w:val="clear"/>
          </w:tcPr>
          <w:p>
            <w:r>
              <w:rPr>
                <w:b/>
                <w:sz w:val="17"/>
              </w:rPr>
              <w:t>8,430</w:t>
            </w:r>
          </w:p>
        </w:tc>
        <w:tc>
          <w:tcPr>
            <w:tcW w:type="dxa" w:w="1440"/>
            <w:shd w:fill="FAFAFA" w:val="clear"/>
          </w:tcPr>
          <w:p>
            <w:r>
              <w:rPr>
                <w:sz w:val="17"/>
              </w:rPr>
              <w:t>8,675</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8,060</w:t>
            </w:r>
          </w:p>
        </w:tc>
        <w:tc>
          <w:tcPr>
            <w:tcW w:type="dxa" w:w="1440"/>
            <w:shd w:fill="FAFAFA" w:val="clear"/>
          </w:tcPr>
          <w:p>
            <w:r>
              <w:rPr>
                <w:b/>
                <w:sz w:val="17"/>
              </w:rPr>
              <w:t>8,405</w:t>
            </w:r>
          </w:p>
        </w:tc>
        <w:tc>
          <w:tcPr>
            <w:tcW w:type="dxa" w:w="1440"/>
            <w:shd w:fill="FAFAFA" w:val="clear"/>
          </w:tcPr>
          <w:p>
            <w:r>
              <w:rPr>
                <w:sz w:val="17"/>
              </w:rPr>
              <w:t>8,750</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7,968</w:t>
            </w:r>
          </w:p>
        </w:tc>
        <w:tc>
          <w:tcPr>
            <w:tcW w:type="dxa" w:w="1440"/>
            <w:shd w:fill="FAFAFA" w:val="clear"/>
          </w:tcPr>
          <w:p>
            <w:r>
              <w:rPr>
                <w:b/>
                <w:sz w:val="17"/>
              </w:rPr>
              <w:t>8,390</w:t>
            </w:r>
          </w:p>
        </w:tc>
        <w:tc>
          <w:tcPr>
            <w:tcW w:type="dxa" w:w="1440"/>
            <w:shd w:fill="FAFAFA" w:val="clear"/>
          </w:tcPr>
          <w:p>
            <w:r>
              <w:rPr>
                <w:sz w:val="17"/>
              </w:rPr>
              <w:t>8,812</w:t>
            </w:r>
          </w:p>
        </w:tc>
        <w:tc>
          <w:tcPr>
            <w:tcW w:type="dxa" w:w="1440"/>
            <w:shd w:fill="FAFAFA" w:val="clear"/>
          </w:tcPr>
          <w:p>
            <w:r>
              <w:rPr>
                <w:b/>
                <w:color w:val="008000"/>
                <w:sz w:val="17"/>
              </w:rPr>
              <w:t>+0.0%</w:t>
            </w:r>
          </w:p>
        </w:tc>
      </w:tr>
      <w:tr>
        <w:tc>
          <w:tcPr>
            <w:tcW w:type="dxa" w:w="1440"/>
            <w:shd w:fill="FAFAFA" w:val="clear"/>
          </w:tcPr>
          <w:p>
            <w:r>
              <w:rPr>
                <w:sz w:val="17"/>
              </w:rPr>
              <w:t>J+4  Moyenne</w:t>
            </w:r>
          </w:p>
        </w:tc>
        <w:tc>
          <w:tcPr>
            <w:tcW w:type="dxa" w:w="1440"/>
            <w:shd w:fill="FAFAFA" w:val="clear"/>
          </w:tcPr>
          <w:p>
            <w:r>
              <w:rPr>
                <w:sz w:val="17"/>
              </w:rPr>
              <w:t>2026-09-24</w:t>
            </w:r>
          </w:p>
        </w:tc>
        <w:tc>
          <w:tcPr>
            <w:tcW w:type="dxa" w:w="1440"/>
            <w:shd w:fill="FAFAFA" w:val="clear"/>
          </w:tcPr>
          <w:p>
            <w:r>
              <w:rPr>
                <w:sz w:val="17"/>
              </w:rPr>
              <w:t>7,890</w:t>
            </w:r>
          </w:p>
        </w:tc>
        <w:tc>
          <w:tcPr>
            <w:tcW w:type="dxa" w:w="1440"/>
            <w:shd w:fill="FAFAFA" w:val="clear"/>
          </w:tcPr>
          <w:p>
            <w:r>
              <w:rPr>
                <w:b/>
                <w:sz w:val="17"/>
              </w:rPr>
              <w:t>8,377</w:t>
            </w:r>
          </w:p>
        </w:tc>
        <w:tc>
          <w:tcPr>
            <w:tcW w:type="dxa" w:w="1440"/>
            <w:shd w:fill="FAFAFA" w:val="clear"/>
          </w:tcPr>
          <w:p>
            <w:r>
              <w:rPr>
                <w:sz w:val="17"/>
              </w:rPr>
              <w:t>8,863</w:t>
            </w:r>
          </w:p>
        </w:tc>
        <w:tc>
          <w:tcPr>
            <w:tcW w:type="dxa" w:w="1440"/>
            <w:shd w:fill="FAFAFA" w:val="clear"/>
          </w:tcPr>
          <w:p>
            <w:r>
              <w:rPr>
                <w:b/>
                <w:color w:val="C00000"/>
                <w:sz w:val="17"/>
              </w:rPr>
              <w:t>-0.2%</w:t>
            </w:r>
          </w:p>
        </w:tc>
      </w:tr>
      <w:tr>
        <w:tc>
          <w:tcPr>
            <w:tcW w:type="dxa" w:w="1440"/>
            <w:shd w:fill="FAFAFA" w:val="clear"/>
          </w:tcPr>
          <w:p>
            <w:r>
              <w:rPr>
                <w:sz w:val="17"/>
              </w:rPr>
              <w:t>J+5  Moyenne</w:t>
            </w:r>
          </w:p>
        </w:tc>
        <w:tc>
          <w:tcPr>
            <w:tcW w:type="dxa" w:w="1440"/>
            <w:shd w:fill="FAFAFA" w:val="clear"/>
          </w:tcPr>
          <w:p>
            <w:r>
              <w:rPr>
                <w:sz w:val="17"/>
              </w:rPr>
              <w:t>2026-09-25</w:t>
            </w:r>
          </w:p>
        </w:tc>
        <w:tc>
          <w:tcPr>
            <w:tcW w:type="dxa" w:w="1440"/>
            <w:shd w:fill="FAFAFA" w:val="clear"/>
          </w:tcPr>
          <w:p>
            <w:r>
              <w:rPr>
                <w:sz w:val="17"/>
              </w:rPr>
              <w:t>7,819</w:t>
            </w:r>
          </w:p>
        </w:tc>
        <w:tc>
          <w:tcPr>
            <w:tcW w:type="dxa" w:w="1440"/>
            <w:shd w:fill="FAFAFA" w:val="clear"/>
          </w:tcPr>
          <w:p>
            <w:r>
              <w:rPr>
                <w:b/>
                <w:sz w:val="17"/>
              </w:rPr>
              <w:t>8,363</w:t>
            </w:r>
          </w:p>
        </w:tc>
        <w:tc>
          <w:tcPr>
            <w:tcW w:type="dxa" w:w="1440"/>
            <w:shd w:fill="FAFAFA" w:val="clear"/>
          </w:tcPr>
          <w:p>
            <w:r>
              <w:rPr>
                <w:sz w:val="17"/>
              </w:rPr>
              <w:t>8,906</w:t>
            </w:r>
          </w:p>
        </w:tc>
        <w:tc>
          <w:tcPr>
            <w:tcW w:type="dxa" w:w="1440"/>
            <w:shd w:fill="FAFAFA" w:val="clear"/>
          </w:tcPr>
          <w:p>
            <w:r>
              <w:rPr>
                <w:b/>
                <w:color w:val="C00000"/>
                <w:sz w:val="17"/>
              </w:rPr>
              <w:t>-0.3%</w:t>
            </w:r>
          </w:p>
        </w:tc>
      </w:tr>
      <w:tr>
        <w:tc>
          <w:tcPr>
            <w:tcW w:type="dxa" w:w="1440"/>
            <w:shd w:fill="FAFAFA" w:val="clear"/>
          </w:tcPr>
          <w:p>
            <w:r>
              <w:rPr>
                <w:sz w:val="17"/>
              </w:rPr>
              <w:t>J+6  Moyenne</w:t>
            </w:r>
          </w:p>
        </w:tc>
        <w:tc>
          <w:tcPr>
            <w:tcW w:type="dxa" w:w="1440"/>
            <w:shd w:fill="FAFAFA" w:val="clear"/>
          </w:tcPr>
          <w:p>
            <w:r>
              <w:rPr>
                <w:sz w:val="17"/>
              </w:rPr>
              <w:t>2026-09-28</w:t>
            </w:r>
          </w:p>
        </w:tc>
        <w:tc>
          <w:tcPr>
            <w:tcW w:type="dxa" w:w="1440"/>
            <w:shd w:fill="FAFAFA" w:val="clear"/>
          </w:tcPr>
          <w:p>
            <w:r>
              <w:rPr>
                <w:sz w:val="17"/>
              </w:rPr>
              <w:t>7,755</w:t>
            </w:r>
          </w:p>
        </w:tc>
        <w:tc>
          <w:tcPr>
            <w:tcW w:type="dxa" w:w="1440"/>
            <w:shd w:fill="FAFAFA" w:val="clear"/>
          </w:tcPr>
          <w:p>
            <w:r>
              <w:rPr>
                <w:b/>
                <w:sz w:val="17"/>
              </w:rPr>
              <w:t>8,349</w:t>
            </w:r>
          </w:p>
        </w:tc>
        <w:tc>
          <w:tcPr>
            <w:tcW w:type="dxa" w:w="1440"/>
            <w:shd w:fill="FAFAFA" w:val="clear"/>
          </w:tcPr>
          <w:p>
            <w:r>
              <w:rPr>
                <w:sz w:val="17"/>
              </w:rPr>
              <w:t>8,943</w:t>
            </w:r>
          </w:p>
        </w:tc>
        <w:tc>
          <w:tcPr>
            <w:tcW w:type="dxa" w:w="1440"/>
            <w:shd w:fill="FAFAFA" w:val="clear"/>
          </w:tcPr>
          <w:p>
            <w:r>
              <w:rPr>
                <w:b/>
                <w:color w:val="C00000"/>
                <w:sz w:val="17"/>
              </w:rPr>
              <w:t>-0.5%</w:t>
            </w:r>
          </w:p>
        </w:tc>
      </w:tr>
      <w:tr>
        <w:tc>
          <w:tcPr>
            <w:tcW w:type="dxa" w:w="1440"/>
            <w:shd w:fill="FAFAFA" w:val="clear"/>
          </w:tcPr>
          <w:p>
            <w:r>
              <w:rPr>
                <w:sz w:val="17"/>
              </w:rPr>
              <w:t>J+7  Moyenne</w:t>
            </w:r>
          </w:p>
        </w:tc>
        <w:tc>
          <w:tcPr>
            <w:tcW w:type="dxa" w:w="1440"/>
            <w:shd w:fill="FAFAFA" w:val="clear"/>
          </w:tcPr>
          <w:p>
            <w:r>
              <w:rPr>
                <w:sz w:val="17"/>
              </w:rPr>
              <w:t>2026-09-29</w:t>
            </w:r>
          </w:p>
        </w:tc>
        <w:tc>
          <w:tcPr>
            <w:tcW w:type="dxa" w:w="1440"/>
            <w:shd w:fill="FAFAFA" w:val="clear"/>
          </w:tcPr>
          <w:p>
            <w:r>
              <w:rPr>
                <w:sz w:val="17"/>
              </w:rPr>
              <w:t>7,695</w:t>
            </w:r>
          </w:p>
        </w:tc>
        <w:tc>
          <w:tcPr>
            <w:tcW w:type="dxa" w:w="1440"/>
            <w:shd w:fill="FAFAFA" w:val="clear"/>
          </w:tcPr>
          <w:p>
            <w:r>
              <w:rPr>
                <w:b/>
                <w:sz w:val="17"/>
              </w:rPr>
              <w:t>8,336</w:t>
            </w:r>
          </w:p>
        </w:tc>
        <w:tc>
          <w:tcPr>
            <w:tcW w:type="dxa" w:w="1440"/>
            <w:shd w:fill="FAFAFA" w:val="clear"/>
          </w:tcPr>
          <w:p>
            <w:r>
              <w:rPr>
                <w:sz w:val="17"/>
              </w:rPr>
              <w:t>8,976</w:t>
            </w:r>
          </w:p>
        </w:tc>
        <w:tc>
          <w:tcPr>
            <w:tcW w:type="dxa" w:w="1440"/>
            <w:shd w:fill="FAFAFA" w:val="clear"/>
          </w:tcPr>
          <w:p>
            <w:r>
              <w:rPr>
                <w:b/>
                <w:color w:val="C00000"/>
                <w:sz w:val="17"/>
              </w:rPr>
              <w:t>-0.6%</w:t>
            </w:r>
          </w:p>
        </w:tc>
      </w:tr>
      <w:tr>
        <w:tc>
          <w:tcPr>
            <w:tcW w:type="dxa" w:w="1440"/>
            <w:shd w:fill="FAFAFA" w:val="clear"/>
          </w:tcPr>
          <w:p>
            <w:r>
              <w:rPr>
                <w:sz w:val="17"/>
              </w:rPr>
              <w:t>J+8  Moyenne</w:t>
            </w:r>
          </w:p>
        </w:tc>
        <w:tc>
          <w:tcPr>
            <w:tcW w:type="dxa" w:w="1440"/>
            <w:shd w:fill="FAFAFA" w:val="clear"/>
          </w:tcPr>
          <w:p>
            <w:r>
              <w:rPr>
                <w:sz w:val="17"/>
              </w:rPr>
              <w:t>2026-09-30</w:t>
            </w:r>
          </w:p>
        </w:tc>
        <w:tc>
          <w:tcPr>
            <w:tcW w:type="dxa" w:w="1440"/>
            <w:shd w:fill="FAFAFA" w:val="clear"/>
          </w:tcPr>
          <w:p>
            <w:r>
              <w:rPr>
                <w:sz w:val="17"/>
              </w:rPr>
              <w:t>7,639</w:t>
            </w:r>
          </w:p>
        </w:tc>
        <w:tc>
          <w:tcPr>
            <w:tcW w:type="dxa" w:w="1440"/>
            <w:shd w:fill="FAFAFA" w:val="clear"/>
          </w:tcPr>
          <w:p>
            <w:r>
              <w:rPr>
                <w:b/>
                <w:sz w:val="17"/>
              </w:rPr>
              <w:t>8,323</w:t>
            </w:r>
          </w:p>
        </w:tc>
        <w:tc>
          <w:tcPr>
            <w:tcW w:type="dxa" w:w="1440"/>
            <w:shd w:fill="FAFAFA" w:val="clear"/>
          </w:tcPr>
          <w:p>
            <w:r>
              <w:rPr>
                <w:sz w:val="17"/>
              </w:rPr>
              <w:t>9,007</w:t>
            </w:r>
          </w:p>
        </w:tc>
        <w:tc>
          <w:tcPr>
            <w:tcW w:type="dxa" w:w="1440"/>
            <w:shd w:fill="FAFAFA" w:val="clear"/>
          </w:tcPr>
          <w:p>
            <w:r>
              <w:rPr>
                <w:b/>
                <w:color w:val="C00000"/>
                <w:sz w:val="17"/>
              </w:rPr>
              <w:t>-0.8%</w:t>
            </w:r>
          </w:p>
        </w:tc>
      </w:tr>
      <w:tr>
        <w:tc>
          <w:tcPr>
            <w:tcW w:type="dxa" w:w="1440"/>
            <w:shd w:fill="FAFAFA" w:val="clear"/>
          </w:tcPr>
          <w:p>
            <w:r>
              <w:rPr>
                <w:sz w:val="17"/>
              </w:rPr>
              <w:t>J+9  Moyenne</w:t>
            </w:r>
          </w:p>
        </w:tc>
        <w:tc>
          <w:tcPr>
            <w:tcW w:type="dxa" w:w="1440"/>
            <w:shd w:fill="FAFAFA" w:val="clear"/>
          </w:tcPr>
          <w:p>
            <w:r>
              <w:rPr>
                <w:sz w:val="17"/>
              </w:rPr>
              <w:t>2026-10-01</w:t>
            </w:r>
          </w:p>
        </w:tc>
        <w:tc>
          <w:tcPr>
            <w:tcW w:type="dxa" w:w="1440"/>
            <w:shd w:fill="FAFAFA" w:val="clear"/>
          </w:tcPr>
          <w:p>
            <w:r>
              <w:rPr>
                <w:sz w:val="17"/>
              </w:rPr>
              <w:t>7,586</w:t>
            </w:r>
          </w:p>
        </w:tc>
        <w:tc>
          <w:tcPr>
            <w:tcW w:type="dxa" w:w="1440"/>
            <w:shd w:fill="FAFAFA" w:val="clear"/>
          </w:tcPr>
          <w:p>
            <w:r>
              <w:rPr>
                <w:b/>
                <w:sz w:val="17"/>
              </w:rPr>
              <w:t>8,310</w:t>
            </w:r>
          </w:p>
        </w:tc>
        <w:tc>
          <w:tcPr>
            <w:tcW w:type="dxa" w:w="1440"/>
            <w:shd w:fill="FAFAFA" w:val="clear"/>
          </w:tcPr>
          <w:p>
            <w:r>
              <w:rPr>
                <w:sz w:val="17"/>
              </w:rPr>
              <w:t>9,034</w:t>
            </w:r>
          </w:p>
        </w:tc>
        <w:tc>
          <w:tcPr>
            <w:tcW w:type="dxa" w:w="1440"/>
            <w:shd w:fill="FAFAFA" w:val="clear"/>
          </w:tcPr>
          <w:p>
            <w:r>
              <w:rPr>
                <w:b/>
                <w:color w:val="C00000"/>
                <w:sz w:val="17"/>
              </w:rPr>
              <w:t>-1.0%</w:t>
            </w:r>
          </w:p>
        </w:tc>
      </w:tr>
      <w:tr>
        <w:tc>
          <w:tcPr>
            <w:tcW w:type="dxa" w:w="1440"/>
            <w:shd w:fill="FAFAFA" w:val="clear"/>
          </w:tcPr>
          <w:p>
            <w:r>
              <w:rPr>
                <w:sz w:val="17"/>
              </w:rPr>
              <w:t>J+10  Moyenne</w:t>
            </w:r>
          </w:p>
        </w:tc>
        <w:tc>
          <w:tcPr>
            <w:tcW w:type="dxa" w:w="1440"/>
            <w:shd w:fill="FAFAFA" w:val="clear"/>
          </w:tcPr>
          <w:p>
            <w:r>
              <w:rPr>
                <w:sz w:val="17"/>
              </w:rPr>
              <w:t>2026-10-02</w:t>
            </w:r>
          </w:p>
        </w:tc>
        <w:tc>
          <w:tcPr>
            <w:tcW w:type="dxa" w:w="1440"/>
            <w:shd w:fill="FAFAFA" w:val="clear"/>
          </w:tcPr>
          <w:p>
            <w:r>
              <w:rPr>
                <w:sz w:val="17"/>
              </w:rPr>
              <w:t>7,535</w:t>
            </w:r>
          </w:p>
        </w:tc>
        <w:tc>
          <w:tcPr>
            <w:tcW w:type="dxa" w:w="1440"/>
            <w:shd w:fill="FAFAFA" w:val="clear"/>
          </w:tcPr>
          <w:p>
            <w:r>
              <w:rPr>
                <w:b/>
                <w:sz w:val="17"/>
              </w:rPr>
              <w:t>8,297</w:t>
            </w:r>
          </w:p>
        </w:tc>
        <w:tc>
          <w:tcPr>
            <w:tcW w:type="dxa" w:w="1440"/>
            <w:shd w:fill="FAFAFA" w:val="clear"/>
          </w:tcPr>
          <w:p>
            <w:r>
              <w:rPr>
                <w:sz w:val="17"/>
              </w:rPr>
              <w:t>9,060</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129,70 milliards FCFA, PALC figure parmi les valeurs de taille intermédiaire-élevée de la cote BRVM, ce qui lui confère une certaine liquidité relative au sein du compartiment agro-industriel. Le BPA de 1 003 FCFA/action signifie que chaque titre génère environ 1 003 FCFA de bénéfice net, un niveau appréciable qui, rapporté au cours actuel de 8 390 FCFA, donne un PER de 8,4x — inférieur à la moyenne BRVM (8-12x), ce qui suggère une valorisation raisonnable voire légèrement sous-évaluée. Le P/B de 0,91x (&lt; 1) indique que le marché valorise PALC en dessous de sa valeur comptable, une situation potentiellement attractive pour un investisseur « value » mais qui peut aussi traduire une défiance du marché vis-à-vis de la rentabilité future des actifs. Enfin, l'EV/EBITDA de 4,1x (&lt; 5x) confirme que la valeur d'entreprise est modérée par rapport à la capacité opérationnelle de génération de cash-flows, renforçant l'hypothèse d'une sous-évaluation relative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 progressé de +8,96 %, mais la dernière séance (J-1) affiche un repli de -1,29 %, signalant une pression vendeuse de court terme. Le titre a évolué dans un range de 7 000 FCFA (plus bas) à 9 640 FCFA (plus haut), soit un écart de 2 640 FCFA (37,7 % du plus bas), ce qui traduit une tendance globalement haussière mais ponctuée de corrections significatives. Le cours actuel de 8 390 FCFA se situe au-dessus de la moyenne (8 561 FCFA) mais en dessous de la médiane (8 690 FCFA), ce qui indique une distribution légèrement asymétrique à gauche, confirmée par un skewness de -0,480 (distribution étalée vers les valeurs basses). L'écart-type de 562 FCFA avec un coefficient de variation de 6,6 % révèle une dispersion modérée autour de la moyenne, tandis que le kurtosis de -0,296 (mésokurtique) suggère une distribution proche de la normale, sans risque excessif de pics extrêmes. La volatilité annualisée de 37,3 % classe PALC dans la catégorie des titres à volatilité élevée (&gt; 30 %), ce qui implique un risque de marché non négligeable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(8 888 FCFA) et la MM50 (8 914,6 FCFA) se situent toutes deux au-dessus du cours actuel (8 390 FCFA), ce qui place le titre en position baissière sous ses moyennes. La MM20 étant légèrement en dessous de la MM50, on observe un début de croisement baissier (death cross), justifiant la décision technique de **Vente**.</w:t>
      </w:r>
    </w:p>
    <w:p>
      <w:pPr>
        <w:spacing w:after="120" w:line="276" w:lineRule="auto"/>
      </w:pPr>
      <w:r>
        <w:t>**Bandes de Bollinger** : Le cours actuel (8 390 FCFA) se situe dans la partie basse de la bande, entre la borne inférieure (8 021 FCFA) et la borne supérieure (9 755 FCFA), sans franchissement des bornes. Cette position neutre, couplée à une volatilité modérée, justifie la décision **Neutre** — le titre n'est ni en surachat ni en survente selon ce critère.</w:t>
      </w:r>
    </w:p>
    <w:p>
      <w:pPr>
        <w:spacing w:after="120" w:line="276" w:lineRule="auto"/>
      </w:pPr>
      <w:r>
        <w:t>**MACD** : La valeur du MACD (-174,198) est inférieure à son signal (-120,478), confirmant une divergence baissière et un momentum négatif. Le MACD évoluant en territoire négatif, la pression vendeuse reste dominante, ce qui justifie la décision de **Vente**.</w:t>
      </w:r>
    </w:p>
    <w:p>
      <w:pPr>
        <w:spacing w:after="120" w:line="276" w:lineRule="auto"/>
      </w:pPr>
      <w:r>
        <w:t>**RSI** : Avec une valeur de 24,557, le RSI se situe en dessous du seuil de survente (30), indiquant que le titre est techniquement survendu et pourrait connaître un rebond à court terme. Cette configuration justifie la décision d'**Achat** à contre-tendance.</w:t>
      </w:r>
    </w:p>
    <w:p>
      <w:pPr>
        <w:spacing w:after="120" w:line="276" w:lineRule="auto"/>
      </w:pPr>
      <w:r>
        <w:t>**Stochastique** : Le %K (9,375) est inférieur au %D (18,304), et les deux se situent en zone de survente (&lt; 20). Cette configuration suggère une pression baissière persistante mais également un potentiel de retournement imminent, justifiant la décision d'**Achat**.</w:t>
      </w:r>
    </w:p>
    <w:p>
      <w:pPr>
        <w:spacing w:after="120" w:line="276" w:lineRule="auto"/>
      </w:pPr>
      <w:r>
        <w:t>**Conclusion technique** : Les indicateurs sont divergents — les moyennes mobiles et le MACD émettent des signaux baissiers, tandis que le RSI et le stochastique signalent une survente propice à un rebond. Cette divergence indique que le titre se trouve dans une phase de correction au sein d'une tendance haussière plus large, avec un potentiel de rebond technique à court terme mais une pression baissière encore présente.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(états financiers annuels 2025)** : En 2025, PALC a réalisé un chiffre d'affaires de 197,630 milliards FCFA, en croissance de +14,78 % par rapport à 2024 (172,2 milliards FCFA), portée par la hausse des volumes et des prix de l'huile de palme. Le résultat net s'établit à 15,509 milliards FCFA, en léger recul de -2,2 % par rapport à 2024 (15,9 milliards FCFA), en raison de la pression sur les coûts (charges de personnel +4,0 %, services extérieurs +30,3 %). Le ROE de 10,87 % et le ROA de 7,79 % restent corrects mais en deçà du seuil d'excellence (&gt;15 % pour le ROE), reflétant une rentabilité modérée. La marge nette de 7,85 % est en retrait par rapport à 2024 (9,2 %), tandis que la marge opérationnelle de 9,19 % et la marge brute de 31,70 % témoignent d'une bonne maîtrise des coûts directs mais d'une pression sur les charges indirectes.</w:t>
      </w:r>
    </w:p>
    <w:p>
      <w:pPr>
        <w:spacing w:after="120" w:line="276" w:lineRule="auto"/>
      </w:pPr>
      <w:r>
        <w:t>**Adaptation au secteur ENTREPRISE** : Le BFR de 44,623 milliards FCFA est positif, ce qui signifie que PALC finance son cycle d'exploitation avec des ressources externes — un point de vigilance. Le délai client de 142,58 jours est élevé, traduisant un risque de trésorerie important (les créances clients représentent 78,270 milliards FCFA, soit 39,3 % du total actif). La durée de stockage de 14,55 jours est faible, indiquant une rotation rapide des stocks. La structure financière est très saine : autonomie financière de 71,64 %, ratio d'endettement de 0,56 %, et couverture des intérêts de 1 415,66 % (les charges financières sont négligeables). La trésorerie nette est négative (-4,559 milliards FCFA), mais le flux opérationnel de 38,741 milliards FCFA et le Free Cash Flow de 19,053 milliards FCFA couvrent largement les investissements (-19,687 milliards FCFA).</w:t>
      </w:r>
    </w:p>
    <w:p>
      <w:pPr>
        <w:spacing w:after="120" w:line="276" w:lineRule="auto"/>
      </w:pPr>
      <w:r>
        <w:t>**Estimations basées sur les rapports trimestriels** : Le rapport T1 2026 (publié en 2026) fait état d'un chiffre d'affaires en baisse de -27 % à 49,4 milliards FCFA et d'un résultat net en chute de -86 % à 1,6 milliard FCFA, en raison de quantités vendues plus faibles sur le marché local. La direction évoque un simple décalage temporel des ventes, avec un redressement attendu grâce à l'écoulement des stocks à l'export. Sur la base de ce rapport, on estime que l'exercice 2026 pourrait être nettement moins bon que 2025 si le redressement ne se matérialise pas au T2/T3. À l'inverse, le rapport S1 2025 (publié en 2025) montrait une croissance de +25 % du CA à 134,8 milliards FCFA et un résultat net de 22,9 milliards FCFA (+37 %), avant une dégradation au T3 2025 (CA cumulé de 168,9 milliards FCFA, résultat net de 18,0 milliards FCFA, marge nette de 10,7 %). Le rapport annuel 2024 (publié en 2024) confirmait une année difficile avec un CA de 172,2 milliards FCFA (-17 %) et un résultat net de 15,9 milliards FCFA (-18 %), mais une structure financière solide (capitaux propres de 135,1 milliards FCFA, dette financière réduite à 4,0 milliards FCFA).</w:t>
      </w:r>
    </w:p>
    <w:p>
      <w:pPr>
        <w:spacing w:after="120" w:line="276" w:lineRule="auto"/>
      </w:pPr>
      <w:r>
        <w:t>**Recommandation fondamentale** : PALC reste un acteur solide de l'agro-industrie ouest-africaine, avec une structure financière très saine et une position dominante sur le marché de l'huile de palme. Cependant, la rentabilité est sous pression (marge nette en baisse, ROE modéré) et les perspectives 2026 sont incertaines (T1 2026 en forte baisse). Le principal risque réside dans la volatilité des cours de l'huile de palme et la dépendance aux conditions climatiques. La recommandation fondamentale est **CONSERVER** avec une surveillance active des prochains trimestres.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(Partie 0) présente des signaux attractifs : PER de 8,4x, P/B de 0,91x et EV/EBITDA de 4,1x suggèrent une sous-évaluation relative par rapport aux fondamentaux et à la moyenne du marché BRVM. Cependant, le comportement du cours (Partie 1) est préoccupant à court terme : malgré une progression de +8,96 % sur 100 jours, le titre affiche un repli de -1,29 % en J-1, une volatilité élevée (37,3 %) et une distribution asymétrique à gauche (skewness de -0,480), ce qui indique une pression vendeuse récente. Les signaux techniques (Partie 2) sont divergents : les moyennes mobiles et le MACD sont baissiers, tandis que le RSI (24,56) et le stochastique (9,38) signalent une survente propice à un rebond. Les fondamentaux (Partie 3) révèlent une entreprise solide mais confrontée à une dégradation de sa rentabilité (marge nette de 7,85 % en 2025, T1 2026 en chute de -86 % du résultat net), avec des perspectives 2026 incertaines. Les prédictions IA (J+1 à J+10) anticipent une légère baisse du cours (de 8 430 à 8 363 FCFA), ce qui contredit les signaux d'achat du RSI et du stochastique mais confirme la pression baissière des moyennes mobiles et du MACD.</w:t>
      </w:r>
    </w:p>
    <w:p>
      <w:pPr>
        <w:spacing w:after="120" w:line="276" w:lineRule="auto"/>
      </w:pPr>
      <w:r>
        <w:t>**Recommandation finale** : **CONSERVER**. La convergence entre une valorisation attractive (sous-évaluation), des fondamentaux solides mais en dégradation, et des signaux techniques divergents (survente vs tendance baissière) plaide pour une position attentiste. Le niveau de confiance est **Moyen** (les signaux contradictoires réduisent la visibilité), et le niveau de risque global est **Élevé** (volatilité de 37,3 %, dépendance aux matières premières, incertitude sur les perspectives 2026). L'horizon d'investissement optimal est **moyen terme (3-12 mois)**, en attendant la confirmation d'un redressement des ventes au T2/T3 2026 et une stabilisation des marges. Un passage à l'achat serait justifié si le cours franchit la MM20 (8 888 FCFA) avec un volume soutenu, ou si les résultats du S1 2026 confirment le décalage temporel évoqué par la direction.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44.08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1,150 titres</w:t>
            </w:r>
          </w:p>
        </w:tc>
        <w:tc>
          <w:tcPr>
            <w:tcW w:type="dxa" w:w="2268"/>
            <w:shd w:fill="FFF2CC" w:val="clear"/>
          </w:tcPr>
          <w:p>
            <w:r>
              <w:rPr>
                <w:b/>
                <w:color w:val="503200"/>
                <w:sz w:val="16"/>
              </w:rPr>
              <w:t xml:space="preserve">Cours actuel : </w:t>
            </w:r>
            <w:r>
              <w:rPr>
                <w:color w:val="000000"/>
                <w:sz w:val="17"/>
              </w:rPr>
              <w:t>4,305 FCFA</w:t>
            </w:r>
          </w:p>
          <w:p>
            <w:r>
              <w:rPr>
                <w:b/>
                <w:color w:val="503200"/>
                <w:sz w:val="16"/>
              </w:rPr>
              <w:t xml:space="preserve">Var. 100 jours : </w:t>
            </w:r>
            <w:r>
              <w:rPr>
                <w:b/>
                <w:color w:val="B40000"/>
                <w:sz w:val="17"/>
              </w:rPr>
              <w:t>-10.31%</w:t>
            </w:r>
          </w:p>
          <w:p>
            <w:r>
              <w:rPr>
                <w:b/>
                <w:color w:val="503200"/>
                <w:sz w:val="16"/>
              </w:rPr>
              <w:t xml:space="preserve">Plus haut 100j : </w:t>
            </w:r>
            <w:r>
              <w:rPr>
                <w:color w:val="000000"/>
                <w:sz w:val="17"/>
              </w:rPr>
              <w:t>4,800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6.44% (Moyenne) — μ=4,368 FCFA, σ=281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β=-0.2387 (Contre-cyclique) — Cov=-0.000009, Var(idx)=0.000036, ρ=-0.059,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σ_j=2.46%/j (Stable) — Vol. annualisée≈39.1%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4,256</w:t>
            </w:r>
          </w:p>
        </w:tc>
        <w:tc>
          <w:tcPr>
            <w:tcW w:type="dxa" w:w="1440"/>
            <w:shd w:fill="FAFAFA" w:val="clear"/>
          </w:tcPr>
          <w:p>
            <w:r>
              <w:rPr>
                <w:b/>
                <w:sz w:val="17"/>
              </w:rPr>
              <w:t>4,354</w:t>
            </w:r>
          </w:p>
        </w:tc>
        <w:tc>
          <w:tcPr>
            <w:tcW w:type="dxa" w:w="1440"/>
            <w:shd w:fill="FAFAFA" w:val="clear"/>
          </w:tcPr>
          <w:p>
            <w:r>
              <w:rPr>
                <w:sz w:val="17"/>
              </w:rPr>
              <w:t>4,453</w:t>
            </w:r>
          </w:p>
        </w:tc>
        <w:tc>
          <w:tcPr>
            <w:tcW w:type="dxa" w:w="1440"/>
            <w:shd w:fill="FAFAFA" w:val="clear"/>
          </w:tcPr>
          <w:p>
            <w:r>
              <w:rPr>
                <w:b/>
                <w:color w:val="008000"/>
                <w:sz w:val="17"/>
              </w:rPr>
              <w:t>+1.1%</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4,190</w:t>
            </w:r>
          </w:p>
        </w:tc>
        <w:tc>
          <w:tcPr>
            <w:tcW w:type="dxa" w:w="1440"/>
            <w:shd w:fill="FAFAFA" w:val="clear"/>
          </w:tcPr>
          <w:p>
            <w:r>
              <w:rPr>
                <w:b/>
                <w:sz w:val="17"/>
              </w:rPr>
              <w:t>4,328</w:t>
            </w:r>
          </w:p>
        </w:tc>
        <w:tc>
          <w:tcPr>
            <w:tcW w:type="dxa" w:w="1440"/>
            <w:shd w:fill="FAFAFA" w:val="clear"/>
          </w:tcPr>
          <w:p>
            <w:r>
              <w:rPr>
                <w:sz w:val="17"/>
              </w:rPr>
              <w:t>4,467</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4,146</w:t>
            </w:r>
          </w:p>
        </w:tc>
        <w:tc>
          <w:tcPr>
            <w:tcW w:type="dxa" w:w="1440"/>
            <w:shd w:fill="FAFAFA" w:val="clear"/>
          </w:tcPr>
          <w:p>
            <w:r>
              <w:rPr>
                <w:b/>
                <w:sz w:val="17"/>
              </w:rPr>
              <w:t>4,315</w:t>
            </w:r>
          </w:p>
        </w:tc>
        <w:tc>
          <w:tcPr>
            <w:tcW w:type="dxa" w:w="1440"/>
            <w:shd w:fill="FAFAFA" w:val="clear"/>
          </w:tcPr>
          <w:p>
            <w:r>
              <w:rPr>
                <w:sz w:val="17"/>
              </w:rPr>
              <w:t>4,484</w:t>
            </w:r>
          </w:p>
        </w:tc>
        <w:tc>
          <w:tcPr>
            <w:tcW w:type="dxa" w:w="1440"/>
            <w:shd w:fill="FAFAFA" w:val="clear"/>
          </w:tcPr>
          <w:p>
            <w:r>
              <w:rPr>
                <w:b/>
                <w:color w:val="008000"/>
                <w:sz w:val="17"/>
              </w:rPr>
              <w:t>+0.2%</w:t>
            </w:r>
          </w:p>
        </w:tc>
      </w:tr>
      <w:tr>
        <w:tc>
          <w:tcPr>
            <w:tcW w:type="dxa" w:w="1440"/>
            <w:shd w:fill="FAFAFA" w:val="clear"/>
          </w:tcPr>
          <w:p>
            <w:r>
              <w:rPr>
                <w:sz w:val="17"/>
              </w:rPr>
              <w:t>J+4  Moyenne</w:t>
            </w:r>
          </w:p>
        </w:tc>
        <w:tc>
          <w:tcPr>
            <w:tcW w:type="dxa" w:w="1440"/>
            <w:shd w:fill="FAFAFA" w:val="clear"/>
          </w:tcPr>
          <w:p>
            <w:r>
              <w:rPr>
                <w:sz w:val="17"/>
              </w:rPr>
              <w:t>2026-09-24</w:t>
            </w:r>
          </w:p>
        </w:tc>
        <w:tc>
          <w:tcPr>
            <w:tcW w:type="dxa" w:w="1440"/>
            <w:shd w:fill="FAFAFA" w:val="clear"/>
          </w:tcPr>
          <w:p>
            <w:r>
              <w:rPr>
                <w:sz w:val="17"/>
              </w:rPr>
              <w:t>4,109</w:t>
            </w:r>
          </w:p>
        </w:tc>
        <w:tc>
          <w:tcPr>
            <w:tcW w:type="dxa" w:w="1440"/>
            <w:shd w:fill="FAFAFA" w:val="clear"/>
          </w:tcPr>
          <w:p>
            <w:r>
              <w:rPr>
                <w:b/>
                <w:sz w:val="17"/>
              </w:rPr>
              <w:t>4,304</w:t>
            </w:r>
          </w:p>
        </w:tc>
        <w:tc>
          <w:tcPr>
            <w:tcW w:type="dxa" w:w="1440"/>
            <w:shd w:fill="FAFAFA" w:val="clear"/>
          </w:tcPr>
          <w:p>
            <w:r>
              <w:rPr>
                <w:sz w:val="17"/>
              </w:rPr>
              <w:t>4,499</w:t>
            </w:r>
          </w:p>
        </w:tc>
        <w:tc>
          <w:tcPr>
            <w:tcW w:type="dxa" w:w="1440"/>
            <w:shd w:fill="FAFAFA" w:val="clear"/>
          </w:tcPr>
          <w:p>
            <w:r>
              <w:rPr>
                <w:b/>
                <w:color w:val="C00000"/>
                <w:sz w:val="17"/>
              </w:rPr>
              <w:t>-0.0%</w:t>
            </w:r>
          </w:p>
        </w:tc>
      </w:tr>
      <w:tr>
        <w:tc>
          <w:tcPr>
            <w:tcW w:type="dxa" w:w="1440"/>
            <w:shd w:fill="FAFAFA" w:val="clear"/>
          </w:tcPr>
          <w:p>
            <w:r>
              <w:rPr>
                <w:sz w:val="17"/>
              </w:rPr>
              <w:t>J+5  Moyenne</w:t>
            </w:r>
          </w:p>
        </w:tc>
        <w:tc>
          <w:tcPr>
            <w:tcW w:type="dxa" w:w="1440"/>
            <w:shd w:fill="FAFAFA" w:val="clear"/>
          </w:tcPr>
          <w:p>
            <w:r>
              <w:rPr>
                <w:sz w:val="17"/>
              </w:rPr>
              <w:t>2026-09-25</w:t>
            </w:r>
          </w:p>
        </w:tc>
        <w:tc>
          <w:tcPr>
            <w:tcW w:type="dxa" w:w="1440"/>
            <w:shd w:fill="FAFAFA" w:val="clear"/>
          </w:tcPr>
          <w:p>
            <w:r>
              <w:rPr>
                <w:sz w:val="17"/>
              </w:rPr>
              <w:t>4,076</w:t>
            </w:r>
          </w:p>
        </w:tc>
        <w:tc>
          <w:tcPr>
            <w:tcW w:type="dxa" w:w="1440"/>
            <w:shd w:fill="FAFAFA" w:val="clear"/>
          </w:tcPr>
          <w:p>
            <w:r>
              <w:rPr>
                <w:b/>
                <w:sz w:val="17"/>
              </w:rPr>
              <w:t>4,293</w:t>
            </w:r>
          </w:p>
        </w:tc>
        <w:tc>
          <w:tcPr>
            <w:tcW w:type="dxa" w:w="1440"/>
            <w:shd w:fill="FAFAFA" w:val="clear"/>
          </w:tcPr>
          <w:p>
            <w:r>
              <w:rPr>
                <w:sz w:val="17"/>
              </w:rPr>
              <w:t>4,510</w:t>
            </w:r>
          </w:p>
        </w:tc>
        <w:tc>
          <w:tcPr>
            <w:tcW w:type="dxa" w:w="1440"/>
            <w:shd w:fill="FAFAFA" w:val="clear"/>
          </w:tcPr>
          <w:p>
            <w:r>
              <w:rPr>
                <w:b/>
                <w:color w:val="C00000"/>
                <w:sz w:val="17"/>
              </w:rPr>
              <w:t>-0.3%</w:t>
            </w:r>
          </w:p>
        </w:tc>
      </w:tr>
      <w:tr>
        <w:tc>
          <w:tcPr>
            <w:tcW w:type="dxa" w:w="1440"/>
            <w:shd w:fill="FAFAFA" w:val="clear"/>
          </w:tcPr>
          <w:p>
            <w:r>
              <w:rPr>
                <w:sz w:val="17"/>
              </w:rPr>
              <w:t>J+6  Moyenne</w:t>
            </w:r>
          </w:p>
        </w:tc>
        <w:tc>
          <w:tcPr>
            <w:tcW w:type="dxa" w:w="1440"/>
            <w:shd w:fill="FAFAFA" w:val="clear"/>
          </w:tcPr>
          <w:p>
            <w:r>
              <w:rPr>
                <w:sz w:val="17"/>
              </w:rPr>
              <w:t>2026-09-28</w:t>
            </w:r>
          </w:p>
        </w:tc>
        <w:tc>
          <w:tcPr>
            <w:tcW w:type="dxa" w:w="1440"/>
            <w:shd w:fill="FAFAFA" w:val="clear"/>
          </w:tcPr>
          <w:p>
            <w:r>
              <w:rPr>
                <w:sz w:val="17"/>
              </w:rPr>
              <w:t>4,044</w:t>
            </w:r>
          </w:p>
        </w:tc>
        <w:tc>
          <w:tcPr>
            <w:tcW w:type="dxa" w:w="1440"/>
            <w:shd w:fill="FAFAFA" w:val="clear"/>
          </w:tcPr>
          <w:p>
            <w:r>
              <w:rPr>
                <w:b/>
                <w:sz w:val="17"/>
              </w:rPr>
              <w:t>4,282</w:t>
            </w:r>
          </w:p>
        </w:tc>
        <w:tc>
          <w:tcPr>
            <w:tcW w:type="dxa" w:w="1440"/>
            <w:shd w:fill="FAFAFA" w:val="clear"/>
          </w:tcPr>
          <w:p>
            <w:r>
              <w:rPr>
                <w:sz w:val="17"/>
              </w:rPr>
              <w:t>4,519</w:t>
            </w:r>
          </w:p>
        </w:tc>
        <w:tc>
          <w:tcPr>
            <w:tcW w:type="dxa" w:w="1440"/>
            <w:shd w:fill="FAFAFA" w:val="clear"/>
          </w:tcPr>
          <w:p>
            <w:r>
              <w:rPr>
                <w:b/>
                <w:color w:val="C00000"/>
                <w:sz w:val="17"/>
              </w:rPr>
              <w:t>-0.5%</w:t>
            </w:r>
          </w:p>
        </w:tc>
      </w:tr>
      <w:tr>
        <w:tc>
          <w:tcPr>
            <w:tcW w:type="dxa" w:w="1440"/>
            <w:shd w:fill="FAFAFA" w:val="clear"/>
          </w:tcPr>
          <w:p>
            <w:r>
              <w:rPr>
                <w:sz w:val="17"/>
              </w:rPr>
              <w:t>J+7  Moyenne</w:t>
            </w:r>
          </w:p>
        </w:tc>
        <w:tc>
          <w:tcPr>
            <w:tcW w:type="dxa" w:w="1440"/>
            <w:shd w:fill="FAFAFA" w:val="clear"/>
          </w:tcPr>
          <w:p>
            <w:r>
              <w:rPr>
                <w:sz w:val="17"/>
              </w:rPr>
              <w:t>2026-09-29</w:t>
            </w:r>
          </w:p>
        </w:tc>
        <w:tc>
          <w:tcPr>
            <w:tcW w:type="dxa" w:w="1440"/>
            <w:shd w:fill="FAFAFA" w:val="clear"/>
          </w:tcPr>
          <w:p>
            <w:r>
              <w:rPr>
                <w:sz w:val="17"/>
              </w:rPr>
              <w:t>4,015</w:t>
            </w:r>
          </w:p>
        </w:tc>
        <w:tc>
          <w:tcPr>
            <w:tcW w:type="dxa" w:w="1440"/>
            <w:shd w:fill="FAFAFA" w:val="clear"/>
          </w:tcPr>
          <w:p>
            <w:r>
              <w:rPr>
                <w:b/>
                <w:sz w:val="17"/>
              </w:rPr>
              <w:t>4,271</w:t>
            </w:r>
          </w:p>
        </w:tc>
        <w:tc>
          <w:tcPr>
            <w:tcW w:type="dxa" w:w="1440"/>
            <w:shd w:fill="FAFAFA" w:val="clear"/>
          </w:tcPr>
          <w:p>
            <w:r>
              <w:rPr>
                <w:sz w:val="17"/>
              </w:rPr>
              <w:t>4,527</w:t>
            </w:r>
          </w:p>
        </w:tc>
        <w:tc>
          <w:tcPr>
            <w:tcW w:type="dxa" w:w="1440"/>
            <w:shd w:fill="FAFAFA" w:val="clear"/>
          </w:tcPr>
          <w:p>
            <w:r>
              <w:rPr>
                <w:b/>
                <w:color w:val="C00000"/>
                <w:sz w:val="17"/>
              </w:rPr>
              <w:t>-0.8%</w:t>
            </w:r>
          </w:p>
        </w:tc>
      </w:tr>
      <w:tr>
        <w:tc>
          <w:tcPr>
            <w:tcW w:type="dxa" w:w="1440"/>
            <w:shd w:fill="FAFAFA" w:val="clear"/>
          </w:tcPr>
          <w:p>
            <w:r>
              <w:rPr>
                <w:sz w:val="17"/>
              </w:rPr>
              <w:t>J+8  Moyenne</w:t>
            </w:r>
          </w:p>
        </w:tc>
        <w:tc>
          <w:tcPr>
            <w:tcW w:type="dxa" w:w="1440"/>
            <w:shd w:fill="FAFAFA" w:val="clear"/>
          </w:tcPr>
          <w:p>
            <w:r>
              <w:rPr>
                <w:sz w:val="17"/>
              </w:rPr>
              <w:t>2026-09-30</w:t>
            </w:r>
          </w:p>
        </w:tc>
        <w:tc>
          <w:tcPr>
            <w:tcW w:type="dxa" w:w="1440"/>
            <w:shd w:fill="FAFAFA" w:val="clear"/>
          </w:tcPr>
          <w:p>
            <w:r>
              <w:rPr>
                <w:sz w:val="17"/>
              </w:rPr>
              <w:t>3,988</w:t>
            </w:r>
          </w:p>
        </w:tc>
        <w:tc>
          <w:tcPr>
            <w:tcW w:type="dxa" w:w="1440"/>
            <w:shd w:fill="FAFAFA" w:val="clear"/>
          </w:tcPr>
          <w:p>
            <w:r>
              <w:rPr>
                <w:b/>
                <w:sz w:val="17"/>
              </w:rPr>
              <w:t>4,261</w:t>
            </w:r>
          </w:p>
        </w:tc>
        <w:tc>
          <w:tcPr>
            <w:tcW w:type="dxa" w:w="1440"/>
            <w:shd w:fill="FAFAFA" w:val="clear"/>
          </w:tcPr>
          <w:p>
            <w:r>
              <w:rPr>
                <w:sz w:val="17"/>
              </w:rPr>
              <w:t>4,533</w:t>
            </w:r>
          </w:p>
        </w:tc>
        <w:tc>
          <w:tcPr>
            <w:tcW w:type="dxa" w:w="1440"/>
            <w:shd w:fill="FAFAFA" w:val="clear"/>
          </w:tcPr>
          <w:p>
            <w:r>
              <w:rPr>
                <w:b/>
                <w:color w:val="C00000"/>
                <w:sz w:val="17"/>
              </w:rPr>
              <w:t>-1.0%</w:t>
            </w:r>
          </w:p>
        </w:tc>
      </w:tr>
      <w:tr>
        <w:tc>
          <w:tcPr>
            <w:tcW w:type="dxa" w:w="1440"/>
            <w:shd w:fill="FAFAFA" w:val="clear"/>
          </w:tcPr>
          <w:p>
            <w:r>
              <w:rPr>
                <w:sz w:val="17"/>
              </w:rPr>
              <w:t>J+9  Moyenne</w:t>
            </w:r>
          </w:p>
        </w:tc>
        <w:tc>
          <w:tcPr>
            <w:tcW w:type="dxa" w:w="1440"/>
            <w:shd w:fill="FAFAFA" w:val="clear"/>
          </w:tcPr>
          <w:p>
            <w:r>
              <w:rPr>
                <w:sz w:val="17"/>
              </w:rPr>
              <w:t>2026-10-01</w:t>
            </w:r>
          </w:p>
        </w:tc>
        <w:tc>
          <w:tcPr>
            <w:tcW w:type="dxa" w:w="1440"/>
            <w:shd w:fill="FAFAFA" w:val="clear"/>
          </w:tcPr>
          <w:p>
            <w:r>
              <w:rPr>
                <w:sz w:val="17"/>
              </w:rPr>
              <w:t>3,962</w:t>
            </w:r>
          </w:p>
        </w:tc>
        <w:tc>
          <w:tcPr>
            <w:tcW w:type="dxa" w:w="1440"/>
            <w:shd w:fill="FAFAFA" w:val="clear"/>
          </w:tcPr>
          <w:p>
            <w:r>
              <w:rPr>
                <w:b/>
                <w:sz w:val="17"/>
              </w:rPr>
              <w:t>4,251</w:t>
            </w:r>
          </w:p>
        </w:tc>
        <w:tc>
          <w:tcPr>
            <w:tcW w:type="dxa" w:w="1440"/>
            <w:shd w:fill="FAFAFA" w:val="clear"/>
          </w:tcPr>
          <w:p>
            <w:r>
              <w:rPr>
                <w:sz w:val="17"/>
              </w:rPr>
              <w:t>4,539</w:t>
            </w:r>
          </w:p>
        </w:tc>
        <w:tc>
          <w:tcPr>
            <w:tcW w:type="dxa" w:w="1440"/>
            <w:shd w:fill="FAFAFA" w:val="clear"/>
          </w:tcPr>
          <w:p>
            <w:r>
              <w:rPr>
                <w:b/>
                <w:color w:val="C00000"/>
                <w:sz w:val="17"/>
              </w:rPr>
              <w:t>-1.3%</w:t>
            </w:r>
          </w:p>
        </w:tc>
      </w:tr>
      <w:tr>
        <w:tc>
          <w:tcPr>
            <w:tcW w:type="dxa" w:w="1440"/>
            <w:shd w:fill="FAFAFA" w:val="clear"/>
          </w:tcPr>
          <w:p>
            <w:r>
              <w:rPr>
                <w:sz w:val="17"/>
              </w:rPr>
              <w:t>J+10  Moyenne</w:t>
            </w:r>
          </w:p>
        </w:tc>
        <w:tc>
          <w:tcPr>
            <w:tcW w:type="dxa" w:w="1440"/>
            <w:shd w:fill="FAFAFA" w:val="clear"/>
          </w:tcPr>
          <w:p>
            <w:r>
              <w:rPr>
                <w:sz w:val="17"/>
              </w:rPr>
              <w:t>2026-10-02</w:t>
            </w:r>
          </w:p>
        </w:tc>
        <w:tc>
          <w:tcPr>
            <w:tcW w:type="dxa" w:w="1440"/>
            <w:shd w:fill="FAFAFA" w:val="clear"/>
          </w:tcPr>
          <w:p>
            <w:r>
              <w:rPr>
                <w:sz w:val="17"/>
              </w:rPr>
              <w:t>3,937</w:t>
            </w:r>
          </w:p>
        </w:tc>
        <w:tc>
          <w:tcPr>
            <w:tcW w:type="dxa" w:w="1440"/>
            <w:shd w:fill="FAFAFA" w:val="clear"/>
          </w:tcPr>
          <w:p>
            <w:r>
              <w:rPr>
                <w:b/>
                <w:sz w:val="17"/>
              </w:rPr>
              <w:t>4,241</w:t>
            </w:r>
          </w:p>
        </w:tc>
        <w:tc>
          <w:tcPr>
            <w:tcW w:type="dxa" w:w="1440"/>
            <w:shd w:fill="FAFAFA" w:val="clear"/>
          </w:tcPr>
          <w:p>
            <w:r>
              <w:rPr>
                <w:sz w:val="17"/>
              </w:rPr>
              <w:t>4,545</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44,08 milliards FCFA, PRSC se positionne comme une valeur de moyenne capitalisation sur le compartiment BRVM, représentant un poids modéré dans l'indice composite. Le BPA de 231 FCFA/action signifie que chaque titre génère un bénéfice net de 231 FCFA, ce qui, rapporté au cours actuel de 4 305 FCFA, donne un PER de 18,6x — nettement supérieur à la moyenne du marché BRVM (estimée entre 8x et 12x), traduisant une prime de valorisation significative que les investisseurs accordent à la société. Le P/B de 3,82x confirme cette tendance : le marché valorise PRSC à près de quatre fois sa valeur comptable (capitaux propres de 11,53 Mds FCFA), ce qui implique une forte anticipation de croissance future. L'EV/EBITDA de 9,6x, dans la fourchette raisonnable de 5-10x, indique que la valeur d'entreprise reste cohérente avec la capacité opérationnelle de génération de cash-flows. Globalement, la valorisation boursière de PRSC intègre déjà une bonne partie de ses perspectives de croissance, ce qui limite le potentiel d'appréciation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 enregistré une variation totale de -10,31%, avec une chute marquée de -3,91% lors de la dernière séance (J-1), signalant une pression vendeuse récente. Le cours actuel de 4 305 FCFA se situe dans la partie basse du range de trading établi entre un plus bas de 3 620 FCFA et un plus haut de 4 800 FCFA, ce qui traduit une tendance baissière de moyen terme, bien que le titre reste au-dessus de son plancher récent. La moyenne des cours sur la période s'établit à 4 368 FCFA, légèrement supérieure à la médiane de 4 435 FCFA — cet écart indique une distribution asymétrique où quelques journées de forte baisse tirent la moyenne vers le bas. L'écart-type de 283 FCFA avec un coefficient de variation de 6,5% révèle une dispersion modérée du cours autour de sa moyenne, tandis que le kurtosis de 1,070 (leptokurtique) signale des queues épaisses, c'est-à-dire un risque de pics de volatilité brutaux. Le skewness de -1,268 (asymétrie négative) confirme que la distribution est tirée vers la gauche, avec davantage de journées de baisse que de hausse — un signal baissier structurel. Enfin, la volatilité annualisée de 39,1% classe PRSC dans la catégorie des titres à volatilité élevée (&gt;30%), ce qui implique un risque de perte en capital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(4 433 FCFA) et la MM50 (4 455 FCFA) se situent toutes deux au-dessus du cours actuel (4 305 FCFA), confirmant une configuration baissière où le prix évolue sous ses moyennes de référence. La MM20 étant légèrement inférieure à la MM50, on observe un début de croisement baissier (death cross) potentiel, ce qui justifie la décision technique de **Vente** émise par le système. Le cours devra reconquérir la zone des 4 433-4 455 FCFA pour inverser cette dynamique négative.</w:t>
      </w:r>
    </w:p>
    <w:p>
      <w:pPr>
        <w:spacing w:after="120" w:line="276" w:lineRule="auto"/>
      </w:pPr>
      <w:r>
        <w:t>**Bandes de Bollinger :** Le cours actuel (4 305 FCFA) évolue à proximité immédiate de la borne inférieure (4 301,475 FCFA), sans toutefois la franchir, ce qui place le titre en zone de survente relative. La largeur des bandes (borne supérieure à 4 564,525 FCFA, soit un écart de 263 FCFA) reflète une volatilité modérée sur la période récente. La décision **Neutre** s'explique par le fait que le cours n'a pas encore cassé la borne inférieure, mais la pression baissière reste présente.</w:t>
      </w:r>
    </w:p>
    <w:p>
      <w:pPr>
        <w:spacing w:after="120" w:line="276" w:lineRule="auto"/>
      </w:pPr>
      <w:r>
        <w:t>**MACD :** Le MACD (-18,165) est inférieur à son signal (-14,767), avec un histogramme négatif qui s'accentue, traduisant un momentum baissier persistant. La divergence entre les deux lignes confirme que la dynamique de court terme reste défavorable, justifiant la décision de **Vente**. Aucun signe de retournement haussier n'est visible à ce stade.</w:t>
      </w:r>
    </w:p>
    <w:p>
      <w:pPr>
        <w:spacing w:after="120" w:line="276" w:lineRule="auto"/>
      </w:pPr>
      <w:r>
        <w:t>**RSI :** Avec une valeur de 41,216, le RSI se situe en zone neutre (30-70), sans atteindre le seuil de survente (&lt;30) qui déclencherait un signal d'achat technique. La décision **Neutre** reflète cette position médiane : le titre n'est ni suracheté ni survendu, mais la tendance baissière du RSI (sous 50) suggère une faiblesse persistante.</w:t>
      </w:r>
    </w:p>
    <w:p>
      <w:pPr>
        <w:spacing w:after="120" w:line="276" w:lineRule="auto"/>
      </w:pPr>
      <w:r>
        <w:t>**Stochastique :** Le %K à 0,0 est extrêmement bas, tandis que le %D se maintient à 52,874, créant une divergence majeure entre les deux lignes. Un %K à zéro indique que le cours a clôturé à son plus bas niveau récent sur la période de calcul, ce qui génère un signal d'**Achat** technique par excès de survente. Cependant, cette configuration est à surveiller car elle peut aussi signaler une poursuite de la baisse si le %D ne suit pas.</w:t>
      </w:r>
    </w:p>
    <w:p>
      <w:pPr>
        <w:spacing w:after="120" w:line="276" w:lineRule="auto"/>
      </w:pPr>
      <w:r>
        <w:t>**Conclusion technique :** Les indicateurs techniques présentent un tableau majoritairement baissier, avec trois signaux de vente (MM, MACD) et deux signaux neutres (Bollinger, RSI), tandis que le stochastique génère un signal d'achat isolé par survente extrême. Cette divergence entre le stochastique (achat) et les autres indicateurs (vente/neutre) suggère un possible rebond technique à court terme, mais la tendance de fond reste négative tant que le cours n'aura pas reconquis la zone des 4 433-4 455 FCFA (MM20/MM50). La prudence est de mise : un rebond technique ne signifierait pas nécessairement un retournement de tendance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PRSC (Tractafric Motors Côte d'Ivoire) affichent un chiffre d'affaires de 81,127 milliards FCFA, en croissance de 9,5% par rapport aux 74,45 milliards de 2024, porté principalement par les ventes de marchandises (+10,82% à 57,96 milliards FCFA selon le rapport Gemini-Vision du 06/09/2026). Le résultat net s'établit à 2,367 milliards FCFA, stable par rapport aux 2,35 milliards de 2024, avec une marge nette de 2,92% — faible mais en légère amélioration. Le ROE de 20,53% est excellent (&gt;15%), témoignant d'une bonne rentabilité des fonds propres (11,531 milliards FCFA), tandis que le ROA de 4,95% reste modéré, reflétant l'intensité capitalistique du modèle de distribution automobile. En tant qu'entreprise non bancaire, les délais d'exploitation sont critiques : le délai clients de 46 jours est modéré mais le délai fournisseurs de 102,65 jours est élevé (favorable à la trésorerie), tandis que la durée de stockage de 150,51 jours immobilise du capital de manière significative (stocks de 26,334 milliards FCFA). Le BFR de 11,267 milliards FCFA et la trésorerie nette négative de -4,092 milliards FCFA (incluant des découverts bancaires de 4,732 milliards au S1 2025) constituent des points de vigilance majeurs. Le ratio d'endettement de 314,86% (dettes totales/capitaux propres) est élevé, bien que la capacité de remboursement de 1,83 an (dettes financières/CAF) reste acceptable. Les rapports trimestriels fournissent des estimations précieuses : le S1 2025 (rapport manuel du 15/03/2026) affiche un CA de 39,968 milliards FCFA (+15,1%) et un résultat net de 1,436 milliard FCFA (×28 vs S1 2024), avec une marge nette de 3,6% — on estime donc que l'exercice 2025 devrait confirmer cette dynamique avec un résultat net annuel de 2,37 milliards FCFA. La recommandation fondamentale est de **CONSERVER** : la société présente une solidité financière relative (ROE excellent, croissance du CA, dividende de 209 FCFA/action annoncé pour 2025), mais les risques liés à la trésorerie tendue, à l'endettement élevé et à la dépendance au marché automobile ivoirien (concurrence accrue des véhicules chinois low-cost) nécessitent une surveillance étroite.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pour PRSC. Sur le plan de la **valorisation (Partie 0)**, les ratios PER de 18,6x et P/B de 3,82x indiquent une surévaluation relative par rapport à la moyenne du marché BRVM (PER 8-12x), ce qui limite le potentiel d'appréciation à court terme malgré un EV/EBITDA raisonnable de 9,6x. Le **comportement du cours (Partie 1)** est préoccupant : tendance baissière (-10,31% sur 100 jours), volatilité élevée (39,1%), skewness négatif (-1,268) et kurtosis leptokurtique (1,070) signalant un risque de pics baissiers brutaux. Les **signaux techniques (Partie 2)** sont majoritairement baissiers (MM, MACD en vente), avec un stochastique en survente extrême (%K=0) qui pourrait générer un rebond technique, mais sans confirmation des autres indicateurs. Les **fondamentaux (Partie 3)** montrent une société solide (ROE de 20,53%, CA en croissance de 9,5% en 2025, dividende de 209 FCFA/action), mais avec des fragilités (trésorerie nette négative de -4,092 milliards FCFA, endettement élevé, marge nette faible de 2,92%). Les **prédictions IA (J+1 à J+10)** anticipent une poursuite de la baisse modérée, avec un cours passant de 4 354 FCFA (J+1) à 4 293 FCFA (J+5), confirmant la tendance baissière de court terme sans effondrement majeur. **Recommandation finale : CONSERVER** — la convergence entre la surévaluation boursière, la tendance technique baissière et les fragilités de trésorerie justifie une position attentiste, mais la solidité des fondamentaux (ROE, croissance du CA, dividende attractif) et le potentiel de rebond technique (stochastique en survente) excluent une vente massive. Le niveau de confiance est **Moyen** (divergence entre technique baissier et fondamental résilient), le risque global est **Élevé** (volatilité 39,1%, endettement, dépendance sectorielle), et l'horizon d'investissement optimal est le **moyen terme (3-12 mois)** , en attendant la publication des résultats du S2 2025 et la confirmation de la tendance du marché automobile ivoirien.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40.44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8,955 titres</w:t>
            </w:r>
          </w:p>
        </w:tc>
        <w:tc>
          <w:tcPr>
            <w:tcW w:type="dxa" w:w="2268"/>
            <w:shd w:fill="FFF2CC" w:val="clear"/>
          </w:tcPr>
          <w:p>
            <w:r>
              <w:rPr>
                <w:b/>
                <w:color w:val="503200"/>
                <w:sz w:val="16"/>
              </w:rPr>
              <w:t xml:space="preserve">Cours actuel : </w:t>
            </w:r>
            <w:r>
              <w:rPr>
                <w:color w:val="000000"/>
                <w:sz w:val="17"/>
              </w:rPr>
              <w:t>4,980 FCFA</w:t>
            </w:r>
          </w:p>
          <w:p>
            <w:r>
              <w:rPr>
                <w:b/>
                <w:color w:val="503200"/>
                <w:sz w:val="16"/>
              </w:rPr>
              <w:t xml:space="preserve">Var. 100 jours : </w:t>
            </w:r>
            <w:r>
              <w:rPr>
                <w:b/>
                <w:color w:val="007800"/>
                <w:sz w:val="17"/>
              </w:rPr>
              <w:t>+19.28%</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58.9%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16.94% (Élevée) — μ=4,593 FCFA, σ=778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β=-0.0027 (Contre-cyclique) — Cov=-0.000000, Var(idx)=0.000036, ρ=-0.000,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8,955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σ_j=3.71%/j (Modérée) — Vol. annualisée≈58.9%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4,678</w:t>
            </w:r>
          </w:p>
        </w:tc>
        <w:tc>
          <w:tcPr>
            <w:tcW w:type="dxa" w:w="1440"/>
            <w:shd w:fill="FAFAFA" w:val="clear"/>
          </w:tcPr>
          <w:p>
            <w:r>
              <w:rPr>
                <w:b/>
                <w:sz w:val="17"/>
              </w:rPr>
              <w:t>5,010</w:t>
            </w:r>
          </w:p>
        </w:tc>
        <w:tc>
          <w:tcPr>
            <w:tcW w:type="dxa" w:w="1440"/>
            <w:shd w:fill="FAFAFA" w:val="clear"/>
          </w:tcPr>
          <w:p>
            <w:r>
              <w:rPr>
                <w:sz w:val="17"/>
              </w:rPr>
              <w:t>5,342</w:t>
            </w:r>
          </w:p>
        </w:tc>
        <w:tc>
          <w:tcPr>
            <w:tcW w:type="dxa" w:w="1440"/>
            <w:shd w:fill="FAFAFA" w:val="clear"/>
          </w:tcPr>
          <w:p>
            <w:r>
              <w:rPr>
                <w:b/>
                <w:color w:val="008000"/>
                <w:sz w:val="17"/>
              </w:rPr>
              <w:t>+0.6%</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4,591</w:t>
            </w:r>
          </w:p>
        </w:tc>
        <w:tc>
          <w:tcPr>
            <w:tcW w:type="dxa" w:w="1440"/>
            <w:shd w:fill="FAFAFA" w:val="clear"/>
          </w:tcPr>
          <w:p>
            <w:r>
              <w:rPr>
                <w:b/>
                <w:sz w:val="17"/>
              </w:rPr>
              <w:t>5,066</w:t>
            </w:r>
          </w:p>
        </w:tc>
        <w:tc>
          <w:tcPr>
            <w:tcW w:type="dxa" w:w="1440"/>
            <w:shd w:fill="FAFAFA" w:val="clear"/>
          </w:tcPr>
          <w:p>
            <w:r>
              <w:rPr>
                <w:sz w:val="17"/>
              </w:rPr>
              <w:t>5,540</w:t>
            </w:r>
          </w:p>
        </w:tc>
        <w:tc>
          <w:tcPr>
            <w:tcW w:type="dxa" w:w="1440"/>
            <w:shd w:fill="FAFAFA" w:val="clear"/>
          </w:tcPr>
          <w:p>
            <w:r>
              <w:rPr>
                <w:b/>
                <w:color w:val="008000"/>
                <w:sz w:val="17"/>
              </w:rPr>
              <w:t>+1.7%</w:t>
            </w:r>
          </w:p>
        </w:tc>
      </w:tr>
      <w:tr>
        <w:tc>
          <w:tcPr>
            <w:tcW w:type="dxa" w:w="1440"/>
            <w:shd w:fill="C6EFCE" w:val="clear"/>
          </w:tcPr>
          <w:p>
            <w:r>
              <w:rPr>
                <w:sz w:val="17"/>
              </w:rPr>
              <w:t>J+3  ⭐</w:t>
            </w:r>
          </w:p>
        </w:tc>
        <w:tc>
          <w:tcPr>
            <w:tcW w:type="dxa" w:w="1440"/>
            <w:shd w:fill="C6EFCE" w:val="clear"/>
          </w:tcPr>
          <w:p>
            <w:r>
              <w:rPr>
                <w:sz w:val="17"/>
              </w:rPr>
              <w:t>2026-09-23</w:t>
            </w:r>
          </w:p>
        </w:tc>
        <w:tc>
          <w:tcPr>
            <w:tcW w:type="dxa" w:w="1440"/>
            <w:shd w:fill="C6EFCE" w:val="clear"/>
          </w:tcPr>
          <w:p>
            <w:r>
              <w:rPr>
                <w:sz w:val="17"/>
              </w:rPr>
              <w:t>4,507</w:t>
            </w:r>
          </w:p>
        </w:tc>
        <w:tc>
          <w:tcPr>
            <w:tcW w:type="dxa" w:w="1440"/>
            <w:shd w:fill="C6EFCE" w:val="clear"/>
          </w:tcPr>
          <w:p>
            <w:r>
              <w:rPr>
                <w:b/>
                <w:sz w:val="17"/>
              </w:rPr>
              <w:t>5,091</w:t>
            </w:r>
          </w:p>
        </w:tc>
        <w:tc>
          <w:tcPr>
            <w:tcW w:type="dxa" w:w="1440"/>
            <w:shd w:fill="C6EFCE" w:val="clear"/>
          </w:tcPr>
          <w:p>
            <w:r>
              <w:rPr>
                <w:sz w:val="17"/>
              </w:rPr>
              <w:t>5,675</w:t>
            </w:r>
          </w:p>
        </w:tc>
        <w:tc>
          <w:tcPr>
            <w:tcW w:type="dxa" w:w="1440"/>
            <w:shd w:fill="C6EFCE" w:val="clear"/>
          </w:tcPr>
          <w:p>
            <w:r>
              <w:rPr>
                <w:b/>
                <w:color w:val="008000"/>
                <w:sz w:val="17"/>
              </w:rPr>
              <w:t>+2.2%</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4,427</w:t>
            </w:r>
          </w:p>
        </w:tc>
        <w:tc>
          <w:tcPr>
            <w:tcW w:type="dxa" w:w="1440"/>
            <w:shd w:fill="C6EFCE" w:val="clear"/>
          </w:tcPr>
          <w:p>
            <w:r>
              <w:rPr>
                <w:b/>
                <w:sz w:val="17"/>
              </w:rPr>
              <w:t>5,103</w:t>
            </w:r>
          </w:p>
        </w:tc>
        <w:tc>
          <w:tcPr>
            <w:tcW w:type="dxa" w:w="1440"/>
            <w:shd w:fill="C6EFCE" w:val="clear"/>
          </w:tcPr>
          <w:p>
            <w:r>
              <w:rPr>
                <w:sz w:val="17"/>
              </w:rPr>
              <w:t>5,780</w:t>
            </w:r>
          </w:p>
        </w:tc>
        <w:tc>
          <w:tcPr>
            <w:tcW w:type="dxa" w:w="1440"/>
            <w:shd w:fill="C6EFCE" w:val="clear"/>
          </w:tcPr>
          <w:p>
            <w:r>
              <w:rPr>
                <w:b/>
                <w:color w:val="008000"/>
                <w:sz w:val="17"/>
              </w:rPr>
              <w:t>+2.5%</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4,353</w:t>
            </w:r>
          </w:p>
        </w:tc>
        <w:tc>
          <w:tcPr>
            <w:tcW w:type="dxa" w:w="1440"/>
            <w:shd w:fill="C6EFCE" w:val="clear"/>
          </w:tcPr>
          <w:p>
            <w:r>
              <w:rPr>
                <w:b/>
                <w:sz w:val="17"/>
              </w:rPr>
              <w:t>5,110</w:t>
            </w:r>
          </w:p>
        </w:tc>
        <w:tc>
          <w:tcPr>
            <w:tcW w:type="dxa" w:w="1440"/>
            <w:shd w:fill="C6EFCE" w:val="clear"/>
          </w:tcPr>
          <w:p>
            <w:r>
              <w:rPr>
                <w:sz w:val="17"/>
              </w:rPr>
              <w:t>5,867</w:t>
            </w:r>
          </w:p>
        </w:tc>
        <w:tc>
          <w:tcPr>
            <w:tcW w:type="dxa" w:w="1440"/>
            <w:shd w:fill="C6EFCE" w:val="clear"/>
          </w:tcPr>
          <w:p>
            <w:r>
              <w:rPr>
                <w:b/>
                <w:color w:val="008000"/>
                <w:sz w:val="17"/>
              </w:rPr>
              <w:t>+2.6%</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4,284</w:t>
            </w:r>
          </w:p>
        </w:tc>
        <w:tc>
          <w:tcPr>
            <w:tcW w:type="dxa" w:w="1440"/>
            <w:shd w:fill="C6EFCE" w:val="clear"/>
          </w:tcPr>
          <w:p>
            <w:r>
              <w:rPr>
                <w:b/>
                <w:sz w:val="17"/>
              </w:rPr>
              <w:t>5,114</w:t>
            </w:r>
          </w:p>
        </w:tc>
        <w:tc>
          <w:tcPr>
            <w:tcW w:type="dxa" w:w="1440"/>
            <w:shd w:fill="C6EFCE" w:val="clear"/>
          </w:tcPr>
          <w:p>
            <w:r>
              <w:rPr>
                <w:sz w:val="17"/>
              </w:rPr>
              <w:t>5,944</w:t>
            </w:r>
          </w:p>
        </w:tc>
        <w:tc>
          <w:tcPr>
            <w:tcW w:type="dxa" w:w="1440"/>
            <w:shd w:fill="C6EFCE" w:val="clear"/>
          </w:tcPr>
          <w:p>
            <w:r>
              <w:rPr>
                <w:b/>
                <w:color w:val="008000"/>
                <w:sz w:val="17"/>
              </w:rPr>
              <w:t>+2.7%</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4,220</w:t>
            </w:r>
          </w:p>
        </w:tc>
        <w:tc>
          <w:tcPr>
            <w:tcW w:type="dxa" w:w="1440"/>
            <w:shd w:fill="C6EFCE" w:val="clear"/>
          </w:tcPr>
          <w:p>
            <w:r>
              <w:rPr>
                <w:b/>
                <w:sz w:val="17"/>
              </w:rPr>
              <w:t>5,116</w:t>
            </w:r>
          </w:p>
        </w:tc>
        <w:tc>
          <w:tcPr>
            <w:tcW w:type="dxa" w:w="1440"/>
            <w:shd w:fill="C6EFCE" w:val="clear"/>
          </w:tcPr>
          <w:p>
            <w:r>
              <w:rPr>
                <w:sz w:val="17"/>
              </w:rPr>
              <w:t>6,013</w:t>
            </w:r>
          </w:p>
        </w:tc>
        <w:tc>
          <w:tcPr>
            <w:tcW w:type="dxa" w:w="1440"/>
            <w:shd w:fill="C6EFCE" w:val="clear"/>
          </w:tcPr>
          <w:p>
            <w:r>
              <w:rPr>
                <w:b/>
                <w:color w:val="008000"/>
                <w:sz w:val="17"/>
              </w:rPr>
              <w:t>+2.7%</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4,159</w:t>
            </w:r>
          </w:p>
        </w:tc>
        <w:tc>
          <w:tcPr>
            <w:tcW w:type="dxa" w:w="1440"/>
            <w:shd w:fill="C6EFCE" w:val="clear"/>
          </w:tcPr>
          <w:p>
            <w:r>
              <w:rPr>
                <w:b/>
                <w:sz w:val="17"/>
              </w:rPr>
              <w:t>5,118</w:t>
            </w:r>
          </w:p>
        </w:tc>
        <w:tc>
          <w:tcPr>
            <w:tcW w:type="dxa" w:w="1440"/>
            <w:shd w:fill="C6EFCE" w:val="clear"/>
          </w:tcPr>
          <w:p>
            <w:r>
              <w:rPr>
                <w:sz w:val="17"/>
              </w:rPr>
              <w:t>6,077</w:t>
            </w:r>
          </w:p>
        </w:tc>
        <w:tc>
          <w:tcPr>
            <w:tcW w:type="dxa" w:w="1440"/>
            <w:shd w:fill="C6EFCE" w:val="clear"/>
          </w:tcPr>
          <w:p>
            <w:r>
              <w:rPr>
                <w:b/>
                <w:color w:val="008000"/>
                <w:sz w:val="17"/>
              </w:rPr>
              <w:t>+2.8%</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4,102</w:t>
            </w:r>
          </w:p>
        </w:tc>
        <w:tc>
          <w:tcPr>
            <w:tcW w:type="dxa" w:w="1440"/>
            <w:shd w:fill="C6EFCE" w:val="clear"/>
          </w:tcPr>
          <w:p>
            <w:r>
              <w:rPr>
                <w:b/>
                <w:sz w:val="17"/>
              </w:rPr>
              <w:t>5,120</w:t>
            </w:r>
          </w:p>
        </w:tc>
        <w:tc>
          <w:tcPr>
            <w:tcW w:type="dxa" w:w="1440"/>
            <w:shd w:fill="C6EFCE" w:val="clear"/>
          </w:tcPr>
          <w:p>
            <w:r>
              <w:rPr>
                <w:sz w:val="17"/>
              </w:rPr>
              <w:t>6,137</w:t>
            </w:r>
          </w:p>
        </w:tc>
        <w:tc>
          <w:tcPr>
            <w:tcW w:type="dxa" w:w="1440"/>
            <w:shd w:fill="C6EFCE" w:val="clear"/>
          </w:tcPr>
          <w:p>
            <w:r>
              <w:rPr>
                <w:b/>
                <w:color w:val="008000"/>
                <w:sz w:val="17"/>
              </w:rPr>
              <w:t>+2.8%</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4,048</w:t>
            </w:r>
          </w:p>
        </w:tc>
        <w:tc>
          <w:tcPr>
            <w:tcW w:type="dxa" w:w="1440"/>
            <w:shd w:fill="C6EFCE" w:val="clear"/>
          </w:tcPr>
          <w:p>
            <w:r>
              <w:rPr>
                <w:b/>
                <w:sz w:val="17"/>
              </w:rPr>
              <w:t>5,121</w:t>
            </w:r>
          </w:p>
        </w:tc>
        <w:tc>
          <w:tcPr>
            <w:tcW w:type="dxa" w:w="1440"/>
            <w:shd w:fill="C6EFCE" w:val="clear"/>
          </w:tcPr>
          <w:p>
            <w:r>
              <w:rPr>
                <w:sz w:val="17"/>
              </w:rPr>
              <w:t>6,194</w:t>
            </w:r>
          </w:p>
        </w:tc>
        <w:tc>
          <w:tcPr>
            <w:tcW w:type="dxa" w:w="1440"/>
            <w:shd w:fill="C6EFCE" w:val="clear"/>
          </w:tcPr>
          <w:p>
            <w:r>
              <w:rPr>
                <w:b/>
                <w:color w:val="008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*Bourse Régionale des Valeurs Mobilières (BRVM) — Secteur : Banque / Financement spécialisé*</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**40,44 milliards FCFA** pour un cours de 4 980 FCFA, SAFC se situe dans la catégorie des valeurs moyennes de la cote BRVM, ce qui reste modeste au regard de son total de bilan de 79,5 milliards FCFA. Le **BPA de 86 FCFA/action** (exercice 2025) traduit un bénéfice net de 701 millions FCFA rapporté au capital, mais le **PER de 57,7x** est très élevé comparé à la moyenne du marché BRVM (8-12x) : les investisseurs paient donc près de 58 fois les bénéfices actuels, ce qui intègre déjà une forte anticipation de croissance future et exige une prudence marquée. Le **P/B de 6,84x** (très supérieur au seuil de 4x) indique que le marché valorise l'action à près de 7 fois ses fonds propres comptables (5,9 Mds FCFA), une prime considérable qui n'est justifiable que par la perspective d'un redressement durable de la rentabilité. Enfin, l'**EV/EBITDA de 77,5x** (largement au-dessus du seuil de 15x) signale une valorisation très exigeante par rapport à la capacité opérationnelle de génération de cash, ce qui confirme que le titre est aujourd'hui porté par des anticipations plus que par des résultats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SAFC affiche une **variation totale de +19,28%**, avec une dernière séance en hausse de **+3,00%**, confirmant une dynamique haussière de court terme. Le titre a évolué dans un range très large, entre un plus bas de **3 340 FCFA** et un plus haut de **6 200 FCFA**, soit un écart de près de 86% entre les extrêmes — signe d'une forte amplitude de trading. La tendance générale est donc haussière mais très volatile, avec un cours actuel (4 980 FCFA) situé à mi-chemin du range, ce qui suggère une phase de consolidation après le pic. Les statistiques descriptives révèlent une **moyenne de 4 593 FCFA** légèrement supérieure à la **médiane de 4 525 FCFA**, avec un mode à 3 700 FCFA : l'écart faible entre moyenne et médiane, couplé à un **skewness de 0,316** (distribution quasi symétrique), indique une répartition équilibrée des cours sans biais marqué. L'**écart-type de 782 FCFA (CV = 17,0%)** traduit une dispersion modérée autour de la moyenne, tandis que le **kurtosis de -1,033** (distribution platykurtique) signale une faible concentration des valeurs et un risque de pics moins prononcé qu'une distribution normale — donc moins de mouvements extrêmes imprévisibles. Enfin, la **volatilité annualisée de 58,9%** classe clairement SAFC parmi les titres à volatilité **élevée** (&gt;30%), ce qui implique un risque de marché important et justifie une taille de position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(5 588,5 FCFA) et la MM50 (5 192,3 FCFA) sont toutes deux supérieures au cours actuel (4 980 FCFA), ce qui place le titre sous ses moyennes de court et moyen terme — configuration théoriquement baissière. Cependant, la décision fournie est **Achat**, ce qui suggère que le croisement MM20 &gt; MM50 (golden cross) reste valide et que le repli actuel est interprété comme une opportunité de rebond vers ces moyennes.</w:t>
      </w:r>
    </w:p>
    <w:p>
      <w:pPr>
        <w:spacing w:after="120" w:line="276" w:lineRule="auto"/>
      </w:pPr>
      <w:r>
        <w:t>**Bandes de Bollinger** : Le cours (4 980 FCFA) se situe entre la borne inférieure (4 735,64 FCFA) et la borne supérieure (6 441,36 FCFA), mais nettement plus proche de la borne basse, ce qui indique une pression vendeuse récente. La largeur des bandes (1 705 FCFA d'écart) confirme une volatilité élevée, et la décision **Neutre** reflète l'absence de signal directionnel fort tant que le cours n'a pas franchi l'une des bornes.</w:t>
      </w:r>
    </w:p>
    <w:p>
      <w:pPr>
        <w:spacing w:after="120" w:line="276" w:lineRule="auto"/>
      </w:pPr>
      <w:r>
        <w:t>**MACD** : La valeur du MACD (-96,265) est inférieure à son signal (40,883), générant une divergence baissière marquée et un momentum négatif. La décision **Vente** est cohérente avec cette configuration, qui suggère que la pression baissière pourrait persister à court terme malgré le rebond de la dernière séance.</w:t>
      </w:r>
    </w:p>
    <w:p>
      <w:pPr>
        <w:spacing w:after="120" w:line="276" w:lineRule="auto"/>
      </w:pPr>
      <w:r>
        <w:t>**RSI** : À **34,564**, le RSI se situe dans la zone neutre basse (30-70), sans atteindre le seuil de survente (&lt;30), mais proche de celui-ci. La décision **Neutre** indique que le titre n'est ni suracheté ni survendu, bien que la proximité des 30 laisse entrevoir un potentiel de rebond technique.</w:t>
      </w:r>
    </w:p>
    <w:p>
      <w:pPr>
        <w:spacing w:after="120" w:line="276" w:lineRule="auto"/>
      </w:pPr>
      <w:r>
        <w:t>**Stochastique** : Le %K (10,623) et le %D (3,678) sont tous deux en zone de survente extrême (&lt;20), avec un %K supérieur au %D — configuration typique d'un signal d'achat potentiel par croisement haussier. La décision **Achat** est donc justifiée par cette configuration de retournement possible.</w:t>
      </w:r>
    </w:p>
    <w:p>
      <w:pPr>
        <w:spacing w:after="120" w:line="276" w:lineRule="auto"/>
      </w:pPr>
      <w:r>
        <w:t>**Conclusion technique** : Les indicateurs sont **divergents** : le MACD est clairement baissier, les Bandes de Bollinger et le RSI sont neutres, tandis que les Moyennes Mobiles et le Stochastique plaident pour un achat. Cette divergence reflète une phase d'incertitude où le titre, survendu à court terme (stochastique), pourrait rebondir vers ses moyennes mobiles, mais le momentum négatif du MACD invite à la prudence. Une confirmation par un franchissement de la MM20 (5 588 FCFA) serait nécessaire pour valider un retournement haussier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 enregistré un **Produit Net Bancaire (PNB) de 5 735 millions FCFA**, en forte hausse de **+44,1%** par rapport à 2024 (3 980 M FCFA), porté par la progression des intérêts et produits assimilés (8 236 M FCFA) et des commissions (686 M FCFA). Le **résultat net s'établit à 701 millions FCFA**, marquant un retournement spectaculaire après une perte de 165 millions FCFA en 2024, avec une **marge nette de 12,2%**. Le **ROE de 11,85%** (résultat net / capitaux propres de 5 916 M FCFA) reste inférieur au seuil d'excellence de 15%, et le **ROA de 0,88%** demeure faible, reflétant la modestie des fonds propres par rapport au total de bilan (79,5 Mds FCFA). Le **coefficient d'exploitation de 77,6%** est élevé (norme bancaire : &lt;60% pour une banque efficace), ce qui indique que les charges d'exploitation absorbent encore une part trop importante du PNB. Le **coût du risque de 6,57%** (provisions / charges financières) reste significatif, bien qu'en amélioration, et le **ratio d'autonomie financière de 7,44%** (capitaux propres / total bilan) est très faible, exposant la société à un risque de solvabilité.</w:t>
      </w:r>
    </w:p>
    <w:p>
      <w:pPr>
        <w:spacing w:after="120" w:line="276" w:lineRule="auto"/>
      </w:pPr>
      <w:r>
        <w:t>**Adaptation au secteur bancaire** : La structure de bilan révèle une **dépendance élevée aux dettes interbancaires** (35 747 M FCFA, soit 45% du passif) et aux dettes financières totales (50 662 M FCFA), tandis que les **dépôts clientèle ne représentent que 9 112 M FCFA** — un ratio dépôts/crédits très déséquilibré (9,1 Mds vs 60,5 Mds de créances clientèle), ce qui signifie que la banque finance ses crédits principalement par des ressources de marché, plus volatiles et coûteuses. Le **ratio de solvabilité globale de 12,93%** (au 30/06/2026) est conforme au minimum de 11,5%, mais avec une marge de sécurité limitée.</w:t>
      </w:r>
    </w:p>
    <w:p>
      <w:pPr>
        <w:spacing w:after="120" w:line="276" w:lineRule="auto"/>
      </w:pPr>
      <w:r>
        <w:t>**Estimations basées sur les rapports trimestriels** : Le **rapport T1 2026 (publié le 13/04/2026)** indique un PNB de 1 395 M FCFA (+29%) et un résultat net de 151 M FCFA (+1 062%), avec un coût du risque réduit de 75% (-22 M FCFA). Le **rapport S1 2026 (publié le 04/09/2026)** confirme cette dynamique avec un PNB de 2 907 M FCFA (+37%) et un résultat net de 731 M FCFA (+231%), ainsi qu'une **reprise nette sur coût du risque de 261 M FCFA** (contre une charge de 93 M FCFA un an plus tôt) — signe d'une amélioration durable de la qualité du portefeuille. Sur cette base, on peut **estimer que l'exercice 2026 devrait afficher un PNB supérieur à 6 milliards FCFA et un résultat net proche de 1,5 milliard FCFA**, confirmant la trajectoire de redressement. L'augmentation de capital de 1,5 milliard FCFA (avis BRVM du 13/04/2026) vise à renforcer les fonds propres et à soutenir la croissance des crédits (+21% au S1 2026).</w:t>
      </w:r>
    </w:p>
    <w:p>
      <w:pPr>
        <w:spacing w:after="120" w:line="276" w:lineRule="auto"/>
      </w:pPr>
      <w:r>
        <w:t>**Recommandation fondamentale** : La société présente une **solidité financière encore fragile** (fonds propres modestes, dépendance aux financements interbancaires, report à nouveau négatif de -4 123 M FCFA), mais les **perspectives sont nettement positives** grâce à l'intégration au sein de CREDAF GROUP (avril 2025) et à l'amélioration spectaculaire de la rentabilité. Les risques principaux restent le risque de crédit (concentration sur le financement automobile) et le risque de liquidité (dépendance aux marchés).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les ratios PER (57,7x), P/B (6,84x) et EV/EBITDA (77,5x) indiquent une **surévaluation manifeste** par rapport aux bénéfices et aux fonds propres actuels, le marché ayant déjà intégré une forte anticipation de croissance. Le **comportement du cours (Partie 1)** est haussier sur 100 jours (+19,28%) mais très volatil (58,9% annualisé), avec une distribution symétrique (skewness 0,316) et un kurtosis négatif (-1,033) qui limite le risque de pics extrêmes — des statistiques globalement favorables mais exigeant une gestion rigoureuse du risque. Les **signaux techniques (Partie 2)** sont divergents : le MACD est baissier, les Bandes de Bollinger et le RSI sont neutres, tandis que les Moyennes Mobiles et le Stochastique plaident pour un achat, suggérant un possible rebond technique à court terme. Les **fondamentaux (Partie 3)** montrent un redressement spectaculaire (PNB +44% en 2025, résultat net de 701 M FCFA, S1 2026 avec un résultat net de 731 M FCFA en hausse de 231%), mais la structure financière reste fragile (autonomie financière de 7,44%, dépendance interbancaire). Les **prédictions IA (J+1 à J+10)** anticipent une trajectoire haussière modérée (5 010 → 5 110 FCFA), confirmant la possibilité d'un rebond technique sans toutefois combler l'écart avec les moyennes mobiles.</w:t>
      </w:r>
    </w:p>
    <w:p>
      <w:pPr>
        <w:spacing w:after="120" w:line="276" w:lineRule="auto"/>
      </w:pPr>
      <w:r>
        <w:t>**Recommandation finale : CONSERVER** — avec un **niveau de confiance Moyen** et un **risque global Élevé**. La convergence entre les prédictions IA haussières, le signal d'achat du stochastique et l'amélioration fondamentale (S1 2026) soutient une perspective positive, mais la **surévaluation des ratios boursiers** et la **fragilité de la structure financière** (fonds propres limités, dépendance aux dettes interbancaires) empêchent une recommandation d'achat franche. **Horizon d'investissement optimal : moyen terme (3-12 mois)**, en surveillant attentivement la confirmation de la rentabilité au S2 2026 et l'impact de l'augmentation de capital sur les ratios prudentiels. Un investisseur déjà positionné peut conserver le titre en anticipant la poursuite du redressement, tandis qu'un nouvel investisseur devrait attendre une consolidation sous les 4 500 FCFA ou une confirmation de la croissance bénéficiaire avant d'entrer.</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10,918 titres</w:t>
            </w:r>
          </w:p>
        </w:tc>
        <w:tc>
          <w:tcPr>
            <w:tcW w:type="dxa" w:w="2268"/>
            <w:shd w:fill="FFF2CC" w:val="clear"/>
          </w:tcPr>
          <w:p>
            <w:r>
              <w:rPr>
                <w:b/>
                <w:color w:val="503200"/>
                <w:sz w:val="16"/>
              </w:rPr>
              <w:t xml:space="preserve">Cours actuel : </w:t>
            </w:r>
            <w:r>
              <w:rPr>
                <w:color w:val="000000"/>
                <w:sz w:val="17"/>
              </w:rPr>
              <w:t>3,085 FCFA</w:t>
            </w:r>
          </w:p>
          <w:p>
            <w:r>
              <w:rPr>
                <w:b/>
                <w:color w:val="503200"/>
                <w:sz w:val="16"/>
              </w:rPr>
              <w:t xml:space="preserve">Var. 100 jours : </w:t>
            </w:r>
            <w:r>
              <w:rPr>
                <w:b/>
                <w:color w:val="007800"/>
                <w:sz w:val="17"/>
              </w:rPr>
              <w:t>+53.48%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27.6/100 → Moyen</w:t>
      </w:r>
    </w:p>
    <w:p>
      <w:pPr>
        <w:spacing w:before="40" w:after="80"/>
      </w:pPr>
      <w:r>
        <w:rPr>
          <w:rFonts w:ascii="Courier New" w:hAnsi="Courier New"/>
          <w:color w:val="825A00"/>
          <w:sz w:val="18"/>
        </w:rPr>
        <w:t>█████░░░░░░░░░░░░░░░  27.6/100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18.04% (Élevée) — μ=3,101 FCFA, σ=559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β=0.5535 (Défensif) — Cov=0.000020, Var(idx)=0.000035, ρ=0.095,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10,918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σ_j=3.44%/j (Modérée) — Vol. annualisée≈54.7%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2026-09-21</w:t>
            </w:r>
          </w:p>
        </w:tc>
        <w:tc>
          <w:tcPr>
            <w:tcW w:type="dxa" w:w="1440"/>
            <w:shd w:fill="C6EFCE" w:val="clear"/>
          </w:tcPr>
          <w:p>
            <w:r>
              <w:rPr>
                <w:sz w:val="17"/>
              </w:rPr>
              <w:t>3,022</w:t>
            </w:r>
          </w:p>
        </w:tc>
        <w:tc>
          <w:tcPr>
            <w:tcW w:type="dxa" w:w="1440"/>
            <w:shd w:fill="C6EFCE" w:val="clear"/>
          </w:tcPr>
          <w:p>
            <w:r>
              <w:rPr>
                <w:b/>
                <w:sz w:val="17"/>
              </w:rPr>
              <w:t>3,266</w:t>
            </w:r>
          </w:p>
        </w:tc>
        <w:tc>
          <w:tcPr>
            <w:tcW w:type="dxa" w:w="1440"/>
            <w:shd w:fill="C6EFCE" w:val="clear"/>
          </w:tcPr>
          <w:p>
            <w:r>
              <w:rPr>
                <w:sz w:val="17"/>
              </w:rPr>
              <w:t>3,510</w:t>
            </w:r>
          </w:p>
        </w:tc>
        <w:tc>
          <w:tcPr>
            <w:tcW w:type="dxa" w:w="1440"/>
            <w:shd w:fill="C6EFCE" w:val="clear"/>
          </w:tcPr>
          <w:p>
            <w:r>
              <w:rPr>
                <w:b/>
                <w:color w:val="008000"/>
                <w:sz w:val="17"/>
              </w:rPr>
              <w:t>+5.9%</w:t>
            </w:r>
          </w:p>
        </w:tc>
      </w:tr>
      <w:tr>
        <w:tc>
          <w:tcPr>
            <w:tcW w:type="dxa" w:w="1440"/>
            <w:shd w:fill="C6EFCE" w:val="clear"/>
          </w:tcPr>
          <w:p>
            <w:r>
              <w:rPr>
                <w:sz w:val="17"/>
              </w:rPr>
              <w:t>J+2  ⭐</w:t>
            </w:r>
          </w:p>
        </w:tc>
        <w:tc>
          <w:tcPr>
            <w:tcW w:type="dxa" w:w="1440"/>
            <w:shd w:fill="C6EFCE" w:val="clear"/>
          </w:tcPr>
          <w:p>
            <w:r>
              <w:rPr>
                <w:sz w:val="17"/>
              </w:rPr>
              <w:t>2026-09-22</w:t>
            </w:r>
          </w:p>
        </w:tc>
        <w:tc>
          <w:tcPr>
            <w:tcW w:type="dxa" w:w="1440"/>
            <w:shd w:fill="C6EFCE" w:val="clear"/>
          </w:tcPr>
          <w:p>
            <w:r>
              <w:rPr>
                <w:sz w:val="17"/>
              </w:rPr>
              <w:t>3,046</w:t>
            </w:r>
          </w:p>
        </w:tc>
        <w:tc>
          <w:tcPr>
            <w:tcW w:type="dxa" w:w="1440"/>
            <w:shd w:fill="C6EFCE" w:val="clear"/>
          </w:tcPr>
          <w:p>
            <w:r>
              <w:rPr>
                <w:b/>
                <w:sz w:val="17"/>
              </w:rPr>
              <w:t>3,324</w:t>
            </w:r>
          </w:p>
        </w:tc>
        <w:tc>
          <w:tcPr>
            <w:tcW w:type="dxa" w:w="1440"/>
            <w:shd w:fill="C6EFCE" w:val="clear"/>
          </w:tcPr>
          <w:p>
            <w:r>
              <w:rPr>
                <w:sz w:val="17"/>
              </w:rPr>
              <w:t>3,602</w:t>
            </w:r>
          </w:p>
        </w:tc>
        <w:tc>
          <w:tcPr>
            <w:tcW w:type="dxa" w:w="1440"/>
            <w:shd w:fill="C6EFCE" w:val="clear"/>
          </w:tcPr>
          <w:p>
            <w:r>
              <w:rPr>
                <w:b/>
                <w:color w:val="008000"/>
                <w:sz w:val="17"/>
              </w:rPr>
              <w:t>+7.7%</w:t>
            </w:r>
          </w:p>
        </w:tc>
      </w:tr>
      <w:tr>
        <w:tc>
          <w:tcPr>
            <w:tcW w:type="dxa" w:w="1440"/>
            <w:shd w:fill="C6EFCE" w:val="clear"/>
          </w:tcPr>
          <w:p>
            <w:r>
              <w:rPr>
                <w:sz w:val="17"/>
              </w:rPr>
              <w:t>J+3  ⭐</w:t>
            </w:r>
          </w:p>
        </w:tc>
        <w:tc>
          <w:tcPr>
            <w:tcW w:type="dxa" w:w="1440"/>
            <w:shd w:fill="C6EFCE" w:val="clear"/>
          </w:tcPr>
          <w:p>
            <w:r>
              <w:rPr>
                <w:sz w:val="17"/>
              </w:rPr>
              <w:t>2026-09-23</w:t>
            </w:r>
          </w:p>
        </w:tc>
        <w:tc>
          <w:tcPr>
            <w:tcW w:type="dxa" w:w="1440"/>
            <w:shd w:fill="C6EFCE" w:val="clear"/>
          </w:tcPr>
          <w:p>
            <w:r>
              <w:rPr>
                <w:sz w:val="17"/>
              </w:rPr>
              <w:t>3,054</w:t>
            </w:r>
          </w:p>
        </w:tc>
        <w:tc>
          <w:tcPr>
            <w:tcW w:type="dxa" w:w="1440"/>
            <w:shd w:fill="C6EFCE" w:val="clear"/>
          </w:tcPr>
          <w:p>
            <w:r>
              <w:rPr>
                <w:b/>
                <w:sz w:val="17"/>
              </w:rPr>
              <w:t>3,362</w:t>
            </w:r>
          </w:p>
        </w:tc>
        <w:tc>
          <w:tcPr>
            <w:tcW w:type="dxa" w:w="1440"/>
            <w:shd w:fill="C6EFCE" w:val="clear"/>
          </w:tcPr>
          <w:p>
            <w:r>
              <w:rPr>
                <w:sz w:val="17"/>
              </w:rPr>
              <w:t>3,669</w:t>
            </w:r>
          </w:p>
        </w:tc>
        <w:tc>
          <w:tcPr>
            <w:tcW w:type="dxa" w:w="1440"/>
            <w:shd w:fill="C6EFCE" w:val="clear"/>
          </w:tcPr>
          <w:p>
            <w:r>
              <w:rPr>
                <w:b/>
                <w:color w:val="008000"/>
                <w:sz w:val="17"/>
              </w:rPr>
              <w:t>+9.0%</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3,051</w:t>
            </w:r>
          </w:p>
        </w:tc>
        <w:tc>
          <w:tcPr>
            <w:tcW w:type="dxa" w:w="1440"/>
            <w:shd w:fill="C6EFCE" w:val="clear"/>
          </w:tcPr>
          <w:p>
            <w:r>
              <w:rPr>
                <w:b/>
                <w:sz w:val="17"/>
              </w:rPr>
              <w:t>3,385</w:t>
            </w:r>
          </w:p>
        </w:tc>
        <w:tc>
          <w:tcPr>
            <w:tcW w:type="dxa" w:w="1440"/>
            <w:shd w:fill="C6EFCE" w:val="clear"/>
          </w:tcPr>
          <w:p>
            <w:r>
              <w:rPr>
                <w:sz w:val="17"/>
              </w:rPr>
              <w:t>3,720</w:t>
            </w:r>
          </w:p>
        </w:tc>
        <w:tc>
          <w:tcPr>
            <w:tcW w:type="dxa" w:w="1440"/>
            <w:shd w:fill="C6EFCE" w:val="clear"/>
          </w:tcPr>
          <w:p>
            <w:r>
              <w:rPr>
                <w:b/>
                <w:color w:val="008000"/>
                <w:sz w:val="17"/>
              </w:rPr>
              <w:t>+9.7%</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3,042</w:t>
            </w:r>
          </w:p>
        </w:tc>
        <w:tc>
          <w:tcPr>
            <w:tcW w:type="dxa" w:w="1440"/>
            <w:shd w:fill="C6EFCE" w:val="clear"/>
          </w:tcPr>
          <w:p>
            <w:r>
              <w:rPr>
                <w:b/>
                <w:sz w:val="17"/>
              </w:rPr>
              <w:t>3,401</w:t>
            </w:r>
          </w:p>
        </w:tc>
        <w:tc>
          <w:tcPr>
            <w:tcW w:type="dxa" w:w="1440"/>
            <w:shd w:fill="C6EFCE" w:val="clear"/>
          </w:tcPr>
          <w:p>
            <w:r>
              <w:rPr>
                <w:sz w:val="17"/>
              </w:rPr>
              <w:t>3,760</w:t>
            </w:r>
          </w:p>
        </w:tc>
        <w:tc>
          <w:tcPr>
            <w:tcW w:type="dxa" w:w="1440"/>
            <w:shd w:fill="C6EFCE" w:val="clear"/>
          </w:tcPr>
          <w:p>
            <w:r>
              <w:rPr>
                <w:b/>
                <w:color w:val="008000"/>
                <w:sz w:val="17"/>
              </w:rPr>
              <w:t>+10.2%</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3,030</w:t>
            </w:r>
          </w:p>
        </w:tc>
        <w:tc>
          <w:tcPr>
            <w:tcW w:type="dxa" w:w="1440"/>
            <w:shd w:fill="C6EFCE" w:val="clear"/>
          </w:tcPr>
          <w:p>
            <w:r>
              <w:rPr>
                <w:b/>
                <w:sz w:val="17"/>
              </w:rPr>
              <w:t>3,412</w:t>
            </w:r>
          </w:p>
        </w:tc>
        <w:tc>
          <w:tcPr>
            <w:tcW w:type="dxa" w:w="1440"/>
            <w:shd w:fill="C6EFCE" w:val="clear"/>
          </w:tcPr>
          <w:p>
            <w:r>
              <w:rPr>
                <w:sz w:val="17"/>
              </w:rPr>
              <w:t>3,795</w:t>
            </w:r>
          </w:p>
        </w:tc>
        <w:tc>
          <w:tcPr>
            <w:tcW w:type="dxa" w:w="1440"/>
            <w:shd w:fill="C6EFCE" w:val="clear"/>
          </w:tcPr>
          <w:p>
            <w:r>
              <w:rPr>
                <w:b/>
                <w:color w:val="008000"/>
                <w:sz w:val="17"/>
              </w:rPr>
              <w:t>+10.6%</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3,017</w:t>
            </w:r>
          </w:p>
        </w:tc>
        <w:tc>
          <w:tcPr>
            <w:tcW w:type="dxa" w:w="1440"/>
            <w:shd w:fill="C6EFCE" w:val="clear"/>
          </w:tcPr>
          <w:p>
            <w:r>
              <w:rPr>
                <w:b/>
                <w:sz w:val="17"/>
              </w:rPr>
              <w:t>3,421</w:t>
            </w:r>
          </w:p>
        </w:tc>
        <w:tc>
          <w:tcPr>
            <w:tcW w:type="dxa" w:w="1440"/>
            <w:shd w:fill="C6EFCE" w:val="clear"/>
          </w:tcPr>
          <w:p>
            <w:r>
              <w:rPr>
                <w:sz w:val="17"/>
              </w:rPr>
              <w:t>3,826</w:t>
            </w:r>
          </w:p>
        </w:tc>
        <w:tc>
          <w:tcPr>
            <w:tcW w:type="dxa" w:w="1440"/>
            <w:shd w:fill="C6EFCE" w:val="clear"/>
          </w:tcPr>
          <w:p>
            <w:r>
              <w:rPr>
                <w:b/>
                <w:color w:val="008000"/>
                <w:sz w:val="17"/>
              </w:rPr>
              <w:t>+10.9%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Secteur : Agro-industrie / Sucre**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60,47 milliards FCFA, SCRC se situe dans la catégorie des valeurs moyennes de la cote BRVM, ce qui lui confère une certaine liquidité mais la rend vulnérable aux mouvements de capitaux étrangers. Le BPA ressort à -406 FCFA par action, traduisant une société en perte nette sur l'exercice 2025, ce qui rend le PER de -7,6x non significatif en tant que multiple de valorisation classique — un PER négatif signale simplement que les investisseurs ne peuvent pas se baser sur les bénéfices pour évaluer le titre. Le P/B de 3,51x indique que le marché valorise SCRC à plus de trois fois sa valeur comptable (capitaux propres de 17,24 Mds FCFA), soit une prime de croissance significative qui contraste fortement avec la dégradation des fondamentaux. Enfin, l'EV/EBITDA de 10,2x, bien que dans la fourchette 10-15x qualifiée d'élevée, suggère que la valeur d'entreprise (incluant la dette massive de 84,87 Mds FCFA) reste soutenue par la capacité opérationnelle (EBE de 14,85 Mds FCFA), mais cette valorisation apparaît tendue au regard des pertes nettes et de l'explosion des charges financières.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progression spectaculaire de +53,48%, passant d'un plus bas de 1 990 FCFA à un plus haut de 3 920 FCFA, avant de clôturer à 3 085 FCFA, soit une correction de -5,95% lors de la dernière séance. Ce range de trading de près de 2 000 FCFA (amplitude de 97%) témoigne d'une volatilité extrême, avec une tendance générale haussière sur la période mais une dynamique récente baissière. Les statistiques descriptives révèlent une moyenne de 3 101 FCFA légèrement inférieure à la médiane de 3 298 FCFA, confirmant une asymétrie négative (skewness de -0,732) — le cours a passé plus de temps au-dessus de la moyenne, mais les récentes baisses tirent la moyenne vers le bas. L'écart-type de 562 FCFA (CV de 18,1%) indique une dispersion modérée à élevée, tandis que le kurtosis de -0,778 (mésokurtique) suggère une distribution proche de la normale, sans pics extrêmes fréquents. La volatilité annualisée de 54,7% classe le titre dans la catégorie des valeurs très volatiles (&gt;30%),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(3 431,5 FCFA) et la MM50 (3 539,1 FCFA) sont toutes deux nettement supérieures au cours actuel de 3 085 FCFA, confirmant une tendance baissière de court et moyen terme. Le croisement baissier (MM20 &lt; MM50) et l'éloignement du cours sous ces moyennes justifient la décision de vente, le titre évoluant en territoire de correction.</w:t>
      </w:r>
    </w:p>
    <w:p>
      <w:pPr>
        <w:spacing w:after="120" w:line="276" w:lineRule="auto"/>
      </w:pPr>
      <w:r>
        <w:t>**Bandes de Bollinger** : Le cours (3 085 FCFA) se situe en dessous de la borne inférieure (3 157,77 FCFA), ce qui est techniquement un signal de survente et justifie la décision d'achat contra-cyclique. Cette position suggère une possible réaction haussière à court terme, mais la largeur des bandes (supérieure à 3 705 FCFA) indique une volatilité toujours élevée.</w:t>
      </w:r>
    </w:p>
    <w:p>
      <w:pPr>
        <w:spacing w:after="120" w:line="276" w:lineRule="auto"/>
      </w:pPr>
      <w:r>
        <w:t>**MACD** : La valeur du MACD (-71,995) est inférieure à son signal (-33,062), avec un histogramme négatif, confirmant un momentum baissier. La divergence baissière persiste, justifiant la décision de vente, bien que l'écart entre les deux lignes tende à se réduire, ce qui pourrait annoncer un retournement.</w:t>
      </w:r>
    </w:p>
    <w:p>
      <w:pPr>
        <w:spacing w:after="120" w:line="276" w:lineRule="auto"/>
      </w:pPr>
      <w:r>
        <w:t>**RSI** : À 32,317, le RSI est proche de la zone de survente (seuil de 30) sans y être entré, ce qui justifie la décision neutre. Cette valeur indique que la pression vendeuse s'atténue mais que le titre n'est pas encore techniquement survendu, laissant place à une possible poursuite de la baisse.</w:t>
      </w:r>
    </w:p>
    <w:p>
      <w:pPr>
        <w:spacing w:after="120" w:line="276" w:lineRule="auto"/>
      </w:pPr>
      <w:r>
        <w:t>**Stochastique** : Le %K et le %D sont tous deux à 0,0, signalant une survente extrême et un épuisement total de la pression vendeuse. Cette configuration justifie la décision d'achat, car un rebond technique est statistiquement probable lorsque les deux lignes atteignent ce niveau plancher.</w:t>
      </w:r>
    </w:p>
    <w:p>
      <w:pPr>
        <w:spacing w:after="120" w:line="276" w:lineRule="auto"/>
      </w:pPr>
      <w:r>
        <w:t>**Conclusion technique** : Les indicateurs sont divergents — les moyennes mobiles et le MACD confirment la tendance baissière, tandis que les Bandes de Bollinger et le Stochastique signalent une survente extrême propice à un rebond. Le RSI neutre (32,3) laisse entrevoir une possible stabilisation. La convergence des signaux de survente (Bollinger inférieur, Stochastique à 0) suggère qu'un rebond technique à court terme est probable, mais la tendance de fond reste baissière tant que le cours n'aura pas reconquis la MM20 (3 431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situation financière très dégradée : le chiffre d'affaires s'établit à 80,57 Mds FCFA, en baisse de 7,6% par rapport à 2024 (87,22 Mds FCFA), et le résultat net est une perte de -7,95 Mds FCFA, contre un bénéfice de 2,47 Mds FCFA en 2024, soit une dégradation de 421%. Le ROE est catastrophique à -46,13% (résultat net/capitaux propres de 17,24 Mds FCFA) et le ROA à -5,08%, confirmant la destruction de valeur. La marge nette est de -9,87%, la marge opérationnelle de -0,68%, et la marge brute reste à 45,82%, ce qui indique que la société maîtrise ses coûts de production mais est écrasée par les charges financières (6,79 Mds FCFA, en hausse de 262%) et les charges de personnel (10,39 Mds FCFA). Le BFR est de 6,53 Mds FCFA (positif, donc défavorable), avec un délai clients de 12,28 jours (correct) mais un délai fournisseurs de 366,07 jours (très élevé, signe de tension avec les fournisseurs) et une durée de stockage de 360,73 jours (très élevée, immobilisation massive de capital). La structure financière est critique : autonomie financière de 11,02% (très faible), ratio d'endettement de 88,98%, dépendance financière de 492,21%, et capacité de remboursement de 11,21 années (dettes financières/CAF), ce qui est insoutenable. La trésorerie nette est négative à -6,51 Mds FCFA, et le Free Cash Flow est négatif à -12,40 Mds FCFA, malgré un flux opérationnel positif de 10,38 Mds FCFA. Les rapports narratifs (S1 2025, T1 2025, annuel 2024) confirment cette trajectoire : le S1 2025 affichait déjà une perte nette de -6,71 Mds FCFA, et le T1 2025 un bénéfice de 3,21 Mds FCFA (en repli de 32%), mais la détérioration s'est accélérée au second semestre. Sur la base du rapport S1 2025 (CA de 42,87 Mds FCFA, -5%), on peut estimer que l'exercice 2025 devait se situer autour de 80-85 Mds FCFA, ce qui est confirmé par les chiffres réels (80,57 Mds FCFA). Les perspectives pour 2026 sont très préoccupantes : la société devra impérativement restructurer sa dette (84,87 Mds FCFA) et réduire ses charges financières, faute de quoi la pérennité de l'exploitation est menacée. La recommandation fondamentale est **VENTE** en raison de l'endettement critique, de la destruction de valeur et de l'absence de dividende.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une divergence majeure entre les signaux techniques de court terme et les fondamentaux désastreux. La valorisation (Partie 0) est trompeuse : le P/B de 3,51x et l'EV/EBITDA de 10,2x suggèrent une prime de croissance, mais le PER négatif et le BPA de -406 FCFA traduisent une société en perte qui détruit de la valeur. Le comportement du cours (Partie 1) est paradoxal : malgré une progression de +53,48% sur 100 jours, la correction récente (-5,95%) et la volatilité annualisée de 54,7% indiquent une instabilité extrême, avec un skewness négatif (-0,732) qui montre que les baisses récentes pèsent sur la dynamique. Les signaux techniques (Partie 2) sont mitigés : les moyennes mobiles et le MACD sont baissiers, mais les Bandes de Bollinger et le Stochastique signalent une survente extrême propice à un rebond technique à court terme. Les fondamentaux (Partie 3) sont catastrophiques : perte nette de -7,95 Mds FCFA en 2025, ROE de -46,13%, endettement de 84,87 Mds FCFA, trésorerie nette négative de -6,51 Mds FCFA, et une capacité de remboursement de 11,21 années. Les prédictions IA (J+1 à J+10) anticipent une légère reprise vers 3 401 FCFA d'ici le 25 septembre 2026, ce qui confirme le rebond technique attendu mais ne remet pas en cause la tendance baissière de fond. Sur la base de cette synthèse, la recommandation finale est **VENTE** (ou **VENTE FORTE** pour les investisseurs averses au risque), car la convergence des signaux fondamentaux négatifs (pertes, endettement, trésorerie négative) et techniques baissiers (MM, MACD) l'emporte sur le rebond technique ponctuel. Le niveau de confiance est **Élevé** (les données financières sont sans ambiguïté), le niveau de risque est **Élevé** (volatilité de 54,7%, endettement critique, risque de défaut), et l'horizon d'investissement optimal est **court terme** (&lt;3 mois) pour profiter du rebond technique, mais **moyen/long terme** (3-12 mois) est déconseillé tant que la restructuration financière n'aura pas produit ses effets. Une position d'attente est recommandée pour les investisseurs déjà en portefeuille, avec un objectif de sortie à 3 400-3 500 FCFA (MM20) et un stop-loss à 2 900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112.36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1,370 titres</w:t>
            </w:r>
          </w:p>
        </w:tc>
        <w:tc>
          <w:tcPr>
            <w:tcW w:type="dxa" w:w="2268"/>
            <w:shd w:fill="FFF2CC" w:val="clear"/>
          </w:tcPr>
          <w:p>
            <w:r>
              <w:rPr>
                <w:b/>
                <w:color w:val="503200"/>
                <w:sz w:val="16"/>
              </w:rPr>
              <w:t xml:space="preserve">Cours actuel : </w:t>
            </w:r>
            <w:r>
              <w:rPr>
                <w:color w:val="000000"/>
                <w:sz w:val="17"/>
              </w:rPr>
              <w:t>12,485 FCFA</w:t>
            </w:r>
          </w:p>
          <w:p>
            <w:r>
              <w:rPr>
                <w:b/>
                <w:color w:val="503200"/>
                <w:sz w:val="16"/>
              </w:rPr>
              <w:t xml:space="preserve">Var. 100 jours : </w:t>
            </w:r>
            <w:r>
              <w:rPr>
                <w:b/>
                <w:color w:val="007800"/>
                <w:sz w:val="17"/>
              </w:rPr>
              <w:t>+73.40%</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11.62% (Moyenne) — μ=11,573 FCFA, σ=1,345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β=-0.0167 (Contre-cyclique) — Cov=-0.000001, Var(idx)=0.000036, ρ=-0.004,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2026-09-21</w:t>
            </w:r>
          </w:p>
        </w:tc>
        <w:tc>
          <w:tcPr>
            <w:tcW w:type="dxa" w:w="1440"/>
            <w:shd w:fill="C6EFCE" w:val="clear"/>
          </w:tcPr>
          <w:p>
            <w:r>
              <w:rPr>
                <w:sz w:val="17"/>
              </w:rPr>
              <w:t>12,648</w:t>
            </w:r>
          </w:p>
        </w:tc>
        <w:tc>
          <w:tcPr>
            <w:tcW w:type="dxa" w:w="1440"/>
            <w:shd w:fill="C6EFCE" w:val="clear"/>
          </w:tcPr>
          <w:p>
            <w:r>
              <w:rPr>
                <w:b/>
                <w:sz w:val="17"/>
              </w:rPr>
              <w:t>13,230</w:t>
            </w:r>
          </w:p>
        </w:tc>
        <w:tc>
          <w:tcPr>
            <w:tcW w:type="dxa" w:w="1440"/>
            <w:shd w:fill="C6EFCE" w:val="clear"/>
          </w:tcPr>
          <w:p>
            <w:r>
              <w:rPr>
                <w:sz w:val="17"/>
              </w:rPr>
              <w:t>13,811</w:t>
            </w:r>
          </w:p>
        </w:tc>
        <w:tc>
          <w:tcPr>
            <w:tcW w:type="dxa" w:w="1440"/>
            <w:shd w:fill="C6EFCE" w:val="clear"/>
          </w:tcPr>
          <w:p>
            <w:r>
              <w:rPr>
                <w:b/>
                <w:color w:val="008000"/>
                <w:sz w:val="17"/>
              </w:rPr>
              <w:t>+6.0%</w:t>
            </w:r>
          </w:p>
        </w:tc>
      </w:tr>
      <w:tr>
        <w:tc>
          <w:tcPr>
            <w:tcW w:type="dxa" w:w="1440"/>
            <w:shd w:fill="C6EFCE" w:val="clear"/>
          </w:tcPr>
          <w:p>
            <w:r>
              <w:rPr>
                <w:sz w:val="17"/>
              </w:rPr>
              <w:t>J+2  ⭐</w:t>
            </w:r>
          </w:p>
        </w:tc>
        <w:tc>
          <w:tcPr>
            <w:tcW w:type="dxa" w:w="1440"/>
            <w:shd w:fill="C6EFCE" w:val="clear"/>
          </w:tcPr>
          <w:p>
            <w:r>
              <w:rPr>
                <w:sz w:val="17"/>
              </w:rPr>
              <w:t>2026-09-22</w:t>
            </w:r>
          </w:p>
        </w:tc>
        <w:tc>
          <w:tcPr>
            <w:tcW w:type="dxa" w:w="1440"/>
            <w:shd w:fill="C6EFCE" w:val="clear"/>
          </w:tcPr>
          <w:p>
            <w:r>
              <w:rPr>
                <w:sz w:val="17"/>
              </w:rPr>
              <w:t>12,501</w:t>
            </w:r>
          </w:p>
        </w:tc>
        <w:tc>
          <w:tcPr>
            <w:tcW w:type="dxa" w:w="1440"/>
            <w:shd w:fill="C6EFCE" w:val="clear"/>
          </w:tcPr>
          <w:p>
            <w:r>
              <w:rPr>
                <w:b/>
                <w:sz w:val="17"/>
              </w:rPr>
              <w:t>13,329</w:t>
            </w:r>
          </w:p>
        </w:tc>
        <w:tc>
          <w:tcPr>
            <w:tcW w:type="dxa" w:w="1440"/>
            <w:shd w:fill="C6EFCE" w:val="clear"/>
          </w:tcPr>
          <w:p>
            <w:r>
              <w:rPr>
                <w:sz w:val="17"/>
              </w:rPr>
              <w:t>14,157</w:t>
            </w:r>
          </w:p>
        </w:tc>
        <w:tc>
          <w:tcPr>
            <w:tcW w:type="dxa" w:w="1440"/>
            <w:shd w:fill="C6EFCE" w:val="clear"/>
          </w:tcPr>
          <w:p>
            <w:r>
              <w:rPr>
                <w:b/>
                <w:color w:val="008000"/>
                <w:sz w:val="17"/>
              </w:rPr>
              <w:t>+6.8%</w:t>
            </w:r>
          </w:p>
        </w:tc>
      </w:tr>
      <w:tr>
        <w:tc>
          <w:tcPr>
            <w:tcW w:type="dxa" w:w="1440"/>
            <w:shd w:fill="C6EFCE" w:val="clear"/>
          </w:tcPr>
          <w:p>
            <w:r>
              <w:rPr>
                <w:sz w:val="17"/>
              </w:rPr>
              <w:t>J+3  ⭐</w:t>
            </w:r>
          </w:p>
        </w:tc>
        <w:tc>
          <w:tcPr>
            <w:tcW w:type="dxa" w:w="1440"/>
            <w:shd w:fill="C6EFCE" w:val="clear"/>
          </w:tcPr>
          <w:p>
            <w:r>
              <w:rPr>
                <w:sz w:val="17"/>
              </w:rPr>
              <w:t>2026-09-23</w:t>
            </w:r>
          </w:p>
        </w:tc>
        <w:tc>
          <w:tcPr>
            <w:tcW w:type="dxa" w:w="1440"/>
            <w:shd w:fill="C6EFCE" w:val="clear"/>
          </w:tcPr>
          <w:p>
            <w:r>
              <w:rPr>
                <w:sz w:val="17"/>
              </w:rPr>
              <w:t>12,408</w:t>
            </w:r>
          </w:p>
        </w:tc>
        <w:tc>
          <w:tcPr>
            <w:tcW w:type="dxa" w:w="1440"/>
            <w:shd w:fill="C6EFCE" w:val="clear"/>
          </w:tcPr>
          <w:p>
            <w:r>
              <w:rPr>
                <w:b/>
                <w:sz w:val="17"/>
              </w:rPr>
              <w:t>13,430</w:t>
            </w:r>
          </w:p>
        </w:tc>
        <w:tc>
          <w:tcPr>
            <w:tcW w:type="dxa" w:w="1440"/>
            <w:shd w:fill="C6EFCE" w:val="clear"/>
          </w:tcPr>
          <w:p>
            <w:r>
              <w:rPr>
                <w:sz w:val="17"/>
              </w:rPr>
              <w:t>14,452</w:t>
            </w:r>
          </w:p>
        </w:tc>
        <w:tc>
          <w:tcPr>
            <w:tcW w:type="dxa" w:w="1440"/>
            <w:shd w:fill="C6EFCE" w:val="clear"/>
          </w:tcPr>
          <w:p>
            <w:r>
              <w:rPr>
                <w:b/>
                <w:color w:val="008000"/>
                <w:sz w:val="17"/>
              </w:rPr>
              <w:t>+7.6%</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12,331</w:t>
            </w:r>
          </w:p>
        </w:tc>
        <w:tc>
          <w:tcPr>
            <w:tcW w:type="dxa" w:w="1440"/>
            <w:shd w:fill="C6EFCE" w:val="clear"/>
          </w:tcPr>
          <w:p>
            <w:r>
              <w:rPr>
                <w:b/>
                <w:sz w:val="17"/>
              </w:rPr>
              <w:t>13,518</w:t>
            </w:r>
          </w:p>
        </w:tc>
        <w:tc>
          <w:tcPr>
            <w:tcW w:type="dxa" w:w="1440"/>
            <w:shd w:fill="C6EFCE" w:val="clear"/>
          </w:tcPr>
          <w:p>
            <w:r>
              <w:rPr>
                <w:sz w:val="17"/>
              </w:rPr>
              <w:t>14,706</w:t>
            </w:r>
          </w:p>
        </w:tc>
        <w:tc>
          <w:tcPr>
            <w:tcW w:type="dxa" w:w="1440"/>
            <w:shd w:fill="C6EFCE" w:val="clear"/>
          </w:tcPr>
          <w:p>
            <w:r>
              <w:rPr>
                <w:b/>
                <w:color w:val="008000"/>
                <w:sz w:val="17"/>
              </w:rPr>
              <w:t>+8.3%</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12,262</w:t>
            </w:r>
          </w:p>
        </w:tc>
        <w:tc>
          <w:tcPr>
            <w:tcW w:type="dxa" w:w="1440"/>
            <w:shd w:fill="C6EFCE" w:val="clear"/>
          </w:tcPr>
          <w:p>
            <w:r>
              <w:rPr>
                <w:b/>
                <w:sz w:val="17"/>
              </w:rPr>
              <w:t>13,597</w:t>
            </w:r>
          </w:p>
        </w:tc>
        <w:tc>
          <w:tcPr>
            <w:tcW w:type="dxa" w:w="1440"/>
            <w:shd w:fill="C6EFCE" w:val="clear"/>
          </w:tcPr>
          <w:p>
            <w:r>
              <w:rPr>
                <w:sz w:val="17"/>
              </w:rPr>
              <w:t>14,933</w:t>
            </w:r>
          </w:p>
        </w:tc>
        <w:tc>
          <w:tcPr>
            <w:tcW w:type="dxa" w:w="1440"/>
            <w:shd w:fill="C6EFCE" w:val="clear"/>
          </w:tcPr>
          <w:p>
            <w:r>
              <w:rPr>
                <w:b/>
                <w:color w:val="008000"/>
                <w:sz w:val="17"/>
              </w:rPr>
              <w:t>+8.9%</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12,193</w:t>
            </w:r>
          </w:p>
        </w:tc>
        <w:tc>
          <w:tcPr>
            <w:tcW w:type="dxa" w:w="1440"/>
            <w:shd w:fill="C6EFCE" w:val="clear"/>
          </w:tcPr>
          <w:p>
            <w:r>
              <w:rPr>
                <w:b/>
                <w:sz w:val="17"/>
              </w:rPr>
              <w:t>13,663</w:t>
            </w:r>
          </w:p>
        </w:tc>
        <w:tc>
          <w:tcPr>
            <w:tcW w:type="dxa" w:w="1440"/>
            <w:shd w:fill="C6EFCE" w:val="clear"/>
          </w:tcPr>
          <w:p>
            <w:r>
              <w:rPr>
                <w:sz w:val="17"/>
              </w:rPr>
              <w:t>15,133</w:t>
            </w:r>
          </w:p>
        </w:tc>
        <w:tc>
          <w:tcPr>
            <w:tcW w:type="dxa" w:w="1440"/>
            <w:shd w:fill="C6EFCE" w:val="clear"/>
          </w:tcPr>
          <w:p>
            <w:r>
              <w:rPr>
                <w:b/>
                <w:color w:val="008000"/>
                <w:sz w:val="17"/>
              </w:rPr>
              <w:t>+9.4%</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12,125</w:t>
            </w:r>
          </w:p>
        </w:tc>
        <w:tc>
          <w:tcPr>
            <w:tcW w:type="dxa" w:w="1440"/>
            <w:shd w:fill="C6EFCE" w:val="clear"/>
          </w:tcPr>
          <w:p>
            <w:r>
              <w:rPr>
                <w:b/>
                <w:sz w:val="17"/>
              </w:rPr>
              <w:t>13,720</w:t>
            </w:r>
          </w:p>
        </w:tc>
        <w:tc>
          <w:tcPr>
            <w:tcW w:type="dxa" w:w="1440"/>
            <w:shd w:fill="C6EFCE" w:val="clear"/>
          </w:tcPr>
          <w:p>
            <w:r>
              <w:rPr>
                <w:sz w:val="17"/>
              </w:rPr>
              <w:t>15,315</w:t>
            </w:r>
          </w:p>
        </w:tc>
        <w:tc>
          <w:tcPr>
            <w:tcW w:type="dxa" w:w="1440"/>
            <w:shd w:fill="C6EFCE" w:val="clear"/>
          </w:tcPr>
          <w:p>
            <w:r>
              <w:rPr>
                <w:b/>
                <w:color w:val="008000"/>
                <w:sz w:val="17"/>
              </w:rPr>
              <w:t>+9.9%</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12,057</w:t>
            </w:r>
          </w:p>
        </w:tc>
        <w:tc>
          <w:tcPr>
            <w:tcW w:type="dxa" w:w="1440"/>
            <w:shd w:fill="C6EFCE" w:val="clear"/>
          </w:tcPr>
          <w:p>
            <w:r>
              <w:rPr>
                <w:b/>
                <w:sz w:val="17"/>
              </w:rPr>
              <w:t>13,768</w:t>
            </w:r>
          </w:p>
        </w:tc>
        <w:tc>
          <w:tcPr>
            <w:tcW w:type="dxa" w:w="1440"/>
            <w:shd w:fill="C6EFCE" w:val="clear"/>
          </w:tcPr>
          <w:p>
            <w:r>
              <w:rPr>
                <w:sz w:val="17"/>
              </w:rPr>
              <w:t>15,478</w:t>
            </w:r>
          </w:p>
        </w:tc>
        <w:tc>
          <w:tcPr>
            <w:tcW w:type="dxa" w:w="1440"/>
            <w:shd w:fill="C6EFCE" w:val="clear"/>
          </w:tcPr>
          <w:p>
            <w:r>
              <w:rPr>
                <w:b/>
                <w:color w:val="008000"/>
                <w:sz w:val="17"/>
              </w:rPr>
              <w:t>+10.3%</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11,986</w:t>
            </w:r>
          </w:p>
        </w:tc>
        <w:tc>
          <w:tcPr>
            <w:tcW w:type="dxa" w:w="1440"/>
            <w:shd w:fill="C6EFCE" w:val="clear"/>
          </w:tcPr>
          <w:p>
            <w:r>
              <w:rPr>
                <w:b/>
                <w:sz w:val="17"/>
              </w:rPr>
              <w:t>13,806</w:t>
            </w:r>
          </w:p>
        </w:tc>
        <w:tc>
          <w:tcPr>
            <w:tcW w:type="dxa" w:w="1440"/>
            <w:shd w:fill="C6EFCE" w:val="clear"/>
          </w:tcPr>
          <w:p>
            <w:r>
              <w:rPr>
                <w:sz w:val="17"/>
              </w:rPr>
              <w:t>15,626</w:t>
            </w:r>
          </w:p>
        </w:tc>
        <w:tc>
          <w:tcPr>
            <w:tcW w:type="dxa" w:w="1440"/>
            <w:shd w:fill="C6EFCE" w:val="clear"/>
          </w:tcPr>
          <w:p>
            <w:r>
              <w:rPr>
                <w:b/>
                <w:color w:val="008000"/>
                <w:sz w:val="17"/>
              </w:rPr>
              <w:t>+10.6%</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11,913</w:t>
            </w:r>
          </w:p>
        </w:tc>
        <w:tc>
          <w:tcPr>
            <w:tcW w:type="dxa" w:w="1440"/>
            <w:shd w:fill="C6EFCE" w:val="clear"/>
          </w:tcPr>
          <w:p>
            <w:r>
              <w:rPr>
                <w:b/>
                <w:sz w:val="17"/>
              </w:rPr>
              <w:t>13,835</w:t>
            </w:r>
          </w:p>
        </w:tc>
        <w:tc>
          <w:tcPr>
            <w:tcW w:type="dxa" w:w="1440"/>
            <w:shd w:fill="C6EFCE" w:val="clear"/>
          </w:tcPr>
          <w:p>
            <w:r>
              <w:rPr>
                <w:sz w:val="17"/>
              </w:rPr>
              <w:t>15,756</w:t>
            </w:r>
          </w:p>
        </w:tc>
        <w:tc>
          <w:tcPr>
            <w:tcW w:type="dxa" w:w="1440"/>
            <w:shd w:fill="C6EFCE" w:val="clear"/>
          </w:tcPr>
          <w:p>
            <w:r>
              <w:rPr>
                <w:b/>
                <w:color w:val="008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112,36 milliards FCFA, SDCC se positionne parmi les valeurs de taille intermédiaire à supérieure de la cote BRVM, ce qui traduit une certaine maturité et une liquidité relative sur le marché régional. Le BPA de 518 FCFA/action indique que chaque titre génère un bénéfice net de 518 FCFA, ce qui, rapporté au cours actuel de 12 485 FCFA, donne un PER de 24,1x — nettement supérieur à la moyenne du marché BRVM (8-12x), signalant que les investisseurs paient une prime de croissance significative ou que le titre est surévalué. Le P/B de 5,70x confirme cette tendance : le marché valorise SDCC à plus de cinq fois sa valeur comptable, une prime exigeante qui suppose une forte rentabilité future des fonds propres. Enfin, l'EV/EBITDA de 14,7x, dans la fourchette haute (10-15x), indique que la valeur totale de l'entreprise (incluant la dette) représente près de 15 fois sa capacité opérationnelle, ce qui est coûteux et laisse peu de marge d'erreur en cas de dégradation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SDCC a enregistré une progression spectaculaire de +73,40%, passant d'un plus bas de 7 200 FCFA à un plus haut de 13 885 FCFA, avant de terminer à 12 485 FCFA, soit une correction de -7,48% lors de la dernière séance. Ce range de trading de 6 685 FCFA (soit près de 93% du plus bas) témoigne d'une tendance nettement haussière, bien que la récente baisse journalière signale une prise de profit ou un essoufflement. Les statistiques descriptives révèlent une moyenne de 11 573 FCFA inférieure à la médiane de 11 900 FCFA, ce qui indique une asymétrie négative (skewness de -1,194) : les journées de forte hausse ont été plus fréquentes que les journées de forte baisse, mais quelques journées de correction marquée tirent la moyenne vers le bas. L'écart-type de 1 352 FCFA (CV = 11,7%) traduit une dispersion modérée du cours autour de sa moyenne, tandis que le kurtosis excédentaire de 1,662 (leptokurtique) signale des queues épaisses, c'est-à-dire un risque de pics de volatilité brutaux. La volatilité annualisée de 40,3% classe le titre dans la catégorie des valeurs à volatilité élevée (&gt;30%), ce qui implique un risque important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(13 089 FCFA) et la MM50 (12 293 FCFA) encadrent le cours actuel (12 485 FCFA), qui se situe entre les deux. La MM20 est supérieure à la MM50, confirmant une tendance de fond haussière, mais le cours est passé sous la MM20, signalant un affaiblissement à court terme. La décision technique globale reste "Achat" tant que le cours se maintient au-dessus de la MM50.</w:t>
      </w:r>
    </w:p>
    <w:p>
      <w:pPr>
        <w:spacing w:after="120" w:line="276" w:lineRule="auto"/>
      </w:pPr>
      <w:r>
        <w:t>**Bandes de Bollinger** : Le cours (12 485 FCFA) évolue dans la partie basse de la bande, entre la borne inférieure (12 021 FCFA) et la borne supérieure (14 157 FCFA). La largeur des bandes est importante, reflétant la forte volatilité récente. La décision "Neutre" suggère une absence de signal directionnel clair, le cours n'étant ni en survente ni en surachat par rapport aux bandes.</w:t>
      </w:r>
    </w:p>
    <w:p>
      <w:pPr>
        <w:spacing w:after="120" w:line="276" w:lineRule="auto"/>
      </w:pPr>
      <w:r>
        <w:t>**MACD** : La valeur du MACD (284,157) est inférieure à son signal (361,988), ce qui génère une décision "Vente". Cette divergence baissière indique un ralentissement du momentum haussier, voire un retournement à court terme, et invite à la prudence malgré la tendance de fond positive.</w:t>
      </w:r>
    </w:p>
    <w:p>
      <w:pPr>
        <w:spacing w:after="120" w:line="276" w:lineRule="auto"/>
      </w:pPr>
      <w:r>
        <w:t>**RSI** : À 44,504, le RSI se situe dans la zone neutre (30-70), sans signal de surachat ni de survente. La décision "Neutre" reflète un équilibre entre acheteurs et vendeurs, le titre ayant digéré sa récente correction sans excès baissier.</w:t>
      </w:r>
    </w:p>
    <w:p>
      <w:pPr>
        <w:spacing w:after="120" w:line="276" w:lineRule="auto"/>
      </w:pPr>
      <w:r>
        <w:t>**Stochastique** : Le %K (0,0) est nettement inférieur au %D (40,969), ce qui place le titre en zone de survente extrême. Paradoxalement, la décision technique est "Achat", car un %K à 0 suggère un rebond imminent à court terme, bien que le croisement des lignes ne soit pas encore confirmé.</w:t>
      </w:r>
    </w:p>
    <w:p>
      <w:pPr>
        <w:spacing w:after="120" w:line="276" w:lineRule="auto"/>
      </w:pPr>
      <w:r>
        <w:t>**Conclusion technique** : Les indicateurs sont mitigés. La tendance de fond reste haussière (MM20 &gt; MM50), mais le MACD baissier et le cours sous la MM20 signalent une correction en cours. Le RSI neutre et le stochastique en survente suggèrent qu'un rebond technique est possible à court terme, mais la divergence entre les signaux (MACD vendeur, stochastique acheteur) appelle à la prudence. Une consolidation avant une reprise durable est probable.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SDCC a réalisé un chiffre d'affaires de 189,430 milliards FCFA, en croissance de 9,98% par rapport à 2024, porté par la dynamique des ventes d'eau et l'augmentation du nombre de clients (+6,14% à 2,27 millions). Le résultat net s'établit à 4,663 milliards FCFA, en hausse de 31%, avec une marge nette de 2,46% — faible mais en amélioration. Le ROE de 23,65% est excellent (&gt;15%), témoignant d'une bonne rentabilité des fonds propres, tandis que le ROA de 0,99% reste modeste, reflétant l'intensité capitalistique du secteur. La structure financière est très déséquilibrée : l'autonomie financière n'est que de 4,17% (capitaux propres/total bilan), et le ratio d'endettement atteint 95,83%, avec des dettes financières totales de 145,939 milliards FCFA. Le BFR de 104,748 milliards FCFA est positif et élevé, principalement dû à des créances clients de 388,852 milliards FCFA, soit un délai client de 749 jours — un risque majeur de trésorerie. La trésorerie nette est négative à -61,710 milliards FCFA, et le flux opérationnel est de -36,655 milliards FCFA, confirmant les tensions de liquidité. Les rapports trimestriels récents (T1 2026, publié en 2026) montrent une amélioration spectaculaire : le résultat net bondit de 118% à 1 318 millions FCFA, avec un résultat d'exploitation multiplié par 2,5 à 2 730 millions FCFA, malgré un CA en léger repli de 2% à 40 916 millions FCFA. Cette performance est due à une meilleure maîtrise des charges opérationnelles. Sur la base de ce T1 2026, on peut estimer que l'exercice 2026 devrait afficher une nouvelle progression du résultat net, potentiellement au-delà de 5,5 milliards FCFA si la dynamique se poursuit. Le dividende proposé pour 2025 est de 525 FCFA/action, offrant un rendement d'environ 4,2% au cours actuel. En synthèse, SDCC présente une solidité opérationnelle en amélioration, mais une structure financière fragile (endettement élevé, trésorerie négative, délais clients très longs) qui constitue un risque majeur. La recommandation fondamentale est de **CONSERVER** avec prudence, en attendant la confirmation de la tendance positive sur l'ensemble de l'exercice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apparaît exigeante : PER de 24,1x, P/B de 5,70x et EV/EBITDA de 14,7x, tous supérieurs aux moyennes du marché, ce qui intègre déjà une forte anticipation de croissance. Le comportement du cours sur 100 jours est haussier (+73,40%) mais la correction récente (-7,48% en J-1) et la volatilité élevée (40,3%) avec un kurtosis leptokurtique (1,662) et un skewness négatif (-1,194) indiquent un risque de pics baissiers brutaux. Les signaux techniques sont divergents : tendance de fond haussière (MM20 &gt; MM50) mais MACD baissier et cours sous la MM20, tandis que le RSI neutre et le stochastique en survente suggèrent un rebond possible à court terme. Les fondamentaux sont mitigés : excellente rentabilité des fonds propres (ROE 23,65%) et amélioration spectaculaire du T1 2026 (RN +118%), mais structure financière très endettée (autonomie financière 4,17%) et trésorerie négative (-61,71 milliards FCFA) avec des délais clients de 749 jours. Les prédictions IA pour les 10 prochains jours ouvrables tablent sur une hausse progressive de 13 230 FCFA à 13 597 FCFA, ce qui contredit le signal baissier du MACD mais s'aligne sur le stochastique en survente et la tendance de fond. Compte tenu de la convergence partielle entre valorisation élevée, technique mitigée, fondamentaux en amélioration mais risqués et prédictions haussières, la recommandation finale est **CONSERVER**. Le niveau de confiance est **Moyen** (les signaux contradictoires empêchent une conviction forte) et le niveau de risque global est **Élevé** (volatilité, endettement, trésorerie tendue). L'horizon d'investissement optimal est le **moyen terme (3-12 mois)**, le temps que la dynamique du T1 2026 se confirme et que la structure financière s'assainisse.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158.41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18,353 titres</w:t>
            </w:r>
          </w:p>
        </w:tc>
        <w:tc>
          <w:tcPr>
            <w:tcW w:type="dxa" w:w="2268"/>
            <w:shd w:fill="FFF2CC" w:val="clear"/>
          </w:tcPr>
          <w:p>
            <w:r>
              <w:rPr>
                <w:b/>
                <w:color w:val="503200"/>
                <w:sz w:val="16"/>
              </w:rPr>
              <w:t xml:space="preserve">Cours actuel : </w:t>
            </w:r>
            <w:r>
              <w:rPr>
                <w:color w:val="000000"/>
                <w:sz w:val="17"/>
              </w:rPr>
              <w:t>2,910 FCFA</w:t>
            </w:r>
          </w:p>
          <w:p>
            <w:r>
              <w:rPr>
                <w:b/>
                <w:color w:val="503200"/>
                <w:sz w:val="16"/>
              </w:rPr>
              <w:t xml:space="preserve">Var. 100 jours : </w:t>
            </w:r>
            <w:r>
              <w:rPr>
                <w:b/>
                <w:color w:val="007800"/>
                <w:sz w:val="17"/>
              </w:rPr>
              <w:t>+58.15%</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18.94% (Élevée) — μ=2,388 FCFA, σ=452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β=0.6805 (Défensif) — Cov=0.000025, Var(idx)=0.000036, ρ=0.125,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18,353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σ_j=3.26%/j (Modérée) — Vol. annualisée≈51.8%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2,775</w:t>
            </w:r>
          </w:p>
        </w:tc>
        <w:tc>
          <w:tcPr>
            <w:tcW w:type="dxa" w:w="1440"/>
            <w:shd w:fill="FAFAFA" w:val="clear"/>
          </w:tcPr>
          <w:p>
            <w:r>
              <w:rPr>
                <w:b/>
                <w:sz w:val="17"/>
              </w:rPr>
              <w:t>2,924</w:t>
            </w:r>
          </w:p>
        </w:tc>
        <w:tc>
          <w:tcPr>
            <w:tcW w:type="dxa" w:w="1440"/>
            <w:shd w:fill="FAFAFA" w:val="clear"/>
          </w:tcPr>
          <w:p>
            <w:r>
              <w:rPr>
                <w:sz w:val="17"/>
              </w:rPr>
              <w:t>3,072</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2,731</w:t>
            </w:r>
          </w:p>
        </w:tc>
        <w:tc>
          <w:tcPr>
            <w:tcW w:type="dxa" w:w="1440"/>
            <w:shd w:fill="FAFAFA" w:val="clear"/>
          </w:tcPr>
          <w:p>
            <w:r>
              <w:rPr>
                <w:b/>
                <w:sz w:val="17"/>
              </w:rPr>
              <w:t>2,942</w:t>
            </w:r>
          </w:p>
        </w:tc>
        <w:tc>
          <w:tcPr>
            <w:tcW w:type="dxa" w:w="1440"/>
            <w:shd w:fill="FAFAFA" w:val="clear"/>
          </w:tcPr>
          <w:p>
            <w:r>
              <w:rPr>
                <w:sz w:val="17"/>
              </w:rPr>
              <w:t>3,154</w:t>
            </w:r>
          </w:p>
        </w:tc>
        <w:tc>
          <w:tcPr>
            <w:tcW w:type="dxa" w:w="1440"/>
            <w:shd w:fill="FAFAFA" w:val="clear"/>
          </w:tcPr>
          <w:p>
            <w:r>
              <w:rPr>
                <w:b/>
                <w:color w:val="008000"/>
                <w:sz w:val="17"/>
              </w:rPr>
              <w:t>+1.1%</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2,695</w:t>
            </w:r>
          </w:p>
        </w:tc>
        <w:tc>
          <w:tcPr>
            <w:tcW w:type="dxa" w:w="1440"/>
            <w:shd w:fill="FAFAFA" w:val="clear"/>
          </w:tcPr>
          <w:p>
            <w:r>
              <w:rPr>
                <w:b/>
                <w:sz w:val="17"/>
              </w:rPr>
              <w:t>2,955</w:t>
            </w:r>
          </w:p>
        </w:tc>
        <w:tc>
          <w:tcPr>
            <w:tcW w:type="dxa" w:w="1440"/>
            <w:shd w:fill="FAFAFA" w:val="clear"/>
          </w:tcPr>
          <w:p>
            <w:r>
              <w:rPr>
                <w:sz w:val="17"/>
              </w:rPr>
              <w:t>3,215</w:t>
            </w:r>
          </w:p>
        </w:tc>
        <w:tc>
          <w:tcPr>
            <w:tcW w:type="dxa" w:w="1440"/>
            <w:shd w:fill="FAFAFA" w:val="clear"/>
          </w:tcPr>
          <w:p>
            <w:r>
              <w:rPr>
                <w:b/>
                <w:color w:val="008000"/>
                <w:sz w:val="17"/>
              </w:rPr>
              <w:t>+1.5%</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2,660</w:t>
            </w:r>
          </w:p>
        </w:tc>
        <w:tc>
          <w:tcPr>
            <w:tcW w:type="dxa" w:w="1440"/>
            <w:shd w:fill="FAFAFA" w:val="clear"/>
          </w:tcPr>
          <w:p>
            <w:r>
              <w:rPr>
                <w:b/>
                <w:sz w:val="17"/>
              </w:rPr>
              <w:t>2,962</w:t>
            </w:r>
          </w:p>
        </w:tc>
        <w:tc>
          <w:tcPr>
            <w:tcW w:type="dxa" w:w="1440"/>
            <w:shd w:fill="FAFAFA" w:val="clear"/>
          </w:tcPr>
          <w:p>
            <w:r>
              <w:rPr>
                <w:sz w:val="17"/>
              </w:rPr>
              <w:t>3,263</w:t>
            </w:r>
          </w:p>
        </w:tc>
        <w:tc>
          <w:tcPr>
            <w:tcW w:type="dxa" w:w="1440"/>
            <w:shd w:fill="FAFAFA" w:val="clear"/>
          </w:tcPr>
          <w:p>
            <w:r>
              <w:rPr>
                <w:b/>
                <w:color w:val="008000"/>
                <w:sz w:val="17"/>
              </w:rPr>
              <w:t>+1.8%</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2,628</w:t>
            </w:r>
          </w:p>
        </w:tc>
        <w:tc>
          <w:tcPr>
            <w:tcW w:type="dxa" w:w="1440"/>
            <w:shd w:fill="FAFAFA" w:val="clear"/>
          </w:tcPr>
          <w:p>
            <w:r>
              <w:rPr>
                <w:b/>
                <w:sz w:val="17"/>
              </w:rPr>
              <w:t>2,965</w:t>
            </w:r>
          </w:p>
        </w:tc>
        <w:tc>
          <w:tcPr>
            <w:tcW w:type="dxa" w:w="1440"/>
            <w:shd w:fill="FAFAFA" w:val="clear"/>
          </w:tcPr>
          <w:p>
            <w:r>
              <w:rPr>
                <w:sz w:val="17"/>
              </w:rPr>
              <w:t>3,303</w:t>
            </w:r>
          </w:p>
        </w:tc>
        <w:tc>
          <w:tcPr>
            <w:tcW w:type="dxa" w:w="1440"/>
            <w:shd w:fill="FAFAFA" w:val="clear"/>
          </w:tcPr>
          <w:p>
            <w:r>
              <w:rPr>
                <w:b/>
                <w:color w:val="008000"/>
                <w:sz w:val="17"/>
              </w:rPr>
              <w:t>+1.9%</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2,598</w:t>
            </w:r>
          </w:p>
        </w:tc>
        <w:tc>
          <w:tcPr>
            <w:tcW w:type="dxa" w:w="1440"/>
            <w:shd w:fill="FAFAFA" w:val="clear"/>
          </w:tcPr>
          <w:p>
            <w:r>
              <w:rPr>
                <w:b/>
                <w:sz w:val="17"/>
              </w:rPr>
              <w:t>2,968</w:t>
            </w:r>
          </w:p>
        </w:tc>
        <w:tc>
          <w:tcPr>
            <w:tcW w:type="dxa" w:w="1440"/>
            <w:shd w:fill="FAFAFA" w:val="clear"/>
          </w:tcPr>
          <w:p>
            <w:r>
              <w:rPr>
                <w:sz w:val="17"/>
              </w:rPr>
              <w:t>3,338</w:t>
            </w:r>
          </w:p>
        </w:tc>
        <w:tc>
          <w:tcPr>
            <w:tcW w:type="dxa" w:w="1440"/>
            <w:shd w:fill="FAFAFA" w:val="clear"/>
          </w:tcPr>
          <w:p>
            <w:r>
              <w:rPr>
                <w:b/>
                <w:color w:val="008000"/>
                <w:sz w:val="17"/>
              </w:rPr>
              <w:t>+2.0%</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2,571</w:t>
            </w:r>
          </w:p>
        </w:tc>
        <w:tc>
          <w:tcPr>
            <w:tcW w:type="dxa" w:w="1440"/>
            <w:shd w:fill="C6EFCE" w:val="clear"/>
          </w:tcPr>
          <w:p>
            <w:r>
              <w:rPr>
                <w:b/>
                <w:sz w:val="17"/>
              </w:rPr>
              <w:t>2,970</w:t>
            </w:r>
          </w:p>
        </w:tc>
        <w:tc>
          <w:tcPr>
            <w:tcW w:type="dxa" w:w="1440"/>
            <w:shd w:fill="C6EFCE" w:val="clear"/>
          </w:tcPr>
          <w:p>
            <w:r>
              <w:rPr>
                <w:sz w:val="17"/>
              </w:rPr>
              <w:t>3,370</w:t>
            </w:r>
          </w:p>
        </w:tc>
        <w:tc>
          <w:tcPr>
            <w:tcW w:type="dxa" w:w="1440"/>
            <w:shd w:fill="C6EFCE" w:val="clear"/>
          </w:tcPr>
          <w:p>
            <w:r>
              <w:rPr>
                <w:b/>
                <w:color w:val="008000"/>
                <w:sz w:val="17"/>
              </w:rPr>
              <w:t>+2.1%</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2,544</w:t>
            </w:r>
          </w:p>
        </w:tc>
        <w:tc>
          <w:tcPr>
            <w:tcW w:type="dxa" w:w="1440"/>
            <w:shd w:fill="C6EFCE" w:val="clear"/>
          </w:tcPr>
          <w:p>
            <w:r>
              <w:rPr>
                <w:b/>
                <w:sz w:val="17"/>
              </w:rPr>
              <w:t>2,972</w:t>
            </w:r>
          </w:p>
        </w:tc>
        <w:tc>
          <w:tcPr>
            <w:tcW w:type="dxa" w:w="1440"/>
            <w:shd w:fill="C6EFCE" w:val="clear"/>
          </w:tcPr>
          <w:p>
            <w:r>
              <w:rPr>
                <w:sz w:val="17"/>
              </w:rPr>
              <w:t>3,399</w:t>
            </w:r>
          </w:p>
        </w:tc>
        <w:tc>
          <w:tcPr>
            <w:tcW w:type="dxa" w:w="1440"/>
            <w:shd w:fill="C6EFCE" w:val="clear"/>
          </w:tcPr>
          <w:p>
            <w:r>
              <w:rPr>
                <w:b/>
                <w:color w:val="008000"/>
                <w:sz w:val="17"/>
              </w:rPr>
              <w:t>+2.1%</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2,520</w:t>
            </w:r>
          </w:p>
        </w:tc>
        <w:tc>
          <w:tcPr>
            <w:tcW w:type="dxa" w:w="1440"/>
            <w:shd w:fill="C6EFCE" w:val="clear"/>
          </w:tcPr>
          <w:p>
            <w:r>
              <w:rPr>
                <w:b/>
                <w:sz w:val="17"/>
              </w:rPr>
              <w:t>2,973</w:t>
            </w:r>
          </w:p>
        </w:tc>
        <w:tc>
          <w:tcPr>
            <w:tcW w:type="dxa" w:w="1440"/>
            <w:shd w:fill="C6EFCE" w:val="clear"/>
          </w:tcPr>
          <w:p>
            <w:r>
              <w:rPr>
                <w:sz w:val="17"/>
              </w:rPr>
              <w:t>3,427</w:t>
            </w:r>
          </w:p>
        </w:tc>
        <w:tc>
          <w:tcPr>
            <w:tcW w:type="dxa" w:w="1440"/>
            <w:shd w:fill="C6EFCE" w:val="clear"/>
          </w:tcPr>
          <w:p>
            <w:r>
              <w:rPr>
                <w:b/>
                <w:color w:val="008000"/>
                <w:sz w:val="17"/>
              </w:rPr>
              <w:t>+2.2%</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2,496</w:t>
            </w:r>
          </w:p>
        </w:tc>
        <w:tc>
          <w:tcPr>
            <w:tcW w:type="dxa" w:w="1440"/>
            <w:shd w:fill="C6EFCE" w:val="clear"/>
          </w:tcPr>
          <w:p>
            <w:r>
              <w:rPr>
                <w:b/>
                <w:sz w:val="17"/>
              </w:rPr>
              <w:t>2,975</w:t>
            </w:r>
          </w:p>
        </w:tc>
        <w:tc>
          <w:tcPr>
            <w:tcW w:type="dxa" w:w="1440"/>
            <w:shd w:fill="C6EFCE" w:val="clear"/>
          </w:tcPr>
          <w:p>
            <w:r>
              <w:rPr>
                <w:sz w:val="17"/>
              </w:rPr>
              <w:t>3,453</w:t>
            </w:r>
          </w:p>
        </w:tc>
        <w:tc>
          <w:tcPr>
            <w:tcW w:type="dxa" w:w="1440"/>
            <w:shd w:fill="C6EFCE" w:val="clear"/>
          </w:tcPr>
          <w:p>
            <w:r>
              <w:rPr>
                <w:b/>
                <w:color w:val="008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158,41 milliards FCFA, SDSC figure parmi les valeurs moyennes de la cote BRVM, ce qui lui confère une liquidité relative mais un poids non négligeable dans l'indice composite. Le BPA de 387 FCFA/action indique que chaque titre génère un bénéfice unitaire significatif, mais ce chiffre doit être manié avec prudence car il repose sur l'exercice 2024, année exceptionnellement profitable grâce aux dividendes de filiales. Le PER de 7,5x, inférieur à la moyenne BRVM (8-12x), suggère une sous-évaluation apparente du titre par rapport à ses bénéfices passés — mais cette lecture est biaisée par l'effondrement du résultat net 2025 (-96%), qui porte le PER réel à plus de 200x sur la base des bénéfices les plus récents. Le P/B de 2,04x traduit une prime de croissance accordée par le marché, cohérente avec la solidité du bilan (capitaux propres de 73,5 milliards FCFA en 2025), tandis que l'EV/EBITDA de 34,2x apparaît très exigeant et déconnecté de la capacité opérationnelle réelle de l'entreprise, signalant une valorisation tendue.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affiche une performance spectaculaire de +58,15%, portant le cours à 2 910 FCFA, malgré un repli de -2,68% lors de la dernière séance. Le range de trading est particulièrement large, avec un plus haut à 3 205 FCFA et un plus bas à 1 650 FCFA, soit une amplitude de près de 94%, témoignant d'une forte volatilité. La tendance générale est nettement haussière, soutenue par un volume moyen quotidien de 18 353 titres, ce qui indique un intérêt réel des investisseurs. Les statistiques descriptives révèlent une moyenne de 2 388 FCFA légèrement inférieure à la médiane de 2 460 FCFA, suggérant une asymétrie mineure vers les valeurs basses, confirmée par un skewness de -0,172 (distribution quasi-symétrique). L'écart-type de 455 FCFA (CV=19,0%) traduit une dispersion modérée autour de la moyenne, tandis que le kurtosis de -1,200 (distribution platykurtique) indique une faible concentration des rendements et un risque de pics de volatilité moins prononcé qu'une distribution normale. Avec une volatilité annualisée de 51,8%, le titre se situe dans la catégorie des valeurs à volatilité élevée (&gt;30%), ce qui implique un risque significatif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(2 942,25 FCFA) et la MM50 (2 751,30 FCFA) se situent toutes deux sous le cours actuel (2 910 FCFA), avec une MM20 légèrement supérieure à la MM50, configurant un croisement haussier classique. Cette configuration justifie la décision d'achat, le cours évoluant au-dessus de ses supports dynamiques, ce qui confirme la tendance positive de moyen terme.</w:t>
      </w:r>
    </w:p>
    <w:p>
      <w:pPr>
        <w:spacing w:after="120" w:line="276" w:lineRule="auto"/>
      </w:pPr>
      <w:r>
        <w:t>**Bandes de Bollinger** : Le cours actuel (2 910 FCFA) se situe dans la partie supérieure de la bande, entre la borne inférieure (2 581,19 FCFA) et la borne supérieure (3 303,31 FCFA), sans toutefois les toucher. Cette position médiane-haute, combinée à une largeur de bande élevée, traduit une volatilité importante mais sans signal de surachat extrême, justifiant la décision neutre.</w:t>
      </w:r>
    </w:p>
    <w:p>
      <w:pPr>
        <w:spacing w:after="120" w:line="276" w:lineRule="auto"/>
      </w:pPr>
      <w:r>
        <w:t>**MACD** : La valeur du MACD (87,53) est inférieure à son signal (106,76), générant un croisement baissier qui indique un essoufflement du momentum haussier. Cette divergence négative, bien que modérée, justifie la décision de vente à court terme, le marché perdant de sa dynamique positive.</w:t>
      </w:r>
    </w:p>
    <w:p>
      <w:pPr>
        <w:spacing w:after="120" w:line="276" w:lineRule="auto"/>
      </w:pPr>
      <w:r>
        <w:t>**RSI** : À 55,24, le RSI se situe en zone neutre (30-70), sans signal de surachat (&gt;70) ni de survente (&lt;30). Cette position médiane indique un équilibre entre acheteurs et vendeurs, justifiant la décision neutre et suggérant une absence de pression directionnelle forte.</w:t>
      </w:r>
    </w:p>
    <w:p>
      <w:pPr>
        <w:spacing w:after="120" w:line="276" w:lineRule="auto"/>
      </w:pPr>
      <w:r>
        <w:t>**Stochastique** : Le %K (0,0) est nettement inférieur au %D (40,18), avec un croisement en zone de survente qui génère un signal d'achat technique. Cette configuration, bien que le %K à 0 soit extrême, suggère un potentiel rebond à court terme, justifiant la décision d'achat.</w:t>
      </w:r>
    </w:p>
    <w:p>
      <w:pPr>
        <w:spacing w:after="120" w:line="276" w:lineRule="auto"/>
      </w:pPr>
      <w:r>
        <w:t>**Conclusion technique** : Les indicateurs présentent une divergence notable : les moyennes mobiles et le stochastique émettent des signaux d'achat, tandis que le MACD signale une vente et que le RSI et les Bollinger restent neutres. Cette configuration mitigée, avec une tendance de fond haussière mais un momentum qui s'essouffle, plaide pour une prudence à court terme, le titre pouvant consolider avant de reprendre sa progression.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révèlent une entreprise solide : un chiffre d'affaires de 85,64 milliards FCFA, un résultat net de 21,07 milliards FCFA, un ROE exceptionnel de 27,08% et un ROA de 11,20%, avec une marge nette de 24,60%. Cependant, les rapports narratifs les plus récents (DEEPSEEK, 05/08/2026 et 19/09/2026) documentent un effondrement spectaculaire en 2025 : le CA progresse de +7,43% à 92,00 milliards FCFA, mais le résultat net chute de -96% à 0,78 milliard FCFA, et le résultat d'exploitation devient négatif (-2,27 milliards FCFA) sous l'effet d'une hausse des dotations aux amortissements (+41%) et des charges de personnel. La marge nette s'effondre à 0,85%, et le dividende proposé chute de -89% à 544,35 millions FCFA (taux de distribution de 69,3%). Sur le plan structurel, l'entreprise conserve des atouts : trésorerie nette de 74,78 milliards FCFA, flux opérationnels de 83,20 milliards FCFA, autonomie financière de 41,36% et solvabilité générale de 170,53%. Toutefois, le BFR explose à +75,70 milliards FCFA et le délai clients atteint 466,94 jours, signalant un risque de trésorerie majeur. Les rapports trimestriels 2025 (T1, S1, T3) confirment cette tendance : le T1 2025 affiche un résultat net de +223 millions FCFA (contre -193 millions en T1 2024), le S1 2025 est négatif à -427 millions FCFA, et le T3 2025 chute de -77% à 4,34 milliards FCFA, pénalisé par l'absence de dividendes exceptionnels des filiales. Sur la base de ces éléments, on estime que l'exercice 2026 devrait bénéficier d'une base de comparaison favorable, mais la rentabilité opérationnelle reste fragile et dépendante de la reprise des dividendes de filiales et de la maîtrise des charges. La recommandation fondamentale est de **conserver** le titre, en surveillant la capacité de la direction à restaurer les marges opérationnelles et à normaliser la politique de dividende.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apparaît trompeuse : le PER de 7,5x suggère une sous-évaluation, mais il est artificiellement basé sur les bénéfices 2024, tandis que l'EV/EBITDA de 34,2x et le P/B de 2,04x traduisent une valorisation tendue et déconnectée des fondamentaux récents. Le comportement du cours (Partie 1) est haussier (+58,15% sur 100 jours) mais accompagné d'une volatilité élevée (51,8%) et d'une distribution platykurtique (kurtosis -1,200) qui indique un risque de pics modéré, avec un skewness quasi-symétrique (-0,172) ne signalant pas d'asymétrie directionnelle forte. Les signaux techniques (Partie 2) sont divergents : les moyennes mobiles et le stochastique sont haussiers, le MACD est baissier, et le RSI/Bollinger sont neutres, ce qui plaide pour une consolidation à court terme. Les fondamentaux (Partie 3) sont préoccupants : malgré un CA en croissance (+7,43% en 2025), le résultat net s'est effondré de -96% à 0,78 milliard FCFA, le résultat d'exploitation est négatif, et le dividende a chuté de -89%, même si la trésorerie reste abondante (74,78 milliards FCFA) et l'autonomie financière saine (41,36%). Les prédictions IA (J+1 à J+10) anticipent une trajectoire légèrement haussière (2 924 à 2 965 FCFA), ce qui contredit le signal baissier du MACD mais confirme la tendance de fond positive. Sur la base de cette synthèse, la recommandation finale est **CONSERVER**, avec un niveau de confiance **Moyen** et un risque global **Élevé**. L'horizon d'investissement optimal est le **moyen terme (3-12 mois)**, en attendant la publication des résultats 2026 qui permettront de vérifier si la rentabilité opérationnelle se redresse et si la politique de dividende se normalise. Une entrée à l'achat serait justifiée uniquement en cas de repli vers 2 500-2 600 FCFA (borne inférieure des Bollinger), offrant un meilleur point d'entrée pour un profil d'investisseur tolérant au risque.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β=1.1257 (Neutre (suit le marché)) — Cov=0.000040, Var(idx)=0.000035, ρ=0.233,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1,352</w:t>
            </w:r>
          </w:p>
        </w:tc>
        <w:tc>
          <w:tcPr>
            <w:tcW w:type="dxa" w:w="1440"/>
            <w:shd w:fill="FAFAFA" w:val="clear"/>
          </w:tcPr>
          <w:p>
            <w:r>
              <w:rPr>
                <w:b/>
                <w:sz w:val="17"/>
              </w:rPr>
              <w:t>1,483</w:t>
            </w:r>
          </w:p>
        </w:tc>
        <w:tc>
          <w:tcPr>
            <w:tcW w:type="dxa" w:w="1440"/>
            <w:shd w:fill="FAFAFA" w:val="clear"/>
          </w:tcPr>
          <w:p>
            <w:r>
              <w:rPr>
                <w:sz w:val="17"/>
              </w:rPr>
              <w:t>1,614</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1,329</w:t>
            </w:r>
          </w:p>
        </w:tc>
        <w:tc>
          <w:tcPr>
            <w:tcW w:type="dxa" w:w="1440"/>
            <w:shd w:fill="FAFAFA" w:val="clear"/>
          </w:tcPr>
          <w:p>
            <w:r>
              <w:rPr>
                <w:b/>
                <w:sz w:val="17"/>
              </w:rPr>
              <w:t>1,475</w:t>
            </w:r>
          </w:p>
        </w:tc>
        <w:tc>
          <w:tcPr>
            <w:tcW w:type="dxa" w:w="1440"/>
            <w:shd w:fill="FAFAFA" w:val="clear"/>
          </w:tcPr>
          <w:p>
            <w:r>
              <w:rPr>
                <w:sz w:val="17"/>
              </w:rPr>
              <w:t>1,622</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1,309</w:t>
            </w:r>
          </w:p>
        </w:tc>
        <w:tc>
          <w:tcPr>
            <w:tcW w:type="dxa" w:w="1440"/>
            <w:shd w:fill="FAFAFA" w:val="clear"/>
          </w:tcPr>
          <w:p>
            <w:r>
              <w:rPr>
                <w:b/>
                <w:sz w:val="17"/>
              </w:rPr>
              <w:t>1,468</w:t>
            </w:r>
          </w:p>
        </w:tc>
        <w:tc>
          <w:tcPr>
            <w:tcW w:type="dxa" w:w="1440"/>
            <w:shd w:fill="FAFAFA" w:val="clear"/>
          </w:tcPr>
          <w:p>
            <w:r>
              <w:rPr>
                <w:sz w:val="17"/>
              </w:rPr>
              <w:t>1,627</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1,290</w:t>
            </w:r>
          </w:p>
        </w:tc>
        <w:tc>
          <w:tcPr>
            <w:tcW w:type="dxa" w:w="1440"/>
            <w:shd w:fill="FFDCE0" w:val="clear"/>
          </w:tcPr>
          <w:p>
            <w:r>
              <w:rPr>
                <w:b/>
                <w:sz w:val="17"/>
              </w:rPr>
              <w:t>1,461</w:t>
            </w:r>
          </w:p>
        </w:tc>
        <w:tc>
          <w:tcPr>
            <w:tcW w:type="dxa" w:w="1440"/>
            <w:shd w:fill="FFDCE0" w:val="clear"/>
          </w:tcPr>
          <w:p>
            <w:r>
              <w:rPr>
                <w:sz w:val="17"/>
              </w:rPr>
              <w:t>1,632</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1,272</w:t>
            </w:r>
          </w:p>
        </w:tc>
        <w:tc>
          <w:tcPr>
            <w:tcW w:type="dxa" w:w="1440"/>
            <w:shd w:fill="FFDCE0" w:val="clear"/>
          </w:tcPr>
          <w:p>
            <w:r>
              <w:rPr>
                <w:b/>
                <w:sz w:val="17"/>
              </w:rPr>
              <w:t>1,454</w:t>
            </w:r>
          </w:p>
        </w:tc>
        <w:tc>
          <w:tcPr>
            <w:tcW w:type="dxa" w:w="1440"/>
            <w:shd w:fill="FFDCE0" w:val="clear"/>
          </w:tcPr>
          <w:p>
            <w:r>
              <w:rPr>
                <w:sz w:val="17"/>
              </w:rPr>
              <w:t>1,636</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1,255</w:t>
            </w:r>
          </w:p>
        </w:tc>
        <w:tc>
          <w:tcPr>
            <w:tcW w:type="dxa" w:w="1440"/>
            <w:shd w:fill="FFDCE0" w:val="clear"/>
          </w:tcPr>
          <w:p>
            <w:r>
              <w:rPr>
                <w:b/>
                <w:sz w:val="17"/>
              </w:rPr>
              <w:t>1,447</w:t>
            </w:r>
          </w:p>
        </w:tc>
        <w:tc>
          <w:tcPr>
            <w:tcW w:type="dxa" w:w="1440"/>
            <w:shd w:fill="FFDCE0" w:val="clear"/>
          </w:tcPr>
          <w:p>
            <w:r>
              <w:rPr>
                <w:sz w:val="17"/>
              </w:rPr>
              <w:t>1,639</w:t>
            </w:r>
          </w:p>
        </w:tc>
        <w:tc>
          <w:tcPr>
            <w:tcW w:type="dxa" w:w="1440"/>
            <w:shd w:fill="FFDCE0" w:val="clear"/>
          </w:tcPr>
          <w:p>
            <w:r>
              <w:rPr>
                <w:b/>
                <w:color w:val="C00000"/>
                <w:sz w:val="17"/>
              </w:rPr>
              <w:t>-3.2%</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1,238</w:t>
            </w:r>
          </w:p>
        </w:tc>
        <w:tc>
          <w:tcPr>
            <w:tcW w:type="dxa" w:w="1440"/>
            <w:shd w:fill="FFDCE0" w:val="clear"/>
          </w:tcPr>
          <w:p>
            <w:r>
              <w:rPr>
                <w:b/>
                <w:sz w:val="17"/>
              </w:rPr>
              <w:t>1,440</w:t>
            </w:r>
          </w:p>
        </w:tc>
        <w:tc>
          <w:tcPr>
            <w:tcW w:type="dxa" w:w="1440"/>
            <w:shd w:fill="FFDCE0" w:val="clear"/>
          </w:tcPr>
          <w:p>
            <w:r>
              <w:rPr>
                <w:sz w:val="17"/>
              </w:rPr>
              <w:t>1,642</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SEMC (BRVM)**</w:t>
        <w:br/>
        <w:t>*Date d'analyse : septembre 2026 | Analyste : Desk Marché Actions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classe parmi les valeurs moyennes du compartiment industriel, avec une liquidité limitée (volume moyen de 6 046 titres/jour). Les ratios de valorisation classiques (BPA, PER, P/B, EV/EBITDA) ne sont pas calculables en l'état, faute de données financières structurées exploitables dans la base (les états financiers disponibles étant datés et non consolidés dans les ratios de marché). À titre indicatif, les rapports fondamentaux 2023 font état d'un BPA de 512 FCFA (exercice 2023, rapport du 31/12/2023), ce qui impliquerait un PER implicite d'environ 2,9x au cours actuel de 1 495 FCFA — un niveau très inférieur à la moyenne BRVM (~8-12x), suggérant une sous-évaluation apparente, mais à pondérer par la dégradation récente des résultats et l'ancienneté de ces données. L'absence de P/B et d'EV/EBITDA calculables limite toutefois la lecture croisée de la valorisation.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SEMC affiche une variation totale de **-16,94 %**, avec une dernière séance en repli de **-1,64 %**, confirmant une tendance baissière persistante. Le titre évolue dans un range de 1 350 à 1 800 FCFA, et le cours actuel (1 495 FCFA) se situe dans la moitié basse de cette fourchette, à seulement 10,7 % au-dessus du plus bas. La moyenne (1 527 FCFA) est légèrement supérieure à la médiane (1 520 FCFA), avec un mode à 1 500 FCFA : la distribution est donc faiblement asymétrique, cohérente avec le skewness positif de 0,558 qui indique davantage de journées de cotation sous la moyenne. L'écart-type de 69 FCFA et le coefficient de variation de 4,5 % traduisent une dispersion modérée en séance, mais le kurtosis de 1,652 (leptokurtique) signale des queues épaisses et un risque de pics de volatilité brutaux. La volatilité annualisée de 47,2 % place clairement SEMC dans la catégorie des titres à volatilité **élevée** (&gt;30 %), ce qui est cohérent avec la faible liquidité et la sensibilité du dossier aux annonces fondamentales.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est supérieure à la MM50 (1 499,20 FCFA), et le cours actuel (1 495 FCFA) se situe sous ces deux moyennes. Malgré la décision affichée « Achat », la configuration réelle est baissière à court terme, le cours ayant cassé la MM50 à la baisse ; le signal haussier de la MM20&gt;MM50 reste fragile et pourrait être invalidé si le repli se poursuit.</w:t>
      </w:r>
    </w:p>
    <w:p>
      <w:pPr>
        <w:spacing w:after="120" w:line="276" w:lineRule="auto"/>
      </w:pPr>
      <w:r>
        <w:t>**Bandes de Bollinger** : Le cours (1 495 FCFA) évolue dans la partie basse du canal, entre la borne inférieure (1 459,69 FCFA) et la borne supérieure (1 621,81 FCFA), sans toucher les extrêmes. La décision « Neutre » est justifiée : le titre n'est ni en survente technique ni en surachat, et l'absence de contraction marquée des bandes ne permet pas d'anticiper un retournement imminent.</w:t>
      </w:r>
    </w:p>
    <w:p>
      <w:pPr>
        <w:spacing w:after="120" w:line="276" w:lineRule="auto"/>
      </w:pPr>
      <w:r>
        <w:t>**MACD** : La valeur du MACD (6,331) est inférieure à son signal (10,253), configuration baissière classique confirmant la décision « Vente ». Le momentum s'affaiblit et la divergence négative persiste, ce qui plaide pour une poursuite de la correction tant que le MACD ne recroise pas son signal à la hausse.</w:t>
      </w:r>
    </w:p>
    <w:p>
      <w:pPr>
        <w:spacing w:after="120" w:line="276" w:lineRule="auto"/>
      </w:pPr>
      <w:r>
        <w:t>**RSI** : À 49,533, le RSI est parfaitement neutre (zone 30-70), ni en surachat (&gt;70) ni en survente (&lt;30). La décision « Neutre » reflète l'absence de pression directionnelle forte, le titre pouvant évoluer dans les deux sens sans signal d'épuisement.</w:t>
      </w:r>
    </w:p>
    <w:p>
      <w:pPr>
        <w:spacing w:after="120" w:line="276" w:lineRule="auto"/>
      </w:pPr>
      <w:r>
        <w:t>**Stochastique** : Le %K (34,615) est nettement inférieur au %D (57,692), avec un croisement baissier en cours dans la zone basse. La décision « Neutre » masque une pression vendeuse sous-jacente ; un franchissement de la zone 20 déclencherait un signal de survente, mais ce n'est pas encore le cas.</w:t>
      </w:r>
    </w:p>
    <w:p>
      <w:pPr>
        <w:spacing w:after="120" w:line="276" w:lineRule="auto"/>
      </w:pPr>
      <w:r>
        <w:t>**Conclusion technique** : Les indicateurs sont majoritairement baissiers ou neutres — MACD en vente, cours sous les moyennes mobiles, stochastique en croisement baissier — tandis que le RSI et les Bollinger restent neutres. Aucun signal d'achat convergent n'émerge ; la configuration plaide pour une prudence à court terme, avec un support immédiat à 1 459 FCFA (borne basse de Bollinger) et un risque de test du plus bas à 1 350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ne sont pas disponibles dans la base, mais les rapports officiels fournis permettent une analyse approfondie. Le rapport le plus récent (états financiers au 31/12/2023, analysé le 15/03/2026) fait état d'un **chiffre d'affaires de 27,88 milliards FCFA en 2023**, en **baisse de 6 %** par rapport aux 29,60 milliards FCFA de 2022, et d'un **résultat net de 1,01 milliard FCFA**, en **chute de 74 %** vs 3,86 milliards FCFA en 2022. La marge nette s'effondre à **3,6 %** (contre 13,0 % en 2022), et le dividende est nul (0 FCFA) pour la deuxième année consécutive, la trésorerie (3,35 milliards FCFA) étant conservée pour financer la relance. Cette dégradation s'explique par la perte de clients clés (AIRONE : -81 % de CA), la concurrence du PET dans le segment tomate, et des coûts fixes élevés. Un second rapport (même date, 31/12/2023) présente des chiffres divergents (CA de 125,4 Mds FCFA, résultat net de 12,8 Mds FCFA, ROE de 18,5 %, DPA de 250 FCFA), mais ces données semblent issues d'une analyse erronée ou d'un périmètre différent (probablement Eviosys groupe et non SEMC seule) et doivent être écartées au profit des chiffres spécifiques SEMC. Le rapport T1 2023 (au 31/03/2023) montrait encore une dynamique positive (CA +16,5 %, résultat net +37,9 %, marge nette 11,2 %), ce qui suggère que la dégradation s'est concentrée sur les trimestres suivants. Le rachat par **Sonoco Products Company** (finalisé en décembre 2024) constitue un élément stratégique majeur, susceptible d'apporter capitaux et synergies, mais aussi un risque de dilution et de réorganisation. La suspension de la cote BRVM (flottant insuffisant : 10,42 % vs 15 % requis) depuis janvier 2024 est un facteur de risque de liquidité supplémentaire. **Conclusion fondamentale** : la solidité financière s'est fortement dégradée en 2023, mais les perspectives 2024 (objectif CA de 32 Mds FCFA, +18 %) et l'arrivée de Sonoco offrent des leviers de rebond — sous réserve d'exécution.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suggère une sous-évaluation apparente (PER implicite ~2,9x sur la base du BPA 2023), mais cette lecture est fragilisée par l'ancienneté des données et la chute du résultat net. Le comportement du cours (Partie 1) est clairement baissier (-16,94 % sur 100 jours), avec une volatilité élevée (47,2 %) et un kurtosis leptokurtique (1,652) signalant un risque de pics brutaux — des statistiques préoccupantes pour un investisseur averse au risque. Les signaux techniques (Partie 2) sont majoritairement baissiers (MACD en vente, cours sous MM20/MM50, stochastique en croisement baissier), sans convergence haussière. Les fondamentaux (Partie 3) révèlent une dégradation sévère en 2023 (CA -6 %, résultat net -74 %, marge nette 3,6 %, dividende nul), tempérée par les perspectives de relance 2024 et le rachat par Sonoco. Les prédictions IA (J+1 à J+10) anticipent une poursuite de la baisse de 1 483 à 1 454 FCFA, confirmant la tendance baissière et contredisant toute thèse de retournement imminent. **Synthèse** : la convergence entre technique baissier, fondamentaux dégradés et prédictions négatives l'emporte sur l'argument de sous-évaluation, qui reste spéculatif. **Recommandation finale : CONSERVER** (avec vigilance), justifiée par le potentiel de rebond lié à Sonoco et à l'objectif 2024, mais à confirmer. **Niveau de confiance : Moyen** (données fondamentales anciennes et divergentes). **Niveau de risque global : Élevé** (volatilité 47,2 %, suspension de cote, dépendance clients). **Horizon optimal : moyen terme (3-12 mois)**, le temps que la stratégie de relance et l'intégration Sonoco produisent des résultats observables.</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1210.22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5,290 titres</w:t>
            </w:r>
          </w:p>
        </w:tc>
        <w:tc>
          <w:tcPr>
            <w:tcW w:type="dxa" w:w="2268"/>
            <w:shd w:fill="FFF2CC" w:val="clear"/>
          </w:tcPr>
          <w:p>
            <w:r>
              <w:rPr>
                <w:b/>
                <w:color w:val="503200"/>
                <w:sz w:val="16"/>
              </w:rPr>
              <w:t xml:space="preserve">Cours actuel : </w:t>
            </w:r>
            <w:r>
              <w:rPr>
                <w:color w:val="000000"/>
                <w:sz w:val="17"/>
              </w:rPr>
              <w:t>38,900 FCFA</w:t>
            </w:r>
          </w:p>
          <w:p>
            <w:r>
              <w:rPr>
                <w:b/>
                <w:color w:val="503200"/>
                <w:sz w:val="16"/>
              </w:rPr>
              <w:t xml:space="preserve">Var. 100 jours : </w:t>
            </w:r>
            <w:r>
              <w:rPr>
                <w:b/>
                <w:color w:val="007800"/>
                <w:sz w:val="17"/>
              </w:rPr>
              <w:t>+11.21%</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33,000 FCFA</w:t>
            </w:r>
          </w:p>
          <w:p>
            <w:r>
              <w:rPr>
                <w:b/>
                <w:color w:val="503200"/>
                <w:sz w:val="16"/>
              </w:rPr>
              <w:t xml:space="preserve">Volatilité ann. : </w:t>
            </w:r>
            <w:r>
              <w:rPr>
                <w:color w:val="000000"/>
                <w:sz w:val="17"/>
              </w:rPr>
              <w:t>23.3%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4.33% (Faible) — μ=37,720 FCFA, σ=1,632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β=0.5555 (Défensif) — Cov=0.000020, Var(idx)=0.000036, ρ=0.229,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σ_j=1.47%/j (Stable) — Vol. annualisée≈23.3%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37,064</w:t>
            </w:r>
          </w:p>
        </w:tc>
        <w:tc>
          <w:tcPr>
            <w:tcW w:type="dxa" w:w="1440"/>
            <w:shd w:fill="FAFAFA" w:val="clear"/>
          </w:tcPr>
          <w:p>
            <w:r>
              <w:rPr>
                <w:b/>
                <w:sz w:val="17"/>
              </w:rPr>
              <w:t>38,143</w:t>
            </w:r>
          </w:p>
        </w:tc>
        <w:tc>
          <w:tcPr>
            <w:tcW w:type="dxa" w:w="1440"/>
            <w:shd w:fill="FAFAFA" w:val="clear"/>
          </w:tcPr>
          <w:p>
            <w:r>
              <w:rPr>
                <w:sz w:val="17"/>
              </w:rPr>
              <w:t>39,222</w:t>
            </w:r>
          </w:p>
        </w:tc>
        <w:tc>
          <w:tcPr>
            <w:tcW w:type="dxa" w:w="1440"/>
            <w:shd w:fill="FAFAFA" w:val="clear"/>
          </w:tcPr>
          <w:p>
            <w:r>
              <w:rPr>
                <w:b/>
                <w:color w:val="C00000"/>
                <w:sz w:val="17"/>
              </w:rPr>
              <w:t>-1.9%</w:t>
            </w:r>
          </w:p>
        </w:tc>
      </w:tr>
      <w:tr>
        <w:tc>
          <w:tcPr>
            <w:tcW w:type="dxa" w:w="1440"/>
            <w:shd w:fill="FFDCE0" w:val="clear"/>
          </w:tcPr>
          <w:p>
            <w:r>
              <w:rPr>
                <w:sz w:val="17"/>
              </w:rPr>
              <w:t>J+2  ⭐⭐⭐</w:t>
            </w:r>
          </w:p>
        </w:tc>
        <w:tc>
          <w:tcPr>
            <w:tcW w:type="dxa" w:w="1440"/>
            <w:shd w:fill="FFDCE0" w:val="clear"/>
          </w:tcPr>
          <w:p>
            <w:r>
              <w:rPr>
                <w:sz w:val="17"/>
              </w:rPr>
              <w:t>2026-09-22</w:t>
            </w:r>
          </w:p>
        </w:tc>
        <w:tc>
          <w:tcPr>
            <w:tcW w:type="dxa" w:w="1440"/>
            <w:shd w:fill="FFDCE0" w:val="clear"/>
          </w:tcPr>
          <w:p>
            <w:r>
              <w:rPr>
                <w:sz w:val="17"/>
              </w:rPr>
              <w:t>36,519</w:t>
            </w:r>
          </w:p>
        </w:tc>
        <w:tc>
          <w:tcPr>
            <w:tcW w:type="dxa" w:w="1440"/>
            <w:shd w:fill="FFDCE0" w:val="clear"/>
          </w:tcPr>
          <w:p>
            <w:r>
              <w:rPr>
                <w:b/>
                <w:sz w:val="17"/>
              </w:rPr>
              <w:t>38,041</w:t>
            </w:r>
          </w:p>
        </w:tc>
        <w:tc>
          <w:tcPr>
            <w:tcW w:type="dxa" w:w="1440"/>
            <w:shd w:fill="FFDCE0" w:val="clear"/>
          </w:tcPr>
          <w:p>
            <w:r>
              <w:rPr>
                <w:sz w:val="17"/>
              </w:rPr>
              <w:t>39,563</w:t>
            </w:r>
          </w:p>
        </w:tc>
        <w:tc>
          <w:tcPr>
            <w:tcW w:type="dxa" w:w="1440"/>
            <w:shd w:fill="FFDCE0" w:val="clear"/>
          </w:tcPr>
          <w:p>
            <w:r>
              <w:rPr>
                <w:b/>
                <w:color w:val="C00000"/>
                <w:sz w:val="17"/>
              </w:rPr>
              <w:t>-2.2%</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36,062</w:t>
            </w:r>
          </w:p>
        </w:tc>
        <w:tc>
          <w:tcPr>
            <w:tcW w:type="dxa" w:w="1440"/>
            <w:shd w:fill="FFDCE0" w:val="clear"/>
          </w:tcPr>
          <w:p>
            <w:r>
              <w:rPr>
                <w:b/>
                <w:sz w:val="17"/>
              </w:rPr>
              <w:t>37,921</w:t>
            </w:r>
          </w:p>
        </w:tc>
        <w:tc>
          <w:tcPr>
            <w:tcW w:type="dxa" w:w="1440"/>
            <w:shd w:fill="FFDCE0" w:val="clear"/>
          </w:tcPr>
          <w:p>
            <w:r>
              <w:rPr>
                <w:sz w:val="17"/>
              </w:rPr>
              <w:t>39,779</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2026-09-24</w:t>
            </w:r>
          </w:p>
        </w:tc>
        <w:tc>
          <w:tcPr>
            <w:tcW w:type="dxa" w:w="1440"/>
            <w:shd w:fill="FFDCE0" w:val="clear"/>
          </w:tcPr>
          <w:p>
            <w:r>
              <w:rPr>
                <w:sz w:val="17"/>
              </w:rPr>
              <w:t>35,665</w:t>
            </w:r>
          </w:p>
        </w:tc>
        <w:tc>
          <w:tcPr>
            <w:tcW w:type="dxa" w:w="1440"/>
            <w:shd w:fill="FFDCE0" w:val="clear"/>
          </w:tcPr>
          <w:p>
            <w:r>
              <w:rPr>
                <w:b/>
                <w:sz w:val="17"/>
              </w:rPr>
              <w:t>37,804</w:t>
            </w:r>
          </w:p>
        </w:tc>
        <w:tc>
          <w:tcPr>
            <w:tcW w:type="dxa" w:w="1440"/>
            <w:shd w:fill="FFDCE0" w:val="clear"/>
          </w:tcPr>
          <w:p>
            <w:r>
              <w:rPr>
                <w:sz w:val="17"/>
              </w:rPr>
              <w:t>39,944</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2026-09-25</w:t>
            </w:r>
          </w:p>
        </w:tc>
        <w:tc>
          <w:tcPr>
            <w:tcW w:type="dxa" w:w="1440"/>
            <w:shd w:fill="FFDCE0" w:val="clear"/>
          </w:tcPr>
          <w:p>
            <w:r>
              <w:rPr>
                <w:sz w:val="17"/>
              </w:rPr>
              <w:t>35,308</w:t>
            </w:r>
          </w:p>
        </w:tc>
        <w:tc>
          <w:tcPr>
            <w:tcW w:type="dxa" w:w="1440"/>
            <w:shd w:fill="FFDCE0" w:val="clear"/>
          </w:tcPr>
          <w:p>
            <w:r>
              <w:rPr>
                <w:b/>
                <w:sz w:val="17"/>
              </w:rPr>
              <w:t>37,693</w:t>
            </w:r>
          </w:p>
        </w:tc>
        <w:tc>
          <w:tcPr>
            <w:tcW w:type="dxa" w:w="1440"/>
            <w:shd w:fill="FFDCE0" w:val="clear"/>
          </w:tcPr>
          <w:p>
            <w:r>
              <w:rPr>
                <w:sz w:val="17"/>
              </w:rPr>
              <w:t>40,078</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2026-09-28</w:t>
            </w:r>
          </w:p>
        </w:tc>
        <w:tc>
          <w:tcPr>
            <w:tcW w:type="dxa" w:w="1440"/>
            <w:shd w:fill="FFDCE0" w:val="clear"/>
          </w:tcPr>
          <w:p>
            <w:r>
              <w:rPr>
                <w:sz w:val="17"/>
              </w:rPr>
              <w:t>34,981</w:t>
            </w:r>
          </w:p>
        </w:tc>
        <w:tc>
          <w:tcPr>
            <w:tcW w:type="dxa" w:w="1440"/>
            <w:shd w:fill="FFDCE0" w:val="clear"/>
          </w:tcPr>
          <w:p>
            <w:r>
              <w:rPr>
                <w:b/>
                <w:sz w:val="17"/>
              </w:rPr>
              <w:t>37,586</w:t>
            </w:r>
          </w:p>
        </w:tc>
        <w:tc>
          <w:tcPr>
            <w:tcW w:type="dxa" w:w="1440"/>
            <w:shd w:fill="FFDCE0" w:val="clear"/>
          </w:tcPr>
          <w:p>
            <w:r>
              <w:rPr>
                <w:sz w:val="17"/>
              </w:rPr>
              <w:t>40,191</w:t>
            </w:r>
          </w:p>
        </w:tc>
        <w:tc>
          <w:tcPr>
            <w:tcW w:type="dxa" w:w="1440"/>
            <w:shd w:fill="FFDCE0" w:val="clear"/>
          </w:tcPr>
          <w:p>
            <w:r>
              <w:rPr>
                <w:b/>
                <w:color w:val="C00000"/>
                <w:sz w:val="17"/>
              </w:rPr>
              <w:t>-3.4%</w:t>
            </w:r>
          </w:p>
        </w:tc>
      </w:tr>
      <w:tr>
        <w:tc>
          <w:tcPr>
            <w:tcW w:type="dxa" w:w="1440"/>
            <w:shd w:fill="FFDCE0" w:val="clear"/>
          </w:tcPr>
          <w:p>
            <w:r>
              <w:rPr>
                <w:sz w:val="17"/>
              </w:rPr>
              <w:t>J+7  Moyenne</w:t>
            </w:r>
          </w:p>
        </w:tc>
        <w:tc>
          <w:tcPr>
            <w:tcW w:type="dxa" w:w="1440"/>
            <w:shd w:fill="FFDCE0" w:val="clear"/>
          </w:tcPr>
          <w:p>
            <w:r>
              <w:rPr>
                <w:sz w:val="17"/>
              </w:rPr>
              <w:t>2026-09-29</w:t>
            </w:r>
          </w:p>
        </w:tc>
        <w:tc>
          <w:tcPr>
            <w:tcW w:type="dxa" w:w="1440"/>
            <w:shd w:fill="FFDCE0" w:val="clear"/>
          </w:tcPr>
          <w:p>
            <w:r>
              <w:rPr>
                <w:sz w:val="17"/>
              </w:rPr>
              <w:t>34,676</w:t>
            </w:r>
          </w:p>
        </w:tc>
        <w:tc>
          <w:tcPr>
            <w:tcW w:type="dxa" w:w="1440"/>
            <w:shd w:fill="FFDCE0" w:val="clear"/>
          </w:tcPr>
          <w:p>
            <w:r>
              <w:rPr>
                <w:b/>
                <w:sz w:val="17"/>
              </w:rPr>
              <w:t>37,482</w:t>
            </w:r>
          </w:p>
        </w:tc>
        <w:tc>
          <w:tcPr>
            <w:tcW w:type="dxa" w:w="1440"/>
            <w:shd w:fill="FFDCE0" w:val="clear"/>
          </w:tcPr>
          <w:p>
            <w:r>
              <w:rPr>
                <w:sz w:val="17"/>
              </w:rPr>
              <w:t>40,288</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2026-09-30</w:t>
            </w:r>
          </w:p>
        </w:tc>
        <w:tc>
          <w:tcPr>
            <w:tcW w:type="dxa" w:w="1440"/>
            <w:shd w:fill="FFDCE0" w:val="clear"/>
          </w:tcPr>
          <w:p>
            <w:r>
              <w:rPr>
                <w:sz w:val="17"/>
              </w:rPr>
              <w:t>34,389</w:t>
            </w:r>
          </w:p>
        </w:tc>
        <w:tc>
          <w:tcPr>
            <w:tcW w:type="dxa" w:w="1440"/>
            <w:shd w:fill="FFDCE0" w:val="clear"/>
          </w:tcPr>
          <w:p>
            <w:r>
              <w:rPr>
                <w:b/>
                <w:sz w:val="17"/>
              </w:rPr>
              <w:t>37,380</w:t>
            </w:r>
          </w:p>
        </w:tc>
        <w:tc>
          <w:tcPr>
            <w:tcW w:type="dxa" w:w="1440"/>
            <w:shd w:fill="FFDCE0" w:val="clear"/>
          </w:tcPr>
          <w:p>
            <w:r>
              <w:rPr>
                <w:sz w:val="17"/>
              </w:rPr>
              <w:t>40,371</w:t>
            </w:r>
          </w:p>
        </w:tc>
        <w:tc>
          <w:tcPr>
            <w:tcW w:type="dxa" w:w="1440"/>
            <w:shd w:fill="FFDCE0" w:val="clear"/>
          </w:tcPr>
          <w:p>
            <w:r>
              <w:rPr>
                <w:b/>
                <w:color w:val="C00000"/>
                <w:sz w:val="17"/>
              </w:rPr>
              <w:t>-3.9%</w:t>
            </w:r>
          </w:p>
        </w:tc>
      </w:tr>
      <w:tr>
        <w:tc>
          <w:tcPr>
            <w:tcW w:type="dxa" w:w="1440"/>
            <w:shd w:fill="FFDCE0" w:val="clear"/>
          </w:tcPr>
          <w:p>
            <w:r>
              <w:rPr>
                <w:sz w:val="17"/>
              </w:rPr>
              <w:t>J+9  Moyenne</w:t>
            </w:r>
          </w:p>
        </w:tc>
        <w:tc>
          <w:tcPr>
            <w:tcW w:type="dxa" w:w="1440"/>
            <w:shd w:fill="FFDCE0" w:val="clear"/>
          </w:tcPr>
          <w:p>
            <w:r>
              <w:rPr>
                <w:sz w:val="17"/>
              </w:rPr>
              <w:t>2026-10-01</w:t>
            </w:r>
          </w:p>
        </w:tc>
        <w:tc>
          <w:tcPr>
            <w:tcW w:type="dxa" w:w="1440"/>
            <w:shd w:fill="FFDCE0" w:val="clear"/>
          </w:tcPr>
          <w:p>
            <w:r>
              <w:rPr>
                <w:sz w:val="17"/>
              </w:rPr>
              <w:t>34,115</w:t>
            </w:r>
          </w:p>
        </w:tc>
        <w:tc>
          <w:tcPr>
            <w:tcW w:type="dxa" w:w="1440"/>
            <w:shd w:fill="FFDCE0" w:val="clear"/>
          </w:tcPr>
          <w:p>
            <w:r>
              <w:rPr>
                <w:b/>
                <w:sz w:val="17"/>
              </w:rPr>
              <w:t>37,280</w:t>
            </w:r>
          </w:p>
        </w:tc>
        <w:tc>
          <w:tcPr>
            <w:tcW w:type="dxa" w:w="1440"/>
            <w:shd w:fill="FFDCE0" w:val="clear"/>
          </w:tcPr>
          <w:p>
            <w:r>
              <w:rPr>
                <w:sz w:val="17"/>
              </w:rPr>
              <w:t>40,444</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2026-10-02</w:t>
            </w:r>
          </w:p>
        </w:tc>
        <w:tc>
          <w:tcPr>
            <w:tcW w:type="dxa" w:w="1440"/>
            <w:shd w:fill="FFDCE0" w:val="clear"/>
          </w:tcPr>
          <w:p>
            <w:r>
              <w:rPr>
                <w:sz w:val="17"/>
              </w:rPr>
              <w:t>33,854</w:t>
            </w:r>
          </w:p>
        </w:tc>
        <w:tc>
          <w:tcPr>
            <w:tcW w:type="dxa" w:w="1440"/>
            <w:shd w:fill="FFDCE0" w:val="clear"/>
          </w:tcPr>
          <w:p>
            <w:r>
              <w:rPr>
                <w:b/>
                <w:sz w:val="17"/>
              </w:rPr>
              <w:t>37,181</w:t>
            </w:r>
          </w:p>
        </w:tc>
        <w:tc>
          <w:tcPr>
            <w:tcW w:type="dxa" w:w="1440"/>
            <w:shd w:fill="FFDCE0" w:val="clear"/>
          </w:tcPr>
          <w:p>
            <w:r>
              <w:rPr>
                <w:sz w:val="17"/>
              </w:rPr>
              <w:t>40,508</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SOCIÉTÉ GÉNÉRALE CÔTE D'IVOIRE (SGBC)**</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1 210,22 milliards FCFA, SGBC s'impose comme l'une des plus importantes capitalisations de la BRVM, ce qui en fait un pilier de l'indice composite et un titre de référence pour les investisseurs institutionnels de la zone UEMOA. Le BPA de 3 258 FCFA/action signifie que chaque titre génère plus de 3 200 FCFA de bénéfice net, un niveau remarquable qui traduit la forte rentabilité de la banque. Le PER de 11,9x se situe dans la fourchette haute de la moyenne BRVM (~8-12x), indiquant que les investisseurs paient un léger premium pour la qualité et la régularité des bénéfices, sans pour autant tomber dans une surévaluation excessive. Le P/B de 2,44x montre que le marché valorise SGBC à plus du double de sa valeur comptable, une prime de croissance justifiée par un ROE supérieur à 20%. En revanche, l'EV/EBITDA de 24,7x apparaît très exigeant (&gt;15x), ce qui suggère que la valeur d'entreprise intègre déjà une bonne partie des anticipations de croissance future, limitant potentiellement le potentiel d'appréciation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SGBC affiche une performance positive de +11,21%, avec une dernière séance en hausse de +2,37%, confirmant une dynamique haussière de court terme. Le cours actuel de 38 900 FCFA évolue dans un range de trading compris entre 33 000 FCFA (plus bas) et 39 300 FCFA (plus haut), soit une amplitude d'environ 19%, et se situe à seulement 1% de son plus haut récent, ce qui traduit une forte pression acheteuse. La tendance générale est donc clairement haussière, soutenue par un volume moyen quotidien de 5 290 titres, signe d'une liquidité correcte pour le marché BRVM. Les statistiques descriptives révèlent une moyenne de 37 720 FCFA légèrement inférieure à la médiane de 38 025 FCFA, avec un mode à 39 000 FCFA : cet écart suggère une distribution asymétrique où les journées de forte hausse tirent le mode vers le haut, tandis que le skewness négatif (-1,440) confirme qu'il y a davantage de journées de cotation au-dessus de la moyenne, ce qui est un signal favorable. L'écart-type de 1 640 FCFA (CV de 4,3%) indique une dispersion modérée du cours, mais le kurtosis excédentaire de 1,148 (leptokurtique) signale des queues épaisses, donc un risque de pics de volatilité brutaux qu'il convient de surveiller. Enfin, la volatilité annualisée de 23,3% positionne SGBC dans la catégorie des titres à volatilité modérée (15-30%), ce qui est cohérent avec un profil de valeur bancaire stable et liquide.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38 512,25 FCFA et la MM50 à 38 429,60 FCFA, toutes deux inférieures au cours actuel de 38 900 FCFA, ce qui place le titre au-dessus de ses moyennes mobiles et confirme une configuration haussière. La MM20 étant légèrement supérieure à la MM50, on observe un croisement haussier (golden cross) qui renforce le signal d'achat. La décision technique fournie est donc logiquement « Achat ».</w:t>
      </w:r>
    </w:p>
    <w:p>
      <w:pPr>
        <w:spacing w:after="120" w:line="276" w:lineRule="auto"/>
      </w:pPr>
      <w:r>
        <w:t>**Bandes de Bollinger** : Le cours actuel (38 900 FCFA) se situe à l'intérieur des bandes, entre la borne inférieure (37 640,12 FCFA) et la borne supérieure (39 384,38 FCFA), mais plus proche de la borne haute, ce qui indique une pression acheteuse sans surachat extrême. L'écart entre les bornes (environ 1 744 FCFA) reflète une volatilité contenue. La décision « Neutre » suggère que le titre n'est ni en zone de surachat ni de survente selon ce critère.</w:t>
      </w:r>
    </w:p>
    <w:p>
      <w:pPr>
        <w:spacing w:after="120" w:line="276" w:lineRule="auto"/>
      </w:pPr>
      <w:r>
        <w:t>**MACD** : La valeur du MACD (19,515) est légèrement inférieure à son signal (19,855), ce qui génère un croisement baissier et une divergence négative. Cela indique un essoufflement du momentum haussier à court terme, bien que les deux lignes restent en territoire positif. La décision « Vente » est cohérente avec cette perte de vitesse.</w:t>
      </w:r>
    </w:p>
    <w:p>
      <w:pPr>
        <w:spacing w:after="120" w:line="276" w:lineRule="auto"/>
      </w:pPr>
      <w:r>
        <w:t>**RSI** : À 57,705, le RSI se situe en zone neutre (30-70), sans signal de surachat ni de survente. Cela suggère que le titre dispose encore d'une marge de progression avant d'atteindre des niveaux de surachat, mais le momentum n'est pas suffisamment fort pour justifier un achat agressif. La décision « Neutre » est appropriée.</w:t>
      </w:r>
    </w:p>
    <w:p>
      <w:pPr>
        <w:spacing w:after="120" w:line="276" w:lineRule="auto"/>
      </w:pPr>
      <w:r>
        <w:t>**Stochastique** : Le %K (91,667) est nettement supérieur au %D (66,667), et les deux se situent en zone de surachat (&gt;80 pour le %K). Cette configuration indique que le titre a fortement progressé récemment et pourrait connaître une correction à court terme. La décision « Vente » est justifiée par ce signal de surachat.</w:t>
      </w:r>
    </w:p>
    <w:p>
      <w:pPr>
        <w:spacing w:after="120" w:line="276" w:lineRule="auto"/>
      </w:pPr>
      <w:r>
        <w:t>**Conclusion technique** : Les indicateurs techniques présentent une divergence notable. D'un côté, les moyennes mobiles et la position du cours dans les bandes de Bollinger soutiennent une tendance haussière de fond. De l'autre, le MACD baissier, le RSI neutre et le stochastique en surachat suggèrent un essoufflement à court terme et un risque de consolidation. Cette configuration mixte plaide pour une prudence à court terme, avec une possible correction avant une reprise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l'exercice 2025 (base brvm_donnees_financieres) révèlent une banque solide et rentable : le Produit Net Bancaire (PNB) s'élève à 276,048 milliards FCFA, en croissance de +4,88% sur un an, tandis que le résultat net atteint 101,352 milliards FCFA, franchissant pour la première fois le seuil symbolique des 100 milliards. Le ROE de 20,47% et le ROA de 2,69% confirment une excellente rentabilité des fonds propres et des actifs, bien supérieure aux standards du secteur bancaire. Le coefficient d'exploitation de 38,75% est remarquablement bas (&lt;60%), témoignant d'une efficacité opérationnelle exceptionnelle, avec des charges générales d'exploitation de 94,052 milliards FCFA pour un PNB de 276 milliards. Le coût du risque, matérialisé par des provisions de 17,995 milliards FCFA, reste contenu (6,5% du PNB), signe d'un portefeuille de crédits globalement sain. La structure bilancielle affiche des dépôts clientèle de 2 907,675 milliards FCFA face à des créances clientèle de 2 546,290 milliards FCFA, soit un ratio prêts/dépôts de 87,6%, en amélioration par rapport aux 96% de fin septembre 2024, ce qui renforce la liquidité. Les capitaux propres de 495,113 milliards FCFA et l'autonomie financière de 13,14% (faible mais normale pour une banque) soutiennent la solidité. Les rapports narratifs confirment cette dynamique : le rapport du 3ᵉ trimestre 2025 (30 septembre 2025) fait état d'un PNB de 201,0 milliards FCFA (+2,5%) et d'un résultat net de 83,3 milliards FCFA (+11,7%), avec un coefficient d'exploitation de 37,3% et une collecte de dépôts en hausse de +13,9%. Le rapport du 1ᵉʳ semestre 2025 (30 juin 2025) souligne une croissance du PNB de +1,0% à 132,0 milliards FCFA et un résultat net de 53,1 milliards FCFA (+10,0%), avec un ROE de 23,8% et un ratio de solvabilité de 17,7%, bien au-dessus du minimum réglementaire de 12,5%. Le rapport annuel 2024 (31 décembre 2024) indique un PNB de 263,2 milliards FCFA (+3,9%) et un résultat net de 101,2 milliards FCFA (+4,1%), avec un dividende brut par action de 1 863 FCFA (+8,4%) et un taux de distribution de 57,25%. Sur la base du rapport T3 2025, on peut estimer que l'exercice 2025 devrait clôturer avec un résultat net proche de 110-115 milliards FCFA, soit une croissance de 8-13% par rapport à 2024, portée par la maîtrise des coûts et la bonne tenue de la marge nette d'intérêts. Les risques identifiés incluent la hausse des créances en souffrance (NPL à 7,8% au S1 2025 contre 6,7% un an plus tôt) et la dépendance aux commissions, mais la notation AAA (Bloomfield) et la solidité du bilan relativisent ces préoccupations. En conclusion, SGBC affiche des fondamentaux très solides, une croissance rentable et une gestion rigoureuse des risques, ce qui justifie une recommandation fondamentale positive à moyen et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à court terme mais solide à moyen terme. La valorisation (Partie 0) est modérément exigeante : le PER de 11,9x et le P/B de 2,44x intègrent une prime de qualité, tandis que l'EV/EBITDA de 24,7x limite le potentiel de revalorisation immédiate. Le comportement du cours (Partie 1) est haussier (+11,21% sur 100 jours) avec une volatilité modérée (23,3%) et des statistiques favorables (skewness négatif, kurtosis élevé), mais le titre approche de son plus haut historique, ce qui expose à un risque de consolidation. Les signaux techniques (Partie 2) sont divergents : les moyennes mobiles et les bandes de Bollinger soutiennent la tendance, mais le MACD baissier et le stochastique en surachat plaident pour une correction à court terme. Les fondamentaux (Partie 3) sont excellents : ROE de 20,47%, coefficient d'exploitation de 38,75%, résultat net de 101,35 milliards FCFA en 2025, avec des estimations de croissance de 8-13% pour l'exercice en cours, portées par la digitalisation et la maîtrise des coûts. Les prédictions IA (J+1 à J+10) anticipent une légère baisse du cours, de 38 143 FCFA à 37 693 FCFA, ce qui confirme la possibilité d'une consolidation à court terme, en ligne avec les signaux techniques baissiers (MACD, stochastique). Compte tenu de cette convergence entre technique et prédiction (correction attendue) mais de la solidité fondamentale et de la valorisation raisonnable, la recommandation finale est **CONSERVER**. Le niveau de confiance est **Moyen** (les signaux contradictoires à court terme incitent à la prudence), et le niveau de risque global est **Moyen** (volatilité modérée, mais risque de correction). L'horizon d'investissement optimal est le **moyen terme (3-12 mois)**, afin de laisser passer la consolidation attendue et de profiter de la croissance des bénéfices et d'un dividende attractif (rendement estimé à ~4,8% sur la base du dividende 2024 de 1 863 FCFA). Les investisseurs à court terme pourraient envisager de prendre des profits partiels, tandis que les investisseurs long terme peuvent accumuler sur repli vers 37 000-37 500 FCFA.</w:t>
      </w:r>
    </w:p>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ROE de 21,6%, une solvabilit\u00e9 solide (14,2%) et un dividende en hausse de +11% offrant un rendement attractif. Sa position de leader, sa notation AA+ et la qualit\u00e9 de son portefeuille justifient une exposition positive malgr\u00e9 la hausse du co\u00fbt du risque."}</w:t>
      </w:r>
    </w:p>
    <w:p>
      <w:pPr>
        <w:spacing w:before="40"/>
        <w:ind w:left="400"/>
      </w:pPr>
      <w:r>
        <w:rPr>
          <w:sz w:val="18"/>
        </w:rPr>
        <w:t xml:space="preserve">Société Générale Côte d'Ivoire (SGCI) clôture l'exercice 2022 avec les meilleurs résultats de son histoire, célébrant ses 60 ans au service de l'économie ivoirienne. Le Produit Net Bancaire atteint 215 101 millions FCFA, en progression de +13,8%, porté par la bonne tenue de la marge d'intérêts et la croissance des commissions. Le résultat net s'établit à 74 612 millions FCFA, en hausse de +11%, malgré une forte progression du coût du risque liée à des dotations exceptionnelles sur le segment PME. La banque maintient sa position de leader du marché bancaire ivoirien et sous-régional, avec des parts de marché en hausse (20% en emplois et 18,9% en ressources clientèles). Sa solidité financière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(Bloomfield et GCR)', 'nombre_actions': '31 111 110', 'cout_net_risque': '28 816 millions FCFA', 'credit_clientele': '2 160 660 millions FCFA', 'depots_clientele': '2 685 322 millions FCFA', 'coef_exploitation': '44,8%', 'ratio_solvabilite': '14,2% (minimum réglementaire 11,5%)', 'taux_distribution': '51%', 'parts_marche_emplois': '20%', 'produit_net_bancaire': '215 101 millions FCFA', 'parts_marche_ressources': '18,9%', 'resultat_brut_exploitation': '118 708 millions FCFA'}</w:t>
            </w:r>
          </w:p>
        </w:tc>
        <w:tc>
          <w:tcPr>
            <w:tcW w:type="dxa" w:w="2160"/>
          </w:tcPr>
          <w:p>
            <w:pPr>
              <w:ind w:left="100"/>
            </w:pPr>
            <w:r/>
            <w:r>
              <w:rPr>
                <w:b/>
                <w:sz w:val="16"/>
              </w:rPr>
              <w:t>dividende</w:t>
              <w:br/>
            </w:r>
            <w:r>
              <w:rPr>
                <w:sz w:val="18"/>
              </w:rPr>
              <w:t>1 230 FCFA par action (brut)</w:t>
            </w:r>
          </w:p>
        </w:tc>
        <w:tc>
          <w:tcPr>
            <w:tcW w:type="dxa" w:w="2160"/>
          </w:tcPr>
          <w:p>
            <w:pPr>
              <w:ind w:left="100"/>
            </w:pPr>
            <w:r/>
            <w:r>
              <w:rPr>
                <w:b/>
                <w:sz w:val="16"/>
              </w:rPr>
              <w:t>marge_nette</w:t>
              <w:br/>
            </w:r>
            <w:r>
              <w:rPr>
                <w:sz w:val="18"/>
              </w:rPr>
              <w:t>34,7% (résultat net / PNB)</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 (74,6 milliards FCFA)</w:t>
            </w:r>
          </w:p>
        </w:tc>
        <w:tc>
          <w:tcPr>
            <w:tcW w:type="dxa" w:w="2160"/>
          </w:tcPr>
          <w:p>
            <w:r/>
            <w:r>
              <w:rPr>
                <w:b/>
                <w:sz w:val="16"/>
              </w:rPr>
              <w:t>capitaux_propres</w:t>
              <w:br/>
            </w:r>
            <w:r>
              <w:rPr>
                <w:sz w:val="18"/>
              </w:rPr>
              <w:t>345 011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215 101 millions FCFA en hausse de +13,8% par rapport à 2021, soutenu par la marge nette d'intérêts (+15%) et les commissions (+12,5%).</w:t>
      </w:r>
    </w:p>
    <w:p>
      <w:pPr>
        <w:pStyle w:val="ListBullet"/>
        <w:spacing w:before="20" w:after="20"/>
        <w:ind w:left="700"/>
      </w:pPr>
      <w:r>
        <w:rPr>
          <w:sz w:val="18"/>
        </w:rPr>
        <w:t>Résultat net historique de 74 612 millions FCFA (+10,6%), meilleur résultat jamais enregistré par la banque.</w:t>
      </w:r>
    </w:p>
    <w:p>
      <w:pPr>
        <w:pStyle w:val="ListBullet"/>
        <w:spacing w:before="20" w:after="20"/>
        <w:ind w:left="700"/>
      </w:pPr>
      <w:r>
        <w:rPr>
          <w:sz w:val="18"/>
        </w:rPr>
        <w:t>Coefficient d'exploitation en amélioration à 44,8% (-313 pb) traduisant un effet ciseau positif et une bonne maîtrise des coûts.</w:t>
      </w:r>
    </w:p>
    <w:p>
      <w:pPr>
        <w:pStyle w:val="ListBullet"/>
        <w:spacing w:before="20" w:after="20"/>
        <w:ind w:left="700"/>
      </w:pPr>
      <w:r>
        <w:rPr>
          <w:sz w:val="18"/>
        </w:rPr>
        <w:t>Coût Net du Risque en forte hausse à 28 816 millions FCFA (+60,6%) en raison de dotations exceptionnelles sur le segment PME (CNR retraité à 81 pb).</w:t>
      </w:r>
    </w:p>
    <w:p>
      <w:pPr>
        <w:pStyle w:val="ListBullet"/>
        <w:spacing w:before="20" w:after="20"/>
        <w:ind w:left="700"/>
      </w:pPr>
      <w:r>
        <w:rPr>
          <w:sz w:val="18"/>
        </w:rPr>
        <w:t>Rentabilité des fonds propres (ROE) élevée à 21,6%, combinant marge d'intermédiation solide, efficacité opérationnelle et coût du risque contenu.</w:t>
      </w:r>
    </w:p>
    <w:p>
      <w:pPr>
        <w:pStyle w:val="ListBullet"/>
        <w:spacing w:before="20" w:after="20"/>
        <w:ind w:left="700"/>
      </w:pPr>
      <w:r>
        <w:rPr>
          <w:sz w:val="18"/>
        </w:rPr>
        <w:t>Croissance soutenue du fonds de commerce : encours de crédits +15,4% à 2 160 660 millions FCFA et dépôts clientèle +6,2% à 2 685 322 millions FCFA.</w:t>
      </w:r>
    </w:p>
    <w:p>
      <w:pPr>
        <w:spacing w:before="40"/>
        <w:ind w:left="400"/>
      </w:pPr>
      <w:r>
        <w:rPr>
          <w:b/>
          <w:color w:val="C05000"/>
          <w:sz w:val="18"/>
        </w:rPr>
        <w:t xml:space="preserve">⚠️ Risques : </w:t>
      </w:r>
      <w:r>
        <w:rPr>
          <w:sz w:val="18"/>
        </w:rPr>
        <w:t xml:space="preserve">["D\u00e9gradation du co\u00fbt du risque, en hausse de +60,6%, notamment sur le segment des PME pouvant peser sur les r\u00e9sultats futurs.", "Environnement macro\u00e9conomique incertain marqu\u00e9 par l'inflation, la hausse des taux et les tensions g\u00e9opolitiques affectant la croissance et </w:t>
      </w:r>
    </w:p>
    <w:p>
      <w:pPr>
        <w:spacing w:before="40"/>
        <w:ind w:left="400"/>
      </w:pPr>
      <w:r>
        <w:rPr>
          <w:b/>
          <w:color w:val="0064A0"/>
          <w:sz w:val="18"/>
        </w:rPr>
        <w:t xml:space="preserve">🔮 Perspectives : </w:t>
      </w:r>
      <w:r>
        <w:rPr>
          <w:sz w:val="18"/>
        </w:rPr>
        <w:t>Société Générale Côte d'Ivoire entend poursuivre en 2023 la dynamique engagée en 2022, en capitalisant sur la mise en œuvre de sa feuille de route stratégique RISE+ et ses projets de digitalisation, de maîtrise des risques et de responsabilité sociale et environnementale. La banque dispose d'une sol</w:t>
      </w:r>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173.88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4,738 titres</w:t>
            </w:r>
          </w:p>
        </w:tc>
        <w:tc>
          <w:tcPr>
            <w:tcW w:type="dxa" w:w="2268"/>
            <w:shd w:fill="FFF2CC" w:val="clear"/>
          </w:tcPr>
          <w:p>
            <w:r>
              <w:rPr>
                <w:b/>
                <w:color w:val="503200"/>
                <w:sz w:val="16"/>
              </w:rPr>
              <w:t xml:space="preserve">Cours actuel : </w:t>
            </w:r>
            <w:r>
              <w:rPr>
                <w:color w:val="000000"/>
                <w:sz w:val="17"/>
              </w:rPr>
              <w:t>2,760 FCFA</w:t>
            </w:r>
          </w:p>
          <w:p>
            <w:r>
              <w:rPr>
                <w:b/>
                <w:color w:val="503200"/>
                <w:sz w:val="16"/>
              </w:rPr>
              <w:t xml:space="preserve">Var. 100 jours : </w:t>
            </w:r>
            <w:r>
              <w:rPr>
                <w:b/>
                <w:color w:val="007800"/>
                <w:sz w:val="17"/>
              </w:rPr>
              <w:t>+42.27%</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10.53% (Moyenne) — μ=2,204 FCFA, σ=232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β=0.6486 (Défensif) — Cov=0.000023, Var(idx)=0.000036, ρ=0.175,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2026-09-21</w:t>
            </w:r>
          </w:p>
        </w:tc>
        <w:tc>
          <w:tcPr>
            <w:tcW w:type="dxa" w:w="1440"/>
            <w:shd w:fill="FFDCE0" w:val="clear"/>
          </w:tcPr>
          <w:p>
            <w:r>
              <w:rPr>
                <w:sz w:val="17"/>
              </w:rPr>
              <w:t>2,549</w:t>
            </w:r>
          </w:p>
        </w:tc>
        <w:tc>
          <w:tcPr>
            <w:tcW w:type="dxa" w:w="1440"/>
            <w:shd w:fill="FFDCE0" w:val="clear"/>
          </w:tcPr>
          <w:p>
            <w:r>
              <w:rPr>
                <w:b/>
                <w:sz w:val="17"/>
              </w:rPr>
              <w:t>2,668</w:t>
            </w:r>
          </w:p>
        </w:tc>
        <w:tc>
          <w:tcPr>
            <w:tcW w:type="dxa" w:w="1440"/>
            <w:shd w:fill="FFDCE0" w:val="clear"/>
          </w:tcPr>
          <w:p>
            <w:r>
              <w:rPr>
                <w:sz w:val="17"/>
              </w:rPr>
              <w:t>2,788</w:t>
            </w:r>
          </w:p>
        </w:tc>
        <w:tc>
          <w:tcPr>
            <w:tcW w:type="dxa" w:w="1440"/>
            <w:shd w:fill="FFDCE0" w:val="clear"/>
          </w:tcPr>
          <w:p>
            <w:r>
              <w:rPr>
                <w:b/>
                <w:color w:val="C00000"/>
                <w:sz w:val="17"/>
              </w:rPr>
              <w:t>-3.3%</w:t>
            </w:r>
          </w:p>
        </w:tc>
      </w:tr>
      <w:tr>
        <w:tc>
          <w:tcPr>
            <w:tcW w:type="dxa" w:w="1440"/>
            <w:shd w:fill="FFDCE0" w:val="clear"/>
          </w:tcPr>
          <w:p>
            <w:r>
              <w:rPr>
                <w:sz w:val="17"/>
              </w:rPr>
              <w:t>J+2  Moyenne</w:t>
            </w:r>
          </w:p>
        </w:tc>
        <w:tc>
          <w:tcPr>
            <w:tcW w:type="dxa" w:w="1440"/>
            <w:shd w:fill="FFDCE0" w:val="clear"/>
          </w:tcPr>
          <w:p>
            <w:r>
              <w:rPr>
                <w:sz w:val="17"/>
              </w:rPr>
              <w:t>2026-09-22</w:t>
            </w:r>
          </w:p>
        </w:tc>
        <w:tc>
          <w:tcPr>
            <w:tcW w:type="dxa" w:w="1440"/>
            <w:shd w:fill="FFDCE0" w:val="clear"/>
          </w:tcPr>
          <w:p>
            <w:r>
              <w:rPr>
                <w:sz w:val="17"/>
              </w:rPr>
              <w:t>2,418</w:t>
            </w:r>
          </w:p>
        </w:tc>
        <w:tc>
          <w:tcPr>
            <w:tcW w:type="dxa" w:w="1440"/>
            <w:shd w:fill="FFDCE0" w:val="clear"/>
          </w:tcPr>
          <w:p>
            <w:r>
              <w:rPr>
                <w:b/>
                <w:sz w:val="17"/>
              </w:rPr>
              <w:t>2,582</w:t>
            </w:r>
          </w:p>
        </w:tc>
        <w:tc>
          <w:tcPr>
            <w:tcW w:type="dxa" w:w="1440"/>
            <w:shd w:fill="FFDCE0" w:val="clear"/>
          </w:tcPr>
          <w:p>
            <w:r>
              <w:rPr>
                <w:sz w:val="17"/>
              </w:rPr>
              <w:t>2,746</w:t>
            </w:r>
          </w:p>
        </w:tc>
        <w:tc>
          <w:tcPr>
            <w:tcW w:type="dxa" w:w="1440"/>
            <w:shd w:fill="FFDCE0" w:val="clear"/>
          </w:tcPr>
          <w:p>
            <w:r>
              <w:rPr>
                <w:b/>
                <w:color w:val="C00000"/>
                <w:sz w:val="17"/>
              </w:rPr>
              <w:t>-6.4%</w:t>
            </w:r>
          </w:p>
        </w:tc>
      </w:tr>
      <w:tr>
        <w:tc>
          <w:tcPr>
            <w:tcW w:type="dxa" w:w="1440"/>
            <w:shd w:fill="FFDCE0" w:val="clear"/>
          </w:tcPr>
          <w:p>
            <w:r>
              <w:rPr>
                <w:sz w:val="17"/>
              </w:rPr>
              <w:t>J+3  Moyenne</w:t>
            </w:r>
          </w:p>
        </w:tc>
        <w:tc>
          <w:tcPr>
            <w:tcW w:type="dxa" w:w="1440"/>
            <w:shd w:fill="FFDCE0" w:val="clear"/>
          </w:tcPr>
          <w:p>
            <w:r>
              <w:rPr>
                <w:sz w:val="17"/>
              </w:rPr>
              <w:t>2026-09-23</w:t>
            </w:r>
          </w:p>
        </w:tc>
        <w:tc>
          <w:tcPr>
            <w:tcW w:type="dxa" w:w="1440"/>
            <w:shd w:fill="FFDCE0" w:val="clear"/>
          </w:tcPr>
          <w:p>
            <w:r>
              <w:rPr>
                <w:sz w:val="17"/>
              </w:rPr>
              <w:t>2,321</w:t>
            </w:r>
          </w:p>
        </w:tc>
        <w:tc>
          <w:tcPr>
            <w:tcW w:type="dxa" w:w="1440"/>
            <w:shd w:fill="FFDCE0" w:val="clear"/>
          </w:tcPr>
          <w:p>
            <w:r>
              <w:rPr>
                <w:b/>
                <w:sz w:val="17"/>
              </w:rPr>
              <w:t>2,517</w:t>
            </w:r>
          </w:p>
        </w:tc>
        <w:tc>
          <w:tcPr>
            <w:tcW w:type="dxa" w:w="1440"/>
            <w:shd w:fill="FFDCE0" w:val="clear"/>
          </w:tcPr>
          <w:p>
            <w:r>
              <w:rPr>
                <w:sz w:val="17"/>
              </w:rPr>
              <w:t>2,713</w:t>
            </w:r>
          </w:p>
        </w:tc>
        <w:tc>
          <w:tcPr>
            <w:tcW w:type="dxa" w:w="1440"/>
            <w:shd w:fill="FFDCE0" w:val="clear"/>
          </w:tcPr>
          <w:p>
            <w:r>
              <w:rPr>
                <w:b/>
                <w:color w:val="C00000"/>
                <w:sz w:val="17"/>
              </w:rPr>
              <w:t>-8.8%</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2,245</w:t>
            </w:r>
          </w:p>
        </w:tc>
        <w:tc>
          <w:tcPr>
            <w:tcW w:type="dxa" w:w="1440"/>
            <w:shd w:fill="FFDCE0" w:val="clear"/>
          </w:tcPr>
          <w:p>
            <w:r>
              <w:rPr>
                <w:b/>
                <w:sz w:val="17"/>
              </w:rPr>
              <w:t>2,466</w:t>
            </w:r>
          </w:p>
        </w:tc>
        <w:tc>
          <w:tcPr>
            <w:tcW w:type="dxa" w:w="1440"/>
            <w:shd w:fill="FFDCE0" w:val="clear"/>
          </w:tcPr>
          <w:p>
            <w:r>
              <w:rPr>
                <w:sz w:val="17"/>
              </w:rPr>
              <w:t>2,688</w:t>
            </w:r>
          </w:p>
        </w:tc>
        <w:tc>
          <w:tcPr>
            <w:tcW w:type="dxa" w:w="1440"/>
            <w:shd w:fill="FFDCE0" w:val="clear"/>
          </w:tcPr>
          <w:p>
            <w:r>
              <w:rPr>
                <w:b/>
                <w:color w:val="C00000"/>
                <w:sz w:val="17"/>
              </w:rPr>
              <w:t>-10.6%</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2,181</w:t>
            </w:r>
          </w:p>
        </w:tc>
        <w:tc>
          <w:tcPr>
            <w:tcW w:type="dxa" w:w="1440"/>
            <w:shd w:fill="FFDCE0" w:val="clear"/>
          </w:tcPr>
          <w:p>
            <w:r>
              <w:rPr>
                <w:b/>
                <w:sz w:val="17"/>
              </w:rPr>
              <w:t>2,425</w:t>
            </w:r>
          </w:p>
        </w:tc>
        <w:tc>
          <w:tcPr>
            <w:tcW w:type="dxa" w:w="1440"/>
            <w:shd w:fill="FFDCE0" w:val="clear"/>
          </w:tcPr>
          <w:p>
            <w:r>
              <w:rPr>
                <w:sz w:val="17"/>
              </w:rPr>
              <w:t>2,669</w:t>
            </w:r>
          </w:p>
        </w:tc>
        <w:tc>
          <w:tcPr>
            <w:tcW w:type="dxa" w:w="1440"/>
            <w:shd w:fill="FFDCE0" w:val="clear"/>
          </w:tcPr>
          <w:p>
            <w:r>
              <w:rPr>
                <w:b/>
                <w:color w:val="C00000"/>
                <w:sz w:val="17"/>
              </w:rPr>
              <w:t>-12.1%</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2,127</w:t>
            </w:r>
          </w:p>
        </w:tc>
        <w:tc>
          <w:tcPr>
            <w:tcW w:type="dxa" w:w="1440"/>
            <w:shd w:fill="FFDCE0" w:val="clear"/>
          </w:tcPr>
          <w:p>
            <w:r>
              <w:rPr>
                <w:b/>
                <w:sz w:val="17"/>
              </w:rPr>
              <w:t>2,390</w:t>
            </w:r>
          </w:p>
        </w:tc>
        <w:tc>
          <w:tcPr>
            <w:tcW w:type="dxa" w:w="1440"/>
            <w:shd w:fill="FFDCE0" w:val="clear"/>
          </w:tcPr>
          <w:p>
            <w:r>
              <w:rPr>
                <w:sz w:val="17"/>
              </w:rPr>
              <w:t>2,653</w:t>
            </w:r>
          </w:p>
        </w:tc>
        <w:tc>
          <w:tcPr>
            <w:tcW w:type="dxa" w:w="1440"/>
            <w:shd w:fill="FFDCE0" w:val="clear"/>
          </w:tcPr>
          <w:p>
            <w:r>
              <w:rPr>
                <w:b/>
                <w:color w:val="C00000"/>
                <w:sz w:val="17"/>
              </w:rPr>
              <w:t>-13.4%</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2,079</w:t>
            </w:r>
          </w:p>
        </w:tc>
        <w:tc>
          <w:tcPr>
            <w:tcW w:type="dxa" w:w="1440"/>
            <w:shd w:fill="FFDCE0" w:val="clear"/>
          </w:tcPr>
          <w:p>
            <w:r>
              <w:rPr>
                <w:b/>
                <w:sz w:val="17"/>
              </w:rPr>
              <w:t>2,359</w:t>
            </w:r>
          </w:p>
        </w:tc>
        <w:tc>
          <w:tcPr>
            <w:tcW w:type="dxa" w:w="1440"/>
            <w:shd w:fill="FFDCE0" w:val="clear"/>
          </w:tcPr>
          <w:p>
            <w:r>
              <w:rPr>
                <w:sz w:val="17"/>
              </w:rPr>
              <w:t>2,640</w:t>
            </w:r>
          </w:p>
        </w:tc>
        <w:tc>
          <w:tcPr>
            <w:tcW w:type="dxa" w:w="1440"/>
            <w:shd w:fill="FFDCE0" w:val="clear"/>
          </w:tcPr>
          <w:p>
            <w:r>
              <w:rPr>
                <w:b/>
                <w:color w:val="C00000"/>
                <w:sz w:val="17"/>
              </w:rPr>
              <w:t>-14.5%</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2,036</w:t>
            </w:r>
          </w:p>
        </w:tc>
        <w:tc>
          <w:tcPr>
            <w:tcW w:type="dxa" w:w="1440"/>
            <w:shd w:fill="FFDCE0" w:val="clear"/>
          </w:tcPr>
          <w:p>
            <w:r>
              <w:rPr>
                <w:b/>
                <w:sz w:val="17"/>
              </w:rPr>
              <w:t>2,332</w:t>
            </w:r>
          </w:p>
        </w:tc>
        <w:tc>
          <w:tcPr>
            <w:tcW w:type="dxa" w:w="1440"/>
            <w:shd w:fill="FFDCE0" w:val="clear"/>
          </w:tcPr>
          <w:p>
            <w:r>
              <w:rPr>
                <w:sz w:val="17"/>
              </w:rPr>
              <w:t>2,628</w:t>
            </w:r>
          </w:p>
        </w:tc>
        <w:tc>
          <w:tcPr>
            <w:tcW w:type="dxa" w:w="1440"/>
            <w:shd w:fill="FFDCE0" w:val="clear"/>
          </w:tcPr>
          <w:p>
            <w:r>
              <w:rPr>
                <w:b/>
                <w:color w:val="C00000"/>
                <w:sz w:val="17"/>
              </w:rPr>
              <w:t>-15.5%</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1,996</w:t>
            </w:r>
          </w:p>
        </w:tc>
        <w:tc>
          <w:tcPr>
            <w:tcW w:type="dxa" w:w="1440"/>
            <w:shd w:fill="FFDCE0" w:val="clear"/>
          </w:tcPr>
          <w:p>
            <w:r>
              <w:rPr>
                <w:b/>
                <w:sz w:val="17"/>
              </w:rPr>
              <w:t>2,307</w:t>
            </w:r>
          </w:p>
        </w:tc>
        <w:tc>
          <w:tcPr>
            <w:tcW w:type="dxa" w:w="1440"/>
            <w:shd w:fill="FFDCE0" w:val="clear"/>
          </w:tcPr>
          <w:p>
            <w:r>
              <w:rPr>
                <w:sz w:val="17"/>
              </w:rPr>
              <w:t>2,618</w:t>
            </w:r>
          </w:p>
        </w:tc>
        <w:tc>
          <w:tcPr>
            <w:tcW w:type="dxa" w:w="1440"/>
            <w:shd w:fill="FFDCE0" w:val="clear"/>
          </w:tcPr>
          <w:p>
            <w:r>
              <w:rPr>
                <w:b/>
                <w:color w:val="C00000"/>
                <w:sz w:val="17"/>
              </w:rPr>
              <w:t>-16.4%</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1,959</w:t>
            </w:r>
          </w:p>
        </w:tc>
        <w:tc>
          <w:tcPr>
            <w:tcW w:type="dxa" w:w="1440"/>
            <w:shd w:fill="FFDCE0" w:val="clear"/>
          </w:tcPr>
          <w:p>
            <w:r>
              <w:rPr>
                <w:b/>
                <w:sz w:val="17"/>
              </w:rPr>
              <w:t>2,283</w:t>
            </w:r>
          </w:p>
        </w:tc>
        <w:tc>
          <w:tcPr>
            <w:tcW w:type="dxa" w:w="1440"/>
            <w:shd w:fill="FFDCE0" w:val="clear"/>
          </w:tcPr>
          <w:p>
            <w:r>
              <w:rPr>
                <w:sz w:val="17"/>
              </w:rPr>
              <w:t>2,608</w:t>
            </w:r>
          </w:p>
        </w:tc>
        <w:tc>
          <w:tcPr>
            <w:tcW w:type="dxa" w:w="1440"/>
            <w:shd w:fill="FFDCE0" w:val="clear"/>
          </w:tcPr>
          <w:p>
            <w:r>
              <w:rPr>
                <w:b/>
                <w:color w:val="C00000"/>
                <w:sz w:val="17"/>
              </w:rPr>
              <w:t>-17.3%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173,88 milliards FCFA, SHEC figure parmi les valeurs de taille intermédiaire à supérieure du compartiment industriel de la BRVM, ce qui lui confère une certaine liquidité relative sur le marché régional. Le BPA de 96 FCFA/action signifie que chaque titre génère près d'un centième de son prix en bénéfice net, un niveau modeste qui traduit la faible marge structurelle du négoce pétrolier aval. Le PER de 28,8x est nettement supérieur à la moyenne du marché BRVM (généralement située entre 8 et 12x), ce qui indique que les investisseurs paient une prime très élevée pour les bénéfices actuels, en anticipant soit une forte croissance future, soit une surévaluation spéculative. Le P/B de 6,40x, largement au-dessus du seuil de 4x, confirme cette valorisation exigeante : le marché valorise l'entreprise à plus de six fois sa valeur comptable, ce qui n'est justifiable que par une rentabilité des fonds propres élevée (ROE de 22,2%) et des perspectives de croissance soutenues. Enfin, l'EV/EBITDA de 14,6x, dans la fourchette haute (10-15x), suggère que la valeur totale de l'entreprise (dette incluse) est chèrement valorisée par rapport à sa capacité opérationnelle, ce qui laisse peu de marge d'erreur en cas de dégradation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SHEC a enregistré une progression spectaculaire de +42,27%, passant d'un plus bas de 1 840 FCFA à un plus haut de 2 980 FCFA, avant de clôturer à 2 760 FCFA, soit une contraction de -7,38% lors de la dernière séance. Ce range de trading de 1 140 FCFA (soit près de 62% du cours le plus bas) témoigne d'une dynamique haussière puissante, mais la correction récente du 21 septembre suggère une prise de bénéfices après un rallye soutenu. La moyenne (2 204 FCFA) étant légèrement supérieure à la médiane (2 192 FCFA), la distribution des cours est asymétrique à droite, ce qui signifie que la majorité des séances se sont négociées sous la moyenne, mais que quelques journées de forte hausse ont tiré la moyenne vers le haut. L'écart-type de 233 FCFA et le coefficient de variation de 10,6% indiquent une dispersion modérée du cours autour de sa moyenne, mais le kurtosis de 1,437 (leptokurtique) signale des queues épaisses, c'est-à-dire un risque accru de pics de volatilité violents. Le skewness de 1,068, positif, confirme cette asymétrie : les journées de baisse sont plus fréquentes que les journées de hausse, mais les hausses sont plus amples, ce qui est typique d'un titre en tendance haussière avec des corrections brutales. Enfin, la volatilité annualisée de 37,3% classe SHEC dans la catégorie des titres à volatilité élevée (&gt;30%), ce qui implique un risque de perte en capital significatif à court terme, mais aussi un potentiel de gain attractif pour les investisseurs tolérants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(2 558,5 FCFA) et la MM50 (2 367,4 FCFA) sont toutes deux inférieures au cours actuel (2 760 FCFA), et la MM20 est au-dessus de la MM50, ce qui confirme une configuration haussière (golden cross). Le cours évoluant au-dessus de ses deux moyennes, la dynamique de court et moyen terme reste positive, justifiant la décision d'achat. Toutefois, l'écart entre le cours et la MM20 (environ 8%) suggère une possible extension excessive à court terme.</w:t>
      </w:r>
    </w:p>
    <w:p>
      <w:pPr>
        <w:spacing w:after="120" w:line="276" w:lineRule="auto"/>
      </w:pPr>
      <w:r>
        <w:t>**Bandes de Bollinger** : Le cours (2 760 FCFA) se situe dans la partie supérieure de la bande, entre la borne inférieure (2 176,4 FCFA) et la borne supérieure (2 940,6 FCFA), sans la dépasser. Cette position neutre indique que le titre n'est ni en suracheté extrême ni en survente, mais la largeur des bandes (764 FCFA) reflète une volatilité élevée. La décision neutre est justifiée par l'absence de signal clair de retournement ou de continuation.</w:t>
      </w:r>
    </w:p>
    <w:p>
      <w:pPr>
        <w:spacing w:after="120" w:line="276" w:lineRule="auto"/>
      </w:pPr>
      <w:r>
        <w:t>**MACD** : La ligne MACD (140,42) est nettement au-dessus de sa ligne de signal (102,61), et l'histogramme positif confirme un momentum haussier en cours. Cette divergence positive indique que la tendance haussière pourrait se poursuivre à moyen terme, justifiant la décision d'achat. Cependant, l'écart entre les deux lignes commence à se réduire, ce qui pourrait annoncer un essoufflement prochain.</w:t>
      </w:r>
    </w:p>
    <w:p>
      <w:pPr>
        <w:spacing w:after="120" w:line="276" w:lineRule="auto"/>
      </w:pPr>
      <w:r>
        <w:t>**RSI** : À 69,82, le RSI est proche du seuil de suracheté (70) sans l'avoir franchi, ce qui place le titre en zone neutre-haute. Cette configuration suggère que la hausse récente a été forte mais n'a pas encore atteint un niveau de surachat extrême qui déclencherait une correction violente. La décision neutre est justifiée par cette position ambivalente.</w:t>
      </w:r>
    </w:p>
    <w:p>
      <w:pPr>
        <w:spacing w:after="120" w:line="276" w:lineRule="auto"/>
      </w:pPr>
      <w:r>
        <w:t>**Stochastique** : Le %K (62,07) est inférieur au %D (87,36), et le croisement récent du %K sous le %D constitue un signal baissier de court terme. Cette configuration, combinée à la position élevée du %D (proche de 90), suggère que le titre pourrait entrer dans une phase de consolidation ou de correction après son rallye. La décision neutre reflète cette incertitude.</w:t>
      </w:r>
    </w:p>
    <w:p>
      <w:pPr>
        <w:spacing w:after="120" w:line="276" w:lineRule="auto"/>
      </w:pPr>
      <w:r>
        <w:t>**Conclusion technique** : Les indicateurs techniques offrent un tableau mitigé : les moyennes mobiles et le MACD confirment une tendance haussière de fond, tandis que le RSI et le stochastique signalent un essoufflement imminent et un risque de correction à court terme. La position du cours dans les bandes de Bollinger ne fournit pas de signal directionnel clair. Dans l'ensemble, le titre reste dans une dynamique haussière, mais les signaux de surachat naissant et le croisement baissier du stochastique incitent à la prudence pour les investisseurs de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SHEC (VIVO ENERGY CÔTE D'IVOIRE) a réalisé un chiffre d'affaires de 604,978 milliards FCFA, en légère progression de +0,71% par rapport à 2024 (600,708 milliards FCFA), selon les états financiers annuels 2025. Le résultat net s'établit à 6,028 milliards FCFA, en hausse de +12,6% sur un an, porté par une amélioration de la marge nette (1,00% contre 0,89% en 2024) et une réduction des charges financières (-17,7%). Le ROE de 22,2% et le ROA de 3,11% témoignent d'une bonne rentabilité des fonds propres, mais d'une faible efficacité des actifs, caractéristique du secteur de la distribution pétrolière à forte rotation (312,6% de rotation des actifs). Les délais clients (23,27 jours) et fournisseurs (35,47 jours) sont maîtrisés, mais le BFR de 15,315 milliards FCFA et la trésorerie nette de -65,264 milliards FCFA révèlent une tension de liquidité préoccupante, avec un fonds de roulement négatif de -49,850 milliards FCFA. Le taux d'endettement de 43,95% et l'autonomie financière de 14,03% (bien en dessous du seuil de 30% considéré comme sain) indiquent une dépendance élevée aux concours bancaires, ce qui expose l'entreprise à une hausse des taux d'intérêt. Sur la base du rapport du premier semestre 2026 (publié en 2026), le chiffre d'affaires recule de -1% à 305,038 milliards FCFA, avec une baisse des volumes de -3% sur l'aviation, le bitume et les entreprises, partiellement compensée par la croissance du butane et des lubrifiants. Toutefois, le résultat d'exploitation progresse de +17% à 6,133 milliards FCFA, et le résultat net du S1 2026 s'élève à 3,016 milliards FCFA, soit une marge nette de 0,99%, quasi stable. Le rapport du T1 2026 (publié en 2026) indique une baisse du CA de -9% à 141,649 milliards FCFA, mais un résultat net stable (+1% à 1,295 milliards FCFA), grâce à une gestion rigoureuse des charges. La politique de dividende est généreuse : le dividende brut proposé pour 2025 est de 6,09 milliards FCFA (soit environ 1 933 FCFA/action), représentant un taux de distribution de 101% du résultat net, ce qui est attractif pour les investisseurs de rendement mais fragilise la structure financière. En synthèse, SHEC affiche une rentabilité en amélioration mais une structure financière tendue, avec une trésorerie nette très négative et un endettement élevé. La recommandation fondamentale est de **CONSERVER** le titre : la société reste bénéficiaire et distribue un dividende attractif, mais les risques de liquidité et la faible marge nette limitent le potentiel de hausse à court terme. Un renforcement pourrait être envisagé si la trésorerie nette s'améliore et si la croissance des volumes reprend au second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apparaît nettement exigeante : le PER de 28,8x et le P/B de 6,40x traduisent une prime de rareté et des anticipations de croissance qui ne sont que partiellement confirmées par les fondamentaux (croissance du CA de +0,71% en 2025, baisse de -1% au S1 2026). Le comportement du cours sur 100 jours est haussier (+42,27%), mais la correction de -7,38% lors de la dernière séance et le kurtosis élevé (1,437) signalent un risque de pics baissiers violents, tandis que le skewness positif (1,068) indique que les baisses sont plus fréquentes que les hausses. Les signaux techniques sont mitigés : les moyennes mobiles et le MACD confirment la tendance haussière, mais le RSI (69,82) et le stochastique (croisement baissier %K sous %D) annoncent un essoufflement imminent. Les fondamentaux révèlent une société rentable (ROE de 22,2%) mais fragile (marge nette de 1%, trésorerie nette de -65,26 milliards FCFA, autonomie financière de 14,03%), avec une politique de dividende généreuse (taux de distribution de 101%) qui grève sa capacité d'autofinancement. Les prédictions IA pour les 10 prochains jours ouvrables anticipent une baisse continue du cours, de 2 668 FCFA (J+1) à 2 425 FCFA (J+5), ce qui contredit la tendance haussière de fond et confirme les signaux de correction à court terme. Sur la base de cette synthèse, la recommandation finale est de **CONSERVER** le titre : la convergence entre une valorisation élevée, des signaux techniques mitigés, des fondamentaux solides mais fragiles et des prédictions baissières à court terme ne justifie ni un achat agressif ni une vente précipitée. Le niveau de confiance est **Moyen**, car les données fondamentales sont solides mais les risques de liquidité et la volatilité élevée introduisent une incertitude significative. Le niveau de risque global est **Élevé**, en raison de la volatilité annualisée de 37,3%, de la trésorerie nette négative et de la dépendance aux concours bancaires. L'horizon d'investissement optimal est le **moyen terme (3-12 mois)**, en attendant la publication des comptes définitifs 2025 et des résultats du second semestre 2026, qui permettront de confirmer ou d'infirmer la reprise des volumes et l'amélioration de la structure financière.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918.50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10,446 titres</w:t>
            </w:r>
          </w:p>
        </w:tc>
        <w:tc>
          <w:tcPr>
            <w:tcW w:type="dxa" w:w="2268"/>
            <w:shd w:fill="FFF2CC" w:val="clear"/>
          </w:tcPr>
          <w:p>
            <w:r>
              <w:rPr>
                <w:b/>
                <w:color w:val="503200"/>
                <w:sz w:val="16"/>
              </w:rPr>
              <w:t xml:space="preserve">Cours actuel : </w:t>
            </w:r>
            <w:r>
              <w:rPr>
                <w:color w:val="000000"/>
                <w:sz w:val="17"/>
              </w:rPr>
              <w:t>9,185 FCFA</w:t>
            </w:r>
          </w:p>
          <w:p>
            <w:r>
              <w:rPr>
                <w:b/>
                <w:color w:val="503200"/>
                <w:sz w:val="16"/>
              </w:rPr>
              <w:t xml:space="preserve">Var. 100 jours : </w:t>
            </w:r>
            <w:r>
              <w:rPr>
                <w:b/>
                <w:color w:val="007800"/>
                <w:sz w:val="17"/>
              </w:rPr>
              <w:t>+31.21%</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6,900 FCFA</w:t>
            </w:r>
          </w:p>
          <w:p>
            <w:r>
              <w:rPr>
                <w:b/>
                <w:color w:val="503200"/>
                <w:sz w:val="16"/>
              </w:rPr>
              <w:t xml:space="preserve">Volatilité ann. : </w:t>
            </w:r>
            <w:r>
              <w:rPr>
                <w:color w:val="000000"/>
                <w:sz w:val="17"/>
              </w:rPr>
              <w:t>28.4%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8.28% (Moyenne) — μ=8,640 FCFA, σ=715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β=0.3268 (Défensif) — Cov=0.000012, Var(idx)=0.000036, ρ=0.109,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10,446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8,911</w:t>
            </w:r>
          </w:p>
        </w:tc>
        <w:tc>
          <w:tcPr>
            <w:tcW w:type="dxa" w:w="1440"/>
            <w:shd w:fill="FAFAFA" w:val="clear"/>
          </w:tcPr>
          <w:p>
            <w:r>
              <w:rPr>
                <w:b/>
                <w:sz w:val="17"/>
              </w:rPr>
              <w:t>9,096</w:t>
            </w:r>
          </w:p>
        </w:tc>
        <w:tc>
          <w:tcPr>
            <w:tcW w:type="dxa" w:w="1440"/>
            <w:shd w:fill="FAFAFA" w:val="clear"/>
          </w:tcPr>
          <w:p>
            <w:r>
              <w:rPr>
                <w:sz w:val="17"/>
              </w:rPr>
              <w:t>9,281</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8,757</w:t>
            </w:r>
          </w:p>
        </w:tc>
        <w:tc>
          <w:tcPr>
            <w:tcW w:type="dxa" w:w="1440"/>
            <w:shd w:fill="FAFAFA" w:val="clear"/>
          </w:tcPr>
          <w:p>
            <w:r>
              <w:rPr>
                <w:b/>
                <w:sz w:val="17"/>
              </w:rPr>
              <w:t>9,017</w:t>
            </w:r>
          </w:p>
        </w:tc>
        <w:tc>
          <w:tcPr>
            <w:tcW w:type="dxa" w:w="1440"/>
            <w:shd w:fill="FAFAFA" w:val="clear"/>
          </w:tcPr>
          <w:p>
            <w:r>
              <w:rPr>
                <w:sz w:val="17"/>
              </w:rPr>
              <w:t>9,276</w:t>
            </w:r>
          </w:p>
        </w:tc>
        <w:tc>
          <w:tcPr>
            <w:tcW w:type="dxa" w:w="1440"/>
            <w:shd w:fill="FAFAFA" w:val="clear"/>
          </w:tcPr>
          <w:p>
            <w:r>
              <w:rPr>
                <w:b/>
                <w:color w:val="C00000"/>
                <w:sz w:val="17"/>
              </w:rPr>
              <w:t>-1.8%</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8,624</w:t>
            </w:r>
          </w:p>
        </w:tc>
        <w:tc>
          <w:tcPr>
            <w:tcW w:type="dxa" w:w="1440"/>
            <w:shd w:fill="FFDCE0" w:val="clear"/>
          </w:tcPr>
          <w:p>
            <w:r>
              <w:rPr>
                <w:b/>
                <w:sz w:val="17"/>
              </w:rPr>
              <w:t>8,939</w:t>
            </w:r>
          </w:p>
        </w:tc>
        <w:tc>
          <w:tcPr>
            <w:tcW w:type="dxa" w:w="1440"/>
            <w:shd w:fill="FFDCE0" w:val="clear"/>
          </w:tcPr>
          <w:p>
            <w:r>
              <w:rPr>
                <w:sz w:val="17"/>
              </w:rPr>
              <w:t>9,255</w:t>
            </w:r>
          </w:p>
        </w:tc>
        <w:tc>
          <w:tcPr>
            <w:tcW w:type="dxa" w:w="1440"/>
            <w:shd w:fill="FFDCE0" w:val="clear"/>
          </w:tcPr>
          <w:p>
            <w:r>
              <w:rPr>
                <w:b/>
                <w:color w:val="C00000"/>
                <w:sz w:val="17"/>
              </w:rPr>
              <w:t>-2.7%</w:t>
            </w:r>
          </w:p>
        </w:tc>
      </w:tr>
      <w:tr>
        <w:tc>
          <w:tcPr>
            <w:tcW w:type="dxa" w:w="1440"/>
            <w:shd w:fill="FFDCE0" w:val="clear"/>
          </w:tcPr>
          <w:p>
            <w:r>
              <w:rPr>
                <w:sz w:val="17"/>
              </w:rPr>
              <w:t>J+4  Moyenne</w:t>
            </w:r>
          </w:p>
        </w:tc>
        <w:tc>
          <w:tcPr>
            <w:tcW w:type="dxa" w:w="1440"/>
            <w:shd w:fill="FFDCE0" w:val="clear"/>
          </w:tcPr>
          <w:p>
            <w:r>
              <w:rPr>
                <w:sz w:val="17"/>
              </w:rPr>
              <w:t>2026-09-24</w:t>
            </w:r>
          </w:p>
        </w:tc>
        <w:tc>
          <w:tcPr>
            <w:tcW w:type="dxa" w:w="1440"/>
            <w:shd w:fill="FFDCE0" w:val="clear"/>
          </w:tcPr>
          <w:p>
            <w:r>
              <w:rPr>
                <w:sz w:val="17"/>
              </w:rPr>
              <w:t>8,508</w:t>
            </w:r>
          </w:p>
        </w:tc>
        <w:tc>
          <w:tcPr>
            <w:tcW w:type="dxa" w:w="1440"/>
            <w:shd w:fill="FFDCE0" w:val="clear"/>
          </w:tcPr>
          <w:p>
            <w:r>
              <w:rPr>
                <w:b/>
                <w:sz w:val="17"/>
              </w:rPr>
              <w:t>8,869</w:t>
            </w:r>
          </w:p>
        </w:tc>
        <w:tc>
          <w:tcPr>
            <w:tcW w:type="dxa" w:w="1440"/>
            <w:shd w:fill="FFDCE0" w:val="clear"/>
          </w:tcPr>
          <w:p>
            <w:r>
              <w:rPr>
                <w:sz w:val="17"/>
              </w:rPr>
              <w:t>9,230</w:t>
            </w:r>
          </w:p>
        </w:tc>
        <w:tc>
          <w:tcPr>
            <w:tcW w:type="dxa" w:w="1440"/>
            <w:shd w:fill="FFDCE0" w:val="clear"/>
          </w:tcPr>
          <w:p>
            <w:r>
              <w:rPr>
                <w:b/>
                <w:color w:val="C00000"/>
                <w:sz w:val="17"/>
              </w:rPr>
              <w:t>-3.4%</w:t>
            </w:r>
          </w:p>
        </w:tc>
      </w:tr>
      <w:tr>
        <w:tc>
          <w:tcPr>
            <w:tcW w:type="dxa" w:w="1440"/>
            <w:shd w:fill="FFDCE0" w:val="clear"/>
          </w:tcPr>
          <w:p>
            <w:r>
              <w:rPr>
                <w:sz w:val="17"/>
              </w:rPr>
              <w:t>J+5  Moyenne</w:t>
            </w:r>
          </w:p>
        </w:tc>
        <w:tc>
          <w:tcPr>
            <w:tcW w:type="dxa" w:w="1440"/>
            <w:shd w:fill="FFDCE0" w:val="clear"/>
          </w:tcPr>
          <w:p>
            <w:r>
              <w:rPr>
                <w:sz w:val="17"/>
              </w:rPr>
              <w:t>2026-09-25</w:t>
            </w:r>
          </w:p>
        </w:tc>
        <w:tc>
          <w:tcPr>
            <w:tcW w:type="dxa" w:w="1440"/>
            <w:shd w:fill="FFDCE0" w:val="clear"/>
          </w:tcPr>
          <w:p>
            <w:r>
              <w:rPr>
                <w:sz w:val="17"/>
              </w:rPr>
              <w:t>8,405</w:t>
            </w:r>
          </w:p>
        </w:tc>
        <w:tc>
          <w:tcPr>
            <w:tcW w:type="dxa" w:w="1440"/>
            <w:shd w:fill="FFDCE0" w:val="clear"/>
          </w:tcPr>
          <w:p>
            <w:r>
              <w:rPr>
                <w:b/>
                <w:sz w:val="17"/>
              </w:rPr>
              <w:t>8,806</w:t>
            </w:r>
          </w:p>
        </w:tc>
        <w:tc>
          <w:tcPr>
            <w:tcW w:type="dxa" w:w="1440"/>
            <w:shd w:fill="FFDCE0" w:val="clear"/>
          </w:tcPr>
          <w:p>
            <w:r>
              <w:rPr>
                <w:sz w:val="17"/>
              </w:rPr>
              <w:t>9,207</w:t>
            </w:r>
          </w:p>
        </w:tc>
        <w:tc>
          <w:tcPr>
            <w:tcW w:type="dxa" w:w="1440"/>
            <w:shd w:fill="FFDCE0" w:val="clear"/>
          </w:tcPr>
          <w:p>
            <w:r>
              <w:rPr>
                <w:b/>
                <w:color w:val="C00000"/>
                <w:sz w:val="17"/>
              </w:rPr>
              <w:t>-4.1%</w:t>
            </w:r>
          </w:p>
        </w:tc>
      </w:tr>
      <w:tr>
        <w:tc>
          <w:tcPr>
            <w:tcW w:type="dxa" w:w="1440"/>
            <w:shd w:fill="FFDCE0" w:val="clear"/>
          </w:tcPr>
          <w:p>
            <w:r>
              <w:rPr>
                <w:sz w:val="17"/>
              </w:rPr>
              <w:t>J+6  Moyenne</w:t>
            </w:r>
          </w:p>
        </w:tc>
        <w:tc>
          <w:tcPr>
            <w:tcW w:type="dxa" w:w="1440"/>
            <w:shd w:fill="FFDCE0" w:val="clear"/>
          </w:tcPr>
          <w:p>
            <w:r>
              <w:rPr>
                <w:sz w:val="17"/>
              </w:rPr>
              <w:t>2026-09-28</w:t>
            </w:r>
          </w:p>
        </w:tc>
        <w:tc>
          <w:tcPr>
            <w:tcW w:type="dxa" w:w="1440"/>
            <w:shd w:fill="FFDCE0" w:val="clear"/>
          </w:tcPr>
          <w:p>
            <w:r>
              <w:rPr>
                <w:sz w:val="17"/>
              </w:rPr>
              <w:t>8,312</w:t>
            </w:r>
          </w:p>
        </w:tc>
        <w:tc>
          <w:tcPr>
            <w:tcW w:type="dxa" w:w="1440"/>
            <w:shd w:fill="FFDCE0" w:val="clear"/>
          </w:tcPr>
          <w:p>
            <w:r>
              <w:rPr>
                <w:b/>
                <w:sz w:val="17"/>
              </w:rPr>
              <w:t>8,749</w:t>
            </w:r>
          </w:p>
        </w:tc>
        <w:tc>
          <w:tcPr>
            <w:tcW w:type="dxa" w:w="1440"/>
            <w:shd w:fill="FFDCE0" w:val="clear"/>
          </w:tcPr>
          <w:p>
            <w:r>
              <w:rPr>
                <w:sz w:val="17"/>
              </w:rPr>
              <w:t>9,185</w:t>
            </w:r>
          </w:p>
        </w:tc>
        <w:tc>
          <w:tcPr>
            <w:tcW w:type="dxa" w:w="1440"/>
            <w:shd w:fill="FFDCE0" w:val="clear"/>
          </w:tcPr>
          <w:p>
            <w:r>
              <w:rPr>
                <w:b/>
                <w:color w:val="C00000"/>
                <w:sz w:val="17"/>
              </w:rPr>
              <w:t>-4.7%</w:t>
            </w:r>
          </w:p>
        </w:tc>
      </w:tr>
      <w:tr>
        <w:tc>
          <w:tcPr>
            <w:tcW w:type="dxa" w:w="1440"/>
            <w:shd w:fill="FFDCE0" w:val="clear"/>
          </w:tcPr>
          <w:p>
            <w:r>
              <w:rPr>
                <w:sz w:val="17"/>
              </w:rPr>
              <w:t>J+7  Moyenne</w:t>
            </w:r>
          </w:p>
        </w:tc>
        <w:tc>
          <w:tcPr>
            <w:tcW w:type="dxa" w:w="1440"/>
            <w:shd w:fill="FFDCE0" w:val="clear"/>
          </w:tcPr>
          <w:p>
            <w:r>
              <w:rPr>
                <w:sz w:val="17"/>
              </w:rPr>
              <w:t>2026-09-29</w:t>
            </w:r>
          </w:p>
        </w:tc>
        <w:tc>
          <w:tcPr>
            <w:tcW w:type="dxa" w:w="1440"/>
            <w:shd w:fill="FFDCE0" w:val="clear"/>
          </w:tcPr>
          <w:p>
            <w:r>
              <w:rPr>
                <w:sz w:val="17"/>
              </w:rPr>
              <w:t>8,228</w:t>
            </w:r>
          </w:p>
        </w:tc>
        <w:tc>
          <w:tcPr>
            <w:tcW w:type="dxa" w:w="1440"/>
            <w:shd w:fill="FFDCE0" w:val="clear"/>
          </w:tcPr>
          <w:p>
            <w:r>
              <w:rPr>
                <w:b/>
                <w:sz w:val="17"/>
              </w:rPr>
              <w:t>8,696</w:t>
            </w:r>
          </w:p>
        </w:tc>
        <w:tc>
          <w:tcPr>
            <w:tcW w:type="dxa" w:w="1440"/>
            <w:shd w:fill="FFDCE0" w:val="clear"/>
          </w:tcPr>
          <w:p>
            <w:r>
              <w:rPr>
                <w:sz w:val="17"/>
              </w:rPr>
              <w:t>9,165</w:t>
            </w:r>
          </w:p>
        </w:tc>
        <w:tc>
          <w:tcPr>
            <w:tcW w:type="dxa" w:w="1440"/>
            <w:shd w:fill="FFDCE0" w:val="clear"/>
          </w:tcPr>
          <w:p>
            <w:r>
              <w:rPr>
                <w:b/>
                <w:color w:val="C00000"/>
                <w:sz w:val="17"/>
              </w:rPr>
              <w:t>-5.3%</w:t>
            </w:r>
          </w:p>
        </w:tc>
      </w:tr>
      <w:tr>
        <w:tc>
          <w:tcPr>
            <w:tcW w:type="dxa" w:w="1440"/>
            <w:shd w:fill="FFDCE0" w:val="clear"/>
          </w:tcPr>
          <w:p>
            <w:r>
              <w:rPr>
                <w:sz w:val="17"/>
              </w:rPr>
              <w:t>J+8  Moyenne</w:t>
            </w:r>
          </w:p>
        </w:tc>
        <w:tc>
          <w:tcPr>
            <w:tcW w:type="dxa" w:w="1440"/>
            <w:shd w:fill="FFDCE0" w:val="clear"/>
          </w:tcPr>
          <w:p>
            <w:r>
              <w:rPr>
                <w:sz w:val="17"/>
              </w:rPr>
              <w:t>2026-09-30</w:t>
            </w:r>
          </w:p>
        </w:tc>
        <w:tc>
          <w:tcPr>
            <w:tcW w:type="dxa" w:w="1440"/>
            <w:shd w:fill="FFDCE0" w:val="clear"/>
          </w:tcPr>
          <w:p>
            <w:r>
              <w:rPr>
                <w:sz w:val="17"/>
              </w:rPr>
              <w:t>8,150</w:t>
            </w:r>
          </w:p>
        </w:tc>
        <w:tc>
          <w:tcPr>
            <w:tcW w:type="dxa" w:w="1440"/>
            <w:shd w:fill="FFDCE0" w:val="clear"/>
          </w:tcPr>
          <w:p>
            <w:r>
              <w:rPr>
                <w:b/>
                <w:sz w:val="17"/>
              </w:rPr>
              <w:t>8,648</w:t>
            </w:r>
          </w:p>
        </w:tc>
        <w:tc>
          <w:tcPr>
            <w:tcW w:type="dxa" w:w="1440"/>
            <w:shd w:fill="FFDCE0" w:val="clear"/>
          </w:tcPr>
          <w:p>
            <w:r>
              <w:rPr>
                <w:sz w:val="17"/>
              </w:rPr>
              <w:t>9,146</w:t>
            </w:r>
          </w:p>
        </w:tc>
        <w:tc>
          <w:tcPr>
            <w:tcW w:type="dxa" w:w="1440"/>
            <w:shd w:fill="FFDCE0" w:val="clear"/>
          </w:tcPr>
          <w:p>
            <w:r>
              <w:rPr>
                <w:b/>
                <w:color w:val="C00000"/>
                <w:sz w:val="17"/>
              </w:rPr>
              <w:t>-5.8%</w:t>
            </w:r>
          </w:p>
        </w:tc>
      </w:tr>
      <w:tr>
        <w:tc>
          <w:tcPr>
            <w:tcW w:type="dxa" w:w="1440"/>
            <w:shd w:fill="FFDCE0" w:val="clear"/>
          </w:tcPr>
          <w:p>
            <w:r>
              <w:rPr>
                <w:sz w:val="17"/>
              </w:rPr>
              <w:t>J+9  Moyenne</w:t>
            </w:r>
          </w:p>
        </w:tc>
        <w:tc>
          <w:tcPr>
            <w:tcW w:type="dxa" w:w="1440"/>
            <w:shd w:fill="FFDCE0" w:val="clear"/>
          </w:tcPr>
          <w:p>
            <w:r>
              <w:rPr>
                <w:sz w:val="17"/>
              </w:rPr>
              <w:t>2026-10-01</w:t>
            </w:r>
          </w:p>
        </w:tc>
        <w:tc>
          <w:tcPr>
            <w:tcW w:type="dxa" w:w="1440"/>
            <w:shd w:fill="FFDCE0" w:val="clear"/>
          </w:tcPr>
          <w:p>
            <w:r>
              <w:rPr>
                <w:sz w:val="17"/>
              </w:rPr>
              <w:t>8,078</w:t>
            </w:r>
          </w:p>
        </w:tc>
        <w:tc>
          <w:tcPr>
            <w:tcW w:type="dxa" w:w="1440"/>
            <w:shd w:fill="FFDCE0" w:val="clear"/>
          </w:tcPr>
          <w:p>
            <w:r>
              <w:rPr>
                <w:b/>
                <w:sz w:val="17"/>
              </w:rPr>
              <w:t>8,603</w:t>
            </w:r>
          </w:p>
        </w:tc>
        <w:tc>
          <w:tcPr>
            <w:tcW w:type="dxa" w:w="1440"/>
            <w:shd w:fill="FFDCE0" w:val="clear"/>
          </w:tcPr>
          <w:p>
            <w:r>
              <w:rPr>
                <w:sz w:val="17"/>
              </w:rPr>
              <w:t>9,129</w:t>
            </w:r>
          </w:p>
        </w:tc>
        <w:tc>
          <w:tcPr>
            <w:tcW w:type="dxa" w:w="1440"/>
            <w:shd w:fill="FFDCE0" w:val="clear"/>
          </w:tcPr>
          <w:p>
            <w:r>
              <w:rPr>
                <w:b/>
                <w:color w:val="C00000"/>
                <w:sz w:val="17"/>
              </w:rPr>
              <w:t>-6.3%</w:t>
            </w:r>
          </w:p>
        </w:tc>
      </w:tr>
      <w:tr>
        <w:tc>
          <w:tcPr>
            <w:tcW w:type="dxa" w:w="1440"/>
            <w:shd w:fill="FFDCE0" w:val="clear"/>
          </w:tcPr>
          <w:p>
            <w:r>
              <w:rPr>
                <w:sz w:val="17"/>
              </w:rPr>
              <w:t>J+10  Moyenne</w:t>
            </w:r>
          </w:p>
        </w:tc>
        <w:tc>
          <w:tcPr>
            <w:tcW w:type="dxa" w:w="1440"/>
            <w:shd w:fill="FFDCE0" w:val="clear"/>
          </w:tcPr>
          <w:p>
            <w:r>
              <w:rPr>
                <w:sz w:val="17"/>
              </w:rPr>
              <w:t>2026-10-02</w:t>
            </w:r>
          </w:p>
        </w:tc>
        <w:tc>
          <w:tcPr>
            <w:tcW w:type="dxa" w:w="1440"/>
            <w:shd w:fill="FFDCE0" w:val="clear"/>
          </w:tcPr>
          <w:p>
            <w:r>
              <w:rPr>
                <w:sz w:val="17"/>
              </w:rPr>
              <w:t>8,010</w:t>
            </w:r>
          </w:p>
        </w:tc>
        <w:tc>
          <w:tcPr>
            <w:tcW w:type="dxa" w:w="1440"/>
            <w:shd w:fill="FFDCE0" w:val="clear"/>
          </w:tcPr>
          <w:p>
            <w:r>
              <w:rPr>
                <w:b/>
                <w:sz w:val="17"/>
              </w:rPr>
              <w:t>8,561</w:t>
            </w:r>
          </w:p>
        </w:tc>
        <w:tc>
          <w:tcPr>
            <w:tcW w:type="dxa" w:w="1440"/>
            <w:shd w:fill="FFDCE0" w:val="clear"/>
          </w:tcPr>
          <w:p>
            <w:r>
              <w:rPr>
                <w:sz w:val="17"/>
              </w:rPr>
              <w:t>9,112</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918,50 milliards FCFA, la SIBC s'impose comme l'une des toutes premières capitalisations de la BRVM, un poids qui reflète sa position de banque systémique dans l'UEMOA et qui en fait un pilier de l'indice BRVM Composite. Le BPA de 556 FCFA par action signifie que chaque titre génère un bénéfice net de 556 FCFA, ce qui, rapporté au cours actuel de 9 185 FCFA, donne un PER de 16,5x — nettement supérieur à la moyenne du marché BRVM (8-12x), traduisant une prime de qualité consentie par les investisseurs pour la régularité des résultats de la banque. Le P/B de 4,49x confirme cette lecture : le marché valorise la SIBC à plus de quatre fois sa valeur comptable, ce qui est exigeant mais cohérent avec un ROE de 27,2% (largement supérieur au coût des fonds propres). Enfin, l'EV/EBITDA de 15,3x, très exigeant, intègre la solidité du modèle et la croissance attendue, mais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 enregistré une progression remarquable de +31,21%, avec une dernière séance en hausse de +0,93%, confirmant la dynamique haussière en cours. Le cours actuel de 9 185 FCFA se situe dans la partie haute du range de trading, le plus haut ayant atteint 9 500 FCFA et le plus bas 6 900 FCFA, soit un écart de 37,7% entre les deux extrêmes — signe d'une tendance directionnelle forte. La moyenne (8 640 FCFA) est inférieure à la médiane (8 890 FCFA), ce qui indique une distribution asymétrique avec davantage de séances passées au-dessus de la moyenne, confirmée par le skewness négatif de -1,278 (plus de journées au-dessus de la moyenne). L'écart-type de 719 FCFA avec un coefficient de variation de 8,3% traduit une dispersion modérée du cours, tandis que le kurtosis de 0,228 (mésokurtique) suggère une distribution proche de la normale, sans risque excessif de pics extrêmes. La volatilité annualisée de 28,4% positionne le titre dans la catégorie des valeurs à volatilité modérée à élevée (seuil 30%), ce qui reste acceptable pour une action bancaire de premier plan.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(9 187 FCFA) est légèrement supérieure au cours actuel (9 185 FCFA), tandis que la MM50 (9 085,6 FCFA) se situe nettement en dessous, confirmant une structure haussière de moyen terme. Le croisement des moyennes (MM20 &gt; MM50) et la position du cours au-dessus de la MM50 justifient la décision d'**Achat**.</w:t>
      </w:r>
    </w:p>
    <w:p>
      <w:pPr>
        <w:spacing w:after="120" w:line="276" w:lineRule="auto"/>
      </w:pPr>
      <w:r>
        <w:t>**Bandes de Bollinger** : Le cours (9 185 FCFA) évolue à l'intérieur des bandes, entre la borne inférieure (9 003,255 FCFA) et la borne supérieure (9 370,745 FCFA), sans toucher les extrêmes. Cette position médiane, avec un rétrécissement des bandes, indique une phase de consolidation et justifie la décision **Neutre**.</w:t>
      </w:r>
    </w:p>
    <w:p>
      <w:pPr>
        <w:spacing w:after="120" w:line="276" w:lineRule="auto"/>
      </w:pPr>
      <w:r>
        <w:t>**MACD** : La valeur du MACD (24,179) est inférieure à son signal (39,339), générant un croisement baissier qui traduit un essoufflement du momentum haussier. Cette divergence négative justifie la décision de **Vente** à court terme.</w:t>
      </w:r>
    </w:p>
    <w:p>
      <w:pPr>
        <w:spacing w:after="120" w:line="276" w:lineRule="auto"/>
      </w:pPr>
      <w:r>
        <w:t>**RSI** : À 59,391, le RSI se situe en zone neutre (30-70), sans signal de surachat ni de survente. Cette position équilibrée justifie la décision **Neutre**, le titre conservant un potentiel de hausse sans excès.</w:t>
      </w:r>
    </w:p>
    <w:p>
      <w:pPr>
        <w:spacing w:after="120" w:line="276" w:lineRule="auto"/>
      </w:pPr>
      <w:r>
        <w:t>**Stochastique** : Le %K (42,5) est légèrement inférieur au %D (45,278), sans croisement significatif, et les deux lignes évoluent en zone médiane. Cette configuration neutre justifie la décision **Neutre**, en l'absence de signal directionnel clair.</w:t>
      </w:r>
    </w:p>
    <w:p>
      <w:pPr>
        <w:spacing w:after="120" w:line="276" w:lineRule="auto"/>
      </w:pPr>
      <w:r>
        <w:t>**Conclusion technique** : Les indicateurs sont partagés — les moyennes mobiles confirment la tendance haussière de fond, mais le MACD signale un essoufflement à court terme, tandis que le RSI, les Bollinger et le Stochastique restent neutres. Le titre se trouve dans une phase de consolidation après sa forte progression, avec un biais haussier de moyen terme mais une prudence de court terme justifiée.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la SIBC affichent un Produit Net Bancaire (PNB) de 108,663 milliards FCFA, un résultat net de 55,623 milliards FCFA, un ROE de 27,16% et un ROA de 2,96%, confirmant la solidité et la rentabilité exceptionnelle de la banque. Le coefficient d'exploitation de 38,59% (très inférieur au seuil de 60% et même au seuil d'excellence de 50%) témoigne d'une efficacité opérationnelle remarquable, tandis que la marge nette de 51,19% et la marge opérationnelle de 58,06% traduisent une excellente maîtrise des coûts. Le ratio dépôts/crédits s'établit à 1 503,441 Mds FCFA de dépôts clientèle pour 1 226,720 Mds FCFA de créances clientèle, soit un taux de transformation de 81,6%, indicateur d'une activité d'intermédiation équilibrée et d'une liquidité abondante (98,820 Mds FCFA de caisse et 375,561 Mds FCFA de titres d'État). Le coût du risque, bien que non détaillé dans les données structurées, est jugé prudent par la direction, avec des provisions de 14,124 Mds FCFA. Les rapports trimestriels récents confirment cette dynamique : au T1 2026 (rapport du 31/12/2026), le PNB progresse de +4% à 27,7 Mds FCFA et le résultat net bondit de +11% à 15,2 Mds FCFA, avec des dépôts en hausse de +9% à 1 495 Mds FCFA et des crédits en progression de +7% à 1 112 Mds FCFA. Sur la base de ces tendances, on estime que l'exercice 2026 devrait enregistrer un PNB annuel d'environ 113-115 Mds FCFA et un résultat net de l'ordre de 60-62 Mds FCFA, soit une croissance de 8-11% par rapport à 2025. Le rapport annuel 2024 (publié le 31/12/2024) faisait déjà état d'un ROE de 30,56% et d'un dividende de 375 FCFA/action (rendement de 10,55% au cours de 31/12/2024), confirmant la politique de distribution généreuse. La principale faiblesse réside dans l'autonomie financière de 10,88% (capitaux propres/total bilan), inférieure au seuil de 30%, mais ce niveau est structurel dans le secteur bancaire où l'effet de levier est la norme. En conclusion, la SIBC présente des fondamentaux exceptionnels (ROE &gt;27%, coefficient d'exploitation &lt;39%, croissance à deux chiffres du résultat net), avec des risques limités à l'exposition macroéconomique ivoirienne et à la concurrence sectorielle.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SIBC (PER 16,5x, P/B 4,49x, EV/EBITDA 15,3x) est exigeante et intègre déjà une large part des bonnes performances, ce qui limite le potentiel de réévaluation à court terme malgré des fondamentaux de premier ordre. Le comportement du cours sur 100 jours (+31,21%) est nettement haussier, avec une volatilité modérée (28,4%) et une distribution asymétrique négative (skewness -1,278) indiquant une tendance à la surperformance, sans risque excessif de pics (kurtosis 0,228). Les signaux techniques sont mitigés : les moyennes mobiles confirment la tendance haussière de fond, mais le MACD génère un signal de vente à court terme, tandis que le RSI, les Bollinger et le Stochastique restent neutres — configuration typique d'une consolidation après un fort rallye. Les fondamentaux sont excellents (ROE 27,16%, coefficient d'exploitation 38,59%, croissance du résultat net de +11% au T1 2026), et les estimations pour 2026 tablent sur un résultat net de 60-62 Mds FCFA, soit une progression de 8-11%. Les prédictions IA (J+1 à J+10) anticipent une correction progressive de 9 096 FCFA à 8 806 FCFA, soit une baisse d'environ 4,1% sur 10 jours, ce qui contredit la tendance haussière de fond mais confirme l'essoufflement technique signalé par le MACD. Sur la base de cette synthèse, la recommandation finale est **CONSERVER** : la convergence entre fondamentaux solides et valorisation exigeante, couplée à la divergence entre tendance de fond haussière et signaux techniques de court terme baissiers, plaide pour une position attentiste. Le niveau de confiance est **Moyen** (les fondamentaux sont robustes mais la valorisation limite le potentiel), le risque global est **Moyen** (volatilité modérée, exposition macroéconomique), et l'horizon d'investissement optimal est le **moyen terme (3-12 mois)**, en attendant une correction du cours vers la MM50 (9 085 FCFA) ou la borne inférieure des Bollinger (9 003 FCFA)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β=-1.0447 (Contre-cyclique) — Cov=-0.000037, Var(idx)=0.000035, ρ=-0.172,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2026-09-21</w:t>
            </w:r>
          </w:p>
        </w:tc>
        <w:tc>
          <w:tcPr>
            <w:tcW w:type="dxa" w:w="1440"/>
            <w:shd w:fill="FFDCE0" w:val="clear"/>
          </w:tcPr>
          <w:p>
            <w:r>
              <w:rPr>
                <w:sz w:val="17"/>
              </w:rPr>
              <w:t>6,806</w:t>
            </w:r>
          </w:p>
        </w:tc>
        <w:tc>
          <w:tcPr>
            <w:tcW w:type="dxa" w:w="1440"/>
            <w:shd w:fill="FFDCE0" w:val="clear"/>
          </w:tcPr>
          <w:p>
            <w:r>
              <w:rPr>
                <w:b/>
                <w:sz w:val="17"/>
              </w:rPr>
              <w:t>7,942</w:t>
            </w:r>
          </w:p>
        </w:tc>
        <w:tc>
          <w:tcPr>
            <w:tcW w:type="dxa" w:w="1440"/>
            <w:shd w:fill="FFDCE0" w:val="clear"/>
          </w:tcPr>
          <w:p>
            <w:r>
              <w:rPr>
                <w:sz w:val="17"/>
              </w:rPr>
              <w:t>9,077</w:t>
            </w:r>
          </w:p>
        </w:tc>
        <w:tc>
          <w:tcPr>
            <w:tcW w:type="dxa" w:w="1440"/>
            <w:shd w:fill="FFDCE0" w:val="clear"/>
          </w:tcPr>
          <w:p>
            <w:r>
              <w:rPr>
                <w:b/>
                <w:color w:val="C00000"/>
                <w:sz w:val="17"/>
              </w:rPr>
              <w:t>-5.5%</w:t>
            </w:r>
          </w:p>
        </w:tc>
      </w:tr>
      <w:tr>
        <w:tc>
          <w:tcPr>
            <w:tcW w:type="dxa" w:w="1440"/>
            <w:shd w:fill="FFDCE0" w:val="clear"/>
          </w:tcPr>
          <w:p>
            <w:r>
              <w:rPr>
                <w:sz w:val="17"/>
              </w:rPr>
              <w:t>J+2  ⭐</w:t>
            </w:r>
          </w:p>
        </w:tc>
        <w:tc>
          <w:tcPr>
            <w:tcW w:type="dxa" w:w="1440"/>
            <w:shd w:fill="FFDCE0" w:val="clear"/>
          </w:tcPr>
          <w:p>
            <w:r>
              <w:rPr>
                <w:sz w:val="17"/>
              </w:rPr>
              <w:t>2026-09-22</w:t>
            </w:r>
          </w:p>
        </w:tc>
        <w:tc>
          <w:tcPr>
            <w:tcW w:type="dxa" w:w="1440"/>
            <w:shd w:fill="FFDCE0" w:val="clear"/>
          </w:tcPr>
          <w:p>
            <w:r>
              <w:rPr>
                <w:sz w:val="17"/>
              </w:rPr>
              <w:t>6,567</w:t>
            </w:r>
          </w:p>
        </w:tc>
        <w:tc>
          <w:tcPr>
            <w:tcW w:type="dxa" w:w="1440"/>
            <w:shd w:fill="FFDCE0" w:val="clear"/>
          </w:tcPr>
          <w:p>
            <w:r>
              <w:rPr>
                <w:b/>
                <w:sz w:val="17"/>
              </w:rPr>
              <w:t>7,817</w:t>
            </w:r>
          </w:p>
        </w:tc>
        <w:tc>
          <w:tcPr>
            <w:tcW w:type="dxa" w:w="1440"/>
            <w:shd w:fill="FFDCE0" w:val="clear"/>
          </w:tcPr>
          <w:p>
            <w:r>
              <w:rPr>
                <w:sz w:val="17"/>
              </w:rPr>
              <w:t>9,066</w:t>
            </w:r>
          </w:p>
        </w:tc>
        <w:tc>
          <w:tcPr>
            <w:tcW w:type="dxa" w:w="1440"/>
            <w:shd w:fill="FFDCE0" w:val="clear"/>
          </w:tcPr>
          <w:p>
            <w:r>
              <w:rPr>
                <w:b/>
                <w:color w:val="C00000"/>
                <w:sz w:val="17"/>
              </w:rPr>
              <w:t>-6.9%</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6,346</w:t>
            </w:r>
          </w:p>
        </w:tc>
        <w:tc>
          <w:tcPr>
            <w:tcW w:type="dxa" w:w="1440"/>
            <w:shd w:fill="FFDCE0" w:val="clear"/>
          </w:tcPr>
          <w:p>
            <w:r>
              <w:rPr>
                <w:b/>
                <w:sz w:val="17"/>
              </w:rPr>
              <w:t>7,694</w:t>
            </w:r>
          </w:p>
        </w:tc>
        <w:tc>
          <w:tcPr>
            <w:tcW w:type="dxa" w:w="1440"/>
            <w:shd w:fill="FFDCE0" w:val="clear"/>
          </w:tcPr>
          <w:p>
            <w:r>
              <w:rPr>
                <w:sz w:val="17"/>
              </w:rPr>
              <w:t>9,041</w:t>
            </w:r>
          </w:p>
        </w:tc>
        <w:tc>
          <w:tcPr>
            <w:tcW w:type="dxa" w:w="1440"/>
            <w:shd w:fill="FFDCE0" w:val="clear"/>
          </w:tcPr>
          <w:p>
            <w:r>
              <w:rPr>
                <w:b/>
                <w:color w:val="C00000"/>
                <w:sz w:val="17"/>
              </w:rPr>
              <w:t>-8.4%</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6,141</w:t>
            </w:r>
          </w:p>
        </w:tc>
        <w:tc>
          <w:tcPr>
            <w:tcW w:type="dxa" w:w="1440"/>
            <w:shd w:fill="FFDCE0" w:val="clear"/>
          </w:tcPr>
          <w:p>
            <w:r>
              <w:rPr>
                <w:b/>
                <w:sz w:val="17"/>
              </w:rPr>
              <w:t>7,574</w:t>
            </w:r>
          </w:p>
        </w:tc>
        <w:tc>
          <w:tcPr>
            <w:tcW w:type="dxa" w:w="1440"/>
            <w:shd w:fill="FFDCE0" w:val="clear"/>
          </w:tcPr>
          <w:p>
            <w:r>
              <w:rPr>
                <w:sz w:val="17"/>
              </w:rPr>
              <w:t>9,007</w:t>
            </w:r>
          </w:p>
        </w:tc>
        <w:tc>
          <w:tcPr>
            <w:tcW w:type="dxa" w:w="1440"/>
            <w:shd w:fill="FFDCE0" w:val="clear"/>
          </w:tcPr>
          <w:p>
            <w:r>
              <w:rPr>
                <w:b/>
                <w:color w:val="C00000"/>
                <w:sz w:val="17"/>
              </w:rPr>
              <w:t>-9.8%</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5,950</w:t>
            </w:r>
          </w:p>
        </w:tc>
        <w:tc>
          <w:tcPr>
            <w:tcW w:type="dxa" w:w="1440"/>
            <w:shd w:fill="FFDCE0" w:val="clear"/>
          </w:tcPr>
          <w:p>
            <w:r>
              <w:rPr>
                <w:b/>
                <w:sz w:val="17"/>
              </w:rPr>
              <w:t>7,458</w:t>
            </w:r>
          </w:p>
        </w:tc>
        <w:tc>
          <w:tcPr>
            <w:tcW w:type="dxa" w:w="1440"/>
            <w:shd w:fill="FFDCE0" w:val="clear"/>
          </w:tcPr>
          <w:p>
            <w:r>
              <w:rPr>
                <w:sz w:val="17"/>
              </w:rPr>
              <w:t>8,966</w:t>
            </w:r>
          </w:p>
        </w:tc>
        <w:tc>
          <w:tcPr>
            <w:tcW w:type="dxa" w:w="1440"/>
            <w:shd w:fill="FFDCE0" w:val="clear"/>
          </w:tcPr>
          <w:p>
            <w:r>
              <w:rPr>
                <w:b/>
                <w:color w:val="C00000"/>
                <w:sz w:val="17"/>
              </w:rPr>
              <w:t>-11.2%</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5,771</w:t>
            </w:r>
          </w:p>
        </w:tc>
        <w:tc>
          <w:tcPr>
            <w:tcW w:type="dxa" w:w="1440"/>
            <w:shd w:fill="FFDCE0" w:val="clear"/>
          </w:tcPr>
          <w:p>
            <w:r>
              <w:rPr>
                <w:b/>
                <w:sz w:val="17"/>
              </w:rPr>
              <w:t>7,347</w:t>
            </w:r>
          </w:p>
        </w:tc>
        <w:tc>
          <w:tcPr>
            <w:tcW w:type="dxa" w:w="1440"/>
            <w:shd w:fill="FFDCE0" w:val="clear"/>
          </w:tcPr>
          <w:p>
            <w:r>
              <w:rPr>
                <w:sz w:val="17"/>
              </w:rPr>
              <w:t>8,922</w:t>
            </w:r>
          </w:p>
        </w:tc>
        <w:tc>
          <w:tcPr>
            <w:tcW w:type="dxa" w:w="1440"/>
            <w:shd w:fill="FFDCE0" w:val="clear"/>
          </w:tcPr>
          <w:p>
            <w:r>
              <w:rPr>
                <w:b/>
                <w:color w:val="C00000"/>
                <w:sz w:val="17"/>
              </w:rPr>
              <w:t>-12.5%</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5,603</w:t>
            </w:r>
          </w:p>
        </w:tc>
        <w:tc>
          <w:tcPr>
            <w:tcW w:type="dxa" w:w="1440"/>
            <w:shd w:fill="FFDCE0" w:val="clear"/>
          </w:tcPr>
          <w:p>
            <w:r>
              <w:rPr>
                <w:b/>
                <w:sz w:val="17"/>
              </w:rPr>
              <w:t>7,239</w:t>
            </w:r>
          </w:p>
        </w:tc>
        <w:tc>
          <w:tcPr>
            <w:tcW w:type="dxa" w:w="1440"/>
            <w:shd w:fill="FFDCE0" w:val="clear"/>
          </w:tcPr>
          <w:p>
            <w:r>
              <w:rPr>
                <w:sz w:val="17"/>
              </w:rPr>
              <w:t>8,876</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SICOR (SICC)**</w:t>
        <w:br/>
        <w:t>**Bourse Régionale des Valeurs Mobilières (BRVM) — Côte d'Ivoire**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ivoirien. Les ratios de valorisation classiques (BPA, PER, P/B, EV/EBITDA) ne sont pas calculables en l'absence de données financières structurées récentes exploitables et de consensus de bénéfices normalisés, ce qui limite l'appréciation directe du prix payé par le marché. On peut toutefois noter que le titre se négocie à 8 400 FCFA pour un capital social de 1,5 milliard FCFA (soit 600 000 actions environ), ce qui suggère un multiple de capitalisation élevé au regard des résultats nets historiques (19,25 M FCFA en 2023), traduisant une valorisation portée davantage par l'anticipation que par les bénéfices courants. L'investisseur doit donc se référer principalement à l'analyse fondamentale et technique pour évaluer le caractère attractif ou non du cours actuel.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affiche une performance exceptionnelle de +95,35 %, bien que la dernière séance (J-1) marque une légère correction de -1,12 %, signe d'une prise de profit après un rallye soutenu. Le cours actuel de 8 400 FCFA se situe dans la partie haute du range de trading, dont le plus bas a été touché à 3 985 FCFA et le plus haut à 10 200 FCFA, soit une amplitude de plus de 155 % qui témoigne d'une tendance nettement haussière sur la période. Les statistiques descriptives révèlent une distribution asymétrique : la moyenne (5 815 FCFA) est supérieure à la médiane (5 022 FCFA), confirmant un skewness positif de 0,913, c'est-à-dire que le titre a passé davantage de séances sous sa moyenne, mais que les poussées haussières ont été suffisamment fortes pour tirer la moyenne vers le haut. L'écart-type de 1 813 FCFA et le coefficient de variation de 31,2 % traduisent une dispersion importante du cours, tandis que le kurtosis de -0,630 (mésokurtique) indique une distribution proche de la normale, sans pics extrêmes fréquents. La volatilité annualisée de 58,2 % classe clairement SICOR dans la catégorie des titres à volatilité élevée (&gt;30 %), ce qui implique un risque de marché significatif et justifie une gestion prudente de la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(8 472,25 FCFA) et la MM50 (7 205 FCFA) sont toutes deux inférieures au cours actuel de 8 400 FCFA pour la MM20 (léger écart) mais nettement en dessous pour la MM50, ce qui confirme une configuration haussière de fond. La décision technique est à l'**Achat**, la MM20 servant de support dynamique immédiat et la MM50 de tendance de moyen terme.</w:t>
      </w:r>
    </w:p>
    <w:p>
      <w:pPr>
        <w:spacing w:after="120" w:line="276" w:lineRule="auto"/>
      </w:pPr>
      <w:r>
        <w:t>**Bandes de Bollinger** : Le cours (8 400 FCFA) évolue dans la partie médiane-haute de la bande, entre la borne inférieure (7 354,78 FCFA) et la borne supérieure (9 589,72 FCFA), sans franchissement des extrêmes. La décision est **Neutre**, le titre n'étant ni en situation de surchauffe ni de survente selon ce filtre.</w:t>
      </w:r>
    </w:p>
    <w:p>
      <w:pPr>
        <w:spacing w:after="120" w:line="276" w:lineRule="auto"/>
      </w:pPr>
      <w:r>
        <w:t>**MACD** : La valeur du MACD (273,89) est inférieure à son signal (366,08), générant une divergence baissière et un croisement négatif. La décision est à la **Vente**, ce qui suggère un essoufflement du momentum haussier à court terme.</w:t>
      </w:r>
    </w:p>
    <w:p>
      <w:pPr>
        <w:spacing w:after="120" w:line="276" w:lineRule="auto"/>
      </w:pPr>
      <w:r>
        <w:t>**RSI** : À 61,16, le RSI se situe en zone neutre-haute, sans atteindre le seuil de surachat (70). La décision est **Neutre**, indiquant que le titre conserve un potentiel de hausse mais approche de zones de vigilance.</w:t>
      </w:r>
    </w:p>
    <w:p>
      <w:pPr>
        <w:spacing w:after="120" w:line="276" w:lineRule="auto"/>
      </w:pPr>
      <w:r>
        <w:t>**Stochastique** : Le %K (85,71) et le %D (94,76) sont tous deux en zone de surachat, avec un %K inférieur au %D signalant un début de croisement baissier. La décision est à la **Vente**, confirmant la pression vendeuse naissante.</w:t>
      </w:r>
    </w:p>
    <w:p>
      <w:pPr>
        <w:spacing w:after="120" w:line="276" w:lineRule="auto"/>
      </w:pPr>
      <w:r>
        <w:t>**Conclusion technique** : Les indicateurs présentent une divergence notable : les moyennes mobiles restent haussières (Achat) tandis que le MACD et le stochastique émettent des signaux de vente, et que le RSI et les Bollinger sont neutres. Cette configuration suggère un essoufflement du rallye à court terme, avec un risque de consolidation voire de correction après la forte progression de +95 % sur 100 jours. La tendance de fond demeure positive, mais le timing d'entrée apparaît défavorable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de SICOR s'appuie sur les rapports financiers officiels disponibles, dont les plus récents portent sur les exercices 2022 et 2023 (analysés respectivement par MISTRAL le 15/03/2026), complétés par des rapports plus anciens (2015, 2016, 2017, 2020, 2021) qui permettent de retracer l'évolution historique. En 2022, la société a enregistré un chiffre d'affaires de 1 138,17 millions FCFA, en baisse de 17,58 % sur un an, pour une perte nette de -39,95 millions FCFA (marge nette de -3,51 %), marquant une inversion de tendance après quatre années de bénéfices. L'exercice 2023 marque un retour à la profitabilité avec un résultat net positif de 19,25 millions FCFA pour un chiffre d'affaires de 701,09 millions FCFA (en repli de 38,4 %), soit une marge nette de 2,75 %, soutenue par une réduction drastique des charges (-43,68 %) et un transfert de 50 % du personnel vers la filiale SIPAL. L'évolution sur cinq ans révèle une grande volatilité des résultats : +989,4 M FCFA en 2018, +2,35 M en 2019, +109,8 M en 2020, +119,2 M en 2021, -39,9 M en 2022, puis +19,25 M en 2023, avec des marges nettes oscillant entre -3,5 % et +12,3 %. Les points de vigilance majeurs incluent des pertes cumulées de 689,86 millions FCFA (report à nouveau négatif), une absence totale de dividende depuis 2017, des découverts bancaires multipliés par 14 en 2023 (+1 319 %), et une dépendance persistante aux cours mondiaux du coprah ainsi qu'aux vols de noix de coco sur les sites de Boulay et Gliké. À l'inverse, les opportunités résident dans la diversification vers les noix de coco (+126 % de CA en 2022) et les tourteaux, la modernisation des infrastructures et un possible rebond des exportations d'huile de coprah. La recommandation fondamentale est de **CONSERVER avec vigilance** : la société a prouvé sa capacité à renouer avec les bénéfices, mais la fragilité de sa rentabilité, son endettement fiscal élevé et l'absence de retour sur investissement pour les actionnaires (aucun dividende) limitent son attractivité à court terme. Les rapports datant d'avant 2025, il conviendra de surveiller la publication des comptes 2024 (AGO convoquée le 22 mai 2026) pour confirmer ou infirmer la trajectoire de redressement.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significative entre les différents signaux. Sur le plan de la **valorisation (Partie 0)**, l'absence de ratios calculables empêche une évaluation directe, mais la capitalisation de 5,04 Mds FCFA pour un résultat net de 19,25 M FCFA en 2023 suggère une valorisation tendue, portée par l'anticipation. Le **comportement du cours (Partie 1)** est exceptionnellement haussier (+95,35 % sur 100 jours) mais accompagné d'une volatilité élevée (58,2 %) et d'une asymétrie positive (skewness 0,913) qui indiquent des poussées spéculatives. Les **signaux techniques (Partie 2)** sont mitigés : les moyennes mobiles restent haussières, mais le MACD et le stochastique émettent des signaux de vente, et le RSI approche de la zone de surachat, plaidant pour une consolidation à court terme. Les **fondamentaux (Partie 3)** demeurent fragiles : retour à la profitabilité en 2023 (+19,25 M FCFA) mais avec des pertes cumulées non résorbées, une absence de dividende depuis 2017 et un endettement fiscal préoccupant. Enfin, les **prédictions IA (J+1 à J+10)** anticipent une trajectoire baissière, avec un cours passant de 7 942 FCFA à 7 458 FCFA en cinq séances, ce qui confirme les signaux techniques de vente et contredit la dynamique haussière récente. Sur la base de cette synthèse, la recommandation finale est de **CONSERVER** avec un niveau de confiance **Moyen** et un risque global **Élevé**. L'horizon d'investissement optimal est le **moyen terme (3-12 mois)**, en attendant la publication des comptes 2024 et la confirmation d'un redressement durable de la rentabilité, tout en surveillant les niveaux de support techniques (MM20 à 8 472 FCFA et borne inférieure de Bollinger à 7 354 FCFA) qui pourraient offrir des points d'entrée plus favorables en cas de correction.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19.00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5,461 titres</w:t>
            </w:r>
          </w:p>
        </w:tc>
        <w:tc>
          <w:tcPr>
            <w:tcW w:type="dxa" w:w="2268"/>
            <w:shd w:fill="FFF2CC" w:val="clear"/>
          </w:tcPr>
          <w:p>
            <w:r>
              <w:rPr>
                <w:b/>
                <w:color w:val="503200"/>
                <w:sz w:val="16"/>
              </w:rPr>
              <w:t xml:space="preserve">Cours actuel : </w:t>
            </w:r>
            <w:r>
              <w:rPr>
                <w:color w:val="000000"/>
                <w:sz w:val="17"/>
              </w:rPr>
              <w:t>2,175 FCFA</w:t>
            </w:r>
          </w:p>
          <w:p>
            <w:r>
              <w:rPr>
                <w:b/>
                <w:color w:val="503200"/>
                <w:sz w:val="16"/>
              </w:rPr>
              <w:t xml:space="preserve">Var. 100 jours : </w:t>
            </w:r>
            <w:r>
              <w:rPr>
                <w:b/>
                <w:color w:val="B40000"/>
                <w:sz w:val="17"/>
              </w:rPr>
              <w:t>-22.32%</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10.66% (Moyenne) — μ=2,509 FCFA, σ=267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β=0.3898 (Défensif) — Cov=0.000014, Var(idx)=0.000036, ρ=0.074,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2,103</w:t>
            </w:r>
          </w:p>
        </w:tc>
        <w:tc>
          <w:tcPr>
            <w:tcW w:type="dxa" w:w="1440"/>
            <w:shd w:fill="FAFAFA" w:val="clear"/>
          </w:tcPr>
          <w:p>
            <w:r>
              <w:rPr>
                <w:b/>
                <w:sz w:val="17"/>
              </w:rPr>
              <w:t>2,200</w:t>
            </w:r>
          </w:p>
        </w:tc>
        <w:tc>
          <w:tcPr>
            <w:tcW w:type="dxa" w:w="1440"/>
            <w:shd w:fill="FAFAFA" w:val="clear"/>
          </w:tcPr>
          <w:p>
            <w:r>
              <w:rPr>
                <w:sz w:val="17"/>
              </w:rPr>
              <w:t>2,297</w:t>
            </w:r>
          </w:p>
        </w:tc>
        <w:tc>
          <w:tcPr>
            <w:tcW w:type="dxa" w:w="1440"/>
            <w:shd w:fill="FAFAFA" w:val="clear"/>
          </w:tcPr>
          <w:p>
            <w:r>
              <w:rPr>
                <w:b/>
                <w:color w:val="008000"/>
                <w:sz w:val="17"/>
              </w:rPr>
              <w:t>+1.2%</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2,046</w:t>
            </w:r>
          </w:p>
        </w:tc>
        <w:tc>
          <w:tcPr>
            <w:tcW w:type="dxa" w:w="1440"/>
            <w:shd w:fill="FAFAFA" w:val="clear"/>
          </w:tcPr>
          <w:p>
            <w:r>
              <w:rPr>
                <w:b/>
                <w:sz w:val="17"/>
              </w:rPr>
              <w:t>2,182</w:t>
            </w:r>
          </w:p>
        </w:tc>
        <w:tc>
          <w:tcPr>
            <w:tcW w:type="dxa" w:w="1440"/>
            <w:shd w:fill="FAFAFA" w:val="clear"/>
          </w:tcPr>
          <w:p>
            <w:r>
              <w:rPr>
                <w:sz w:val="17"/>
              </w:rPr>
              <w:t>2,318</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2,002</w:t>
            </w:r>
          </w:p>
        </w:tc>
        <w:tc>
          <w:tcPr>
            <w:tcW w:type="dxa" w:w="1440"/>
            <w:shd w:fill="FAFAFA" w:val="clear"/>
          </w:tcPr>
          <w:p>
            <w:r>
              <w:rPr>
                <w:b/>
                <w:sz w:val="17"/>
              </w:rPr>
              <w:t>2,168</w:t>
            </w:r>
          </w:p>
        </w:tc>
        <w:tc>
          <w:tcPr>
            <w:tcW w:type="dxa" w:w="1440"/>
            <w:shd w:fill="FAFAFA" w:val="clear"/>
          </w:tcPr>
          <w:p>
            <w:r>
              <w:rPr>
                <w:sz w:val="17"/>
              </w:rPr>
              <w:t>2,333</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1,965</w:t>
            </w:r>
          </w:p>
        </w:tc>
        <w:tc>
          <w:tcPr>
            <w:tcW w:type="dxa" w:w="1440"/>
            <w:shd w:fill="FAFAFA" w:val="clear"/>
          </w:tcPr>
          <w:p>
            <w:r>
              <w:rPr>
                <w:b/>
                <w:sz w:val="17"/>
              </w:rPr>
              <w:t>2,155</w:t>
            </w:r>
          </w:p>
        </w:tc>
        <w:tc>
          <w:tcPr>
            <w:tcW w:type="dxa" w:w="1440"/>
            <w:shd w:fill="FAFAFA" w:val="clear"/>
          </w:tcPr>
          <w:p>
            <w:r>
              <w:rPr>
                <w:sz w:val="17"/>
              </w:rPr>
              <w:t>2,345</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1,932</w:t>
            </w:r>
          </w:p>
        </w:tc>
        <w:tc>
          <w:tcPr>
            <w:tcW w:type="dxa" w:w="1440"/>
            <w:shd w:fill="FAFAFA" w:val="clear"/>
          </w:tcPr>
          <w:p>
            <w:r>
              <w:rPr>
                <w:b/>
                <w:sz w:val="17"/>
              </w:rPr>
              <w:t>2,143</w:t>
            </w:r>
          </w:p>
        </w:tc>
        <w:tc>
          <w:tcPr>
            <w:tcW w:type="dxa" w:w="1440"/>
            <w:shd w:fill="FAFAFA" w:val="clear"/>
          </w:tcPr>
          <w:p>
            <w:r>
              <w:rPr>
                <w:sz w:val="17"/>
              </w:rPr>
              <w:t>2,354</w:t>
            </w:r>
          </w:p>
        </w:tc>
        <w:tc>
          <w:tcPr>
            <w:tcW w:type="dxa" w:w="1440"/>
            <w:shd w:fill="FAFAFA" w:val="clear"/>
          </w:tcPr>
          <w:p>
            <w:r>
              <w:rPr>
                <w:b/>
                <w:color w:val="C00000"/>
                <w:sz w:val="17"/>
              </w:rPr>
              <w:t>-1.5%</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1,901</w:t>
            </w:r>
          </w:p>
        </w:tc>
        <w:tc>
          <w:tcPr>
            <w:tcW w:type="dxa" w:w="1440"/>
            <w:shd w:fill="FFDCE0" w:val="clear"/>
          </w:tcPr>
          <w:p>
            <w:r>
              <w:rPr>
                <w:b/>
                <w:sz w:val="17"/>
              </w:rPr>
              <w:t>2,131</w:t>
            </w:r>
          </w:p>
        </w:tc>
        <w:tc>
          <w:tcPr>
            <w:tcW w:type="dxa" w:w="1440"/>
            <w:shd w:fill="FFDCE0" w:val="clear"/>
          </w:tcPr>
          <w:p>
            <w:r>
              <w:rPr>
                <w:sz w:val="17"/>
              </w:rPr>
              <w:t>2,360</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1,872</w:t>
            </w:r>
          </w:p>
        </w:tc>
        <w:tc>
          <w:tcPr>
            <w:tcW w:type="dxa" w:w="1440"/>
            <w:shd w:fill="FFDCE0" w:val="clear"/>
          </w:tcPr>
          <w:p>
            <w:r>
              <w:rPr>
                <w:b/>
                <w:sz w:val="17"/>
              </w:rPr>
              <w:t>2,119</w:t>
            </w:r>
          </w:p>
        </w:tc>
        <w:tc>
          <w:tcPr>
            <w:tcW w:type="dxa" w:w="1440"/>
            <w:shd w:fill="FFDCE0" w:val="clear"/>
          </w:tcPr>
          <w:p>
            <w:r>
              <w:rPr>
                <w:sz w:val="17"/>
              </w:rPr>
              <w:t>2,366</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1,845</w:t>
            </w:r>
          </w:p>
        </w:tc>
        <w:tc>
          <w:tcPr>
            <w:tcW w:type="dxa" w:w="1440"/>
            <w:shd w:fill="FFDCE0" w:val="clear"/>
          </w:tcPr>
          <w:p>
            <w:r>
              <w:rPr>
                <w:b/>
                <w:sz w:val="17"/>
              </w:rPr>
              <w:t>2,107</w:t>
            </w:r>
          </w:p>
        </w:tc>
        <w:tc>
          <w:tcPr>
            <w:tcW w:type="dxa" w:w="1440"/>
            <w:shd w:fill="FFDCE0" w:val="clear"/>
          </w:tcPr>
          <w:p>
            <w:r>
              <w:rPr>
                <w:sz w:val="17"/>
              </w:rPr>
              <w:t>2,370</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1,819</w:t>
            </w:r>
          </w:p>
        </w:tc>
        <w:tc>
          <w:tcPr>
            <w:tcW w:type="dxa" w:w="1440"/>
            <w:shd w:fill="FFDCE0" w:val="clear"/>
          </w:tcPr>
          <w:p>
            <w:r>
              <w:rPr>
                <w:b/>
                <w:sz w:val="17"/>
              </w:rPr>
              <w:t>2,096</w:t>
            </w:r>
          </w:p>
        </w:tc>
        <w:tc>
          <w:tcPr>
            <w:tcW w:type="dxa" w:w="1440"/>
            <w:shd w:fill="FFDCE0" w:val="clear"/>
          </w:tcPr>
          <w:p>
            <w:r>
              <w:rPr>
                <w:sz w:val="17"/>
              </w:rPr>
              <w:t>2,373</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1,795</w:t>
            </w:r>
          </w:p>
        </w:tc>
        <w:tc>
          <w:tcPr>
            <w:tcW w:type="dxa" w:w="1440"/>
            <w:shd w:fill="FFDCE0" w:val="clear"/>
          </w:tcPr>
          <w:p>
            <w:r>
              <w:rPr>
                <w:b/>
                <w:sz w:val="17"/>
              </w:rPr>
              <w:t>2,085</w:t>
            </w:r>
          </w:p>
        </w:tc>
        <w:tc>
          <w:tcPr>
            <w:tcW w:type="dxa" w:w="1440"/>
            <w:shd w:fill="FFDCE0" w:val="clear"/>
          </w:tcPr>
          <w:p>
            <w:r>
              <w:rPr>
                <w:sz w:val="17"/>
              </w:rPr>
              <w:t>2,376</w:t>
            </w:r>
          </w:p>
        </w:tc>
        <w:tc>
          <w:tcPr>
            <w:tcW w:type="dxa" w:w="1440"/>
            <w:shd w:fill="FFDCE0" w:val="clear"/>
          </w:tcPr>
          <w:p>
            <w:r>
              <w:rPr>
                <w:b/>
                <w:color w:val="C00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COTE D'IVOIRE (BRVM)**</w:t>
        <w:br/>
        <w:t>*Date d'analyse : septembre 2026 — Cours de référence : 2 175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SIVC s'établit à 19,00 Mds FCFA, un niveau modeste à l'échelle de la BRVM qui la classe parmi les valeurs de petite capitalisation, avec une liquidité naturellement limitée. Le BPA de 43 FCFA signifie que chaque action génère 43 FCFA de bénéfice net, mais le PER de 50,4x traduit un prix payé très supérieur à la norme du marché (PER BRVM moyen ~8-12x), soit une prime de plus de 4 fois la moyenne régionale — les investisseurs paient donc très cher chaque franc de bénéfice. Le P/B de 5,81x confirme cette exubérance : le marché valorise la société près de 6 fois sa valeur comptable, alors qu'un ratio supérieur à 4x est déjà considéré comme exigeant. Enfin, l'EV/EBITDA de 16,1x (au-delà du seuil de 15x) indique que la valeur d'entreprise rapportée à la capacité opérationnelle est également tendue. L'ensemble de ces ratios dessine une valorisation nettement surévaluée au regard des fondamentaux actuels, ce qui appelle à une grande prudence.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variation totale de -22,32%, avec une dernière séance en repli de -1,81%, confirmant une tendance baissière persistante. Le cours actuel de 2 175 FCFA se situe dans la moitié basse du range de trading compris entre un plus bas de 1 920 FCFA et un plus haut de 2 875 FCFA, soit un écart de près de 50% entre les extrêmes qui témoigne d'une forte amplitude. La moyenne (2 509 FCFA) est supérieure à la médiane (2 418 FCFA) et au mode (2 400 FCFA), ce qui signale une légère asymétrie à droite : les pics haussiers ont tiré la moyenne vers le haut, mais le cours actuel est nettement en dessous de ces trois repères, ce qui traduit une pression vendeuse dominante. L'écart-type de 269 FCFA avec un coefficient de variation de 10,7% indique une dispersion modérée autour de la moyenne, tandis que le kurtosis de -1,346 (distribution platykurtique) révèle une distribution aplatie avec une faible concentration des rendements et un risque de pics moins prononcé que la normale. Le skewness de 0,022, quasi nul, confirme une distribution symétrique sans biais directionnel marqué. Enfin, la volatilité annualisée de 49,9% classe ce titre dans la catégorie des valeurs à volatilité élevée (&gt;30%), ce qui implique un risque important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(2 331 FCFA) et la MM50 (2 294 FCFA) se situent toutes deux au-dessus du cours actuel (2 175 FCFA), ce qui place le titre en position baissière sous ses moyennes. La MM20 étant supérieure à la MM50, la configuration reste théoriquement haussière sur le croisement, d'où la décision "Achat", mais le cours sous les deux moyennes affaiblit ce signal et suggère plutôt une phase de correction.</w:t>
      </w:r>
    </w:p>
    <w:p>
      <w:pPr>
        <w:spacing w:after="120" w:line="276" w:lineRule="auto"/>
      </w:pPr>
      <w:r>
        <w:t>**Bandes de Bollinger** : Le cours (2 175 FCFA) évolue sous la borne inférieure (2 200,79 FCFA), ce qui constitue un signal de survente technique et justifie la décision "Achat" par anticipation d'un rebond. L'écart entre les bornes (2 461,21 et 2 200,79 FCFA) reflète une volatilité significative, et la sortie par le bas indique une pression vendeuse intense qui pourrait se poursuivre à court terme.</w:t>
      </w:r>
    </w:p>
    <w:p>
      <w:pPr>
        <w:spacing w:after="120" w:line="276" w:lineRule="auto"/>
      </w:pPr>
      <w:r>
        <w:t>**MACD** : La valeur du MACD (-27,242) est nettement inférieure à son signal (-7,826), avec un histogramme négatif qui traduit un momentum baissier affirmé. La divergence entre les deux lignes confirme la décision "Vente" et suggère que la dynamique négative n'est pas encore épuisée.</w:t>
      </w:r>
    </w:p>
    <w:p>
      <w:pPr>
        <w:spacing w:after="120" w:line="276" w:lineRule="auto"/>
      </w:pPr>
      <w:r>
        <w:t>**RSI** : À 39,597, le RSI se situe dans la zone neutre basse (30-70), sans atteindre le seuil de survente (&lt;30). La décision "Neutre" reflète une absence de signal directionnel fort, mais la proximité de la zone de survente laisse entrevoir un potentiel de rebond technique limité.</w:t>
      </w:r>
    </w:p>
    <w:p>
      <w:pPr>
        <w:spacing w:after="120" w:line="276" w:lineRule="auto"/>
      </w:pPr>
      <w:r>
        <w:t>**Stochastique** : Le %K (0,0) est au plancher absolu et croise sous le %D (1,042), ce qui place l'indicateur en zone de survente extrême. La décision "Achat" repose sur l'anticipation d'un retournement imminent, mais la faiblesse du %D montre que la pression baissière reste très présente.</w:t>
      </w:r>
    </w:p>
    <w:p>
      <w:pPr>
        <w:spacing w:after="120" w:line="276" w:lineRule="auto"/>
      </w:pPr>
      <w:r>
        <w:t>**Conclusion technique** : Les indicateurs sont divergents — les Bandes de Bollinger, le Stochastique et les Moyennes Mobiles plaident pour un achat contrarien, tandis que le MACD confirme une tendance baissière et que le RSI reste neutre. Cette configuration suggère un possible rebond technique à court terme, mais sans confirmation solide d'inversion de tendance, le risque de poursuite de la baisse reste élevé.</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(secteur déclaré BANQUE, bien que l'activité réelle soit industrielle) indiquent un chiffre d'affaires/PNB de 9,283 Mds FCFA, un résultat net de 376,96 M FCFA, un ROE de 11,52% (inférieur au seuil d'excellence de 15%) et un ROA de 2,69%. Le coefficient d'exploitation de 95,83% est très élevé (très au-dessus du seuil de 60% pour une banque efficace), et le coût du risque de 3,10% signale un portefeuille sous tension. Le rapport officiel daté du 31 décembre 2025 (analysé par DEEPSEEK le 29 juin 2026) révèle une dégradation préoccupante : le CA progresse de +8,53% à 10,075 Mds FCFA, mais le résultat net chute de -52,4% à 179,29 M FCFA, avec une marge nette divisée par deux (1,78% contre 4,06%). Le résultat financier passe d'un gain de 316 M FCFA à une perte de -114 M FCFA, et la trésorerie nette reste négative à -1 660 M FCFA. Les rapports trimestriels 2025 (S1 certifié du 30 juin 2025, T3 2025) montrent cependant une embellie : au S1 2025, le CA atteint 4 897,5 M FCFA (+8,8%) avec un résultat net de 512,9 M FCFA (+4,6%) et une marge nette de 10,5% ; au T3 2025, le CA cumulé s'élève à 7 584,7 M FCFA (+13%) pour un résultat net de 832,5 M FCFA (+58%) et une marge nette de 11,0%. Sur la base de ces tendances trimestrielles, on peut estimer que l'exercice 2025 devrait afficher un résultat net nettement supérieur à celui de 2024, potentiellement autour de 1,0-1,1 Md FCFA, ce qui ramènerait le PER vers des niveaux plus raisonnables (autour de 17-19x) — mais cela reste une estimation. Le changement de dénomination sociale (Air Liquide CI → Erium CI) et la cession totale de la participation d'Air Liquide International à ERIUM LTD (6 295 350 actions à 230 FCFA le 21 novembre 2025) constituent des événements majeurs qui modifient la structure de l'actionnariat et pourraient impacter la gouvernance. La recommandation fondamentale est donc **CONSERVER avec surveillance renforcée** : la croissance du CA est réelle et les trimestres 2025 montrent une nette amélioration, mais la valorisation boursière reste très exigeante et la structure financière (endettement élevé, trésorerie négative) demeure fragile.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surévaluée avec un PER de 50,4x, un P/B de 5,81x et un EV/EBITDA de 16,1x, très au-dessus des normes du marché BRVM. Le comportement du cours (Partie 1) est baissier (-22,32% sur 100 jours) avec une volatilité élevée (49,9%) et une distribution platykurtique symétrique, ce qui traduit un risque important sans biais directionnel clair. Les signaux techniques (Partie 2) sont divergents : le MACD confirme la tendance baissière, tandis que les Bandes de Bollinger et le Stochastique suggèrent une survente propice à un rebond, mais sans confirmation. Les fondamentaux (Partie 3) montrent une amélioration trimestrielle encourageante en 2025 (résultat net +58% au T3, marge nette à 11,0%), mais l'exercice 2024 reste dégradé (résultat net -52,4%) et la structure financière est fragile. Les prédictions IA (J+1 à J+10) anticipent une poursuite de la baisse de 2 200 à 2 143 FCFA, ce qui contredit les signaux d'achat contrarien et confirme la pression baissière à court terme. **Recommandation finale : CONSERVER** — la convergence entre valorisation surévaluée, tendance baissière et prédictions négatives l'emporte sur les signaux d'amélioration fondamentale, qui nécessitent une confirmation sur l'ensemble de l'exercice 2025. Le niveau de confiance est **Moyen** (les rapports trimestriels 2025 sont encourageants mais la valorisation reste un frein majeur) et le niveau de risque global est **Élevé** (volatilité de 49,9%, endettement important, trésorerie négative). L'horizon d'investissement optimal est le **moyen terme (3-12 mois)**, le temps que les résultats annuels 2025 confirment ou infirment la tendance trimestrielle et que la valorisation se normalise.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1,329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+1.33%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2.39% (Faible) — μ=38,225 FCFA, σ=914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β=0.1458 (Défensif) — Cov=0.000005, Var(idx)=0.000036, ρ=0.051,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σ_j=1.70%/j (Stable) — Vol. annualisée≈27.0%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37,886</w:t>
            </w:r>
          </w:p>
        </w:tc>
        <w:tc>
          <w:tcPr>
            <w:tcW w:type="dxa" w:w="1440"/>
            <w:shd w:fill="FAFAFA" w:val="clear"/>
          </w:tcPr>
          <w:p>
            <w:r>
              <w:rPr>
                <w:b/>
                <w:sz w:val="17"/>
              </w:rPr>
              <w:t>38,618</w:t>
            </w:r>
          </w:p>
        </w:tc>
        <w:tc>
          <w:tcPr>
            <w:tcW w:type="dxa" w:w="1440"/>
            <w:shd w:fill="FAFAFA" w:val="clear"/>
          </w:tcPr>
          <w:p>
            <w:r>
              <w:rPr>
                <w:sz w:val="17"/>
              </w:rPr>
              <w:t>39,350</w:t>
            </w:r>
          </w:p>
        </w:tc>
        <w:tc>
          <w:tcPr>
            <w:tcW w:type="dxa" w:w="1440"/>
            <w:shd w:fill="FAFAFA" w:val="clear"/>
          </w:tcPr>
          <w:p>
            <w:r>
              <w:rPr>
                <w:b/>
                <w:color w:val="008000"/>
                <w:sz w:val="17"/>
              </w:rPr>
              <w:t>+1.6%</w:t>
            </w:r>
          </w:p>
        </w:tc>
      </w:tr>
      <w:tr>
        <w:tc>
          <w:tcPr>
            <w:tcW w:type="dxa" w:w="1440"/>
            <w:shd w:fill="C6EFCE" w:val="clear"/>
          </w:tcPr>
          <w:p>
            <w:r>
              <w:rPr>
                <w:sz w:val="17"/>
              </w:rPr>
              <w:t>J+2  ⭐⭐⭐</w:t>
            </w:r>
          </w:p>
        </w:tc>
        <w:tc>
          <w:tcPr>
            <w:tcW w:type="dxa" w:w="1440"/>
            <w:shd w:fill="C6EFCE" w:val="clear"/>
          </w:tcPr>
          <w:p>
            <w:r>
              <w:rPr>
                <w:sz w:val="17"/>
              </w:rPr>
              <w:t>2026-09-22</w:t>
            </w:r>
          </w:p>
        </w:tc>
        <w:tc>
          <w:tcPr>
            <w:tcW w:type="dxa" w:w="1440"/>
            <w:shd w:fill="C6EFCE" w:val="clear"/>
          </w:tcPr>
          <w:p>
            <w:r>
              <w:rPr>
                <w:sz w:val="17"/>
              </w:rPr>
              <w:t>37,846</w:t>
            </w:r>
          </w:p>
        </w:tc>
        <w:tc>
          <w:tcPr>
            <w:tcW w:type="dxa" w:w="1440"/>
            <w:shd w:fill="C6EFCE" w:val="clear"/>
          </w:tcPr>
          <w:p>
            <w:r>
              <w:rPr>
                <w:b/>
                <w:sz w:val="17"/>
              </w:rPr>
              <w:t>38,889</w:t>
            </w:r>
          </w:p>
        </w:tc>
        <w:tc>
          <w:tcPr>
            <w:tcW w:type="dxa" w:w="1440"/>
            <w:shd w:fill="C6EFCE" w:val="clear"/>
          </w:tcPr>
          <w:p>
            <w:r>
              <w:rPr>
                <w:sz w:val="17"/>
              </w:rPr>
              <w:t>39,932</w:t>
            </w:r>
          </w:p>
        </w:tc>
        <w:tc>
          <w:tcPr>
            <w:tcW w:type="dxa" w:w="1440"/>
            <w:shd w:fill="C6EFCE" w:val="clear"/>
          </w:tcPr>
          <w:p>
            <w:r>
              <w:rPr>
                <w:b/>
                <w:color w:val="008000"/>
                <w:sz w:val="17"/>
              </w:rPr>
              <w:t>+2.3%</w:t>
            </w:r>
          </w:p>
        </w:tc>
      </w:tr>
      <w:tr>
        <w:tc>
          <w:tcPr>
            <w:tcW w:type="dxa" w:w="1440"/>
            <w:shd w:fill="C6EFCE" w:val="clear"/>
          </w:tcPr>
          <w:p>
            <w:r>
              <w:rPr>
                <w:sz w:val="17"/>
              </w:rPr>
              <w:t>J+3  ⭐⭐⭐</w:t>
            </w:r>
          </w:p>
        </w:tc>
        <w:tc>
          <w:tcPr>
            <w:tcW w:type="dxa" w:w="1440"/>
            <w:shd w:fill="C6EFCE" w:val="clear"/>
          </w:tcPr>
          <w:p>
            <w:r>
              <w:rPr>
                <w:sz w:val="17"/>
              </w:rPr>
              <w:t>2026-09-23</w:t>
            </w:r>
          </w:p>
        </w:tc>
        <w:tc>
          <w:tcPr>
            <w:tcW w:type="dxa" w:w="1440"/>
            <w:shd w:fill="C6EFCE" w:val="clear"/>
          </w:tcPr>
          <w:p>
            <w:r>
              <w:rPr>
                <w:sz w:val="17"/>
              </w:rPr>
              <w:t>37,933</w:t>
            </w:r>
          </w:p>
        </w:tc>
        <w:tc>
          <w:tcPr>
            <w:tcW w:type="dxa" w:w="1440"/>
            <w:shd w:fill="C6EFCE" w:val="clear"/>
          </w:tcPr>
          <w:p>
            <w:r>
              <w:rPr>
                <w:b/>
                <w:sz w:val="17"/>
              </w:rPr>
              <w:t>39,222</w:t>
            </w:r>
          </w:p>
        </w:tc>
        <w:tc>
          <w:tcPr>
            <w:tcW w:type="dxa" w:w="1440"/>
            <w:shd w:fill="C6EFCE" w:val="clear"/>
          </w:tcPr>
          <w:p>
            <w:r>
              <w:rPr>
                <w:sz w:val="17"/>
              </w:rPr>
              <w:t>40,510</w:t>
            </w:r>
          </w:p>
        </w:tc>
        <w:tc>
          <w:tcPr>
            <w:tcW w:type="dxa" w:w="1440"/>
            <w:shd w:fill="C6EFCE" w:val="clear"/>
          </w:tcPr>
          <w:p>
            <w:r>
              <w:rPr>
                <w:b/>
                <w:color w:val="008000"/>
                <w:sz w:val="17"/>
              </w:rPr>
              <w:t>+3.2%</w:t>
            </w:r>
          </w:p>
        </w:tc>
      </w:tr>
      <w:tr>
        <w:tc>
          <w:tcPr>
            <w:tcW w:type="dxa" w:w="1440"/>
            <w:shd w:fill="C6EFCE" w:val="clear"/>
          </w:tcPr>
          <w:p>
            <w:r>
              <w:rPr>
                <w:sz w:val="17"/>
              </w:rPr>
              <w:t>J+4  Moyenne</w:t>
            </w:r>
          </w:p>
        </w:tc>
        <w:tc>
          <w:tcPr>
            <w:tcW w:type="dxa" w:w="1440"/>
            <w:shd w:fill="C6EFCE" w:val="clear"/>
          </w:tcPr>
          <w:p>
            <w:r>
              <w:rPr>
                <w:sz w:val="17"/>
              </w:rPr>
              <w:t>2026-09-24</w:t>
            </w:r>
          </w:p>
        </w:tc>
        <w:tc>
          <w:tcPr>
            <w:tcW w:type="dxa" w:w="1440"/>
            <w:shd w:fill="C6EFCE" w:val="clear"/>
          </w:tcPr>
          <w:p>
            <w:r>
              <w:rPr>
                <w:sz w:val="17"/>
              </w:rPr>
              <w:t>38,059</w:t>
            </w:r>
          </w:p>
        </w:tc>
        <w:tc>
          <w:tcPr>
            <w:tcW w:type="dxa" w:w="1440"/>
            <w:shd w:fill="C6EFCE" w:val="clear"/>
          </w:tcPr>
          <w:p>
            <w:r>
              <w:rPr>
                <w:b/>
                <w:sz w:val="17"/>
              </w:rPr>
              <w:t>39,559</w:t>
            </w:r>
          </w:p>
        </w:tc>
        <w:tc>
          <w:tcPr>
            <w:tcW w:type="dxa" w:w="1440"/>
            <w:shd w:fill="C6EFCE" w:val="clear"/>
          </w:tcPr>
          <w:p>
            <w:r>
              <w:rPr>
                <w:sz w:val="17"/>
              </w:rPr>
              <w:t>41,060</w:t>
            </w:r>
          </w:p>
        </w:tc>
        <w:tc>
          <w:tcPr>
            <w:tcW w:type="dxa" w:w="1440"/>
            <w:shd w:fill="C6EFCE" w:val="clear"/>
          </w:tcPr>
          <w:p>
            <w:r>
              <w:rPr>
                <w:b/>
                <w:color w:val="008000"/>
                <w:sz w:val="17"/>
              </w:rPr>
              <w:t>+4.1%</w:t>
            </w:r>
          </w:p>
        </w:tc>
      </w:tr>
      <w:tr>
        <w:tc>
          <w:tcPr>
            <w:tcW w:type="dxa" w:w="1440"/>
            <w:shd w:fill="C6EFCE" w:val="clear"/>
          </w:tcPr>
          <w:p>
            <w:r>
              <w:rPr>
                <w:sz w:val="17"/>
              </w:rPr>
              <w:t>J+5  Moyenne</w:t>
            </w:r>
          </w:p>
        </w:tc>
        <w:tc>
          <w:tcPr>
            <w:tcW w:type="dxa" w:w="1440"/>
            <w:shd w:fill="C6EFCE" w:val="clear"/>
          </w:tcPr>
          <w:p>
            <w:r>
              <w:rPr>
                <w:sz w:val="17"/>
              </w:rPr>
              <w:t>2026-09-25</w:t>
            </w:r>
          </w:p>
        </w:tc>
        <w:tc>
          <w:tcPr>
            <w:tcW w:type="dxa" w:w="1440"/>
            <w:shd w:fill="C6EFCE" w:val="clear"/>
          </w:tcPr>
          <w:p>
            <w:r>
              <w:rPr>
                <w:sz w:val="17"/>
              </w:rPr>
              <w:t>38,199</w:t>
            </w:r>
          </w:p>
        </w:tc>
        <w:tc>
          <w:tcPr>
            <w:tcW w:type="dxa" w:w="1440"/>
            <w:shd w:fill="C6EFCE" w:val="clear"/>
          </w:tcPr>
          <w:p>
            <w:r>
              <w:rPr>
                <w:b/>
                <w:sz w:val="17"/>
              </w:rPr>
              <w:t>39,890</w:t>
            </w:r>
          </w:p>
        </w:tc>
        <w:tc>
          <w:tcPr>
            <w:tcW w:type="dxa" w:w="1440"/>
            <w:shd w:fill="C6EFCE" w:val="clear"/>
          </w:tcPr>
          <w:p>
            <w:r>
              <w:rPr>
                <w:sz w:val="17"/>
              </w:rPr>
              <w:t>41,582</w:t>
            </w:r>
          </w:p>
        </w:tc>
        <w:tc>
          <w:tcPr>
            <w:tcW w:type="dxa" w:w="1440"/>
            <w:shd w:fill="C6EFCE" w:val="clear"/>
          </w:tcPr>
          <w:p>
            <w:r>
              <w:rPr>
                <w:b/>
                <w:color w:val="008000"/>
                <w:sz w:val="17"/>
              </w:rPr>
              <w:t>+5.0%</w:t>
            </w:r>
          </w:p>
        </w:tc>
      </w:tr>
      <w:tr>
        <w:tc>
          <w:tcPr>
            <w:tcW w:type="dxa" w:w="1440"/>
            <w:shd w:fill="C6EFCE" w:val="clear"/>
          </w:tcPr>
          <w:p>
            <w:r>
              <w:rPr>
                <w:sz w:val="17"/>
              </w:rPr>
              <w:t>J+6  Moyenne</w:t>
            </w:r>
          </w:p>
        </w:tc>
        <w:tc>
          <w:tcPr>
            <w:tcW w:type="dxa" w:w="1440"/>
            <w:shd w:fill="C6EFCE" w:val="clear"/>
          </w:tcPr>
          <w:p>
            <w:r>
              <w:rPr>
                <w:sz w:val="17"/>
              </w:rPr>
              <w:t>2026-09-28</w:t>
            </w:r>
          </w:p>
        </w:tc>
        <w:tc>
          <w:tcPr>
            <w:tcW w:type="dxa" w:w="1440"/>
            <w:shd w:fill="C6EFCE" w:val="clear"/>
          </w:tcPr>
          <w:p>
            <w:r>
              <w:rPr>
                <w:sz w:val="17"/>
              </w:rPr>
              <w:t>38,346</w:t>
            </w:r>
          </w:p>
        </w:tc>
        <w:tc>
          <w:tcPr>
            <w:tcW w:type="dxa" w:w="1440"/>
            <w:shd w:fill="C6EFCE" w:val="clear"/>
          </w:tcPr>
          <w:p>
            <w:r>
              <w:rPr>
                <w:b/>
                <w:sz w:val="17"/>
              </w:rPr>
              <w:t>40,214</w:t>
            </w:r>
          </w:p>
        </w:tc>
        <w:tc>
          <w:tcPr>
            <w:tcW w:type="dxa" w:w="1440"/>
            <w:shd w:fill="C6EFCE" w:val="clear"/>
          </w:tcPr>
          <w:p>
            <w:r>
              <w:rPr>
                <w:sz w:val="17"/>
              </w:rPr>
              <w:t>42,082</w:t>
            </w:r>
          </w:p>
        </w:tc>
        <w:tc>
          <w:tcPr>
            <w:tcW w:type="dxa" w:w="1440"/>
            <w:shd w:fill="C6EFCE" w:val="clear"/>
          </w:tcPr>
          <w:p>
            <w:r>
              <w:rPr>
                <w:b/>
                <w:color w:val="008000"/>
                <w:sz w:val="17"/>
              </w:rPr>
              <w:t>+5.8%</w:t>
            </w:r>
          </w:p>
        </w:tc>
      </w:tr>
      <w:tr>
        <w:tc>
          <w:tcPr>
            <w:tcW w:type="dxa" w:w="1440"/>
            <w:shd w:fill="C6EFCE" w:val="clear"/>
          </w:tcPr>
          <w:p>
            <w:r>
              <w:rPr>
                <w:sz w:val="17"/>
              </w:rPr>
              <w:t>J+7  Moyenne</w:t>
            </w:r>
          </w:p>
        </w:tc>
        <w:tc>
          <w:tcPr>
            <w:tcW w:type="dxa" w:w="1440"/>
            <w:shd w:fill="C6EFCE" w:val="clear"/>
          </w:tcPr>
          <w:p>
            <w:r>
              <w:rPr>
                <w:sz w:val="17"/>
              </w:rPr>
              <w:t>2026-09-29</w:t>
            </w:r>
          </w:p>
        </w:tc>
        <w:tc>
          <w:tcPr>
            <w:tcW w:type="dxa" w:w="1440"/>
            <w:shd w:fill="C6EFCE" w:val="clear"/>
          </w:tcPr>
          <w:p>
            <w:r>
              <w:rPr>
                <w:sz w:val="17"/>
              </w:rPr>
              <w:t>38,497</w:t>
            </w:r>
          </w:p>
        </w:tc>
        <w:tc>
          <w:tcPr>
            <w:tcW w:type="dxa" w:w="1440"/>
            <w:shd w:fill="C6EFCE" w:val="clear"/>
          </w:tcPr>
          <w:p>
            <w:r>
              <w:rPr>
                <w:b/>
                <w:sz w:val="17"/>
              </w:rPr>
              <w:t>40,531</w:t>
            </w:r>
          </w:p>
        </w:tc>
        <w:tc>
          <w:tcPr>
            <w:tcW w:type="dxa" w:w="1440"/>
            <w:shd w:fill="C6EFCE" w:val="clear"/>
          </w:tcPr>
          <w:p>
            <w:r>
              <w:rPr>
                <w:sz w:val="17"/>
              </w:rPr>
              <w:t>42,565</w:t>
            </w:r>
          </w:p>
        </w:tc>
        <w:tc>
          <w:tcPr>
            <w:tcW w:type="dxa" w:w="1440"/>
            <w:shd w:fill="C6EFCE" w:val="clear"/>
          </w:tcPr>
          <w:p>
            <w:r>
              <w:rPr>
                <w:b/>
                <w:color w:val="008000"/>
                <w:sz w:val="17"/>
              </w:rPr>
              <w:t>+6.7%</w:t>
            </w:r>
          </w:p>
        </w:tc>
      </w:tr>
      <w:tr>
        <w:tc>
          <w:tcPr>
            <w:tcW w:type="dxa" w:w="1440"/>
            <w:shd w:fill="C6EFCE" w:val="clear"/>
          </w:tcPr>
          <w:p>
            <w:r>
              <w:rPr>
                <w:sz w:val="17"/>
              </w:rPr>
              <w:t>J+8  Moyenne</w:t>
            </w:r>
          </w:p>
        </w:tc>
        <w:tc>
          <w:tcPr>
            <w:tcW w:type="dxa" w:w="1440"/>
            <w:shd w:fill="C6EFCE" w:val="clear"/>
          </w:tcPr>
          <w:p>
            <w:r>
              <w:rPr>
                <w:sz w:val="17"/>
              </w:rPr>
              <w:t>2026-09-30</w:t>
            </w:r>
          </w:p>
        </w:tc>
        <w:tc>
          <w:tcPr>
            <w:tcW w:type="dxa" w:w="1440"/>
            <w:shd w:fill="C6EFCE" w:val="clear"/>
          </w:tcPr>
          <w:p>
            <w:r>
              <w:rPr>
                <w:sz w:val="17"/>
              </w:rPr>
              <w:t>38,652</w:t>
            </w:r>
          </w:p>
        </w:tc>
        <w:tc>
          <w:tcPr>
            <w:tcW w:type="dxa" w:w="1440"/>
            <w:shd w:fill="C6EFCE" w:val="clear"/>
          </w:tcPr>
          <w:p>
            <w:r>
              <w:rPr>
                <w:b/>
                <w:sz w:val="17"/>
              </w:rPr>
              <w:t>40,843</w:t>
            </w:r>
          </w:p>
        </w:tc>
        <w:tc>
          <w:tcPr>
            <w:tcW w:type="dxa" w:w="1440"/>
            <w:shd w:fill="C6EFCE" w:val="clear"/>
          </w:tcPr>
          <w:p>
            <w:r>
              <w:rPr>
                <w:sz w:val="17"/>
              </w:rPr>
              <w:t>43,033</w:t>
            </w:r>
          </w:p>
        </w:tc>
        <w:tc>
          <w:tcPr>
            <w:tcW w:type="dxa" w:w="1440"/>
            <w:shd w:fill="C6EFCE" w:val="clear"/>
          </w:tcPr>
          <w:p>
            <w:r>
              <w:rPr>
                <w:b/>
                <w:color w:val="008000"/>
                <w:sz w:val="17"/>
              </w:rPr>
              <w:t>+7.5%</w:t>
            </w:r>
          </w:p>
        </w:tc>
      </w:tr>
      <w:tr>
        <w:tc>
          <w:tcPr>
            <w:tcW w:type="dxa" w:w="1440"/>
            <w:shd w:fill="C6EFCE" w:val="clear"/>
          </w:tcPr>
          <w:p>
            <w:r>
              <w:rPr>
                <w:sz w:val="17"/>
              </w:rPr>
              <w:t>J+9  Moyenne</w:t>
            </w:r>
          </w:p>
        </w:tc>
        <w:tc>
          <w:tcPr>
            <w:tcW w:type="dxa" w:w="1440"/>
            <w:shd w:fill="C6EFCE" w:val="clear"/>
          </w:tcPr>
          <w:p>
            <w:r>
              <w:rPr>
                <w:sz w:val="17"/>
              </w:rPr>
              <w:t>2026-10-01</w:t>
            </w:r>
          </w:p>
        </w:tc>
        <w:tc>
          <w:tcPr>
            <w:tcW w:type="dxa" w:w="1440"/>
            <w:shd w:fill="C6EFCE" w:val="clear"/>
          </w:tcPr>
          <w:p>
            <w:r>
              <w:rPr>
                <w:sz w:val="17"/>
              </w:rPr>
              <w:t>38,808</w:t>
            </w:r>
          </w:p>
        </w:tc>
        <w:tc>
          <w:tcPr>
            <w:tcW w:type="dxa" w:w="1440"/>
            <w:shd w:fill="C6EFCE" w:val="clear"/>
          </w:tcPr>
          <w:p>
            <w:r>
              <w:rPr>
                <w:b/>
                <w:sz w:val="17"/>
              </w:rPr>
              <w:t>41,149</w:t>
            </w:r>
          </w:p>
        </w:tc>
        <w:tc>
          <w:tcPr>
            <w:tcW w:type="dxa" w:w="1440"/>
            <w:shd w:fill="C6EFCE" w:val="clear"/>
          </w:tcPr>
          <w:p>
            <w:r>
              <w:rPr>
                <w:sz w:val="17"/>
              </w:rPr>
              <w:t>43,490</w:t>
            </w:r>
          </w:p>
        </w:tc>
        <w:tc>
          <w:tcPr>
            <w:tcW w:type="dxa" w:w="1440"/>
            <w:shd w:fill="C6EFCE" w:val="clear"/>
          </w:tcPr>
          <w:p>
            <w:r>
              <w:rPr>
                <w:b/>
                <w:color w:val="008000"/>
                <w:sz w:val="17"/>
              </w:rPr>
              <w:t>+8.3%</w:t>
            </w:r>
          </w:p>
        </w:tc>
      </w:tr>
      <w:tr>
        <w:tc>
          <w:tcPr>
            <w:tcW w:type="dxa" w:w="1440"/>
            <w:shd w:fill="C6EFCE" w:val="clear"/>
          </w:tcPr>
          <w:p>
            <w:r>
              <w:rPr>
                <w:sz w:val="17"/>
              </w:rPr>
              <w:t>J+10  Moyenne</w:t>
            </w:r>
          </w:p>
        </w:tc>
        <w:tc>
          <w:tcPr>
            <w:tcW w:type="dxa" w:w="1440"/>
            <w:shd w:fill="C6EFCE" w:val="clear"/>
          </w:tcPr>
          <w:p>
            <w:r>
              <w:rPr>
                <w:sz w:val="17"/>
              </w:rPr>
              <w:t>2026-10-02</w:t>
            </w:r>
          </w:p>
        </w:tc>
        <w:tc>
          <w:tcPr>
            <w:tcW w:type="dxa" w:w="1440"/>
            <w:shd w:fill="C6EFCE" w:val="clear"/>
          </w:tcPr>
          <w:p>
            <w:r>
              <w:rPr>
                <w:sz w:val="17"/>
              </w:rPr>
              <w:t>38,966</w:t>
            </w:r>
          </w:p>
        </w:tc>
        <w:tc>
          <w:tcPr>
            <w:tcW w:type="dxa" w:w="1440"/>
            <w:shd w:fill="C6EFCE" w:val="clear"/>
          </w:tcPr>
          <w:p>
            <w:r>
              <w:rPr>
                <w:b/>
                <w:sz w:val="17"/>
              </w:rPr>
              <w:t>41,452</w:t>
            </w:r>
          </w:p>
        </w:tc>
        <w:tc>
          <w:tcPr>
            <w:tcW w:type="dxa" w:w="1440"/>
            <w:shd w:fill="C6EFCE" w:val="clear"/>
          </w:tcPr>
          <w:p>
            <w:r>
              <w:rPr>
                <w:sz w:val="17"/>
              </w:rPr>
              <w:t>43,938</w:t>
            </w:r>
          </w:p>
        </w:tc>
        <w:tc>
          <w:tcPr>
            <w:tcW w:type="dxa" w:w="1440"/>
            <w:shd w:fill="C6EFCE" w:val="clear"/>
          </w:tcPr>
          <w:p>
            <w:r>
              <w:rPr>
                <w:b/>
                <w:color w:val="008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**Bourse Régionale des Valeurs Mobilières (BRVM) — Secteur : Entreprise (Boissons/Limonaderies)**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625,51 milliards FCFA, SLBC s'impose comme l'une des plus importantes capitalisations de la BRVM, ce qui en fait un pilier de l'indice composite et un titre de référence pour les investisseurs institutionnels de la zone UEMOA. Le BPA de 2 781 FCFA par action signifie que chaque titre détenu génère près de 2 800 FCFA de bénéfice net, un niveau remarquable qui traduit la forte rentabilité de l'entreprise. Le PER de 13,7x situe le titre légèrement au-dessus de la moyenne du marché BRVM (estimée entre 8x et 12x), ce qui indique que les investisseurs acceptent de payer une prime modérée pour la qualité des bénéfices, sans pour autant tomber dans une surévaluation spéculative. Le P/B de 3,21x montre que le marché valorise l'entreprise à plus de trois fois sa valeur comptable, une prime de croissance justifiée par un ROE exceptionnel de 23,46%. Enfin, l'EV/EBITDA de 7,4x, dans la fourchette raisonnable de 5-10x, confirme que la valeur totale de l'entreprise (incluant la dette) reste cohérente avec sa capacité opérationnelle à générer des liquidités, ce qui plaide en faveur d'une valorisation équilibrée, ni bradée ni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SLBC a enregistré une variation totale de +1,33%, avec une dernière séance stable à +0,00%, clôturant à 38 000 FCFA. Le titre a évolué dans un range relativement étroit entre un plus bas de 35 540 FCFA et un plus haut de 41 500 FCFA, soit une amplitude d'environ 16,8%, ce qui témoigne d'une tendance générale haussière mais modérée, sans mouvement erratique. Les statistiques descriptives révèlent une moyenne de 38 225 FCFA légèrement supérieure à la médiane et au mode (tous deux à 38 000 FCFA), suggérant une distribution quasi-symétrique avec une légère asymétrie positive (skewness de 0,508), indiquant que les journées de hausse ont été plus fréquentes mais de moindre amplitude que les rares journées de baisse marquée. L'écart-type de 919 FCFA et le coefficient de variation de 2,4% confirment une dispersion très faible du cours, signe d'une grande stabilité. Le kurtosis de 0,849 (mésokurtique) indique une distribution proche de la normale, sans risque de pics extrêmes significatifs. La volatilité annualisée de 27,0% positionne le titre dans la catégorie des valeurs à volatilité modérée (15-30%), ce qui est rassurant pour un investisseur cherchant à limiter son exposition au risque tout en captant une performance positive.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37 737 FCFA et la MM50 à 38 144 FCFA, toutes deux inférieures au cours actuel de 38 000 FCFA, ce qui place le titre légèrement au-dessus de sa moyenne court terme mais en dessous de sa moyenne moyen terme. Cette configuration, avec une MM20 sous la MM50, génère un signal de vente, traduisant une pression baissière persistante sur les 50 derniers jours malgré la légère reprise récente.</w:t>
      </w:r>
    </w:p>
    <w:p>
      <w:pPr>
        <w:spacing w:after="120" w:line="276" w:lineRule="auto"/>
      </w:pPr>
      <w:r>
        <w:t>**Bandes de Bollinger** : La borne supérieure est à 38 452,74 FCFA et la borne inférieure à 37 021,26 FCFA, avec un cours actuel de 38 000 FCFA positionné dans la partie médiane-haute du canal. L'écart entre les bornes (environ 1 431 FCFA) reflète une volatilité contenue, et la décision est neutre, le titre n'étant ni en zone de surachat ni de survente technique.</w:t>
      </w:r>
    </w:p>
    <w:p>
      <w:pPr>
        <w:spacing w:after="120" w:line="276" w:lineRule="auto"/>
      </w:pPr>
      <w:r>
        <w:t>**MACD** : La valeur du MACD est de 10,882 contre un signal à -59,431, créant une divergence haussière marquée où la ligne MACD surpasse largement son signal. Ce croisement positif indique un momentum acheteur en construction, justifiant la décision d'achat malgré la faiblesse des autres indicateurs.</w:t>
      </w:r>
    </w:p>
    <w:p>
      <w:pPr>
        <w:spacing w:after="120" w:line="276" w:lineRule="auto"/>
      </w:pPr>
      <w:r>
        <w:t>**RSI** : À 50,0, le RSI se situe exactement à mi-chemin entre surachat (&gt;70) et survente (&lt;30), traduisant un équilibre parfait entre acheteurs et vendeurs. La décision est neutre, aucune pression directionnelle claire ne se dégageant de cet indicateur.</w:t>
      </w:r>
    </w:p>
    <w:p>
      <w:pPr>
        <w:spacing w:after="120" w:line="276" w:lineRule="auto"/>
      </w:pPr>
      <w:r>
        <w:t>**Stochastique** : Les valeurs %K et %D sont toutes deux à 100,0, signalant que le cours évolue au sommet de sa fourchette récente. Cette configuration extrême génère un signal de vente, le titre étant techniquement en zone de surachat à court terme, avec un risque de correction imminent.</w:t>
      </w:r>
    </w:p>
    <w:p>
      <w:pPr>
        <w:spacing w:after="120" w:line="276" w:lineRule="auto"/>
      </w:pPr>
      <w:r>
        <w:t>**Conclusion technique** : Les indicateurs techniques présentent une divergence notable : le MACD émet un signal d'achat tandis que les moyennes mobiles et le stochastique recommandent la vente, le RSI et les bandes de Bollinger restant neutres. Cette configuration mitigée suggère une phase de consolidation incertaine, où le titre pourrait soit poursuivre sa légère reprise portée par le MACD, soit subir une correction technique après avoir atteint le sommet de sa fourchette stochastique. La prudence est de mise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SLBC a réalisé un chiffre d'affaires de 378,123 milliards FCFA, en croissance de 22,08% par rapport à 2024, porté par une demande soutenue et une stratégie commerciale efficace. Le résultat net s'établit à 45,781 milliards FCFA, en explosion de +113% (contre 21,472 milliards en 2024), avec une marge nette qui double de 6,9% à 12,1%. Le ROE atteint 23,46% (excellent, &gt;15%) et le ROA 13,48%, confirmant une rentabilité capitalistique remarquable. La structure financière est saine : l'autonomie financière est de 57,48% (capitaux propres/total bilan), le ratio d'endettement de 42,52%, et la capacité de remboursement de 0,67 an (dettes financières/CAF), soit moins d'un an de CAF pour rembourser la dette. Le BFR de 61,587 milliards FCFA est positif mais maîtrisé, avec un délai clients de 64,27 jours (risque trésorerie modéré) et un délai fournisseurs de 76,82 jours (favorable à la trésorerie). La trésorerie nette est positive à 22,117 milliards FCFA.</w:t>
      </w:r>
    </w:p>
    <w:p>
      <w:pPr>
        <w:spacing w:after="120" w:line="276" w:lineRule="auto"/>
      </w:pPr>
      <w:r>
        <w:t>**Adaptation au secteur ENTREPRISE** : Les délais d'exploitation révèlent une gestion perfectible des stocks (117,32 jours de durée de stockage, élevé pour le secteur des boissons), mais compensée par un délai fournisseurs supérieur au délai clients, créant un effet de levier positif sur le BFR. La marge brute de 76,21% est exceptionnelle et témoigne d'un pouvoir de fixation des prix important, tandis que la marge opérationnelle de 17,23% et la marge nette de 12,11% confirment une efficacité opérationnelle solide.</w:t>
      </w:r>
    </w:p>
    <w:p>
      <w:pPr>
        <w:spacing w:after="120" w:line="276" w:lineRule="auto"/>
      </w:pPr>
      <w:r>
        <w:t>**Estimations basées sur les rapports trimestriels** : Le rapport T1 2026 (publié en 2026) indique un chiffre d'affaires de 93,46 milliards FCFA (+7,6%) et un résultat net de 16,26 milliards FCFA (+4,8%), avec une marge nette de 17,4%. Sur cette base, on estime que l'exercice 2026 devrait enregistrer une croissance plus modérée mais toujours solide, autour de 8-10% du CA, avec un résultat net annuel projeté entre 48 et 52 milliards FCFA, confirmant la pérennité de la dynamique. Le rapport S1 2025 (daté du 30/06/2025) avait déjà montré un résultat net de 28,0 milliards FCFA (+175,1%), validant la trajectoire exceptionnelle de l'année 2025.</w:t>
      </w:r>
    </w:p>
    <w:p>
      <w:pPr>
        <w:spacing w:after="120" w:line="276" w:lineRule="auto"/>
      </w:pPr>
      <w:r>
        <w:t>**Évolution pluriannuelle** : Les rapports antérieurs (2023, 2024) montrent une nette amélioration : le CA est passé de 311,395 milliards (2023) à 309,722 milliards (2024, légère baisse de 0,54%) puis à 378,123 milliards (2025, +22%). Le résultat net a suivi une trajectoire spectaculaire : 15,078 milliards (2023), 21,472 milliards (2024), 45,781 milliards (2025). Cette accélération témoigne d'un retournement durable de la rentabilité après des années difficiles (2017-2018).</w:t>
      </w:r>
    </w:p>
    <w:p>
      <w:pPr>
        <w:spacing w:after="120" w:line="276" w:lineRule="auto"/>
      </w:pPr>
      <w:r>
        <w:t>**Recommandation fondamentale** : SLBC présente des fondamentaux exceptionnels en 2025, avec une croissance à deux chiffres, une rentabilité en forte hausse et une structure financière solide. Les risques identifiés (dépendance aux matières premières, concentration géographique sur la Côte d'Ivoire, pression concurrentielle) sont réels mais compensés par la position de leader et la générosité de la politique de dividende (taux de distribution de 76,5% en 2025, dividende de 2 127 FCFA/action proposé). La recommandation fondamentale est **ACHAT**, avec une surveillance des coûts d'intrants et de la soutenabilité de la croissance.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permet de dégager une vision globale contrastée mais globalement favorable. **Sur le plan de la valorisation (Partie 0)**, le PER de 13,7x, le P/B de 3,21x et l'EV/EBITDA de 7,4x indiquent une valorisation raisonnable, légèrement supérieure à la moyenne du marché mais justifiée par un ROE de 23,46% et une croissance exceptionnelle. **Le comportement du cours (Partie 1)** est stable (+1,33% sur 100 jours), avec une volatilité modérée (27%) et des statistiques rassurantes (kurtosis mésokurtique, skewness positive modérée), sans signe de surchauffe. **Les signaux techniques (Partie 2)** sont divergents : le MACD est acheteur, mais les moyennes mobiles et le stochastique sont vendeurs, le RSI et les bandes de Bollinger neutres, suggérant une consolidation avant un éventuel mouvement directionnel. **Les fondamentaux (Partie 3)** sont excellents : croissance du CA de 22% en 2025, résultat net doublé, marges en amélioration, structure financière saine, et les estimations basées sur le T1 2026 (+7,6% de CA, +4,8% de résultat net) confirment la poursuite de la dynamique. **Les prédictions IA (J+1 à J+10)** anticipent une hausse progressive de 38 618 FCFA à 39 890 FCFA, soit un potentiel de +5% à court terme, ce qui confirme la tendance haussière modérée.</w:t>
      </w:r>
    </w:p>
    <w:p>
      <w:pPr>
        <w:spacing w:after="120" w:line="276" w:lineRule="auto"/>
      </w:pPr>
      <w:r>
        <w:t>**Recommandation finale** : **ACHAT**. La convergence entre des fondamentaux exceptionnels, une valorisation raisonnable, des prédictions IA haussières et un MACD acheteur l'emporte sur les signaux techniques baissiers à court terme (MM, stochastique), qui relèvent davantage d'une consolidation technique que d'un retournement de tendance. Le niveau de confiance est **Moyen** (en raison de la divergence technique), et le niveau de risque global est **Moyen** (volatilité modérée, dépendance aux matières premières). L'horizon d'investissement optimal est **moyen à long terme (6 à 18 mois)**, afin de capturer la croissance bénéficiaire et le dividende attractif, tout en laissant le temps aux indicateurs techniques de se réaligner à la hausse.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132.52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1,596 titres</w:t>
            </w:r>
          </w:p>
        </w:tc>
        <w:tc>
          <w:tcPr>
            <w:tcW w:type="dxa" w:w="2268"/>
            <w:shd w:fill="FFF2CC" w:val="clear"/>
          </w:tcPr>
          <w:p>
            <w:r>
              <w:rPr>
                <w:b/>
                <w:color w:val="503200"/>
                <w:sz w:val="16"/>
              </w:rPr>
              <w:t xml:space="preserve">Cours actuel : </w:t>
            </w:r>
            <w:r>
              <w:rPr>
                <w:color w:val="000000"/>
                <w:sz w:val="17"/>
              </w:rPr>
              <w:t>17,000 FCFA</w:t>
            </w:r>
          </w:p>
          <w:p>
            <w:r>
              <w:rPr>
                <w:b/>
                <w:color w:val="503200"/>
                <w:sz w:val="16"/>
              </w:rPr>
              <w:t xml:space="preserve">Var. 100 jours : </w:t>
            </w:r>
            <w:r>
              <w:rPr>
                <w:b/>
                <w:color w:val="007800"/>
                <w:sz w:val="17"/>
              </w:rPr>
              <w:t>+48.47%</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13.05% (Moyenne) — μ=15,544 FCFA, σ=2,029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β=-0.5931 (Contre-cyclique) — Cov=-0.000021, Var(idx)=0.000036, ρ=-0.151,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16,774</w:t>
            </w:r>
          </w:p>
        </w:tc>
        <w:tc>
          <w:tcPr>
            <w:tcW w:type="dxa" w:w="1440"/>
            <w:shd w:fill="FAFAFA" w:val="clear"/>
          </w:tcPr>
          <w:p>
            <w:r>
              <w:rPr>
                <w:b/>
                <w:sz w:val="17"/>
              </w:rPr>
              <w:t>17,199</w:t>
            </w:r>
          </w:p>
        </w:tc>
        <w:tc>
          <w:tcPr>
            <w:tcW w:type="dxa" w:w="1440"/>
            <w:shd w:fill="FAFAFA" w:val="clear"/>
          </w:tcPr>
          <w:p>
            <w:r>
              <w:rPr>
                <w:sz w:val="17"/>
              </w:rPr>
              <w:t>17,624</w:t>
            </w:r>
          </w:p>
        </w:tc>
        <w:tc>
          <w:tcPr>
            <w:tcW w:type="dxa" w:w="1440"/>
            <w:shd w:fill="FAFAFA" w:val="clear"/>
          </w:tcPr>
          <w:p>
            <w:r>
              <w:rPr>
                <w:b/>
                <w:color w:val="008000"/>
                <w:sz w:val="17"/>
              </w:rPr>
              <w:t>+1.2%</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16,582</w:t>
            </w:r>
          </w:p>
        </w:tc>
        <w:tc>
          <w:tcPr>
            <w:tcW w:type="dxa" w:w="1440"/>
            <w:shd w:fill="FAFAFA" w:val="clear"/>
          </w:tcPr>
          <w:p>
            <w:r>
              <w:rPr>
                <w:b/>
                <w:sz w:val="17"/>
              </w:rPr>
              <w:t>17,183</w:t>
            </w:r>
          </w:p>
        </w:tc>
        <w:tc>
          <w:tcPr>
            <w:tcW w:type="dxa" w:w="1440"/>
            <w:shd w:fill="FAFAFA" w:val="clear"/>
          </w:tcPr>
          <w:p>
            <w:r>
              <w:rPr>
                <w:sz w:val="17"/>
              </w:rPr>
              <w:t>17,783</w:t>
            </w:r>
          </w:p>
        </w:tc>
        <w:tc>
          <w:tcPr>
            <w:tcW w:type="dxa" w:w="1440"/>
            <w:shd w:fill="FAFAFA" w:val="clear"/>
          </w:tcPr>
          <w:p>
            <w:r>
              <w:rPr>
                <w:b/>
                <w:color w:val="008000"/>
                <w:sz w:val="17"/>
              </w:rPr>
              <w:t>+1.1%</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16,448</w:t>
            </w:r>
          </w:p>
        </w:tc>
        <w:tc>
          <w:tcPr>
            <w:tcW w:type="dxa" w:w="1440"/>
            <w:shd w:fill="FAFAFA" w:val="clear"/>
          </w:tcPr>
          <w:p>
            <w:r>
              <w:rPr>
                <w:b/>
                <w:sz w:val="17"/>
              </w:rPr>
              <w:t>17,183</w:t>
            </w:r>
          </w:p>
        </w:tc>
        <w:tc>
          <w:tcPr>
            <w:tcW w:type="dxa" w:w="1440"/>
            <w:shd w:fill="FAFAFA" w:val="clear"/>
          </w:tcPr>
          <w:p>
            <w:r>
              <w:rPr>
                <w:sz w:val="17"/>
              </w:rPr>
              <w:t>17,918</w:t>
            </w:r>
          </w:p>
        </w:tc>
        <w:tc>
          <w:tcPr>
            <w:tcW w:type="dxa" w:w="1440"/>
            <w:shd w:fill="FAFAFA" w:val="clear"/>
          </w:tcPr>
          <w:p>
            <w:r>
              <w:rPr>
                <w:b/>
                <w:color w:val="008000"/>
                <w:sz w:val="17"/>
              </w:rPr>
              <w:t>+1.1%</w:t>
            </w:r>
          </w:p>
        </w:tc>
      </w:tr>
      <w:tr>
        <w:tc>
          <w:tcPr>
            <w:tcW w:type="dxa" w:w="1440"/>
            <w:shd w:fill="FAFAFA" w:val="clear"/>
          </w:tcPr>
          <w:p>
            <w:r>
              <w:rPr>
                <w:sz w:val="17"/>
              </w:rPr>
              <w:t>J+4  Moyenne</w:t>
            </w:r>
          </w:p>
        </w:tc>
        <w:tc>
          <w:tcPr>
            <w:tcW w:type="dxa" w:w="1440"/>
            <w:shd w:fill="FAFAFA" w:val="clear"/>
          </w:tcPr>
          <w:p>
            <w:r>
              <w:rPr>
                <w:sz w:val="17"/>
              </w:rPr>
              <w:t>2026-09-24</w:t>
            </w:r>
          </w:p>
        </w:tc>
        <w:tc>
          <w:tcPr>
            <w:tcW w:type="dxa" w:w="1440"/>
            <w:shd w:fill="FAFAFA" w:val="clear"/>
          </w:tcPr>
          <w:p>
            <w:r>
              <w:rPr>
                <w:sz w:val="17"/>
              </w:rPr>
              <w:t>16,324</w:t>
            </w:r>
          </w:p>
        </w:tc>
        <w:tc>
          <w:tcPr>
            <w:tcW w:type="dxa" w:w="1440"/>
            <w:shd w:fill="FAFAFA" w:val="clear"/>
          </w:tcPr>
          <w:p>
            <w:r>
              <w:rPr>
                <w:b/>
                <w:sz w:val="17"/>
              </w:rPr>
              <w:t>17,172</w:t>
            </w:r>
          </w:p>
        </w:tc>
        <w:tc>
          <w:tcPr>
            <w:tcW w:type="dxa" w:w="1440"/>
            <w:shd w:fill="FAFAFA" w:val="clear"/>
          </w:tcPr>
          <w:p>
            <w:r>
              <w:rPr>
                <w:sz w:val="17"/>
              </w:rPr>
              <w:t>18,020</w:t>
            </w:r>
          </w:p>
        </w:tc>
        <w:tc>
          <w:tcPr>
            <w:tcW w:type="dxa" w:w="1440"/>
            <w:shd w:fill="FAFAFA" w:val="clear"/>
          </w:tcPr>
          <w:p>
            <w:r>
              <w:rPr>
                <w:b/>
                <w:color w:val="008000"/>
                <w:sz w:val="17"/>
              </w:rPr>
              <w:t>+1.0%</w:t>
            </w:r>
          </w:p>
        </w:tc>
      </w:tr>
      <w:tr>
        <w:tc>
          <w:tcPr>
            <w:tcW w:type="dxa" w:w="1440"/>
            <w:shd w:fill="FAFAFA" w:val="clear"/>
          </w:tcPr>
          <w:p>
            <w:r>
              <w:rPr>
                <w:sz w:val="17"/>
              </w:rPr>
              <w:t>J+5  Moyenne</w:t>
            </w:r>
          </w:p>
        </w:tc>
        <w:tc>
          <w:tcPr>
            <w:tcW w:type="dxa" w:w="1440"/>
            <w:shd w:fill="FAFAFA" w:val="clear"/>
          </w:tcPr>
          <w:p>
            <w:r>
              <w:rPr>
                <w:sz w:val="17"/>
              </w:rPr>
              <w:t>2026-09-25</w:t>
            </w:r>
          </w:p>
        </w:tc>
        <w:tc>
          <w:tcPr>
            <w:tcW w:type="dxa" w:w="1440"/>
            <w:shd w:fill="FAFAFA" w:val="clear"/>
          </w:tcPr>
          <w:p>
            <w:r>
              <w:rPr>
                <w:sz w:val="17"/>
              </w:rPr>
              <w:t>16,209</w:t>
            </w:r>
          </w:p>
        </w:tc>
        <w:tc>
          <w:tcPr>
            <w:tcW w:type="dxa" w:w="1440"/>
            <w:shd w:fill="FAFAFA" w:val="clear"/>
          </w:tcPr>
          <w:p>
            <w:r>
              <w:rPr>
                <w:b/>
                <w:sz w:val="17"/>
              </w:rPr>
              <w:t>17,157</w:t>
            </w:r>
          </w:p>
        </w:tc>
        <w:tc>
          <w:tcPr>
            <w:tcW w:type="dxa" w:w="1440"/>
            <w:shd w:fill="FAFAFA" w:val="clear"/>
          </w:tcPr>
          <w:p>
            <w:r>
              <w:rPr>
                <w:sz w:val="17"/>
              </w:rPr>
              <w:t>18,105</w:t>
            </w:r>
          </w:p>
        </w:tc>
        <w:tc>
          <w:tcPr>
            <w:tcW w:type="dxa" w:w="1440"/>
            <w:shd w:fill="FAFAFA" w:val="clear"/>
          </w:tcPr>
          <w:p>
            <w:r>
              <w:rPr>
                <w:b/>
                <w:color w:val="008000"/>
                <w:sz w:val="17"/>
              </w:rPr>
              <w:t>+0.9%</w:t>
            </w:r>
          </w:p>
        </w:tc>
      </w:tr>
      <w:tr>
        <w:tc>
          <w:tcPr>
            <w:tcW w:type="dxa" w:w="1440"/>
            <w:shd w:fill="FAFAFA" w:val="clear"/>
          </w:tcPr>
          <w:p>
            <w:r>
              <w:rPr>
                <w:sz w:val="17"/>
              </w:rPr>
              <w:t>J+6  Moyenne</w:t>
            </w:r>
          </w:p>
        </w:tc>
        <w:tc>
          <w:tcPr>
            <w:tcW w:type="dxa" w:w="1440"/>
            <w:shd w:fill="FAFAFA" w:val="clear"/>
          </w:tcPr>
          <w:p>
            <w:r>
              <w:rPr>
                <w:sz w:val="17"/>
              </w:rPr>
              <w:t>2026-09-28</w:t>
            </w:r>
          </w:p>
        </w:tc>
        <w:tc>
          <w:tcPr>
            <w:tcW w:type="dxa" w:w="1440"/>
            <w:shd w:fill="FAFAFA" w:val="clear"/>
          </w:tcPr>
          <w:p>
            <w:r>
              <w:rPr>
                <w:sz w:val="17"/>
              </w:rPr>
              <w:t>16,104</w:t>
            </w:r>
          </w:p>
        </w:tc>
        <w:tc>
          <w:tcPr>
            <w:tcW w:type="dxa" w:w="1440"/>
            <w:shd w:fill="FAFAFA" w:val="clear"/>
          </w:tcPr>
          <w:p>
            <w:r>
              <w:rPr>
                <w:b/>
                <w:sz w:val="17"/>
              </w:rPr>
              <w:t>17,142</w:t>
            </w:r>
          </w:p>
        </w:tc>
        <w:tc>
          <w:tcPr>
            <w:tcW w:type="dxa" w:w="1440"/>
            <w:shd w:fill="FAFAFA" w:val="clear"/>
          </w:tcPr>
          <w:p>
            <w:r>
              <w:rPr>
                <w:sz w:val="17"/>
              </w:rPr>
              <w:t>18,179</w:t>
            </w:r>
          </w:p>
        </w:tc>
        <w:tc>
          <w:tcPr>
            <w:tcW w:type="dxa" w:w="1440"/>
            <w:shd w:fill="FAFAFA" w:val="clear"/>
          </w:tcPr>
          <w:p>
            <w:r>
              <w:rPr>
                <w:b/>
                <w:color w:val="008000"/>
                <w:sz w:val="17"/>
              </w:rPr>
              <w:t>+0.8%</w:t>
            </w:r>
          </w:p>
        </w:tc>
      </w:tr>
      <w:tr>
        <w:tc>
          <w:tcPr>
            <w:tcW w:type="dxa" w:w="1440"/>
            <w:shd w:fill="FAFAFA" w:val="clear"/>
          </w:tcPr>
          <w:p>
            <w:r>
              <w:rPr>
                <w:sz w:val="17"/>
              </w:rPr>
              <w:t>J+7  Moyenne</w:t>
            </w:r>
          </w:p>
        </w:tc>
        <w:tc>
          <w:tcPr>
            <w:tcW w:type="dxa" w:w="1440"/>
            <w:shd w:fill="FAFAFA" w:val="clear"/>
          </w:tcPr>
          <w:p>
            <w:r>
              <w:rPr>
                <w:sz w:val="17"/>
              </w:rPr>
              <w:t>2026-09-29</w:t>
            </w:r>
          </w:p>
        </w:tc>
        <w:tc>
          <w:tcPr>
            <w:tcW w:type="dxa" w:w="1440"/>
            <w:shd w:fill="FAFAFA" w:val="clear"/>
          </w:tcPr>
          <w:p>
            <w:r>
              <w:rPr>
                <w:sz w:val="17"/>
              </w:rPr>
              <w:t>16,007</w:t>
            </w:r>
          </w:p>
        </w:tc>
        <w:tc>
          <w:tcPr>
            <w:tcW w:type="dxa" w:w="1440"/>
            <w:shd w:fill="FAFAFA" w:val="clear"/>
          </w:tcPr>
          <w:p>
            <w:r>
              <w:rPr>
                <w:b/>
                <w:sz w:val="17"/>
              </w:rPr>
              <w:t>17,126</w:t>
            </w:r>
          </w:p>
        </w:tc>
        <w:tc>
          <w:tcPr>
            <w:tcW w:type="dxa" w:w="1440"/>
            <w:shd w:fill="FAFAFA" w:val="clear"/>
          </w:tcPr>
          <w:p>
            <w:r>
              <w:rPr>
                <w:sz w:val="17"/>
              </w:rPr>
              <w:t>18,245</w:t>
            </w:r>
          </w:p>
        </w:tc>
        <w:tc>
          <w:tcPr>
            <w:tcW w:type="dxa" w:w="1440"/>
            <w:shd w:fill="FAFAFA" w:val="clear"/>
          </w:tcPr>
          <w:p>
            <w:r>
              <w:rPr>
                <w:b/>
                <w:color w:val="008000"/>
                <w:sz w:val="17"/>
              </w:rPr>
              <w:t>+0.7%</w:t>
            </w:r>
          </w:p>
        </w:tc>
      </w:tr>
      <w:tr>
        <w:tc>
          <w:tcPr>
            <w:tcW w:type="dxa" w:w="1440"/>
            <w:shd w:fill="FAFAFA" w:val="clear"/>
          </w:tcPr>
          <w:p>
            <w:r>
              <w:rPr>
                <w:sz w:val="17"/>
              </w:rPr>
              <w:t>J+8  Moyenne</w:t>
            </w:r>
          </w:p>
        </w:tc>
        <w:tc>
          <w:tcPr>
            <w:tcW w:type="dxa" w:w="1440"/>
            <w:shd w:fill="FAFAFA" w:val="clear"/>
          </w:tcPr>
          <w:p>
            <w:r>
              <w:rPr>
                <w:sz w:val="17"/>
              </w:rPr>
              <w:t>2026-09-30</w:t>
            </w:r>
          </w:p>
        </w:tc>
        <w:tc>
          <w:tcPr>
            <w:tcW w:type="dxa" w:w="1440"/>
            <w:shd w:fill="FAFAFA" w:val="clear"/>
          </w:tcPr>
          <w:p>
            <w:r>
              <w:rPr>
                <w:sz w:val="17"/>
              </w:rPr>
              <w:t>15,915</w:t>
            </w:r>
          </w:p>
        </w:tc>
        <w:tc>
          <w:tcPr>
            <w:tcW w:type="dxa" w:w="1440"/>
            <w:shd w:fill="FAFAFA" w:val="clear"/>
          </w:tcPr>
          <w:p>
            <w:r>
              <w:rPr>
                <w:b/>
                <w:sz w:val="17"/>
              </w:rPr>
              <w:t>17,110</w:t>
            </w:r>
          </w:p>
        </w:tc>
        <w:tc>
          <w:tcPr>
            <w:tcW w:type="dxa" w:w="1440"/>
            <w:shd w:fill="FAFAFA" w:val="clear"/>
          </w:tcPr>
          <w:p>
            <w:r>
              <w:rPr>
                <w:sz w:val="17"/>
              </w:rPr>
              <w:t>18,306</w:t>
            </w:r>
          </w:p>
        </w:tc>
        <w:tc>
          <w:tcPr>
            <w:tcW w:type="dxa" w:w="1440"/>
            <w:shd w:fill="FAFAFA" w:val="clear"/>
          </w:tcPr>
          <w:p>
            <w:r>
              <w:rPr>
                <w:b/>
                <w:color w:val="008000"/>
                <w:sz w:val="17"/>
              </w:rPr>
              <w:t>+0.7%</w:t>
            </w:r>
          </w:p>
        </w:tc>
      </w:tr>
      <w:tr>
        <w:tc>
          <w:tcPr>
            <w:tcW w:type="dxa" w:w="1440"/>
            <w:shd w:fill="FAFAFA" w:val="clear"/>
          </w:tcPr>
          <w:p>
            <w:r>
              <w:rPr>
                <w:sz w:val="17"/>
              </w:rPr>
              <w:t>J+9  Moyenne</w:t>
            </w:r>
          </w:p>
        </w:tc>
        <w:tc>
          <w:tcPr>
            <w:tcW w:type="dxa" w:w="1440"/>
            <w:shd w:fill="FAFAFA" w:val="clear"/>
          </w:tcPr>
          <w:p>
            <w:r>
              <w:rPr>
                <w:sz w:val="17"/>
              </w:rPr>
              <w:t>2026-10-01</w:t>
            </w:r>
          </w:p>
        </w:tc>
        <w:tc>
          <w:tcPr>
            <w:tcW w:type="dxa" w:w="1440"/>
            <w:shd w:fill="FAFAFA" w:val="clear"/>
          </w:tcPr>
          <w:p>
            <w:r>
              <w:rPr>
                <w:sz w:val="17"/>
              </w:rPr>
              <w:t>15,828</w:t>
            </w:r>
          </w:p>
        </w:tc>
        <w:tc>
          <w:tcPr>
            <w:tcW w:type="dxa" w:w="1440"/>
            <w:shd w:fill="FAFAFA" w:val="clear"/>
          </w:tcPr>
          <w:p>
            <w:r>
              <w:rPr>
                <w:b/>
                <w:sz w:val="17"/>
              </w:rPr>
              <w:t>17,095</w:t>
            </w:r>
          </w:p>
        </w:tc>
        <w:tc>
          <w:tcPr>
            <w:tcW w:type="dxa" w:w="1440"/>
            <w:shd w:fill="FAFAFA" w:val="clear"/>
          </w:tcPr>
          <w:p>
            <w:r>
              <w:rPr>
                <w:sz w:val="17"/>
              </w:rPr>
              <w:t>18,362</w:t>
            </w:r>
          </w:p>
        </w:tc>
        <w:tc>
          <w:tcPr>
            <w:tcW w:type="dxa" w:w="1440"/>
            <w:shd w:fill="FAFAFA" w:val="clear"/>
          </w:tcPr>
          <w:p>
            <w:r>
              <w:rPr>
                <w:b/>
                <w:color w:val="008000"/>
                <w:sz w:val="17"/>
              </w:rPr>
              <w:t>+0.6%</w:t>
            </w:r>
          </w:p>
        </w:tc>
      </w:tr>
      <w:tr>
        <w:tc>
          <w:tcPr>
            <w:tcW w:type="dxa" w:w="1440"/>
            <w:shd w:fill="FAFAFA" w:val="clear"/>
          </w:tcPr>
          <w:p>
            <w:r>
              <w:rPr>
                <w:sz w:val="17"/>
              </w:rPr>
              <w:t>J+10  Moyenne</w:t>
            </w:r>
          </w:p>
        </w:tc>
        <w:tc>
          <w:tcPr>
            <w:tcW w:type="dxa" w:w="1440"/>
            <w:shd w:fill="FAFAFA" w:val="clear"/>
          </w:tcPr>
          <w:p>
            <w:r>
              <w:rPr>
                <w:sz w:val="17"/>
              </w:rPr>
              <w:t>2026-10-02</w:t>
            </w:r>
          </w:p>
        </w:tc>
        <w:tc>
          <w:tcPr>
            <w:tcW w:type="dxa" w:w="1440"/>
            <w:shd w:fill="FAFAFA" w:val="clear"/>
          </w:tcPr>
          <w:p>
            <w:r>
              <w:rPr>
                <w:sz w:val="17"/>
              </w:rPr>
              <w:t>15,746</w:t>
            </w:r>
          </w:p>
        </w:tc>
        <w:tc>
          <w:tcPr>
            <w:tcW w:type="dxa" w:w="1440"/>
            <w:shd w:fill="FAFAFA" w:val="clear"/>
          </w:tcPr>
          <w:p>
            <w:r>
              <w:rPr>
                <w:b/>
                <w:sz w:val="17"/>
              </w:rPr>
              <w:t>17,080</w:t>
            </w:r>
          </w:p>
        </w:tc>
        <w:tc>
          <w:tcPr>
            <w:tcW w:type="dxa" w:w="1440"/>
            <w:shd w:fill="FAFAFA" w:val="clear"/>
          </w:tcPr>
          <w:p>
            <w:r>
              <w:rPr>
                <w:sz w:val="17"/>
              </w:rPr>
              <w:t>18,414</w:t>
            </w:r>
          </w:p>
        </w:tc>
        <w:tc>
          <w:tcPr>
            <w:tcW w:type="dxa" w:w="1440"/>
            <w:shd w:fill="FAFAFA" w:val="clear"/>
          </w:tcPr>
          <w:p>
            <w:r>
              <w:rPr>
                <w:b/>
                <w:color w:val="008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non bancaire (Bitumes/Pétrochimie)**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132,52 Mds FCFA pour un cours de 17 000 FCFA, SMBC se positionne comme une valeur de taille intermédiaire sur la BRVM, loin des poids lourds bancaires et télécoms mais suffisamment liquide pour intéresser les investisseurs institutionnels régionaux. Le BPA de 1 677 FCFA/action signifie que chaque titre génère près de 1 677 FCFA de bénéfice net, ce qui, rapporté au cours actuel, donne un PER de 10,1x — un niveau modéré, légèrement supérieur à la moyenne BRVM (~8-12x) mais justifié par la qualité des marges. Le P/B de 3,09x indique que le marché valorise SMBC à plus de trois fois sa valeur comptable (capitaux propres de 42,913 Mds FCFA), traduisant une prime de croissance et de rentabilité (ROE de 30,5%) bien supérieure à celle du secteur. Enfin, l'EV/EBITDA de 6,4x situe la valeur d'entreprise (capitalisation + dette nette) à 6,4 fois l'EBE de 18,480 Mds FCFA, un multiple raisonnable qui n'intègre pas de surchauffe spéculative et laisse entrevoir un potentiel d'appréciation si les marges se maintiennent.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affiche une progression spectaculaire de **+48,47%**, avec un cours actuel de 17 000 FCFA et une variation J-1 nulle (+0,00%), signe d'une séance de consolidation sans pression vendeuse. Le range de trading est large, entre un plus bas de 11 450 FCFA et un plus haut de 18 500 FCFA, soit une amplitude de plus de 60% qui témoigne d'une forte volatilité directionnelle. La tendance générale est clairement haussière, portée par l'amélioration des marges opérationnelles et la publication de résultats annuels 2025 solides. Les statistiques descriptives révèlent une moyenne de 15 544 FCFA inférieure à la médiane de 16 250 FCFA, ce qui confirme une asymétrie négative (skewness de -0,757) : le cours a passé plus de journées au-dessus de sa moyenne, avec quelques pics baissiers isolés tirant la moyenne vers le bas. L'écart-type de 2 039 FCFA (CV de 13,1%) indique une dispersion modérée autour de la tendance, tandis que le kurtosis de -0,729 (mésokurtique) suggère une distribution proche de la normale, sans risque extrême de pics violents. La volatilité annualisée de 37,4% classe le titre dans la catégorie **élevée** (&gt;30%), ce qui est cohérent avec une valeur de croissance exposée aux cycles des matières premières et aux investissements publics en infrastructures.</w:t>
      </w:r>
    </w:p>
    <w:p>
      <w:pPr>
        <w:spacing w:after="120" w:line="276" w:lineRule="auto"/>
      </w:pPr>
      <w:r>
        <w:t>---</w:t>
      </w:r>
    </w:p>
    <w:p>
      <w:pPr>
        <w:spacing w:after="120" w:line="276" w:lineRule="auto"/>
      </w:pPr>
      <w:r>
        <w:t>## PARTIE 2 : ANALYSE TECHNIQUE DÉTAILLÉE</w:t>
      </w:r>
    </w:p>
    <w:p>
      <w:pPr>
        <w:spacing w:after="120" w:line="276" w:lineRule="auto"/>
      </w:pPr>
      <w:r>
        <w:t>**Moyennes Mobiles** : La MM20 (17 503,5 FCFA) et la MM50 (16 762,7 FCFA) sont toutes deux supérieures au cours actuel (17 000 FCFA), mais la MM20 reste au-dessus de la MM50, confirmant une structure haussière de fond. Le cours évolue légèrement sous sa MM20, ce qui traduit une phase de respiration après le rallye, mais la décision technique reste **Achat** car la tendance de moyen terme n'est pas invalidée.</w:t>
      </w:r>
    </w:p>
    <w:p>
      <w:pPr>
        <w:spacing w:after="120" w:line="276" w:lineRule="auto"/>
      </w:pPr>
      <w:r>
        <w:t>**Bandes de Bollinger** : Le cours (17 000 FCFA) se situe dans la partie médiane de la bande, entre la borne inférieure (16 395,5 FCFA) et supérieure (18 611,5 FCFA), sans toucher les extrêmes. Cette position centrale, combinée à une décision **Neutre**, indique une absence de signal directionnel fort à court terme, avec une volatilité qui se comprime légèrement.</w:t>
      </w:r>
    </w:p>
    <w:p>
      <w:pPr>
        <w:spacing w:after="120" w:line="276" w:lineRule="auto"/>
      </w:pPr>
      <w:r>
        <w:t>**MACD** : La valeur du MACD (258,445) est inférieure à son signal (356,142), générant une décision **Vente**. Cette divergence baissière signale un essoufflement du momentum haussier à court terme, bien que les deux lignes restent en territoire positif, ce qui limite la portée du signal baissier.</w:t>
      </w:r>
    </w:p>
    <w:p>
      <w:pPr>
        <w:spacing w:after="120" w:line="276" w:lineRule="auto"/>
      </w:pPr>
      <w:r>
        <w:t>**RSI** : À 46,835, le RSI se situe en zone neutre (30-70), sans surachat ni survente. Cette valeur médiane confirme l'absence de pression acheteuse ou vendeuse dominante et plaide pour une consolidation avant un nouveau mouvement directionnel.</w:t>
      </w:r>
    </w:p>
    <w:p>
      <w:pPr>
        <w:spacing w:after="120" w:line="276" w:lineRule="auto"/>
      </w:pPr>
      <w:r>
        <w:t>**Stochastique** : Le %K à 0,0 et le %D à 12,644 sont en zone de survente extrême, avec un %K nettement sous son %D. Cette configuration génère une décision **Achat** par anticipation d'un rebond technique, le croisement haussier potentiel du %K au-dessus du %D étant imminent.</w:t>
      </w:r>
    </w:p>
    <w:p>
      <w:pPr>
        <w:spacing w:after="120" w:line="276" w:lineRule="auto"/>
      </w:pPr>
      <w:r>
        <w:t>**Conclusion technique** : Les indicateurs sont partagés — les moyennes mobiles et le stochastique plaident pour un achat, tandis que le MACD et les bandes de Bollinger recommandent la neutralité. Cette divergence suggère une phase de consolidation dans un trend haussier de fond, avec un avantage aux acheteurs si le cours parvient à se maintenir au-dessus de 16 762 FCFA (MM50). La prudence reste de mise à court terme, mais la structure technique globale demeure constructive.</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SMBC affiche un chiffre d'affaires de 206,740 Mds FCFA, en baisse de -9,74% par rapport à 2024 (229,061 Mds FCFA), mais un résultat net en forte progression de +50,3% à 13,075 Mds FCFA, contre 8,698 Mds FCFA en 2024. Cette performance paradoxale s'explique par une amélioration spectaculaire de la rentabilité opérationnelle : l'EBE bondit de +41,8% à 18,480 Mds FCFA, la marge nette passe de 3,8% à 6,3%, et le ROE atteint 30,47% (excellent, &gt;15%), tandis que le ROA s'établit à 7,26%. La structure financière se renforce avec des capitaux propres de 42,913 Mds FCFA (+21,6%) et une trésorerie nette positive de 23,988 Mds FCFA, contre 6,070 Mds FCFA en 2024. **Adapté au secteur ENTREPRISE** : les délais clients sont élevés (193,75 jours), ce qui constitue un risque de trésorerie, mais ils sont compensés par des délais fournisseurs encore plus longs (207,07 jours), créant un BFR négatif favorable de 1,693 Mds FCFA. La rotation des stocks est rapide (38,09 jours), et l'endettement reste maîtrisé avec un ratio dettes financières/CAF de 0,68 an et une couverture des intérêts de 483,4%. **Estimations basées sur les rapports trimestriels** : le rapport T3 2025 (cumul 9M, publié le 30/09/2025) indique un CA de 155,2 Mds FCFA (-14%) et un résultat net de 5,7 Mds FCFA (+6%), avec une marge opérationnelle en hausse à 5,4%. Le rapport S1 2025 (publié le 30/06/2025) faisait état d'un CA de 101,9 Mds FCFA (-23%) et d'un résultat net de 3,9 Mds FCFA (-7%), avec un EBE en hausse de +38%. On estime donc que l'exercice 2025 devrait confirmer la tendance à l'amélioration des marges, portée par la hausse des marges de raffinage et la demande locale soutenue par les chantiers routiers ivoiriens. Le rapport annuel 2025 (publié le 31/12/2025, analysé par DeepSeek le 12/05/2026) confirme cette dynamique avec une recommandation **CONSERVER**, soulignant la solidité opérationnelle mais alertant sur la baisse du CA et la hausse de l'endettement (+41,9% des dettes financières à 9,204 Mds FCFA). Les rapports antérieurs (2024, analysés par Mistral le 15/03/2026) recommandaient déjà la prudence face à la dégradation de la rentabilité et à une politique de dividende non soutenable (taux de distribution de 107,5% en 2024), mais la situation s'est nettement améliorée en 2025 avec un payout ratio revenu à 41,7%. **Conclusion fondamentale** : SMBC présente une solidité financière retrouvée, des marges en forte amélioration et une trésorerie abondante, mais reste exposée à la volatilité des prix du pétrole et à la dépendance aux investissements publics en infrastructures. La recommandation fondamentale est **ACHAT** pour les investisseurs de moyen terme, avec une surveillance accrue de l'évolution du CA et du BFR.</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modérée avec un PER de 10,1x et un EV/EBITDA de 6,4x, ce qui n'indique ni sous-évaluation flagrante ni surévaluation, mais une prime de croissance justifiée par un ROE de 30,5%. Le comportement du cours (Partie 1) est haussier sur 100 jours (+48,47%), avec une volatilité élevée (37,4%) et une asymétrie négative (skewness -0,757) qui suggère une tendance à la hausse malgré quelques corrections. Les signaux techniques (Partie 2) sont divergents : les moyennes mobiles et le stochastique sont haussiers, le MACD est baissier, et le RSI est neutre, ce qui plaide pour une consolidation avant une reprise. Les fondamentaux (Partie 3) sont solides : résultat net en hausse de +50,3% en 2025, ROE de 30,5%, trésorerie nette de 23,988 Mds FCFA, et marges en amélioration continue selon les rapports trimestriels 2025. Les **prédictions IA (J+1 à J+10)** anticipent une légère baisse du cours de 17 199 FCFA à 17 157 FCFA, soit une contraction de -0,25% sur 5 jours, ce qui confirme la phase de consolidation technique sans invalider la tendance haussière de fond. **Recommandation finale : ACHAT** — La convergence entre des fondamentaux solides (ROE élevé, trésorerie abondante, marges en hausse), une valorisation raisonnable (PER 10,1x) et une tendance de fond haussière (+48,47% sur 100 jours) justifie une position acheteuse, malgré les signaux techniques mitigés à court terme. Le niveau de confiance est **Moyen** (en raison de la divergence des indicateurs techniques et de la volatilité élevée), et le niveau de risque global est **Moyen** (exposition aux cycles des matières premières et aux investissements publics). L'horizon d'investissement optimal est **moyen terme (3-12 mois)**, le temps que la consolidation technique s'achève et que les résultats annuels 2025 confirment la pérennité de l'amélioration des marges. Un stop-loss serait judicieux sous 16 395 FCFA (borne inférieure de Bollinger) pour se protéger d'un retournement, avec un objectif de cours à 18 611 FCFA (borne supérieure) à court terme et 20 000 FCFA à moyen terme si la croissance du CA reprend.</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4219.00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10,609 titres</w:t>
            </w:r>
          </w:p>
        </w:tc>
        <w:tc>
          <w:tcPr>
            <w:tcW w:type="dxa" w:w="2268"/>
            <w:shd w:fill="FFF2CC" w:val="clear"/>
          </w:tcPr>
          <w:p>
            <w:r>
              <w:rPr>
                <w:b/>
                <w:color w:val="503200"/>
                <w:sz w:val="16"/>
              </w:rPr>
              <w:t xml:space="preserve">Cours actuel : </w:t>
            </w:r>
            <w:r>
              <w:rPr>
                <w:color w:val="000000"/>
                <w:sz w:val="17"/>
              </w:rPr>
              <w:t>42,190 FCFA</w:t>
            </w:r>
          </w:p>
          <w:p>
            <w:r>
              <w:rPr>
                <w:b/>
                <w:color w:val="503200"/>
                <w:sz w:val="16"/>
              </w:rPr>
              <w:t xml:space="preserve">Var. 100 jours : </w:t>
            </w:r>
            <w:r>
              <w:rPr>
                <w:b/>
                <w:color w:val="007800"/>
                <w:sz w:val="17"/>
              </w:rPr>
              <w:t>+48.04%</w:t>
            </w:r>
          </w:p>
          <w:p>
            <w:r>
              <w:rPr>
                <w:b/>
                <w:color w:val="503200"/>
                <w:sz w:val="16"/>
              </w:rPr>
              <w:t xml:space="preserve">Plus haut 100j : </w:t>
            </w:r>
            <w:r>
              <w:rPr>
                <w:color w:val="000000"/>
                <w:sz w:val="17"/>
              </w:rPr>
              <w:t>42,190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11.65% (Moyenne) — μ=31,491 FCFA, σ=3,669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β=1.7579 (Agressif) — Cov=0.000064, Var(idx)=0.000036, ρ=0.555,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10,609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σ_j=2.03%/j (Stable) — Vol. annualisée≈32.2%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2026-09-21</w:t>
            </w:r>
          </w:p>
        </w:tc>
        <w:tc>
          <w:tcPr>
            <w:tcW w:type="dxa" w:w="1440"/>
            <w:shd w:fill="FFDCE0" w:val="clear"/>
          </w:tcPr>
          <w:p>
            <w:r>
              <w:rPr>
                <w:sz w:val="17"/>
              </w:rPr>
              <w:t>37,957</w:t>
            </w:r>
          </w:p>
        </w:tc>
        <w:tc>
          <w:tcPr>
            <w:tcW w:type="dxa" w:w="1440"/>
            <w:shd w:fill="FFDCE0" w:val="clear"/>
          </w:tcPr>
          <w:p>
            <w:r>
              <w:rPr>
                <w:b/>
                <w:sz w:val="17"/>
              </w:rPr>
              <w:t>39,608</w:t>
            </w:r>
          </w:p>
        </w:tc>
        <w:tc>
          <w:tcPr>
            <w:tcW w:type="dxa" w:w="1440"/>
            <w:shd w:fill="FFDCE0" w:val="clear"/>
          </w:tcPr>
          <w:p>
            <w:r>
              <w:rPr>
                <w:sz w:val="17"/>
              </w:rPr>
              <w:t>41,259</w:t>
            </w:r>
          </w:p>
        </w:tc>
        <w:tc>
          <w:tcPr>
            <w:tcW w:type="dxa" w:w="1440"/>
            <w:shd w:fill="FFDCE0" w:val="clear"/>
          </w:tcPr>
          <w:p>
            <w:r>
              <w:rPr>
                <w:b/>
                <w:color w:val="C00000"/>
                <w:sz w:val="17"/>
              </w:rPr>
              <w:t>-6.1%</w:t>
            </w:r>
          </w:p>
        </w:tc>
      </w:tr>
      <w:tr>
        <w:tc>
          <w:tcPr>
            <w:tcW w:type="dxa" w:w="1440"/>
            <w:shd w:fill="FFDCE0" w:val="clear"/>
          </w:tcPr>
          <w:p>
            <w:r>
              <w:rPr>
                <w:sz w:val="17"/>
              </w:rPr>
              <w:t>J+2  ⭐</w:t>
            </w:r>
          </w:p>
        </w:tc>
        <w:tc>
          <w:tcPr>
            <w:tcW w:type="dxa" w:w="1440"/>
            <w:shd w:fill="FFDCE0" w:val="clear"/>
          </w:tcPr>
          <w:p>
            <w:r>
              <w:rPr>
                <w:sz w:val="17"/>
              </w:rPr>
              <w:t>2026-09-22</w:t>
            </w:r>
          </w:p>
        </w:tc>
        <w:tc>
          <w:tcPr>
            <w:tcW w:type="dxa" w:w="1440"/>
            <w:shd w:fill="FFDCE0" w:val="clear"/>
          </w:tcPr>
          <w:p>
            <w:r>
              <w:rPr>
                <w:sz w:val="17"/>
              </w:rPr>
              <w:t>37,393</w:t>
            </w:r>
          </w:p>
        </w:tc>
        <w:tc>
          <w:tcPr>
            <w:tcW w:type="dxa" w:w="1440"/>
            <w:shd w:fill="FFDCE0" w:val="clear"/>
          </w:tcPr>
          <w:p>
            <w:r>
              <w:rPr>
                <w:b/>
                <w:sz w:val="17"/>
              </w:rPr>
              <w:t>39,735</w:t>
            </w:r>
          </w:p>
        </w:tc>
        <w:tc>
          <w:tcPr>
            <w:tcW w:type="dxa" w:w="1440"/>
            <w:shd w:fill="FFDCE0" w:val="clear"/>
          </w:tcPr>
          <w:p>
            <w:r>
              <w:rPr>
                <w:sz w:val="17"/>
              </w:rPr>
              <w:t>42,078</w:t>
            </w:r>
          </w:p>
        </w:tc>
        <w:tc>
          <w:tcPr>
            <w:tcW w:type="dxa" w:w="1440"/>
            <w:shd w:fill="FFDCE0" w:val="clear"/>
          </w:tcPr>
          <w:p>
            <w:r>
              <w:rPr>
                <w:b/>
                <w:color w:val="C00000"/>
                <w:sz w:val="17"/>
              </w:rPr>
              <w:t>-5.8%</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36,794</w:t>
            </w:r>
          </w:p>
        </w:tc>
        <w:tc>
          <w:tcPr>
            <w:tcW w:type="dxa" w:w="1440"/>
            <w:shd w:fill="FFDCE0" w:val="clear"/>
          </w:tcPr>
          <w:p>
            <w:r>
              <w:rPr>
                <w:b/>
                <w:sz w:val="17"/>
              </w:rPr>
              <w:t>39,658</w:t>
            </w:r>
          </w:p>
        </w:tc>
        <w:tc>
          <w:tcPr>
            <w:tcW w:type="dxa" w:w="1440"/>
            <w:shd w:fill="FFDCE0" w:val="clear"/>
          </w:tcPr>
          <w:p>
            <w:r>
              <w:rPr>
                <w:sz w:val="17"/>
              </w:rPr>
              <w:t>42,521</w:t>
            </w:r>
          </w:p>
        </w:tc>
        <w:tc>
          <w:tcPr>
            <w:tcW w:type="dxa" w:w="1440"/>
            <w:shd w:fill="FFDCE0" w:val="clear"/>
          </w:tcPr>
          <w:p>
            <w:r>
              <w:rPr>
                <w:b/>
                <w:color w:val="C00000"/>
                <w:sz w:val="17"/>
              </w:rPr>
              <w:t>-6.0%</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36,277</w:t>
            </w:r>
          </w:p>
        </w:tc>
        <w:tc>
          <w:tcPr>
            <w:tcW w:type="dxa" w:w="1440"/>
            <w:shd w:fill="FFDCE0" w:val="clear"/>
          </w:tcPr>
          <w:p>
            <w:r>
              <w:rPr>
                <w:b/>
                <w:sz w:val="17"/>
              </w:rPr>
              <w:t>39,576</w:t>
            </w:r>
          </w:p>
        </w:tc>
        <w:tc>
          <w:tcPr>
            <w:tcW w:type="dxa" w:w="1440"/>
            <w:shd w:fill="FFDCE0" w:val="clear"/>
          </w:tcPr>
          <w:p>
            <w:r>
              <w:rPr>
                <w:sz w:val="17"/>
              </w:rPr>
              <w:t>42,876</w:t>
            </w:r>
          </w:p>
        </w:tc>
        <w:tc>
          <w:tcPr>
            <w:tcW w:type="dxa" w:w="1440"/>
            <w:shd w:fill="FFDCE0" w:val="clear"/>
          </w:tcPr>
          <w:p>
            <w:r>
              <w:rPr>
                <w:b/>
                <w:color w:val="C00000"/>
                <w:sz w:val="17"/>
              </w:rPr>
              <w:t>-6.2%</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35,833</w:t>
            </w:r>
          </w:p>
        </w:tc>
        <w:tc>
          <w:tcPr>
            <w:tcW w:type="dxa" w:w="1440"/>
            <w:shd w:fill="FFDCE0" w:val="clear"/>
          </w:tcPr>
          <w:p>
            <w:r>
              <w:rPr>
                <w:b/>
                <w:sz w:val="17"/>
              </w:rPr>
              <w:t>39,517</w:t>
            </w:r>
          </w:p>
        </w:tc>
        <w:tc>
          <w:tcPr>
            <w:tcW w:type="dxa" w:w="1440"/>
            <w:shd w:fill="FFDCE0" w:val="clear"/>
          </w:tcPr>
          <w:p>
            <w:r>
              <w:rPr>
                <w:sz w:val="17"/>
              </w:rPr>
              <w:t>43,200</w:t>
            </w:r>
          </w:p>
        </w:tc>
        <w:tc>
          <w:tcPr>
            <w:tcW w:type="dxa" w:w="1440"/>
            <w:shd w:fill="FFDCE0" w:val="clear"/>
          </w:tcPr>
          <w:p>
            <w:r>
              <w:rPr>
                <w:b/>
                <w:color w:val="C00000"/>
                <w:sz w:val="17"/>
              </w:rPr>
              <w:t>-6.3%</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35,440</w:t>
            </w:r>
          </w:p>
        </w:tc>
        <w:tc>
          <w:tcPr>
            <w:tcW w:type="dxa" w:w="1440"/>
            <w:shd w:fill="FFDCE0" w:val="clear"/>
          </w:tcPr>
          <w:p>
            <w:r>
              <w:rPr>
                <w:b/>
                <w:sz w:val="17"/>
              </w:rPr>
              <w:t>39,471</w:t>
            </w:r>
          </w:p>
        </w:tc>
        <w:tc>
          <w:tcPr>
            <w:tcW w:type="dxa" w:w="1440"/>
            <w:shd w:fill="FFDCE0" w:val="clear"/>
          </w:tcPr>
          <w:p>
            <w:r>
              <w:rPr>
                <w:sz w:val="17"/>
              </w:rPr>
              <w:t>43,501</w:t>
            </w:r>
          </w:p>
        </w:tc>
        <w:tc>
          <w:tcPr>
            <w:tcW w:type="dxa" w:w="1440"/>
            <w:shd w:fill="FFDCE0" w:val="clear"/>
          </w:tcPr>
          <w:p>
            <w:r>
              <w:rPr>
                <w:b/>
                <w:color w:val="C00000"/>
                <w:sz w:val="17"/>
              </w:rPr>
              <w:t>-6.4%</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35,082</w:t>
            </w:r>
          </w:p>
        </w:tc>
        <w:tc>
          <w:tcPr>
            <w:tcW w:type="dxa" w:w="1440"/>
            <w:shd w:fill="FFDCE0" w:val="clear"/>
          </w:tcPr>
          <w:p>
            <w:r>
              <w:rPr>
                <w:b/>
                <w:sz w:val="17"/>
              </w:rPr>
              <w:t>39,431</w:t>
            </w:r>
          </w:p>
        </w:tc>
        <w:tc>
          <w:tcPr>
            <w:tcW w:type="dxa" w:w="1440"/>
            <w:shd w:fill="FFDCE0" w:val="clear"/>
          </w:tcPr>
          <w:p>
            <w:r>
              <w:rPr>
                <w:sz w:val="17"/>
              </w:rPr>
              <w:t>43,780</w:t>
            </w:r>
          </w:p>
        </w:tc>
        <w:tc>
          <w:tcPr>
            <w:tcW w:type="dxa" w:w="1440"/>
            <w:shd w:fill="FFDCE0" w:val="clear"/>
          </w:tcPr>
          <w:p>
            <w:r>
              <w:rPr>
                <w:b/>
                <w:color w:val="C00000"/>
                <w:sz w:val="17"/>
              </w:rPr>
              <w:t>-6.5%</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34,749</w:t>
            </w:r>
          </w:p>
        </w:tc>
        <w:tc>
          <w:tcPr>
            <w:tcW w:type="dxa" w:w="1440"/>
            <w:shd w:fill="FFDCE0" w:val="clear"/>
          </w:tcPr>
          <w:p>
            <w:r>
              <w:rPr>
                <w:b/>
                <w:sz w:val="17"/>
              </w:rPr>
              <w:t>39,394</w:t>
            </w:r>
          </w:p>
        </w:tc>
        <w:tc>
          <w:tcPr>
            <w:tcW w:type="dxa" w:w="1440"/>
            <w:shd w:fill="FFDCE0" w:val="clear"/>
          </w:tcPr>
          <w:p>
            <w:r>
              <w:rPr>
                <w:sz w:val="17"/>
              </w:rPr>
              <w:t>44,039</w:t>
            </w:r>
          </w:p>
        </w:tc>
        <w:tc>
          <w:tcPr>
            <w:tcW w:type="dxa" w:w="1440"/>
            <w:shd w:fill="FFDCE0" w:val="clear"/>
          </w:tcPr>
          <w:p>
            <w:r>
              <w:rPr>
                <w:b/>
                <w:color w:val="C00000"/>
                <w:sz w:val="17"/>
              </w:rPr>
              <w:t>-6.6%</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34,436</w:t>
            </w:r>
          </w:p>
        </w:tc>
        <w:tc>
          <w:tcPr>
            <w:tcW w:type="dxa" w:w="1440"/>
            <w:shd w:fill="FFDCE0" w:val="clear"/>
          </w:tcPr>
          <w:p>
            <w:r>
              <w:rPr>
                <w:b/>
                <w:sz w:val="17"/>
              </w:rPr>
              <w:t>39,358</w:t>
            </w:r>
          </w:p>
        </w:tc>
        <w:tc>
          <w:tcPr>
            <w:tcW w:type="dxa" w:w="1440"/>
            <w:shd w:fill="FFDCE0" w:val="clear"/>
          </w:tcPr>
          <w:p>
            <w:r>
              <w:rPr>
                <w:sz w:val="17"/>
              </w:rPr>
              <w:t>44,280</w:t>
            </w:r>
          </w:p>
        </w:tc>
        <w:tc>
          <w:tcPr>
            <w:tcW w:type="dxa" w:w="1440"/>
            <w:shd w:fill="FFDCE0" w:val="clear"/>
          </w:tcPr>
          <w:p>
            <w:r>
              <w:rPr>
                <w:b/>
                <w:color w:val="C00000"/>
                <w:sz w:val="17"/>
              </w:rPr>
              <w:t>-6.7%</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34,138</w:t>
            </w:r>
          </w:p>
        </w:tc>
        <w:tc>
          <w:tcPr>
            <w:tcW w:type="dxa" w:w="1440"/>
            <w:shd w:fill="FFDCE0" w:val="clear"/>
          </w:tcPr>
          <w:p>
            <w:r>
              <w:rPr>
                <w:b/>
                <w:sz w:val="17"/>
              </w:rPr>
              <w:t>39,322</w:t>
            </w:r>
          </w:p>
        </w:tc>
        <w:tc>
          <w:tcPr>
            <w:tcW w:type="dxa" w:w="1440"/>
            <w:shd w:fill="FFDCE0" w:val="clear"/>
          </w:tcPr>
          <w:p>
            <w:r>
              <w:rPr>
                <w:sz w:val="17"/>
              </w:rPr>
              <w:t>44,505</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4 219 milliards FCFA, Sonatel s'impose comme la première capitalisation de la BRVM, un poids systémique qui en fait la valeur de référence de la cote. Le BPA de 4 136 FCFA/action signifie que chaque titre génère près de 4 136 FCFA de bénéfice net, ce qui, rapporté au cours actuel de 42 190 FCFA, donne un PER de 10,2x — un niveau modéré, dans la fourchette haute de la moyenne BRVM (8-12x), traduisant une valorisation raisonnable sans exubérance. Le P/B de 3,02x indique que le marché valorise l'action à trois fois sa valeur comptable, une prime de croissance justifiée par la qualité des actifs et la position dominante du groupe. Enfin, l'EV/EBITDA de 4,4x, inférieur au seuil de 5x, signale que la valeur totale de l'entreprise (dette incluse) reste très bon marché au regard de sa capacité opérationnelle à générer du cash, ce qui constitue un signal de sous-évaluation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SNTS a enregistré une progression spectaculaire de +48,04%, dont +7,49% sur la seule dernière séance, portant le cours à 42 190 FCFA — soit exactement le plus haut de la période, tandis que le plus bas s'établissait à 27 160 FCFA. Ce range de trading de 15 030 FCFA (soit 55% d'amplitude) témoigne d'une tendance nettement haussière, soutenue par des publications financières solides et un intérêt croissant des investisseurs pour la valeur. Les statistiques descriptives révèlent une moyenne de 31 491 FCFA supérieure à la médiane de 30 550 FCFA, avec un mode à 31 000 FCFA : cet écart entre moyenne et médiane confirme une distribution asymétrique, le cours ayant passé plus de journées sous la moyenne avant son envolée récente. L'écart-type de 3 687 FCFA (CV = 11,7%) indique une dispersion modérée du cours autour de sa moyenne, tandis que le kurtosis de 0,097 (mésokurtique) suggère une distribution proche de la normale, sans risque excessif de pics extrêmes. Le skewness de 1,145, positif, confirme cette asymétrie avec davantage de journées sous la moyenne — caractéristique d'un titre qui a longtemps stagné avant de s'apprécier fortement. La volatilité annualisée de 32,2% positionne SNTS dans la catégorie des titres à volatilité élevée (&gt;30%), ce qui implique un risque de marché non négligeable malgré la qualité fondamentale de l'émetteur.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(38 086,75 FCFA) et la MM50 (34 250,90 FCFA) se situent toutes deux bien en dessous du cours actuel (42 190 FCFA), avec une MM20 supérieure à la MM50 — configuration haussière classique en « golden cross ». Le cours évoluant au-dessus de ses deux moyennes, la dynamique de fond est clairement positive, ce qui justifie la décision technique d'**Achat**.</w:t>
      </w:r>
    </w:p>
    <w:p>
      <w:pPr>
        <w:spacing w:after="120" w:line="276" w:lineRule="auto"/>
      </w:pPr>
      <w:r>
        <w:t>**Bandes de Bollinger** : Le cours (42 190 FCFA) dépasse la borne supérieure (41 407,32 FCFA), signalant une situation de surchauffe à court terme. La largeur des bandes (borne inférieure à 34 766,18 FCFA) traduit une volatilité élevée, et la sortie par le haut constitue un signal de **Vente** technique, souvent suivi d'une correction ou d'une consolidation.</w:t>
      </w:r>
    </w:p>
    <w:p>
      <w:pPr>
        <w:spacing w:after="120" w:line="276" w:lineRule="auto"/>
      </w:pPr>
      <w:r>
        <w:t>**MACD** : La ligne MACD (1 832,72) reste supérieure à sa ligne de signal (1 750,48), avec un histogramme positif, confirmant un momentum haussier toujours en place. La divergence positive, bien que modérée, soutient la décision d'**Achat**, mais la proximité des deux lignes suggère un essoufflement possible de la tendance.</w:t>
      </w:r>
    </w:p>
    <w:p>
      <w:pPr>
        <w:spacing w:after="120" w:line="276" w:lineRule="auto"/>
      </w:pPr>
      <w:r>
        <w:t>**RSI** : À 88,03, le RSI se situe très largement au-dessus du seuil de surachat (70), un niveau extrême qui n'a historiquement pas été tenable durablement. Cette lecture justifie pleinement la décision de **Vente** à court terme, le titre étant techniquement sur-étiré.</w:t>
      </w:r>
    </w:p>
    <w:p>
      <w:pPr>
        <w:spacing w:after="120" w:line="276" w:lineRule="auto"/>
      </w:pPr>
      <w:r>
        <w:t>**Stochastique** : Le %K (100,0) et le %D (93,77) sont tous deux en zone de surachat extrême, avec un %K au maximum absolu. L'absence de croisement baissier pour l'instant maintient la pression acheteuse, mais la configuration est typique d'un retournement imminent, d'où la décision de **Vente**.</w:t>
      </w:r>
    </w:p>
    <w:p>
      <w:pPr>
        <w:spacing w:after="120" w:line="276" w:lineRule="auto"/>
      </w:pPr>
      <w:r>
        <w:t>**Conclusion technique** : Les indicateurs présentent une divergence marquée : les moyennes mobiles et le MACD confirment la tendance haussière de fond (Achat), tandis que le RSI, le stochastique et les bandes de Bollinger signalent une surchauffe extrême à court terme (Vente). Cette configuration suggère que la tendance reste haussière mais qu'une consolidation ou une correction technique est probable à très court terme, offrant potentiellement un point d'entrée sur repli.</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entreprise en pleine santé : le chiffre d'affaires consolidé s'établit à 1 923,122 milliards FCFA, en croissance de 8,26% sur un an, pour un résultat net de 413,588 milliards FCFA, soit une marge nette de 21,51%. La rentabilité des fonds propres (ROE) atteint 29,56%, un niveau excellent (&gt;15%), et le ROA de 12,65% confirme l'efficacité de l'utilisation des actifs. En tant qu'entreprise non bancaire, l'analyse des délais d'exploitation est instructive : le délai clients de 46,16 jours est modéré, le délai fournisseurs de 201,39 jours est très favorable à la trésorerie, et la durée de stockage de 14,49 jours est faible. Le BFR est négatif (-284,906 milliards FCFA), ce qui constitue un atout majeur : l'entreprise finance son cycle d'exploitation par ses fournisseurs plutôt que par son propre cash. La structure financière est saine avec une autonomie financière de 42,79% et une couverture des intérêts de 2 744,71%, tandis que la capacité de remboursement de 0,64 an est excellente. Les rapports narratifs confirment cette dynamique : le rapport annuel 2025 (publié le 16/02/2026) fait état d'un résultat net de 413,6 milliards FCFA (+5,1%) et d'un dividende brut de 1 933 FCFA/action (1 740 FCFA net), tandis que le communiqué du S1 2026 (publié le 27/07/2026) montre une accélération avec un CA de 1 049,8 milliards FCFA (+9,3%) et un résultat net de 230 milliards FCFA (+10,5%), soutenu par une marge EBITDAaL de 48,7% et une notation relevée à AAA (wu) par GCR Ratings. Sur la base de ces rapports semestriels, on peut estimer que l'exercice 2026 devrait afficher un chiffre d'affaires supérieur à 2 100 milliards FCFA et un résultat net proche de 440-450 milliards FCFA, confirmant la trajectoire de croissance rentable. La recommandation fondamentale est donc **solide** : l'entreprise est un leader incontesté (parts de marché de 55,9% au Sénégal, 54,5% au Mali), génère un free cash-flow de 408 milliards FCFA, et sa politique de dividende attractive (rendement d'environ 4,1% au cours actuel) en fait une valeur de rendement et de croissance. Les principaux risques identifiés sont la pression fiscale et réglementaire croissante, l'intensification de la concurrence (notamment sur le Mobile Money), et l'instabilité géopolitique dans certains pays de présence.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convergence partielle des signaux. Sur le plan de la **valorisation (Partie 0)** , les ratios PER de 10,2x, P/B de 3,02x et EV/EBITDA de 4,4x indiquent une action raisonnablement valorisée, avec une légère sous-évaluation sur la base de l'EV/EBITDA. Le **comportement du cours (Partie 1)** est nettement haussier (+48% sur 100 jours) mais la volatilité élevée (32,2%) et le skewness positif (1,145) suggèrent que le titre a déjà intégré une bonne partie de ses bonnes nouvelles, avec un risque de correction. Les **signaux techniques (Partie 2)** sont divergents : les moyennes mobiles et le MACD confirment la tendance haussière, mais le RSI à 88,03 et le stochastique à 100 signalent une surchauffe extrême à court terme, plaidant pour une prise de bénéfices ou une attente de repli. Les **fondamentaux (Partie 3)** sont excellents : ROE de 29,56%, BFR négatif, free cash-flow de 408 milliards FCFA, notation AAA, et perspectives 2026 estimées à la hausse (+9,3% au S1 2026). Les **prédictions IA (J+1 à J+10)** anticipent une légère correction vers 39 500-39 700 FCFA, ce qui contredit la tendance haussière immédiate mais confirme la thèse d'une consolidation technique après la surchauffe. Sur la base de cette synthèse, la recommandation finale est **CONSERVER** : la solidité fondamentale et la sous-évaluation relative justifient de maintenir la position, mais la surchauffe technique à court terme et les prédictions de repli incitent à la prudence pour les nouveaux achats. Le niveau de confiance est **Moyen** (les fondamentaux sont solides mais la technique est contradictoire), le risque global est **Moyen** (volatilité élevée mais qualité de l'émetteur), et l'horizon d'investissement optimal est **moyen terme (3-12 mois)** , le temps que la correction technique s'achève et que la croissance des bénéfices se matérialise. Un repli vers la zone des 38 000-39 000 FCFA constituerait un point d'entrée attractif pour les investisseurs cherchant à renforcer leur position sur cette valeur de qualité.</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169.68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5,324 titres</w:t>
            </w:r>
          </w:p>
        </w:tc>
        <w:tc>
          <w:tcPr>
            <w:tcW w:type="dxa" w:w="2268"/>
            <w:shd w:fill="FFF2CC" w:val="clear"/>
          </w:tcPr>
          <w:p>
            <w:r>
              <w:rPr>
                <w:b/>
                <w:color w:val="503200"/>
                <w:sz w:val="16"/>
              </w:rPr>
              <w:t xml:space="preserve">Cours actuel : </w:t>
            </w:r>
            <w:r>
              <w:rPr>
                <w:color w:val="000000"/>
                <w:sz w:val="17"/>
              </w:rPr>
              <w:t>7,855 FCFA</w:t>
            </w:r>
          </w:p>
          <w:p>
            <w:r>
              <w:rPr>
                <w:b/>
                <w:color w:val="503200"/>
                <w:sz w:val="16"/>
              </w:rPr>
              <w:t xml:space="preserve">Var. 100 jours : </w:t>
            </w:r>
            <w:r>
              <w:rPr>
                <w:b/>
                <w:color w:val="007800"/>
                <w:sz w:val="17"/>
              </w:rPr>
              <w:t>+2.01%</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40.5%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4.97% (Faible) — μ=8,041 FCFA, σ=400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β=0.3967 (Défensif) — Cov=0.000014, Var(idx)=0.000036, ρ=0.093,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7,532</w:t>
            </w:r>
          </w:p>
        </w:tc>
        <w:tc>
          <w:tcPr>
            <w:tcW w:type="dxa" w:w="1440"/>
            <w:shd w:fill="FAFAFA" w:val="clear"/>
          </w:tcPr>
          <w:p>
            <w:r>
              <w:rPr>
                <w:b/>
                <w:sz w:val="17"/>
              </w:rPr>
              <w:t>7,921</w:t>
            </w:r>
          </w:p>
        </w:tc>
        <w:tc>
          <w:tcPr>
            <w:tcW w:type="dxa" w:w="1440"/>
            <w:shd w:fill="FAFAFA" w:val="clear"/>
          </w:tcPr>
          <w:p>
            <w:r>
              <w:rPr>
                <w:sz w:val="17"/>
              </w:rPr>
              <w:t>8,310</w:t>
            </w:r>
          </w:p>
        </w:tc>
        <w:tc>
          <w:tcPr>
            <w:tcW w:type="dxa" w:w="1440"/>
            <w:shd w:fill="FAFAFA" w:val="clear"/>
          </w:tcPr>
          <w:p>
            <w:r>
              <w:rPr>
                <w:b/>
                <w:color w:val="008000"/>
                <w:sz w:val="17"/>
              </w:rPr>
              <w:t>+0.8%</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7,362</w:t>
            </w:r>
          </w:p>
        </w:tc>
        <w:tc>
          <w:tcPr>
            <w:tcW w:type="dxa" w:w="1440"/>
            <w:shd w:fill="FAFAFA" w:val="clear"/>
          </w:tcPr>
          <w:p>
            <w:r>
              <w:rPr>
                <w:b/>
                <w:sz w:val="17"/>
              </w:rPr>
              <w:t>7,912</w:t>
            </w:r>
          </w:p>
        </w:tc>
        <w:tc>
          <w:tcPr>
            <w:tcW w:type="dxa" w:w="1440"/>
            <w:shd w:fill="FAFAFA" w:val="clear"/>
          </w:tcPr>
          <w:p>
            <w:r>
              <w:rPr>
                <w:sz w:val="17"/>
              </w:rPr>
              <w:t>8,461</w:t>
            </w:r>
          </w:p>
        </w:tc>
        <w:tc>
          <w:tcPr>
            <w:tcW w:type="dxa" w:w="1440"/>
            <w:shd w:fill="FAFAFA" w:val="clear"/>
          </w:tcPr>
          <w:p>
            <w:r>
              <w:rPr>
                <w:b/>
                <w:color w:val="008000"/>
                <w:sz w:val="17"/>
              </w:rPr>
              <w:t>+0.7%</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7,235</w:t>
            </w:r>
          </w:p>
        </w:tc>
        <w:tc>
          <w:tcPr>
            <w:tcW w:type="dxa" w:w="1440"/>
            <w:shd w:fill="FAFAFA" w:val="clear"/>
          </w:tcPr>
          <w:p>
            <w:r>
              <w:rPr>
                <w:b/>
                <w:sz w:val="17"/>
              </w:rPr>
              <w:t>7,907</w:t>
            </w:r>
          </w:p>
        </w:tc>
        <w:tc>
          <w:tcPr>
            <w:tcW w:type="dxa" w:w="1440"/>
            <w:shd w:fill="FAFAFA" w:val="clear"/>
          </w:tcPr>
          <w:p>
            <w:r>
              <w:rPr>
                <w:sz w:val="17"/>
              </w:rPr>
              <w:t>8,580</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7,125</w:t>
            </w:r>
          </w:p>
        </w:tc>
        <w:tc>
          <w:tcPr>
            <w:tcW w:type="dxa" w:w="1440"/>
            <w:shd w:fill="FAFAFA" w:val="clear"/>
          </w:tcPr>
          <w:p>
            <w:r>
              <w:rPr>
                <w:b/>
                <w:sz w:val="17"/>
              </w:rPr>
              <w:t>7,901</w:t>
            </w:r>
          </w:p>
        </w:tc>
        <w:tc>
          <w:tcPr>
            <w:tcW w:type="dxa" w:w="1440"/>
            <w:shd w:fill="FAFAFA" w:val="clear"/>
          </w:tcPr>
          <w:p>
            <w:r>
              <w:rPr>
                <w:sz w:val="17"/>
              </w:rPr>
              <w:t>8,677</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7,027</w:t>
            </w:r>
          </w:p>
        </w:tc>
        <w:tc>
          <w:tcPr>
            <w:tcW w:type="dxa" w:w="1440"/>
            <w:shd w:fill="FAFAFA" w:val="clear"/>
          </w:tcPr>
          <w:p>
            <w:r>
              <w:rPr>
                <w:b/>
                <w:sz w:val="17"/>
              </w:rPr>
              <w:t>7,894</w:t>
            </w:r>
          </w:p>
        </w:tc>
        <w:tc>
          <w:tcPr>
            <w:tcW w:type="dxa" w:w="1440"/>
            <w:shd w:fill="FAFAFA" w:val="clear"/>
          </w:tcPr>
          <w:p>
            <w:r>
              <w:rPr>
                <w:sz w:val="17"/>
              </w:rPr>
              <w:t>8,761</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6,938</w:t>
            </w:r>
          </w:p>
        </w:tc>
        <w:tc>
          <w:tcPr>
            <w:tcW w:type="dxa" w:w="1440"/>
            <w:shd w:fill="FAFAFA" w:val="clear"/>
          </w:tcPr>
          <w:p>
            <w:r>
              <w:rPr>
                <w:b/>
                <w:sz w:val="17"/>
              </w:rPr>
              <w:t>7,887</w:t>
            </w:r>
          </w:p>
        </w:tc>
        <w:tc>
          <w:tcPr>
            <w:tcW w:type="dxa" w:w="1440"/>
            <w:shd w:fill="FAFAFA" w:val="clear"/>
          </w:tcPr>
          <w:p>
            <w:r>
              <w:rPr>
                <w:sz w:val="17"/>
              </w:rPr>
              <w:t>8,836</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6,857</w:t>
            </w:r>
          </w:p>
        </w:tc>
        <w:tc>
          <w:tcPr>
            <w:tcW w:type="dxa" w:w="1440"/>
            <w:shd w:fill="FAFAFA" w:val="clear"/>
          </w:tcPr>
          <w:p>
            <w:r>
              <w:rPr>
                <w:b/>
                <w:sz w:val="17"/>
              </w:rPr>
              <w:t>7,881</w:t>
            </w:r>
          </w:p>
        </w:tc>
        <w:tc>
          <w:tcPr>
            <w:tcW w:type="dxa" w:w="1440"/>
            <w:shd w:fill="FAFAFA" w:val="clear"/>
          </w:tcPr>
          <w:p>
            <w:r>
              <w:rPr>
                <w:sz w:val="17"/>
              </w:rPr>
              <w:t>8,905</w:t>
            </w:r>
          </w:p>
        </w:tc>
        <w:tc>
          <w:tcPr>
            <w:tcW w:type="dxa" w:w="1440"/>
            <w:shd w:fill="FAFAFA" w:val="clear"/>
          </w:tcPr>
          <w:p>
            <w:r>
              <w:rPr>
                <w:b/>
                <w:color w:val="008000"/>
                <w:sz w:val="17"/>
              </w:rPr>
              <w:t>+0.3%</w:t>
            </w:r>
          </w:p>
        </w:tc>
      </w:tr>
      <w:tr>
        <w:tc>
          <w:tcPr>
            <w:tcW w:type="dxa" w:w="1440"/>
            <w:shd w:fill="FAFAFA" w:val="clear"/>
          </w:tcPr>
          <w:p>
            <w:r>
              <w:rPr>
                <w:sz w:val="17"/>
              </w:rPr>
              <w:t>J+8  ⭐</w:t>
            </w:r>
          </w:p>
        </w:tc>
        <w:tc>
          <w:tcPr>
            <w:tcW w:type="dxa" w:w="1440"/>
            <w:shd w:fill="FAFAFA" w:val="clear"/>
          </w:tcPr>
          <w:p>
            <w:r>
              <w:rPr>
                <w:sz w:val="17"/>
              </w:rPr>
              <w:t>2026-09-30</w:t>
            </w:r>
          </w:p>
        </w:tc>
        <w:tc>
          <w:tcPr>
            <w:tcW w:type="dxa" w:w="1440"/>
            <w:shd w:fill="FAFAFA" w:val="clear"/>
          </w:tcPr>
          <w:p>
            <w:r>
              <w:rPr>
                <w:sz w:val="17"/>
              </w:rPr>
              <w:t>6,780</w:t>
            </w:r>
          </w:p>
        </w:tc>
        <w:tc>
          <w:tcPr>
            <w:tcW w:type="dxa" w:w="1440"/>
            <w:shd w:fill="FAFAFA" w:val="clear"/>
          </w:tcPr>
          <w:p>
            <w:r>
              <w:rPr>
                <w:b/>
                <w:sz w:val="17"/>
              </w:rPr>
              <w:t>7,874</w:t>
            </w:r>
          </w:p>
        </w:tc>
        <w:tc>
          <w:tcPr>
            <w:tcW w:type="dxa" w:w="1440"/>
            <w:shd w:fill="FAFAFA" w:val="clear"/>
          </w:tcPr>
          <w:p>
            <w:r>
              <w:rPr>
                <w:sz w:val="17"/>
              </w:rPr>
              <w:t>8,968</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2026-10-01</w:t>
            </w:r>
          </w:p>
        </w:tc>
        <w:tc>
          <w:tcPr>
            <w:tcW w:type="dxa" w:w="1440"/>
            <w:shd w:fill="FAFAFA" w:val="clear"/>
          </w:tcPr>
          <w:p>
            <w:r>
              <w:rPr>
                <w:sz w:val="17"/>
              </w:rPr>
              <w:t>6,709</w:t>
            </w:r>
          </w:p>
        </w:tc>
        <w:tc>
          <w:tcPr>
            <w:tcW w:type="dxa" w:w="1440"/>
            <w:shd w:fill="FAFAFA" w:val="clear"/>
          </w:tcPr>
          <w:p>
            <w:r>
              <w:rPr>
                <w:b/>
                <w:sz w:val="17"/>
              </w:rPr>
              <w:t>7,868</w:t>
            </w:r>
          </w:p>
        </w:tc>
        <w:tc>
          <w:tcPr>
            <w:tcW w:type="dxa" w:w="1440"/>
            <w:shd w:fill="FAFAFA" w:val="clear"/>
          </w:tcPr>
          <w:p>
            <w:r>
              <w:rPr>
                <w:sz w:val="17"/>
              </w:rPr>
              <w:t>9,027</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2026-10-02</w:t>
            </w:r>
          </w:p>
        </w:tc>
        <w:tc>
          <w:tcPr>
            <w:tcW w:type="dxa" w:w="1440"/>
            <w:shd w:fill="FAFAFA" w:val="clear"/>
          </w:tcPr>
          <w:p>
            <w:r>
              <w:rPr>
                <w:sz w:val="17"/>
              </w:rPr>
              <w:t>6,641</w:t>
            </w:r>
          </w:p>
        </w:tc>
        <w:tc>
          <w:tcPr>
            <w:tcW w:type="dxa" w:w="1440"/>
            <w:shd w:fill="FAFAFA" w:val="clear"/>
          </w:tcPr>
          <w:p>
            <w:r>
              <w:rPr>
                <w:b/>
                <w:sz w:val="17"/>
              </w:rPr>
              <w:t>7,862</w:t>
            </w:r>
          </w:p>
        </w:tc>
        <w:tc>
          <w:tcPr>
            <w:tcW w:type="dxa" w:w="1440"/>
            <w:shd w:fill="FAFAFA" w:val="clear"/>
          </w:tcPr>
          <w:p>
            <w:r>
              <w:rPr>
                <w:sz w:val="17"/>
              </w:rPr>
              <w:t>9,083</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 RAPPORT D'ANALYSE FINANCIÈRE — SOGC (Société des Caoutchoucs de Grand-Béréby)</w:t>
        <w:br/>
        <w:t>**Marché : BRVM | Secteur : Agro-industrie (Hévéa / Palmier à huile)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SOGC affiche une capitalisation boursière de **169,68 milliards FCFA**, un niveau significatif à l'échelle de la BRVM qui la place parmi les valeurs de premier plan du compartiment agro-industriel. Avec un **BPA de 578 FCFA/action**, chaque titre génère près de 578 FCFA de bénéfice net, ce qui traduit une rentabilité unitaire solide. Le **PER de 13,6x** situe le titre légèrement au-dessus de la moyenne BRVM (8-12x), signalant une valorisation modérée mais non excessive, le marché acceptant de payer une prime pour la qualité des fondamentaux. Le **P/B de 2,48x** indique que le marché valorise l'entreprise à environ 2,5 fois sa valeur comptable, une prime de croissance justifiée par un ROE de 18,26% nettement supérieur au coût des fonds propres. Enfin, l'**EV/EBITDA de 7,0x** demeure dans la fourchette raisonnable (5-10x), suggérant que la valeur d'entreprise reste cohérente avec la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la SOGC a enregistré une **variation totale de +2,01%**, clôturant à **7 855 FCFA**, malgré un repli de **-1,81% lors de la dernière séance (J-1)**. Le titre a évolué dans un range de trading de **1 775 FCFA**, entre un plus bas de **7 100 FCFA** et un plus haut de **8 875 FCFA**, ce qui traduit une tendance globalement haussière mais avec une correction récente depuis les sommets. Les statistiques descriptives révèlent une **moyenne de 8 041 FCFA** légèrement inférieure à la **médiane de 8 145 FCFA**, écart qui confirme une asymétrie négative : le cours a passé davantage de séances au-dessus de sa moyenne, mais les baisses récentes tirent la moyenne vers le bas. L'**écart-type de 402 FCFA (CV = 5,0%)** indique une dispersion modérée autour de la moyenne, tandis que le **kurtosis de -0,612 (mésokurtique)** suggère une distribution proche de la normale, sans risque majeur de pics extrêmes. Le **skewness de -0,535** confirme cette asymétrie négative, avec une queue de distribution plus étendue vers les valeurs basses — signal d'une pression vendeuse récente. La **volatilité annualisée de 40,5%** classe le titre dans la catégorie des valeurs à volatilité **élevée (&gt;30%)**, ce qui implique un risque de marché significatif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**8 185 FCFA** et la MM50 à **8 137 FCFA**, toutes deux supérieures au cours actuel de 7 855 FCFA. Le croisement MM20 &gt; MM50 confirme une configuration haussière de fond, mais le cours évoluant sous ses deux moyennes, la décision technique **"Achat"** doit être nuancée : il s'agit d'un signal de repli dans une tendance haussière, potentiellement une opportunité de rebond.</w:t>
      </w:r>
    </w:p>
    <w:p>
      <w:pPr>
        <w:spacing w:after="120" w:line="276" w:lineRule="auto"/>
      </w:pPr>
      <w:r>
        <w:t>**Bandes de Bollinger** : Le cours (7 855 FCFA) se situe dans la moitié inférieure de la bande, entre la borne inférieure (**7 613 FCFA**) et la borne supérieure (**8 757 FCFA**). La décision **"Neutre"** reflète cette position médiane-basse, sans signal de surachat ni de survente, mais la proximité de la borne inférieure suggère un potentiel de rebond technique.</w:t>
      </w:r>
    </w:p>
    <w:p>
      <w:pPr>
        <w:spacing w:after="120" w:line="276" w:lineRule="auto"/>
      </w:pPr>
      <w:r>
        <w:t>**MACD** : La valeur du MACD (**-45,983**) est nettement inférieure à son signal (**-12,827**), générant un histogramme négatif et une décision **"Vente"**. Cette divergence baissière indique un momentum négatif persistant, cohérent avec la correction récente du cours, et appelle à la prudence à court terme.</w:t>
      </w:r>
    </w:p>
    <w:p>
      <w:pPr>
        <w:spacing w:after="120" w:line="276" w:lineRule="auto"/>
      </w:pPr>
      <w:r>
        <w:t>**RSI** : À **42,178**, le RSI se situe en zone neutre (30-70), sans signal de survente ni de surachat. La décision **"Neutre"** confirme l'absence de pression extrême, le titre conservant un potentiel de mouvement dans les deux sens.</w:t>
      </w:r>
    </w:p>
    <w:p>
      <w:pPr>
        <w:spacing w:after="120" w:line="276" w:lineRule="auto"/>
      </w:pPr>
      <w:r>
        <w:t>**Stochastique** : Le %K (**13,191**) est nettement inférieur au %D (**24,823**), avec un croisement en zone de survente (&lt;20). La décision **"Achat"** suggère un possible retournement haussier à court terme, le %K étant proche de ses plus bas niveaux.</w:t>
      </w:r>
    </w:p>
    <w:p>
      <w:pPr>
        <w:spacing w:after="120" w:line="276" w:lineRule="auto"/>
      </w:pPr>
      <w:r>
        <w:t>**Conclusion technique** : Les indicateurs présentent une **divergence notable** : les moyennes mobiles et le stochastique émettent des signaux d'achat, tandis que le MACD signale une vente et que le RSI/Bollinger restent neutres. Cette configuration mixte traduit une phase de consolidation dans une tendance haussière de fond, avec un momentum court terme encore négatif mais des conditions de survente qui pourraient favoriser un rebond.</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SOGC a réalisé un **chiffre d'affaires de 98,979 milliards FCFA**, en progression de **+10,70%** par rapport à 2024 (93,52 Mds FCFA), portée par la hausse des prix de l'huile de palme (+20%) et de palmiste (+47%), ainsi que par la croissance des volumes de caoutchouc (+9%). Le **résultat net s'établit à 12,493 milliards FCFA**, en léger recul de 5% par rapport à 2024 (13,11 Mds FCFA), sous l'effet de la hausse de 15% des coûts de matières premières (coagulum). La rentabilité reste néanmoins excellente avec un **ROE de 18,26%** (&gt;15% = excellent) et un **ROA de 13,84%**, confirmant l'efficacité de l'utilisation des capitaux. La structure financière est très saine : **autonomie financière de 75,79%**, **ratio d'endettement de 24,21%**, et une **trésorerie nette positive de 4,575 Mds FCFA** en amélioration de 3,1 Mds FCFA. Le **BFR de 7,124 Mds FCFA** et les délais d'exploitation (clients : 29,6 jours ; fournisseurs : 31,7 jours ; stockage : 97,7 jours) révèlent une gestion équilibrée, bien que la durée de stockage élevée immobilise du capital.</w:t>
      </w:r>
    </w:p>
    <w:p>
      <w:pPr>
        <w:spacing w:after="120" w:line="276" w:lineRule="auto"/>
      </w:pPr>
      <w:r>
        <w:t>**Estimations basées sur les rapports trimestriels** : Le rapport du **T3 2025 (30/09/2025)** indique un CA cumulé de **75,6 Mds FCFA (+21,3%)** et un résultat net de **11,5 Mds FCFA (+39,5%)**, avec une marge nette de 15,3%. Le **S1 2025 (30/06/2025)** affichait un CA de 55,4 Mds FCFA (+51,9%) et un résultat net de 10,2 Mds FCFA (+151,6%). Le ralentissement progressif de la croissance (T1 : +63,1% → S1 : +51,9% → 9M : +21,3%) confirme l'alerte de la direction sur un **contexte plus difficile au S2 2025** (concurrence accrue sur le coagulum, baisse des cours SICOM). Sur cette base, on estime que l'exercice 2025 devrait clôturer avec un résultat net autour de **12,5 Mds FCFA**, cohérent avec les données structurées, et que **2026 pourrait marquer une stabilisation** si les prix des matières premières ne se redressent pas.</w:t>
      </w:r>
    </w:p>
    <w:p>
      <w:pPr>
        <w:spacing w:after="120" w:line="276" w:lineRule="auto"/>
      </w:pPr>
      <w:r>
        <w:t>**Recommandation fondamentale** : La SOGC présente des **fondamentaux solides** (ROE 18,26%, autonomie financière 75,79%, trésorerie nette positive) et une **politique de dividende attractive** (570 FCFA/action proposé à l'AG du 28 mai 2026, soit un rendement de ~7,3% au cours actuel). Les risques principaux résident dans la **volatilité des prix des matières premières** et l'**intensification de la concurrence** sur l'achat du coagulum. La recommandation fondamentale est **CONSERVER**, avec un biais positif pour les investisseurs recherchant un rendement régulier.</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équilibré mais contrasté**. La **valorisation (Partie 0)** est modérée (PER 13,6x, P/B 2,48x, EV/EBITDA 7,0x), sans surévaluation manifeste mais avec une prime de qualité justifiée par le ROE de 18,26%. Le **comportement du cours (Partie 1)** montre une tendance haussière de fond (+2,01% sur 100 jours) mais une correction récente (-1,81% J-1), une volatilité élevée (40,5%) et une asymétrie négative (skewness -0,535) qui appellent à la prudence à court terme. Les **signaux techniques (Partie 2)** sont divergents : les moyennes mobiles et le stochastique sont haussiers, le MACD baissier, le RSI et Bollinger neutres — configuration de consolidation. Les **fondamentaux (Partie 3)** demeurent solides malgré la baisse de 5% du résultat net 2025, avec une trésorerie nette positive et un dividende attractif de 570 FCFA/action. Les **prédictions IA (J+1 à J+10)** anticipent une légère dérive baissière (7 921 → 7 894 FCFA), confirmant la pression court terme mais sans effondrement.</w:t>
      </w:r>
    </w:p>
    <w:p>
      <w:pPr>
        <w:spacing w:after="120" w:line="276" w:lineRule="auto"/>
      </w:pPr>
      <w:r>
        <w:t>**Recommandation finale : CONSERVER** — avec un biais **ACHAT** pour les investisseurs à horizon moyen terme. La convergence entre une valorisation raisonnable, des fondamentaux solides et un dividende attractif soutient la thèse haussière de fond, mais la divergence technique à court terme et la volatilité élevée justifient une approche prudente. **Niveau de confiance : Moyen** (les signaux techniques mitigés tempèrent la conviction fondamentale). **Niveau de risque global : Moyen à Élevé** (volatilité 40,5%, sensibilité aux prix des matières premières). **Horizon d'investissement optimal : Moyen terme (3-12 mois)**, le temps que la consolidation technique s'achève et que les fondamentaux 2026 se confirment.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199.35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4,637 titres</w:t>
            </w:r>
          </w:p>
        </w:tc>
        <w:tc>
          <w:tcPr>
            <w:tcW w:type="dxa" w:w="2268"/>
            <w:shd w:fill="FFF2CC" w:val="clear"/>
          </w:tcPr>
          <w:p>
            <w:r>
              <w:rPr>
                <w:b/>
                <w:color w:val="503200"/>
                <w:sz w:val="16"/>
              </w:rPr>
              <w:t xml:space="preserve">Cours actuel : </w:t>
            </w:r>
            <w:r>
              <w:rPr>
                <w:color w:val="000000"/>
                <w:sz w:val="17"/>
              </w:rPr>
              <w:t>7,800 FCFA</w:t>
            </w:r>
          </w:p>
          <w:p>
            <w:r>
              <w:rPr>
                <w:b/>
                <w:color w:val="503200"/>
                <w:sz w:val="16"/>
              </w:rPr>
              <w:t xml:space="preserve">Var. 100 jours : </w:t>
            </w:r>
            <w:r>
              <w:rPr>
                <w:b/>
                <w:color w:val="007800"/>
                <w:sz w:val="17"/>
              </w:rPr>
              <w:t>+5.62%</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10.25% (Moyenne) — μ=7,797 FCFA, σ=799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β=0.9932 (Neutre (suit le marché)) — Cov=0.000036, Var(idx)=0.000036, ρ=0.211,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7,395</w:t>
            </w:r>
          </w:p>
        </w:tc>
        <w:tc>
          <w:tcPr>
            <w:tcW w:type="dxa" w:w="1440"/>
            <w:shd w:fill="FAFAFA" w:val="clear"/>
          </w:tcPr>
          <w:p>
            <w:r>
              <w:rPr>
                <w:b/>
                <w:sz w:val="17"/>
              </w:rPr>
              <w:t>7,923</w:t>
            </w:r>
          </w:p>
        </w:tc>
        <w:tc>
          <w:tcPr>
            <w:tcW w:type="dxa" w:w="1440"/>
            <w:shd w:fill="FAFAFA" w:val="clear"/>
          </w:tcPr>
          <w:p>
            <w:r>
              <w:rPr>
                <w:sz w:val="17"/>
              </w:rPr>
              <w:t>8,451</w:t>
            </w:r>
          </w:p>
        </w:tc>
        <w:tc>
          <w:tcPr>
            <w:tcW w:type="dxa" w:w="1440"/>
            <w:shd w:fill="FAFAFA" w:val="clear"/>
          </w:tcPr>
          <w:p>
            <w:r>
              <w:rPr>
                <w:b/>
                <w:color w:val="008000"/>
                <w:sz w:val="17"/>
              </w:rPr>
              <w:t>+1.6%</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7,147</w:t>
            </w:r>
          </w:p>
        </w:tc>
        <w:tc>
          <w:tcPr>
            <w:tcW w:type="dxa" w:w="1440"/>
            <w:shd w:fill="FAFAFA" w:val="clear"/>
          </w:tcPr>
          <w:p>
            <w:r>
              <w:rPr>
                <w:b/>
                <w:sz w:val="17"/>
              </w:rPr>
              <w:t>7,891</w:t>
            </w:r>
          </w:p>
        </w:tc>
        <w:tc>
          <w:tcPr>
            <w:tcW w:type="dxa" w:w="1440"/>
            <w:shd w:fill="FAFAFA" w:val="clear"/>
          </w:tcPr>
          <w:p>
            <w:r>
              <w:rPr>
                <w:sz w:val="17"/>
              </w:rPr>
              <w:t>8,634</w:t>
            </w:r>
          </w:p>
        </w:tc>
        <w:tc>
          <w:tcPr>
            <w:tcW w:type="dxa" w:w="1440"/>
            <w:shd w:fill="FAFAFA" w:val="clear"/>
          </w:tcPr>
          <w:p>
            <w:r>
              <w:rPr>
                <w:b/>
                <w:color w:val="008000"/>
                <w:sz w:val="17"/>
              </w:rPr>
              <w:t>+1.2%</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6,964</w:t>
            </w:r>
          </w:p>
        </w:tc>
        <w:tc>
          <w:tcPr>
            <w:tcW w:type="dxa" w:w="1440"/>
            <w:shd w:fill="FAFAFA" w:val="clear"/>
          </w:tcPr>
          <w:p>
            <w:r>
              <w:rPr>
                <w:b/>
                <w:sz w:val="17"/>
              </w:rPr>
              <w:t>7,873</w:t>
            </w:r>
          </w:p>
        </w:tc>
        <w:tc>
          <w:tcPr>
            <w:tcW w:type="dxa" w:w="1440"/>
            <w:shd w:fill="FAFAFA" w:val="clear"/>
          </w:tcPr>
          <w:p>
            <w:r>
              <w:rPr>
                <w:sz w:val="17"/>
              </w:rPr>
              <w:t>8,782</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6,807</w:t>
            </w:r>
          </w:p>
        </w:tc>
        <w:tc>
          <w:tcPr>
            <w:tcW w:type="dxa" w:w="1440"/>
            <w:shd w:fill="FAFAFA" w:val="clear"/>
          </w:tcPr>
          <w:p>
            <w:r>
              <w:rPr>
                <w:b/>
                <w:sz w:val="17"/>
              </w:rPr>
              <w:t>7,854</w:t>
            </w:r>
          </w:p>
        </w:tc>
        <w:tc>
          <w:tcPr>
            <w:tcW w:type="dxa" w:w="1440"/>
            <w:shd w:fill="FAFAFA" w:val="clear"/>
          </w:tcPr>
          <w:p>
            <w:r>
              <w:rPr>
                <w:sz w:val="17"/>
              </w:rPr>
              <w:t>8,901</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6,668</w:t>
            </w:r>
          </w:p>
        </w:tc>
        <w:tc>
          <w:tcPr>
            <w:tcW w:type="dxa" w:w="1440"/>
            <w:shd w:fill="FAFAFA" w:val="clear"/>
          </w:tcPr>
          <w:p>
            <w:r>
              <w:rPr>
                <w:b/>
                <w:sz w:val="17"/>
              </w:rPr>
              <w:t>7,835</w:t>
            </w:r>
          </w:p>
        </w:tc>
        <w:tc>
          <w:tcPr>
            <w:tcW w:type="dxa" w:w="1440"/>
            <w:shd w:fill="FAFAFA" w:val="clear"/>
          </w:tcPr>
          <w:p>
            <w:r>
              <w:rPr>
                <w:sz w:val="17"/>
              </w:rPr>
              <w:t>9,002</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6,540</w:t>
            </w:r>
          </w:p>
        </w:tc>
        <w:tc>
          <w:tcPr>
            <w:tcW w:type="dxa" w:w="1440"/>
            <w:shd w:fill="FAFAFA" w:val="clear"/>
          </w:tcPr>
          <w:p>
            <w:r>
              <w:rPr>
                <w:b/>
                <w:sz w:val="17"/>
              </w:rPr>
              <w:t>7,816</w:t>
            </w:r>
          </w:p>
        </w:tc>
        <w:tc>
          <w:tcPr>
            <w:tcW w:type="dxa" w:w="1440"/>
            <w:shd w:fill="FAFAFA" w:val="clear"/>
          </w:tcPr>
          <w:p>
            <w:r>
              <w:rPr>
                <w:sz w:val="17"/>
              </w:rPr>
              <w:t>9,092</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6,423</w:t>
            </w:r>
          </w:p>
        </w:tc>
        <w:tc>
          <w:tcPr>
            <w:tcW w:type="dxa" w:w="1440"/>
            <w:shd w:fill="FAFAFA" w:val="clear"/>
          </w:tcPr>
          <w:p>
            <w:r>
              <w:rPr>
                <w:b/>
                <w:sz w:val="17"/>
              </w:rPr>
              <w:t>7,798</w:t>
            </w:r>
          </w:p>
        </w:tc>
        <w:tc>
          <w:tcPr>
            <w:tcW w:type="dxa" w:w="1440"/>
            <w:shd w:fill="FAFAFA" w:val="clear"/>
          </w:tcPr>
          <w:p>
            <w:r>
              <w:rPr>
                <w:sz w:val="17"/>
              </w:rPr>
              <w:t>9,173</w:t>
            </w:r>
          </w:p>
        </w:tc>
        <w:tc>
          <w:tcPr>
            <w:tcW w:type="dxa" w:w="1440"/>
            <w:shd w:fill="FAFAFA" w:val="clear"/>
          </w:tcPr>
          <w:p>
            <w:r>
              <w:rPr>
                <w:b/>
                <w:color w:val="C00000"/>
                <w:sz w:val="17"/>
              </w:rPr>
              <w:t>-0.0%</w:t>
            </w:r>
          </w:p>
        </w:tc>
      </w:tr>
      <w:tr>
        <w:tc>
          <w:tcPr>
            <w:tcW w:type="dxa" w:w="1440"/>
            <w:shd w:fill="FAFAFA" w:val="clear"/>
          </w:tcPr>
          <w:p>
            <w:r>
              <w:rPr>
                <w:sz w:val="17"/>
              </w:rPr>
              <w:t>J+8  ⭐</w:t>
            </w:r>
          </w:p>
        </w:tc>
        <w:tc>
          <w:tcPr>
            <w:tcW w:type="dxa" w:w="1440"/>
            <w:shd w:fill="FAFAFA" w:val="clear"/>
          </w:tcPr>
          <w:p>
            <w:r>
              <w:rPr>
                <w:sz w:val="17"/>
              </w:rPr>
              <w:t>2026-09-30</w:t>
            </w:r>
          </w:p>
        </w:tc>
        <w:tc>
          <w:tcPr>
            <w:tcW w:type="dxa" w:w="1440"/>
            <w:shd w:fill="FAFAFA" w:val="clear"/>
          </w:tcPr>
          <w:p>
            <w:r>
              <w:rPr>
                <w:sz w:val="17"/>
              </w:rPr>
              <w:t>6,314</w:t>
            </w:r>
          </w:p>
        </w:tc>
        <w:tc>
          <w:tcPr>
            <w:tcW w:type="dxa" w:w="1440"/>
            <w:shd w:fill="FAFAFA" w:val="clear"/>
          </w:tcPr>
          <w:p>
            <w:r>
              <w:rPr>
                <w:b/>
                <w:sz w:val="17"/>
              </w:rPr>
              <w:t>7,781</w:t>
            </w:r>
          </w:p>
        </w:tc>
        <w:tc>
          <w:tcPr>
            <w:tcW w:type="dxa" w:w="1440"/>
            <w:shd w:fill="FAFAFA" w:val="clear"/>
          </w:tcPr>
          <w:p>
            <w:r>
              <w:rPr>
                <w:sz w:val="17"/>
              </w:rPr>
              <w:t>9,247</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2026-10-01</w:t>
            </w:r>
          </w:p>
        </w:tc>
        <w:tc>
          <w:tcPr>
            <w:tcW w:type="dxa" w:w="1440"/>
            <w:shd w:fill="FAFAFA" w:val="clear"/>
          </w:tcPr>
          <w:p>
            <w:r>
              <w:rPr>
                <w:sz w:val="17"/>
              </w:rPr>
              <w:t>6,212</w:t>
            </w:r>
          </w:p>
        </w:tc>
        <w:tc>
          <w:tcPr>
            <w:tcW w:type="dxa" w:w="1440"/>
            <w:shd w:fill="FAFAFA" w:val="clear"/>
          </w:tcPr>
          <w:p>
            <w:r>
              <w:rPr>
                <w:b/>
                <w:sz w:val="17"/>
              </w:rPr>
              <w:t>7,764</w:t>
            </w:r>
          </w:p>
        </w:tc>
        <w:tc>
          <w:tcPr>
            <w:tcW w:type="dxa" w:w="1440"/>
            <w:shd w:fill="FAFAFA" w:val="clear"/>
          </w:tcPr>
          <w:p>
            <w:r>
              <w:rPr>
                <w:sz w:val="17"/>
              </w:rPr>
              <w:t>9,316</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2026-10-02</w:t>
            </w:r>
          </w:p>
        </w:tc>
        <w:tc>
          <w:tcPr>
            <w:tcW w:type="dxa" w:w="1440"/>
            <w:shd w:fill="FAFAFA" w:val="clear"/>
          </w:tcPr>
          <w:p>
            <w:r>
              <w:rPr>
                <w:sz w:val="17"/>
              </w:rPr>
              <w:t>6,115</w:t>
            </w:r>
          </w:p>
        </w:tc>
        <w:tc>
          <w:tcPr>
            <w:tcW w:type="dxa" w:w="1440"/>
            <w:shd w:fill="FAFAFA" w:val="clear"/>
          </w:tcPr>
          <w:p>
            <w:r>
              <w:rPr>
                <w:b/>
                <w:sz w:val="17"/>
              </w:rPr>
              <w:t>7,747</w:t>
            </w:r>
          </w:p>
        </w:tc>
        <w:tc>
          <w:tcPr>
            <w:tcW w:type="dxa" w:w="1440"/>
            <w:shd w:fill="FAFAFA" w:val="clear"/>
          </w:tcPr>
          <w:p>
            <w:r>
              <w:rPr>
                <w:sz w:val="17"/>
              </w:rPr>
              <w:t>9,380</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RAPPORT D'ANALYSE FINANCIÈRE — SPHC (SAPH CI)</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199,35 milliards FCFA, SPHC se positionne parmi les valeurs de taille intermédiaire à supérieure de la cote BRVM, ce qui traduit une liquidité correcte mais inférieure aux blue chips bancaires ou télécoms. Le BPA de 977 FCFA/action signifie que chaque titre génère près d'un millier de francs de bénéfice net, un niveau élevé qui contraste avec un cours de 7 800 FCFA. Le PER de 8,0x situe le titre dans la fourchette basse de la moyenne BRVM (8-12x), suggérant une sous-évaluation potentielle ou une décote liée à la cyclicité du caoutchouc. Le P/B de 1,45x indique que le marché valorise l'entreprise à 45% au-dessus de sa valeur comptable, ce qui reste raisonnable pour un actif industriel rentable. Enfin, l'EV/EBITDA de 5,0x reflète une valorisation attractive de la capacité opérationnelle, bien en deçà du seuil de 10x généralement considéré comme plafond de cherté.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variation totale positive de +5,62%, mais la dernière séance (J-1) enregistre un repli marqué de -3,11%, signalant une pression vendeuse récente. Le titre a évolué dans un range large de 6 720 FCFA (plus bas) à 10 300 FCFA (plus haut), soit une amplitude de plus de 53%, caractéristique d'un marché volatil. La tendance générale reste haussière sur la période, mais le cours actuel (7 800 FCFA) se situe nettement sous le plus haut, indiquant une correction en cours. Les statistiques descriptives révèlent une moyenne (7 797 FCFA) quasi égale à la médiane (7 590 FCFA), mais un mode à 7 600 FCFA légèrement inférieur, traduisant une distribution asymétrique. L'écart-type de 803 FCFA (CV=10,3%) indique une dispersion modérée autour de la moyenne, tandis que le kurtosis de 1,428 (leptokurtique) signale des queues épaisses et un risque de pics de volatilité. Le skewness positif de 1,388 confirme une asymétrie à droite, avec davantage de journées sous la moyenne mais des mouvements haussiers extrêmes. La volatilité annualisée de 45,1% classe le titre dans la catégorie des valeurs à volatilité élevée (&gt;30%), ce qui implique un risque de marché significatif.</w:t>
      </w:r>
    </w:p>
    <w:p>
      <w:pPr>
        <w:spacing w:after="120" w:line="276" w:lineRule="auto"/>
      </w:pPr>
      <w:r>
        <w:t>---</w:t>
      </w:r>
    </w:p>
    <w:p>
      <w:pPr>
        <w:spacing w:after="120" w:line="276" w:lineRule="auto"/>
      </w:pPr>
      <w:r>
        <w:t>## PARTIE 2 : ANALYSE TECHNIQUE DÉTAILLÉE</w:t>
      </w:r>
    </w:p>
    <w:p>
      <w:pPr>
        <w:spacing w:after="120" w:line="276" w:lineRule="auto"/>
      </w:pPr>
      <w:r>
        <w:t>**Moyennes Mobiles** : La MM20 (8 940,75 FCFA) et la MM50 (8 241,70 FCFA) sont toutes deux supérieures au cours actuel (7 800 FCFA), ce qui place le titre en dessous de ses moyennes court et moyen terme. Cette configuration est baissière à court terme, mais la décision technique fournie est "Achat", probablement en anticipation d'un rebond technique après la correction. La MM20 &gt; MM50 confirme une tendance de fond haussière, mais le croisement à la baisse du cours sous ces moyennes incite à la prudence.</w:t>
      </w:r>
    </w:p>
    <w:p>
      <w:pPr>
        <w:spacing w:after="120" w:line="276" w:lineRule="auto"/>
      </w:pPr>
      <w:r>
        <w:t>**Bandes de Bollinger** : Le cours (7 800 FCFA) se situe entre la borne inférieure (7 301,60 FCFA) et la borne supérieure (10 579,90 FCFA), plus proche de la borne basse. Cette position suggère que le titre est dans une zone de survente relative, mais la décision "Neutre" indique que la volatilité actuelle ne justifie pas encore un signal directionnel fort. Les bandes sont larges, reflétant la volatilité élevée du titre.</w:t>
      </w:r>
    </w:p>
    <w:p>
      <w:pPr>
        <w:spacing w:after="120" w:line="276" w:lineRule="auto"/>
      </w:pPr>
      <w:r>
        <w:t>**MACD** : La valeur du MACD (-138,25) est inférieure à son signal (62,47), générant une divergence baissière et une décision "Vente". Le momentum est clairement négatif, avec un MACD en territoire négatif, ce qui confirme la pression vendeuse récente. Un croisement haussier du MACD au-dessus de son signal serait nécessaire pour inverser ce signal.</w:t>
      </w:r>
    </w:p>
    <w:p>
      <w:pPr>
        <w:spacing w:after="120" w:line="276" w:lineRule="auto"/>
      </w:pPr>
      <w:r>
        <w:t>**RSI** : Le RSI à 29,71 est en zone de survente (&lt;30), ce qui déclenche une décision "Achat". Cette lecture suggère que le titre a été excessivement vendu et qu'un rebond technique est probable à court terme. Cependant, un RSI en survente peut aussi persister en cas de tendance baissière forte.</w:t>
      </w:r>
    </w:p>
    <w:p>
      <w:pPr>
        <w:spacing w:after="120" w:line="276" w:lineRule="auto"/>
      </w:pPr>
      <w:r>
        <w:t>**Stochastique** : Le %K (0,0) et le %D (5,07) sont tous deux en zone extrême de survente, avec une décision "Achat". Le croisement du %K sous le %D est généralement baissier, mais à ces niveaux, un rebond est attendu. La divergence entre le stochastique (survente) et le MACD (baissier) crée une incertitude sur la direction à court terme.</w:t>
      </w:r>
    </w:p>
    <w:p>
      <w:pPr>
        <w:spacing w:after="120" w:line="276" w:lineRule="auto"/>
      </w:pPr>
      <w:r>
        <w:t>**Conclusion technique** : Les indicateurs sont divergents : le RSI et le stochastique signalent une survente propice à un rebond, tandis que le MACD et la position sous les moyennes mobiles confirment une tendance baissière à court terme. La décision globale est mitigée, avec un biais haussier à court terme (survente) mais une prudence nécessaire face à la pression vendeuse persistante.</w:t>
      </w:r>
    </w:p>
    <w:p>
      <w:pPr>
        <w:spacing w:after="120" w:line="276" w:lineRule="auto"/>
      </w:pPr>
      <w:r>
        <w:t>---</w:t>
      </w:r>
    </w:p>
    <w:p>
      <w:pPr>
        <w:spacing w:after="120" w:line="276" w:lineRule="auto"/>
      </w:pPr>
      <w:r>
        <w:t>## PARTIE 3 : ANALYSE FONDAMENTALE</w:t>
      </w:r>
    </w:p>
    <w:p>
      <w:pPr>
        <w:spacing w:after="120" w:line="276" w:lineRule="auto"/>
      </w:pPr>
      <w:r>
        <w:t>En 2025, SPHC (SAPH CI) affiche un chiffre d'affaires de 340,83 milliards FCFA, en croissance de 22,0% par rapport à 2024 (279,44 milliards FCFA), portée par une hausse des volumes vendus (+16,8%) et des prix moyens (+17,6%). Le résultat net s'établit à 24,97 milliards FCFA, en progression de 32,9%, avec une marge nette de 7,33% (contre 6,7% en 2024). Le ROE atteint 18,10% (&gt;15%, excellent) et le ROA 11,06%, confirmant une rentabilité solide. La structure financière est saine : autonomie financière de 61,08%, ratio d'endettement de 25,81%, et couverture des intérêts de 1 094,57%. Cependant, la trésorerie nette est négative (-15,41 milliards FCFA), et le BFR de 65,39 milliards FCFA (positif) indique un besoin de financement du cycle d'exploitation, avec des délais clients de 35 jours et une durée de stockage de 72,33 jours. Le rapport du T1 2026 (publié en 2026) révèle une dégradation marquée : CA de 71,8 milliards FCFA (-24%), résultat net de 2,6 milliards FCFA (-78%), et marge nette de 4%, pénalisés par la chute des cours mondiaux du caoutchouc et l'engorgement du port de San Pedro. Sur la base de ce T1 2026, on estime que l'exercice 2026 devrait afficher un recul significatif de la rentabilité par rapport à 2025, avec un résultat net potentiellement divisé par deux si la tendance se poursuit. La politique de dividende reste attractive (489 FCFA/action proposé pour 2025, soit un rendement de 6,3% au cours actuel), mais le taux de distribution de 50% pourrait être menacé si les bénéfices chutent. Les risques incluent la volatilité des cours du caoutchouc, la concurrence pour la matière première, et l'incertitude réglementaire EUDR. La recommandation fondamentale est de **conserver** avec une surveillance active des indicateurs de trésorerie et de la reprise des cours.</w:t>
      </w:r>
    </w:p>
    <w:p>
      <w:pPr>
        <w:spacing w:after="120" w:line="276" w:lineRule="auto"/>
      </w:pPr>
      <w:r>
        <w:t>---</w:t>
      </w:r>
    </w:p>
    <w:p>
      <w:pPr>
        <w:spacing w:after="120" w:line="276" w:lineRule="auto"/>
      </w:pPr>
      <w:r>
        <w:t>## PARTIE 4 : CONCLUSION D'INVESTISSEMENT</w:t>
      </w:r>
    </w:p>
    <w:p>
      <w:pPr>
        <w:spacing w:after="120" w:line="276" w:lineRule="auto"/>
      </w:pPr>
      <w:r>
        <w:t>La valorisation de SPHC (PER 8,0x, P/B 1,45x, EV/EBITDA 5,0x) suggère une sous-évaluation relative par rapport aux moyennes du marché, mais cette décote est justifiée par la cyclicité du secteur et la dégradation récente des résultats. Le comportement du cours sur 100 jours est mitigé : tendance haussière de fond (+5,62%) mais correction récente (-3,11% en J-1), avec une volatilité élevée (45,1%) et des statistiques préoccupantes (kurtosis leptokurtique, skewness positif) indiquant un risque de pics baissiers. Les signaux techniques sont divergents : le RSI (29,71) et le stochastique (0,0) signalent une survente propice à un rebond, mais le MACD (-138,25) et la position sous les moyennes mobiles confirment une pression vendeuse. Les fondamentaux 2025 sont solides (CA +22%, RN +32,9%, ROE 18,1%), mais le T1 2026 (CA -24%, RN -78%) révèle une détérioration brutale qui remet en cause la trajectoire de croissance. Les prédictions IA (7 923 FCFA à 7 835 FCFA sur 10 jours) anticipent une légère baisse, en ligne avec la pression baissière actuelle mais sans effondrement. Sur la base de cette synthèse, la recommandation finale est **CONSERVER**, avec un niveau de confiance **Moyen** et un risque global **Élevé**. La convergence entre la survente technique (potentiel rebond) et la dégradation fondamentale (T1 2026) crée une incertitude qui ne justifie ni un achat agressif ni une vente panique. L'horizon d'investissement optimal est **moyen terme (3-12 mois)**, en attendant la confirmation d'une reprise des cours du caoutchouc et d'une stabilisation des marges. Les investisseurs à long terme (&gt;1 an) pourraient accumuler progressivement sur faiblesse, en surveillant les prochains rapports trimestriels (T2 2026) pour valider ou infirmer la tendance baissière.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30.58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5,936 titres</w:t>
            </w:r>
          </w:p>
        </w:tc>
        <w:tc>
          <w:tcPr>
            <w:tcW w:type="dxa" w:w="2268"/>
            <w:shd w:fill="FFF2CC" w:val="clear"/>
          </w:tcPr>
          <w:p>
            <w:r>
              <w:rPr>
                <w:b/>
                <w:color w:val="503200"/>
                <w:sz w:val="16"/>
              </w:rPr>
              <w:t xml:space="preserve">Cours actuel : </w:t>
            </w:r>
            <w:r>
              <w:rPr>
                <w:color w:val="000000"/>
                <w:sz w:val="17"/>
              </w:rPr>
              <w:t>2,275 FCFA</w:t>
            </w:r>
          </w:p>
          <w:p>
            <w:r>
              <w:rPr>
                <w:b/>
                <w:color w:val="503200"/>
                <w:sz w:val="16"/>
              </w:rPr>
              <w:t xml:space="preserve">Var. 100 jours : </w:t>
            </w:r>
            <w:r>
              <w:rPr>
                <w:b/>
                <w:color w:val="B40000"/>
                <w:sz w:val="17"/>
              </w:rPr>
              <w:t>-24.17%</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2,275 FCFA</w:t>
            </w:r>
          </w:p>
          <w:p>
            <w:r>
              <w:rPr>
                <w:b/>
                <w:color w:val="503200"/>
                <w:sz w:val="16"/>
              </w:rPr>
              <w:t xml:space="preserve">Volatilité ann. : </w:t>
            </w:r>
            <w:r>
              <w:rPr>
                <w:color w:val="000000"/>
                <w:sz w:val="17"/>
              </w:rPr>
              <w:t>56.3%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11.76% (Moyenne) — μ=2,935 FCFA, σ=345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β=-0.6742 (Contre-cyclique) — Cov=-0.000024, Var(idx)=0.000036, ρ=-0.116,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σ_j=3.54%/j (Modérée) — Vol. annualisée≈56.3%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2,177</w:t>
            </w:r>
          </w:p>
        </w:tc>
        <w:tc>
          <w:tcPr>
            <w:tcW w:type="dxa" w:w="1440"/>
            <w:shd w:fill="FAFAFA" w:val="clear"/>
          </w:tcPr>
          <w:p>
            <w:r>
              <w:rPr>
                <w:b/>
                <w:sz w:val="17"/>
              </w:rPr>
              <w:t>2,264</w:t>
            </w:r>
          </w:p>
        </w:tc>
        <w:tc>
          <w:tcPr>
            <w:tcW w:type="dxa" w:w="1440"/>
            <w:shd w:fill="FAFAFA" w:val="clear"/>
          </w:tcPr>
          <w:p>
            <w:r>
              <w:rPr>
                <w:sz w:val="17"/>
              </w:rPr>
              <w:t>2,352</w:t>
            </w:r>
          </w:p>
        </w:tc>
        <w:tc>
          <w:tcPr>
            <w:tcW w:type="dxa" w:w="1440"/>
            <w:shd w:fill="FAFAFA" w:val="clear"/>
          </w:tcPr>
          <w:p>
            <w:r>
              <w:rPr>
                <w:b/>
                <w:color w:val="C00000"/>
                <w:sz w:val="17"/>
              </w:rPr>
              <w:t>-0.5%</w:t>
            </w:r>
          </w:p>
        </w:tc>
      </w:tr>
      <w:tr>
        <w:tc>
          <w:tcPr>
            <w:tcW w:type="dxa" w:w="1440"/>
            <w:shd w:fill="FFDCE0" w:val="clear"/>
          </w:tcPr>
          <w:p>
            <w:r>
              <w:rPr>
                <w:sz w:val="17"/>
              </w:rPr>
              <w:t>J+2  Moyenne</w:t>
            </w:r>
          </w:p>
        </w:tc>
        <w:tc>
          <w:tcPr>
            <w:tcW w:type="dxa" w:w="1440"/>
            <w:shd w:fill="FFDCE0" w:val="clear"/>
          </w:tcPr>
          <w:p>
            <w:r>
              <w:rPr>
                <w:sz w:val="17"/>
              </w:rPr>
              <w:t>2026-09-22</w:t>
            </w:r>
          </w:p>
        </w:tc>
        <w:tc>
          <w:tcPr>
            <w:tcW w:type="dxa" w:w="1440"/>
            <w:shd w:fill="FFDCE0" w:val="clear"/>
          </w:tcPr>
          <w:p>
            <w:r>
              <w:rPr>
                <w:sz w:val="17"/>
              </w:rPr>
              <w:t>2,107</w:t>
            </w:r>
          </w:p>
        </w:tc>
        <w:tc>
          <w:tcPr>
            <w:tcW w:type="dxa" w:w="1440"/>
            <w:shd w:fill="FFDCE0" w:val="clear"/>
          </w:tcPr>
          <w:p>
            <w:r>
              <w:rPr>
                <w:b/>
                <w:sz w:val="17"/>
              </w:rPr>
              <w:t>2,229</w:t>
            </w:r>
          </w:p>
        </w:tc>
        <w:tc>
          <w:tcPr>
            <w:tcW w:type="dxa" w:w="1440"/>
            <w:shd w:fill="FFDCE0" w:val="clear"/>
          </w:tcPr>
          <w:p>
            <w:r>
              <w:rPr>
                <w:sz w:val="17"/>
              </w:rPr>
              <w:t>2,350</w:t>
            </w:r>
          </w:p>
        </w:tc>
        <w:tc>
          <w:tcPr>
            <w:tcW w:type="dxa" w:w="1440"/>
            <w:shd w:fill="FFDCE0"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2026-09-23</w:t>
            </w:r>
          </w:p>
        </w:tc>
        <w:tc>
          <w:tcPr>
            <w:tcW w:type="dxa" w:w="1440"/>
            <w:shd w:fill="FFDCE0" w:val="clear"/>
          </w:tcPr>
          <w:p>
            <w:r>
              <w:rPr>
                <w:sz w:val="17"/>
              </w:rPr>
              <w:t>2,064</w:t>
            </w:r>
          </w:p>
        </w:tc>
        <w:tc>
          <w:tcPr>
            <w:tcW w:type="dxa" w:w="1440"/>
            <w:shd w:fill="FFDCE0" w:val="clear"/>
          </w:tcPr>
          <w:p>
            <w:r>
              <w:rPr>
                <w:b/>
                <w:sz w:val="17"/>
              </w:rPr>
              <w:t>2,212</w:t>
            </w:r>
          </w:p>
        </w:tc>
        <w:tc>
          <w:tcPr>
            <w:tcW w:type="dxa" w:w="1440"/>
            <w:shd w:fill="FFDCE0" w:val="clear"/>
          </w:tcPr>
          <w:p>
            <w:r>
              <w:rPr>
                <w:sz w:val="17"/>
              </w:rPr>
              <w:t>2,360</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2,034</w:t>
            </w:r>
          </w:p>
        </w:tc>
        <w:tc>
          <w:tcPr>
            <w:tcW w:type="dxa" w:w="1440"/>
            <w:shd w:fill="FFDCE0" w:val="clear"/>
          </w:tcPr>
          <w:p>
            <w:r>
              <w:rPr>
                <w:b/>
                <w:sz w:val="17"/>
              </w:rPr>
              <w:t>2,204</w:t>
            </w:r>
          </w:p>
        </w:tc>
        <w:tc>
          <w:tcPr>
            <w:tcW w:type="dxa" w:w="1440"/>
            <w:shd w:fill="FFDCE0" w:val="clear"/>
          </w:tcPr>
          <w:p>
            <w:r>
              <w:rPr>
                <w:sz w:val="17"/>
              </w:rPr>
              <w:t>2,375</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2,011</w:t>
            </w:r>
          </w:p>
        </w:tc>
        <w:tc>
          <w:tcPr>
            <w:tcW w:type="dxa" w:w="1440"/>
            <w:shd w:fill="FFDCE0" w:val="clear"/>
          </w:tcPr>
          <w:p>
            <w:r>
              <w:rPr>
                <w:b/>
                <w:sz w:val="17"/>
              </w:rPr>
              <w:t>2,201</w:t>
            </w:r>
          </w:p>
        </w:tc>
        <w:tc>
          <w:tcPr>
            <w:tcW w:type="dxa" w:w="1440"/>
            <w:shd w:fill="FFDCE0" w:val="clear"/>
          </w:tcPr>
          <w:p>
            <w:r>
              <w:rPr>
                <w:sz w:val="17"/>
              </w:rPr>
              <w:t>2,391</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1,991</w:t>
            </w:r>
          </w:p>
        </w:tc>
        <w:tc>
          <w:tcPr>
            <w:tcW w:type="dxa" w:w="1440"/>
            <w:shd w:fill="FFDCE0" w:val="clear"/>
          </w:tcPr>
          <w:p>
            <w:r>
              <w:rPr>
                <w:b/>
                <w:sz w:val="17"/>
              </w:rPr>
              <w:t>2,199</w:t>
            </w:r>
          </w:p>
        </w:tc>
        <w:tc>
          <w:tcPr>
            <w:tcW w:type="dxa" w:w="1440"/>
            <w:shd w:fill="FFDCE0" w:val="clear"/>
          </w:tcPr>
          <w:p>
            <w:r>
              <w:rPr>
                <w:sz w:val="17"/>
              </w:rPr>
              <w:t>2,407</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1,973</w:t>
            </w:r>
          </w:p>
        </w:tc>
        <w:tc>
          <w:tcPr>
            <w:tcW w:type="dxa" w:w="1440"/>
            <w:shd w:fill="FFDCE0" w:val="clear"/>
          </w:tcPr>
          <w:p>
            <w:r>
              <w:rPr>
                <w:b/>
                <w:sz w:val="17"/>
              </w:rPr>
              <w:t>2,198</w:t>
            </w:r>
          </w:p>
        </w:tc>
        <w:tc>
          <w:tcPr>
            <w:tcW w:type="dxa" w:w="1440"/>
            <w:shd w:fill="FFDCE0" w:val="clear"/>
          </w:tcPr>
          <w:p>
            <w:r>
              <w:rPr>
                <w:sz w:val="17"/>
              </w:rPr>
              <w:t>2,423</w:t>
            </w:r>
          </w:p>
        </w:tc>
        <w:tc>
          <w:tcPr>
            <w:tcW w:type="dxa" w:w="1440"/>
            <w:shd w:fill="FFDCE0" w:val="clear"/>
          </w:tcPr>
          <w:p>
            <w:r>
              <w:rPr>
                <w:b/>
                <w:color w:val="C00000"/>
                <w:sz w:val="17"/>
              </w:rPr>
              <w:t>-3.4%</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1,957</w:t>
            </w:r>
          </w:p>
        </w:tc>
        <w:tc>
          <w:tcPr>
            <w:tcW w:type="dxa" w:w="1440"/>
            <w:shd w:fill="FFDCE0" w:val="clear"/>
          </w:tcPr>
          <w:p>
            <w:r>
              <w:rPr>
                <w:b/>
                <w:sz w:val="17"/>
              </w:rPr>
              <w:t>2,197</w:t>
            </w:r>
          </w:p>
        </w:tc>
        <w:tc>
          <w:tcPr>
            <w:tcW w:type="dxa" w:w="1440"/>
            <w:shd w:fill="FFDCE0" w:val="clear"/>
          </w:tcPr>
          <w:p>
            <w:r>
              <w:rPr>
                <w:sz w:val="17"/>
              </w:rPr>
              <w:t>2,437</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1,941</w:t>
            </w:r>
          </w:p>
        </w:tc>
        <w:tc>
          <w:tcPr>
            <w:tcW w:type="dxa" w:w="1440"/>
            <w:shd w:fill="FFDCE0" w:val="clear"/>
          </w:tcPr>
          <w:p>
            <w:r>
              <w:rPr>
                <w:b/>
                <w:sz w:val="17"/>
              </w:rPr>
              <w:t>2,195</w:t>
            </w:r>
          </w:p>
        </w:tc>
        <w:tc>
          <w:tcPr>
            <w:tcW w:type="dxa" w:w="1440"/>
            <w:shd w:fill="FFDCE0" w:val="clear"/>
          </w:tcPr>
          <w:p>
            <w:r>
              <w:rPr>
                <w:sz w:val="17"/>
              </w:rPr>
              <w:t>2,450</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1,925</w:t>
            </w:r>
          </w:p>
        </w:tc>
        <w:tc>
          <w:tcPr>
            <w:tcW w:type="dxa" w:w="1440"/>
            <w:shd w:fill="FFDCE0" w:val="clear"/>
          </w:tcPr>
          <w:p>
            <w:r>
              <w:rPr>
                <w:b/>
                <w:sz w:val="17"/>
              </w:rPr>
              <w:t>2,193</w:t>
            </w:r>
          </w:p>
        </w:tc>
        <w:tc>
          <w:tcPr>
            <w:tcW w:type="dxa" w:w="1440"/>
            <w:shd w:fill="FFDCE0" w:val="clear"/>
          </w:tcPr>
          <w:p>
            <w:r>
              <w:rPr>
                <w:sz w:val="17"/>
              </w:rPr>
              <w:t>2,461</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SETAO (STAC)**</w:t>
        <w:br/>
        <w:t>*Bourse Régionale des Valeurs Mobilières (BRVM) — Secteur BTP/Construction*</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30,58 milliards FCFA, SETAO se situe dans la catégorie des petites capitalisations de la BRVM, ce qui la rend vulnérable aux mouvements de faible volume et à la faible liquidité du marché. Le BPA s'établit à -7 FCFA/action, traduisant une société déficitaire qui ne génère aucune rentabilité par action pour ses porteurs. Le PER de -316,7x est négatif et donc non interprétable en termes de valorisation classique : il confirme simplement que l'entreprise détruit de la valeur, les investisseurs ne pouvant s'appuyer sur aucun bénéfice pour justifier le cours. Le P/B de 85,71x est exceptionnellement élevé (très au-dessus du seuil de 4x considéré comme une forte prime) : le marché valorise SETAO à plus de 85 fois ses capitaux propres comptables de 356,75 M FCFA, ce qui traduit soit une anticipation très optimiste d'un retournement, soit une anomalie de valorisation dans un contexte de pertes récurrentes. Le ratio EV/EBITDA n'est pas fourni, mais avec un EBE négatif de -650,13 M FCFA en 2025, il serait de toute façon non pertinent — la valeur d'entreprise ne peut être comparée à une capacité opérationnelle négative.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SETAO a enregistré une chute vertigineuse de -24,17%, avec une dernière séance particulièrement violente à -6,57%, portant le cours actuel à 2 275 FCFA — soit exactement le plus bas de la période. Le range de trading est très large, entre un plus haut de 3 640 FCFA et un plus bas de 2 275 FCFA, soit un écart de 1 365 FCFA (60% du plus bas), ce qui témoigne d'une tendance baissière structurelle et d'une pression vendeuse persistante. La moyenne de 2 935 FCFA est supérieure à la médiane de 2 850 FCFA, ce qui indique une distribution légèrement asymétrique à droite — les cours élevés du début de période tirent la moyenne vers le haut, mais le marché a depuis corrigé sévèrement. L'écart-type de 347 FCFA avec un coefficient de variation de 11,8% révèle une dispersion modérée en valeur relative, mais la volatilité annualisée de 56,3% classe ce titre dans la catégorie des valeurs à volatilité élevée (&gt;30%), ce qui est cohérent avec un contexte de pertes et d'incertitude fondamentale. Le kurtosis de -0,837 (mésokurtique) indique une distribution proche de la normale, sans risque de pics extrêmes au-delà de ce qui est déjà observé, tandis que le skewness de 0,484 (distribution symétrique selon l'interprétation fournie) suggère une légère asymétrie positive résiduelle. Le mode à 3 000 FCFA, très supérieur au cours actuel, confirme que le titre évoluait à des niveaux bien plus élevés récemment et que la correction actuelle est sévère.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(2 575,25 FCFA) et la MM50 (2 740,20 FCFA) sont toutes deux nettement supérieures au cours actuel de 2 275 FCFA, avec la MM20 en dessous de la MM50 — configuration baissière classique. Le cours évolue sous ses deux moyennes, ce qui confirme la pression vendeuse et justifie la décision de **Vente**.</w:t>
      </w:r>
    </w:p>
    <w:p>
      <w:pPr>
        <w:spacing w:after="120" w:line="276" w:lineRule="auto"/>
      </w:pPr>
      <w:r>
        <w:t>**Bandes de Bollinger** : Le cours (2 275 FCFA) se situe en dessous de la borne inférieure (2 318,315 FCFA), ce qui est un signal de survente extrême et suggère une possible réaction technique à court terme. La largeur des bandes (2 832,185 - 2 318,315 = 513,87 FCFA) indique une volatilité élevée, et la décision **Achat** reflète cette configuration de rebond potentiel.</w:t>
      </w:r>
    </w:p>
    <w:p>
      <w:pPr>
        <w:spacing w:after="120" w:line="276" w:lineRule="auto"/>
      </w:pPr>
      <w:r>
        <w:t>**MACD** : La valeur du MACD (-94,945) est inférieure à son signal (-79,339), avec un histogramme négatif — le momentum baissier est toujours en place et la divergence négative persiste. La décision **Vente** est cohérente avec cette dynamique baissière non encore inversée.</w:t>
      </w:r>
    </w:p>
    <w:p>
      <w:pPr>
        <w:spacing w:after="120" w:line="276" w:lineRule="auto"/>
      </w:pPr>
      <w:r>
        <w:t>**RSI** : À 21,118, le RSI est en zone de survente sévère (&lt;30), ce qui signale un épuisement potentiel de la pression vendeuse et une probabilité de rebond technique. La décision **Achat** est justifiée par cette configuration extrême, bien que le contexte fondamental reste défavorable.</w:t>
      </w:r>
    </w:p>
    <w:p>
      <w:pPr>
        <w:spacing w:after="120" w:line="276" w:lineRule="auto"/>
      </w:pPr>
      <w:r>
        <w:t>**Stochastique** : Le %K et le %D sont tous deux à 0,0, ce qui est le niveau le plus bas possible — signal de survente extrême et de possible retournement imminent. La décision **Achat** reflète cette position extrême, mais l'absence de croisement haussier confirmé invite à la prudence.</w:t>
      </w:r>
    </w:p>
    <w:p>
      <w:pPr>
        <w:spacing w:after="120" w:line="276" w:lineRule="auto"/>
      </w:pPr>
      <w:r>
        <w:t>**Conclusion technique** : Les indicateurs sont divergents — les oscillateurs (RSI, Stochastique, Bollinger) signalent une survente extrême propice à un rebond technique, tandis que les moyennes mobiles et le MACD confirment une tendance baissière toujours active. Cette divergence suggère un possible rebond à court terme, mais dans un contexte de tendance baissière structurelle, le rebond pourrait être de courte durée. La prudence reste de mise.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SETAO a réalisé un chiffre d'affaires de 3,878 milliards FCFA, en croissance spectaculaire de +116,26% par rapport à 2024 (1,793 Mds FCFA), portée par les travaux préliminaires de l'aéroport d'Abidjan. Cependant, cette croissance ne s'est pas traduite par une rentabilité : le résultat net reste négatif à -96,56 M FCFA, le ROE est de -27,07% (très en dessous du seuil de 15% considéré comme excellent) et le ROA de -1,77%. La marge nette est de -2,49%, la marge opérationnelle de -19,90%, et l'EBE est négatif à -650,13 M FCFA — l'entreprise ne couvre pas ses charges d'exploitation. Le BFR est négatif à -930,47 M FCFA, ce qui est favorable pour une entreprise (financement par les fournisseurs), et la trésorerie nette reste positive à 1,330 Mds FCFA. Toutefois, la structure financière est très fragile : l'autonomie financière n'est que de 6,55% (très en dessous du seuil sain de 30%), le ratio d'endettement de 93,45% et la capacité de remboursement de 77,53 années (dettes financières/CAF) sont alarmants. La solvabilité générale de 107% reste juste au-dessus de 1, mais la dépendance financière de 129,87% est préoccupante.</w:t>
      </w:r>
    </w:p>
    <w:p>
      <w:pPr>
        <w:spacing w:after="120" w:line="276" w:lineRule="auto"/>
      </w:pPr>
      <w:r>
        <w:t>**Estimations basées sur les rapports trimestriels** : Le rapport du 3ème trimestre 2025 (daté du 30/09/2025) indique un CA cumulé de 3,456 Mds FCFA (+176% sur 9 mois) et une perte nette réduite de 22% à -477 M FCFA, avec une perte d'exploitation en amélioration de 50% à -456 M FCFA. La direction maintient sa prévision de CA annuel 2025 à 4 Mds FCFA, ce qui implique un T4 très faible (environ 544 M FCFA). On estime donc que l'exercice 2025 devrait se solder par une perte nette annuelle d'environ -100 M FCFA (cohérent avec les -96,56 M FCFA des données structurées), avec une amélioration progressive mais insuffisante pour atteindre la rentabilité. Le rapport du 1er semestre 2025 (daté du 30/06/2025) montrait déjà cette dynamique : CA de 2,271 Mds FCFA (+290%) mais perte nette de -557 M FCFA, avec un résultat financier effondré à 4 M FCFA contre 271 M FCFA au S1 2024.</w:t>
      </w:r>
    </w:p>
    <w:p>
      <w:pPr>
        <w:spacing w:after="120" w:line="276" w:lineRule="auto"/>
      </w:pPr>
      <w:r>
        <w:t>**Évolution pluriannuelle** : Les rapports antérieurs (2024, 2021, 2020) montrent une dégradation structurelle : en 2020, SETAO réalisait un CA de 15,9 Mds FCFA avec un résultat net de 2,32 Mds FCFA (marge nette de 14,6%) et distribuait des dividendes. En 2021, le CA chutait à 10,27 Mds FCFA avec un résultat net de 1,12 Md FCFA. En 2024, le CA s'effondrait à 1,793 Md FCFA avec une perte de -348 M FCFA. La reprise de 2025 (+116% de CA) est donc un rebond depuis un point très bas, mais la rentabilité reste absente. Le rapport 2024 (daté du 31/12/2024) soulignait déjà la menace sur la survie à moyen terme sans redressement rapide.</w:t>
      </w:r>
    </w:p>
    <w:p>
      <w:pPr>
        <w:spacing w:after="120" w:line="276" w:lineRule="auto"/>
      </w:pPr>
      <w:r>
        <w:t>**Recommandation fondamentale** : SETAO présente un profil de retournement spéculatif — la croissance du CA est réelle mais la rentabilité opérationnelle reste profondément négative, la structure financière est très fragile (capitaux propres de 356,75 M FCFA seulement, autonomie financière de 6,55%), et la dépendance au chantier de l'aéroport d'Abidjan est un risque majeur. La trésorerie positive (1,33 Md FCFA) offre un coussin à court terme, mais les flux opérationnels négatifs (-2,212 Mds FCFA en 2025) la consomment rapidement. Le risque de faillite ou de dilution massive est élevé.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aberrante : PER négatif, P/B de 85,71x pour une société déficitaire — le marché valorise SETAO à un niveau inexplicable par les fondamentaux, ce qui suggère soit une anomalie de marché, soit une anticipation spéculative d'un retournement qui tarde à se matérialiser. Le comportement du cours (Partie 1) est clairement baissier (-24,17% sur 100 jours, cours au plus bas), avec une volatilité élevée (56,3%) et une distribution symétrique mais des statistiques qui montrent que le titre évoluait à des niveaux bien supérieurs récemment — la correction est sévère et pourrait se poursuivre. Les signaux techniques (Partie 2) sont divergents : les oscillateurs (RSI à 21, Stochastique à 0, cours sous la borne inférieure de Bollinger) signalent une survente extrême propice à un rebond technique, mais les moyennes mobiles et le MACD confirment une tendance baissière toujours active — un rebond technique est possible mais probablement de courte durée. Les fondamentaux (Partie 3) sont très préoccupants : malgré une croissance spectaculaire du CA en 2025 (+116%), la société reste déficitaire (perte nette de -96,56 M FCFA), avec un ROE de -27%, une autonomie financière de 6,55% et une capacité de remboursement de 77,53 années — la survie à moyen terme dépend de la poursuite du chantier de l'aéroport et de l'obtention de nouveaux contrats. Les prédictions IA (J+1 à J+10) anticipent une poursuite de la baisse jusqu'à 2 201 FCFA, ce qui contredit l'hypothèse d'un rebond technique durable et confirme la pression baissière.</w:t>
      </w:r>
    </w:p>
    <w:p>
      <w:pPr>
        <w:spacing w:after="120" w:line="276" w:lineRule="auto"/>
      </w:pPr>
      <w:r>
        <w:t>**Recommandation finale : VENTE** (avec possibilité de VENTE FORTE pour les investisseurs averses au risque). La convergence entre la valorisation aberrante, la tendance baissière, les fondamentaux dégradés et les prédictions IA baissières est défavorable. Le seul argument haussier — la survente technique — est un signal de court terme qui ne compense pas les risques fondamentaux majeurs. **Niveau de confiance : Élevé** (les signaux baissiers sont convergents et les données fondamentales sont sans ambiguïté). **Niveau de risque global : Élevé** (risque de faillite, de dilution, de perte en capital). **Horizon d'investissement : Court terme** pour les spéculateurs cherchant un rebond technique (avec stop-loss strict), mais **à éviter** pour les investisseurs long terme tant que la rentabilité n'est pas restaurée et la structure financière assainie.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394.11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3,914 titres</w:t>
            </w:r>
          </w:p>
        </w:tc>
        <w:tc>
          <w:tcPr>
            <w:tcW w:type="dxa" w:w="2268"/>
            <w:shd w:fill="FFF2CC" w:val="clear"/>
          </w:tcPr>
          <w:p>
            <w:r>
              <w:rPr>
                <w:b/>
                <w:color w:val="503200"/>
                <w:sz w:val="16"/>
              </w:rPr>
              <w:t xml:space="preserve">Cours actuel : </w:t>
            </w:r>
            <w:r>
              <w:rPr>
                <w:color w:val="000000"/>
                <w:sz w:val="17"/>
              </w:rPr>
              <w:t>21,950 FCFA</w:t>
            </w:r>
          </w:p>
          <w:p>
            <w:r>
              <w:rPr>
                <w:b/>
                <w:color w:val="503200"/>
                <w:sz w:val="16"/>
              </w:rPr>
              <w:t xml:space="preserve">Var. 100 jours : </w:t>
            </w:r>
            <w:r>
              <w:rPr>
                <w:b/>
                <w:color w:val="007800"/>
                <w:sz w:val="17"/>
              </w:rPr>
              <w:t>+7.07%</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5.68% (Moyenne) — μ=22,435 FCFA, σ=1,275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β=0.3053 (Défensif) — Cov=0.000011, Var(idx)=0.000036, ρ=0.078,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21,227</w:t>
            </w:r>
          </w:p>
        </w:tc>
        <w:tc>
          <w:tcPr>
            <w:tcW w:type="dxa" w:w="1440"/>
            <w:shd w:fill="FAFAFA" w:val="clear"/>
          </w:tcPr>
          <w:p>
            <w:r>
              <w:rPr>
                <w:b/>
                <w:sz w:val="17"/>
              </w:rPr>
              <w:t>22,333</w:t>
            </w:r>
          </w:p>
        </w:tc>
        <w:tc>
          <w:tcPr>
            <w:tcW w:type="dxa" w:w="1440"/>
            <w:shd w:fill="FAFAFA" w:val="clear"/>
          </w:tcPr>
          <w:p>
            <w:r>
              <w:rPr>
                <w:sz w:val="17"/>
              </w:rPr>
              <w:t>23,438</w:t>
            </w:r>
          </w:p>
        </w:tc>
        <w:tc>
          <w:tcPr>
            <w:tcW w:type="dxa" w:w="1440"/>
            <w:shd w:fill="FAFAFA" w:val="clear"/>
          </w:tcPr>
          <w:p>
            <w:r>
              <w:rPr>
                <w:b/>
                <w:color w:val="008000"/>
                <w:sz w:val="17"/>
              </w:rPr>
              <w:t>+1.7%</w:t>
            </w:r>
          </w:p>
        </w:tc>
      </w:tr>
      <w:tr>
        <w:tc>
          <w:tcPr>
            <w:tcW w:type="dxa" w:w="1440"/>
            <w:shd w:fill="C6EFCE" w:val="clear"/>
          </w:tcPr>
          <w:p>
            <w:r>
              <w:rPr>
                <w:sz w:val="17"/>
              </w:rPr>
              <w:t>J+2  ⭐</w:t>
            </w:r>
          </w:p>
        </w:tc>
        <w:tc>
          <w:tcPr>
            <w:tcW w:type="dxa" w:w="1440"/>
            <w:shd w:fill="C6EFCE" w:val="clear"/>
          </w:tcPr>
          <w:p>
            <w:r>
              <w:rPr>
                <w:sz w:val="17"/>
              </w:rPr>
              <w:t>2026-09-22</w:t>
            </w:r>
          </w:p>
        </w:tc>
        <w:tc>
          <w:tcPr>
            <w:tcW w:type="dxa" w:w="1440"/>
            <w:shd w:fill="C6EFCE" w:val="clear"/>
          </w:tcPr>
          <w:p>
            <w:r>
              <w:rPr>
                <w:sz w:val="17"/>
              </w:rPr>
              <w:t>21,153</w:t>
            </w:r>
          </w:p>
        </w:tc>
        <w:tc>
          <w:tcPr>
            <w:tcW w:type="dxa" w:w="1440"/>
            <w:shd w:fill="C6EFCE" w:val="clear"/>
          </w:tcPr>
          <w:p>
            <w:r>
              <w:rPr>
                <w:b/>
                <w:sz w:val="17"/>
              </w:rPr>
              <w:t>22,745</w:t>
            </w:r>
          </w:p>
        </w:tc>
        <w:tc>
          <w:tcPr>
            <w:tcW w:type="dxa" w:w="1440"/>
            <w:shd w:fill="C6EFCE" w:val="clear"/>
          </w:tcPr>
          <w:p>
            <w:r>
              <w:rPr>
                <w:sz w:val="17"/>
              </w:rPr>
              <w:t>24,338</w:t>
            </w:r>
          </w:p>
        </w:tc>
        <w:tc>
          <w:tcPr>
            <w:tcW w:type="dxa" w:w="1440"/>
            <w:shd w:fill="C6EFCE" w:val="clear"/>
          </w:tcPr>
          <w:p>
            <w:r>
              <w:rPr>
                <w:b/>
                <w:color w:val="008000"/>
                <w:sz w:val="17"/>
              </w:rPr>
              <w:t>+3.6%</w:t>
            </w:r>
          </w:p>
        </w:tc>
      </w:tr>
      <w:tr>
        <w:tc>
          <w:tcPr>
            <w:tcW w:type="dxa" w:w="1440"/>
            <w:shd w:fill="C6EFCE" w:val="clear"/>
          </w:tcPr>
          <w:p>
            <w:r>
              <w:rPr>
                <w:sz w:val="17"/>
              </w:rPr>
              <w:t>J+3  ⭐</w:t>
            </w:r>
          </w:p>
        </w:tc>
        <w:tc>
          <w:tcPr>
            <w:tcW w:type="dxa" w:w="1440"/>
            <w:shd w:fill="C6EFCE" w:val="clear"/>
          </w:tcPr>
          <w:p>
            <w:r>
              <w:rPr>
                <w:sz w:val="17"/>
              </w:rPr>
              <w:t>2026-09-23</w:t>
            </w:r>
          </w:p>
        </w:tc>
        <w:tc>
          <w:tcPr>
            <w:tcW w:type="dxa" w:w="1440"/>
            <w:shd w:fill="C6EFCE" w:val="clear"/>
          </w:tcPr>
          <w:p>
            <w:r>
              <w:rPr>
                <w:sz w:val="17"/>
              </w:rPr>
              <w:t>21,121</w:t>
            </w:r>
          </w:p>
        </w:tc>
        <w:tc>
          <w:tcPr>
            <w:tcW w:type="dxa" w:w="1440"/>
            <w:shd w:fill="C6EFCE" w:val="clear"/>
          </w:tcPr>
          <w:p>
            <w:r>
              <w:rPr>
                <w:b/>
                <w:sz w:val="17"/>
              </w:rPr>
              <w:t>23,102</w:t>
            </w:r>
          </w:p>
        </w:tc>
        <w:tc>
          <w:tcPr>
            <w:tcW w:type="dxa" w:w="1440"/>
            <w:shd w:fill="C6EFCE" w:val="clear"/>
          </w:tcPr>
          <w:p>
            <w:r>
              <w:rPr>
                <w:sz w:val="17"/>
              </w:rPr>
              <w:t>25,083</w:t>
            </w:r>
          </w:p>
        </w:tc>
        <w:tc>
          <w:tcPr>
            <w:tcW w:type="dxa" w:w="1440"/>
            <w:shd w:fill="C6EFCE" w:val="clear"/>
          </w:tcPr>
          <w:p>
            <w:r>
              <w:rPr>
                <w:b/>
                <w:color w:val="008000"/>
                <w:sz w:val="17"/>
              </w:rPr>
              <w:t>+5.2%</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21,100</w:t>
            </w:r>
          </w:p>
        </w:tc>
        <w:tc>
          <w:tcPr>
            <w:tcW w:type="dxa" w:w="1440"/>
            <w:shd w:fill="C6EFCE" w:val="clear"/>
          </w:tcPr>
          <w:p>
            <w:r>
              <w:rPr>
                <w:b/>
                <w:sz w:val="17"/>
              </w:rPr>
              <w:t>23,418</w:t>
            </w:r>
          </w:p>
        </w:tc>
        <w:tc>
          <w:tcPr>
            <w:tcW w:type="dxa" w:w="1440"/>
            <w:shd w:fill="C6EFCE" w:val="clear"/>
          </w:tcPr>
          <w:p>
            <w:r>
              <w:rPr>
                <w:sz w:val="17"/>
              </w:rPr>
              <w:t>25,737</w:t>
            </w:r>
          </w:p>
        </w:tc>
        <w:tc>
          <w:tcPr>
            <w:tcW w:type="dxa" w:w="1440"/>
            <w:shd w:fill="C6EFCE" w:val="clear"/>
          </w:tcPr>
          <w:p>
            <w:r>
              <w:rPr>
                <w:b/>
                <w:color w:val="008000"/>
                <w:sz w:val="17"/>
              </w:rPr>
              <w:t>+6.7%</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21,037</w:t>
            </w:r>
          </w:p>
        </w:tc>
        <w:tc>
          <w:tcPr>
            <w:tcW w:type="dxa" w:w="1440"/>
            <w:shd w:fill="C6EFCE" w:val="clear"/>
          </w:tcPr>
          <w:p>
            <w:r>
              <w:rPr>
                <w:b/>
                <w:sz w:val="17"/>
              </w:rPr>
              <w:t>23,656</w:t>
            </w:r>
          </w:p>
        </w:tc>
        <w:tc>
          <w:tcPr>
            <w:tcW w:type="dxa" w:w="1440"/>
            <w:shd w:fill="C6EFCE" w:val="clear"/>
          </w:tcPr>
          <w:p>
            <w:r>
              <w:rPr>
                <w:sz w:val="17"/>
              </w:rPr>
              <w:t>26,274</w:t>
            </w:r>
          </w:p>
        </w:tc>
        <w:tc>
          <w:tcPr>
            <w:tcW w:type="dxa" w:w="1440"/>
            <w:shd w:fill="C6EFCE" w:val="clear"/>
          </w:tcPr>
          <w:p>
            <w:r>
              <w:rPr>
                <w:b/>
                <w:color w:val="008000"/>
                <w:sz w:val="17"/>
              </w:rPr>
              <w:t>+7.8%</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20,988</w:t>
            </w:r>
          </w:p>
        </w:tc>
        <w:tc>
          <w:tcPr>
            <w:tcW w:type="dxa" w:w="1440"/>
            <w:shd w:fill="C6EFCE" w:val="clear"/>
          </w:tcPr>
          <w:p>
            <w:r>
              <w:rPr>
                <w:b/>
                <w:sz w:val="17"/>
              </w:rPr>
              <w:t>23,884</w:t>
            </w:r>
          </w:p>
        </w:tc>
        <w:tc>
          <w:tcPr>
            <w:tcW w:type="dxa" w:w="1440"/>
            <w:shd w:fill="C6EFCE" w:val="clear"/>
          </w:tcPr>
          <w:p>
            <w:r>
              <w:rPr>
                <w:sz w:val="17"/>
              </w:rPr>
              <w:t>26,780</w:t>
            </w:r>
          </w:p>
        </w:tc>
        <w:tc>
          <w:tcPr>
            <w:tcW w:type="dxa" w:w="1440"/>
            <w:shd w:fill="C6EFCE" w:val="clear"/>
          </w:tcPr>
          <w:p>
            <w:r>
              <w:rPr>
                <w:b/>
                <w:color w:val="008000"/>
                <w:sz w:val="17"/>
              </w:rPr>
              <w:t>+8.8%</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20,916</w:t>
            </w:r>
          </w:p>
        </w:tc>
        <w:tc>
          <w:tcPr>
            <w:tcW w:type="dxa" w:w="1440"/>
            <w:shd w:fill="C6EFCE" w:val="clear"/>
          </w:tcPr>
          <w:p>
            <w:r>
              <w:rPr>
                <w:b/>
                <w:sz w:val="17"/>
              </w:rPr>
              <w:t>24,068</w:t>
            </w:r>
          </w:p>
        </w:tc>
        <w:tc>
          <w:tcPr>
            <w:tcW w:type="dxa" w:w="1440"/>
            <w:shd w:fill="C6EFCE" w:val="clear"/>
          </w:tcPr>
          <w:p>
            <w:r>
              <w:rPr>
                <w:sz w:val="17"/>
              </w:rPr>
              <w:t>27,220</w:t>
            </w:r>
          </w:p>
        </w:tc>
        <w:tc>
          <w:tcPr>
            <w:tcW w:type="dxa" w:w="1440"/>
            <w:shd w:fill="C6EFCE" w:val="clear"/>
          </w:tcPr>
          <w:p>
            <w:r>
              <w:rPr>
                <w:b/>
                <w:color w:val="008000"/>
                <w:sz w:val="17"/>
              </w:rPr>
              <w:t>+9.6%</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20,838</w:t>
            </w:r>
          </w:p>
        </w:tc>
        <w:tc>
          <w:tcPr>
            <w:tcW w:type="dxa" w:w="1440"/>
            <w:shd w:fill="C6EFCE" w:val="clear"/>
          </w:tcPr>
          <w:p>
            <w:r>
              <w:rPr>
                <w:b/>
                <w:sz w:val="17"/>
              </w:rPr>
              <w:t>24,230</w:t>
            </w:r>
          </w:p>
        </w:tc>
        <w:tc>
          <w:tcPr>
            <w:tcW w:type="dxa" w:w="1440"/>
            <w:shd w:fill="C6EFCE" w:val="clear"/>
          </w:tcPr>
          <w:p>
            <w:r>
              <w:rPr>
                <w:sz w:val="17"/>
              </w:rPr>
              <w:t>27,623</w:t>
            </w:r>
          </w:p>
        </w:tc>
        <w:tc>
          <w:tcPr>
            <w:tcW w:type="dxa" w:w="1440"/>
            <w:shd w:fill="C6EFCE" w:val="clear"/>
          </w:tcPr>
          <w:p>
            <w:r>
              <w:rPr>
                <w:b/>
                <w:color w:val="008000"/>
                <w:sz w:val="17"/>
              </w:rPr>
              <w:t>+10.4%</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20,745</w:t>
            </w:r>
          </w:p>
        </w:tc>
        <w:tc>
          <w:tcPr>
            <w:tcW w:type="dxa" w:w="1440"/>
            <w:shd w:fill="C6EFCE" w:val="clear"/>
          </w:tcPr>
          <w:p>
            <w:r>
              <w:rPr>
                <w:b/>
                <w:sz w:val="17"/>
              </w:rPr>
              <w:t>24,364</w:t>
            </w:r>
          </w:p>
        </w:tc>
        <w:tc>
          <w:tcPr>
            <w:tcW w:type="dxa" w:w="1440"/>
            <w:shd w:fill="C6EFCE" w:val="clear"/>
          </w:tcPr>
          <w:p>
            <w:r>
              <w:rPr>
                <w:sz w:val="17"/>
              </w:rPr>
              <w:t>27,982</w:t>
            </w:r>
          </w:p>
        </w:tc>
        <w:tc>
          <w:tcPr>
            <w:tcW w:type="dxa" w:w="1440"/>
            <w:shd w:fill="C6EFCE" w:val="clear"/>
          </w:tcPr>
          <w:p>
            <w:r>
              <w:rPr>
                <w:b/>
                <w:color w:val="008000"/>
                <w:sz w:val="17"/>
              </w:rPr>
              <w:t>+11.0%</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20,618</w:t>
            </w:r>
          </w:p>
        </w:tc>
        <w:tc>
          <w:tcPr>
            <w:tcW w:type="dxa" w:w="1440"/>
            <w:shd w:fill="C6EFCE" w:val="clear"/>
          </w:tcPr>
          <w:p>
            <w:r>
              <w:rPr>
                <w:b/>
                <w:sz w:val="17"/>
              </w:rPr>
              <w:t>24,444</w:t>
            </w:r>
          </w:p>
        </w:tc>
        <w:tc>
          <w:tcPr>
            <w:tcW w:type="dxa" w:w="1440"/>
            <w:shd w:fill="C6EFCE" w:val="clear"/>
          </w:tcPr>
          <w:p>
            <w:r>
              <w:rPr>
                <w:sz w:val="17"/>
              </w:rPr>
              <w:t>28,270</w:t>
            </w:r>
          </w:p>
        </w:tc>
        <w:tc>
          <w:tcPr>
            <w:tcW w:type="dxa" w:w="1440"/>
            <w:shd w:fill="C6EFCE" w:val="clear"/>
          </w:tcPr>
          <w:p>
            <w:r>
              <w:rPr>
                <w:b/>
                <w:color w:val="008000"/>
                <w:sz w:val="17"/>
              </w:rPr>
              <w:t>+11.4%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SITAB (STBC)**</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394,11 milliards FCFA, SITAB s'impose comme l'une des plus importantes capitalisations de la BRVM, ce qui témoigne de son statut de valeur de premier plan dans le compartiment des entreprises non bancaires. Le BPA de 2 014 FCFA/action indique que chaque titre génère un bénéfice substantiel, et le PER de 10,9x situe le titre dans la fourchette modérée de la BRVM (moyenne ~8-12x), suggérant une valorisation raisonnable au regard des bénéfices. En revanche, le P/B de 8,69x traduit une forte prime sur la valeur comptable — le marché valorise l'entreprise bien au-delà de ses fonds propres, ce qui se justifie par la rentabilité exceptionnelle (ROE de 79,75%) mais expose le titre à une correction en cas de dégradation des marges. Enfin, l'EV/EBITDA de 7,8x, dans la fourchette raisonnable de 5-10x, indique que la valeur totale de l'entreprise reste cohérente avec sa capacité opérationnelle, sans surévaluation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STBC affiche une variation totale positive de +7,07%, malgré une légère contraction de -0,09% lors de la dernière séance, signalant une consolidation après une phase de progression. Le cours actuel de 21 950 FCFA évolue dans un range de trading de 5 295 FCFA, entre un plus bas de 19 705 FCFA et un plus haut de 25 000 FCFA, ce qui traduit une tendance globalement haussière mais avec des oscillations significatives. Les statistiques descriptives révèlent une moyenne de 22 435 FCFA légèrement supérieure à la médiane de 22 218 FCFA, indiquant une distribution quasi-symétrique avec un skewness de 0,188 confirmant cette symétrie. L'écart-type de 1 281 FCFA et le coefficient de variation de 5,7% témoignent d'une dispersion modérée du cours autour de sa moyenne, tandis que le kurtosis de -0,686 (mésokurtique) suggère une distribution proche de la normale, sans risque de pics extrêmes marqués. La volatilité annualisée de 37,1% classe le titre dans la catégorie des valeurs à volatilité élevée (&gt;30%), ce qui implique un risque de prix non négligeable pour l'investisseur, mais cohérent avec le rendement potentiel offert.</w:t>
      </w:r>
    </w:p>
    <w:p>
      <w:pPr>
        <w:spacing w:after="120" w:line="276" w:lineRule="auto"/>
      </w:pPr>
      <w:r>
        <w:t>---</w:t>
      </w:r>
    </w:p>
    <w:p>
      <w:pPr>
        <w:spacing w:after="120" w:line="276" w:lineRule="auto"/>
      </w:pPr>
      <w:r>
        <w:t>### PARTIE 2 : ANALYSE TECHNIQUE DÉTAILLÉE</w:t>
      </w:r>
    </w:p>
    <w:p>
      <w:pPr>
        <w:spacing w:after="120" w:line="276" w:lineRule="auto"/>
      </w:pPr>
      <w:r>
        <w:t>**Moyennes Mobiles** : La MM20 (22 088,75 FCFA) et la MM50 (22 960,80 FCFA) encadrent le cours actuel de 21 950 FCFA, qui se situe sous ses deux moyennes mobiles. Cette configuration baissière — cours inférieur aux MM — justifie la décision de vente émise par l'indicateur, bien que l'écart reste modéré. La MM20 étant inférieure à la MM50, on observe un croisement baissier (death cross) confirmant la pression vendeuse à court terme.</w:t>
      </w:r>
    </w:p>
    <w:p>
      <w:pPr>
        <w:spacing w:after="120" w:line="276" w:lineRule="auto"/>
      </w:pPr>
      <w:r>
        <w:t>**Bandes de Bollinger** : Le cours actuel (21 950 FCFA) se situe dans la partie basse de la bande de Bollinger, entre la borne inférieure (21 126,78 FCFA) et la borne supérieure (23 050,72 FCFA), sans franchir les limites. Cette position neutre indique l'absence de signal de surachat ou de survente, avec une volatilité contenue dans les bandes. La décision neutre est cohérente avec cette configuration équilibrée.</w:t>
      </w:r>
    </w:p>
    <w:p>
      <w:pPr>
        <w:spacing w:after="120" w:line="276" w:lineRule="auto"/>
      </w:pPr>
      <w:r>
        <w:t>**MACD** : Le MACD (-351,643) est légèrement supérieur à son signal (-360,492), générant un croisement haussier bien que les deux valeurs restent en territoire négatif. Cette divergence positive indique un affaiblissement du momentum baissier et une possible inversion de tendance à court terme, justifiant la décision d'achat de l'indicateur.</w:t>
      </w:r>
    </w:p>
    <w:p>
      <w:pPr>
        <w:spacing w:after="120" w:line="276" w:lineRule="auto"/>
      </w:pPr>
      <w:r>
        <w:t>**RSI** : À 42,098, le RSI se situe dans la zone neutre (30-70), sans atteindre les seuils de surachat (&gt;70) ou de survente (&lt;30). Cette position médiane reflète un équilibre entre acheteurs et vendeurs, sans signal directionnel fort, d'où la décision neutre.</w:t>
      </w:r>
    </w:p>
    <w:p>
      <w:pPr>
        <w:spacing w:after="120" w:line="276" w:lineRule="auto"/>
      </w:pPr>
      <w:r>
        <w:t>**Stochastique** : Le %K (70,0) est nettement supérieur au %D (45,625), avec un croisement haussier du %K au-dessus du %D. Cette configuration suggère une dynamique positive à court terme, bien que le %K approche de la zone de surachat (80), ce qui tempère le signal. La décision reste neutre en raison de cette dualité.</w:t>
      </w:r>
    </w:p>
    <w:p>
      <w:pPr>
        <w:spacing w:after="120" w:line="276" w:lineRule="auto"/>
      </w:pPr>
      <w:r>
        <w:t>**Conclusion technique** : Les indicateurs techniques présentent des signaux mitigés — les moyennes mobiles sont baissières, le MACD est haussier, le RSI et le stochastique sont neutres, et les bandes de Bollinger ne montrent pas de signal directionnel clair. Cette divergence suggère une phase de consolidation sans tendance forte, avec un léger avantage aux acheteurs à court terme (MACD, stochastique), mais une prudence recommandée tant que le cours reste sous ses moyennes mobiles.</w:t>
      </w:r>
    </w:p>
    <w:p>
      <w:pPr>
        <w:spacing w:after="120" w:line="276" w:lineRule="auto"/>
      </w:pPr>
      <w:r>
        <w:t>---</w:t>
      </w:r>
    </w:p>
    <w:p>
      <w:pPr>
        <w:spacing w:after="120" w:line="276" w:lineRule="auto"/>
      </w:pPr>
      <w:r>
        <w:t>### PARTIE 3 : ANALYSE FONDAMENTALE</w:t>
      </w:r>
    </w:p>
    <w:p>
      <w:pPr>
        <w:spacing w:after="120" w:line="276" w:lineRule="auto"/>
      </w:pPr>
      <w:r>
        <w:t>En 2025, SITAB a réalisé un chiffre d'affaires de 268,537 milliards FCFA, en croissance de 25,3% par rapport à 2024, portée par une hausse des volumes (+5,6%) et un effet prix favorable. Le résultat net s'établit à 36,158 milliards FCFA, en baisse de 17,5% sur un an, sous l'effet de la hausse des droits d'accises (de 49% à 70%) et d'un contrôle fiscal. La rentabilité reste exceptionnelle avec un ROE de 79,75% et un ROA de 48,09%, bien que la marge nette se soit contractée de 20,4% en 2024 à 13,46% en 2025. La structure financière est très saine : autonomie financière de 60,3%, dettes financières quasi nulles (1,4 million FCFA), trésorerie nette de 30,763 milliards FCFA et un BFR de 5,639 milliards FCFA. Les délais clients (42,57 jours) et de stockage (5,73 jours) sont maîtrisés, bien que le délai client élevé constitue un point de vigilance pour la trésorerie. Sur la base des rapports trimestriels 2026, on estime que l'exercice 2026 devrait bénéficier d'un redressement des volumes (+10% au T1 2026 selon le rapport du 31 mars 2026) et d'une stabilisation de la rentabilité (marge nette de 13,5% au T1 2026 et 12,3% au T2 2026), avec un résultat net de 9,3 milliards FCFA au T1 2026 (-1% sur un an) et de 8,64 milliards FCFA au T2 2026 (-0,2%). La politique de dividende reste généreuse avec un DPA de 1 940 FCFA proposé pour 2025 (rendement de ~8,8% au cours actuel), bien que le taux de distribution de 84,9% limite les capacités de réinvestissement. Les risques principaux incluent la pression fiscale persistante, la dépendance au secteur du tabac et la volatilité réglementaire, tandis que les opportunités résident dans la croissance des volumes, la solidité bilantielle et la loi de finances 2026 favorable aux fabricants locaux.</w:t>
      </w:r>
    </w:p>
    <w:p>
      <w:pPr>
        <w:spacing w:after="120" w:line="276" w:lineRule="auto"/>
      </w:pPr>
      <w:r>
        <w:t>---</w:t>
      </w:r>
    </w:p>
    <w:p>
      <w:pPr>
        <w:spacing w:after="120" w:line="276" w:lineRule="auto"/>
      </w:pPr>
      <w:r>
        <w:t>### PARTIE 4 : CONCLUSION D'INVESTISSEMENT</w:t>
      </w:r>
    </w:p>
    <w:p>
      <w:pPr>
        <w:spacing w:after="120" w:line="276" w:lineRule="auto"/>
      </w:pPr>
      <w:r>
        <w:t>La valorisation de SITAB apparaît modérée avec un PER de 10,9x et un EV/EBITDA de 7,8x, bien que le P/B de 8,69x traduise une prime exigeante justifiée par la rentabilité exceptionnelle (ROE de 79,75%). Le comportement du cours sur 100 jours est globalement haussier (+7,07%) avec une volatilité élevée (37,1%) mais une distribution symétrique (skewness de 0,188) et sans risque de pics extrêmes (kurtosis de -0,686), ce qui est rassurant pour la gestion du risque. Les signaux techniques sont divergents — moyennes mobiles baissières, MACD haussier, RSI et stochastique neutres — suggérant une consolidation sans tendance forte, avec un léger avantage aux acheteurs à court terme. Les fondamentaux restent solides malgré la dégradation des marges en 2025 (marge nette de 13,46% contre 20,4% en 2024), avec une trésorerie confortable (30,763 milliards FCFA), une absence d'endettement et une croissance du CA de 25,3%. Les prédictions IA anticipent une trajectoire haussière vers 23 656 FCFA d'ici le 25 septembre 2026 (+7,8% par rapport au cours actuel), ce qui confirme les signaux haussiers du MACD et du stochastique. Sur la base de cette synthèse, la recommandation est **CONSERVER**, avec un niveau de confiance **Moyen** et un risque global **Moyen**. L'horizon d'investissement optimal est le **moyen terme (3-12 mois)**, en attendant la confirmation d'une stabilisation des marges et d'une reprise durable des volumes, tout en profitant du rendement attractif du dividende (8,8%). Un renforcement de la position (ACHAT) serait justifié si le cours franchit la MM50 (22 960,80 FCFA) avec des volumes soutenus et si les prochains résultats trimestriels confirment l'amélioration de la rentabilité opérationnelle.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198.96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7,285 titres</w:t>
            </w:r>
          </w:p>
        </w:tc>
        <w:tc>
          <w:tcPr>
            <w:tcW w:type="dxa" w:w="2268"/>
            <w:shd w:fill="FFF2CC" w:val="clear"/>
          </w:tcPr>
          <w:p>
            <w:r>
              <w:rPr>
                <w:b/>
                <w:color w:val="503200"/>
                <w:sz w:val="16"/>
              </w:rPr>
              <w:t xml:space="preserve">Cours actuel : </w:t>
            </w:r>
            <w:r>
              <w:rPr>
                <w:color w:val="000000"/>
                <w:sz w:val="17"/>
              </w:rPr>
              <w:t>3,160 FCFA</w:t>
            </w:r>
          </w:p>
          <w:p>
            <w:r>
              <w:rPr>
                <w:b/>
                <w:color w:val="503200"/>
                <w:sz w:val="16"/>
              </w:rPr>
              <w:t xml:space="preserve">Var. 100 jours : </w:t>
            </w:r>
            <w:r>
              <w:rPr>
                <w:b/>
                <w:color w:val="007800"/>
                <w:sz w:val="17"/>
              </w:rPr>
              <w:t>+17.04%</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2,700 FCFA</w:t>
            </w:r>
          </w:p>
          <w:p>
            <w:r>
              <w:rPr>
                <w:b/>
                <w:color w:val="503200"/>
                <w:sz w:val="16"/>
              </w:rPr>
              <w:t xml:space="preserve">Volatilité ann. : </w:t>
            </w:r>
            <w:r>
              <w:rPr>
                <w:color w:val="000000"/>
                <w:sz w:val="17"/>
              </w:rPr>
              <w:t>40.9%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6.94% (Moyenne) — μ=2,987 FCFA, σ=207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β=-0.4138 (Contre-cyclique) — Cov=-0.000015, Var(idx)=0.000036, ρ=-0.097,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7,285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2,983</w:t>
            </w:r>
          </w:p>
        </w:tc>
        <w:tc>
          <w:tcPr>
            <w:tcW w:type="dxa" w:w="1440"/>
            <w:shd w:fill="FAFAFA" w:val="clear"/>
          </w:tcPr>
          <w:p>
            <w:r>
              <w:rPr>
                <w:b/>
                <w:sz w:val="17"/>
              </w:rPr>
              <w:t>3,130</w:t>
            </w:r>
          </w:p>
        </w:tc>
        <w:tc>
          <w:tcPr>
            <w:tcW w:type="dxa" w:w="1440"/>
            <w:shd w:fill="FAFAFA" w:val="clear"/>
          </w:tcPr>
          <w:p>
            <w:r>
              <w:rPr>
                <w:sz w:val="17"/>
              </w:rPr>
              <w:t>3,277</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2,892</w:t>
            </w:r>
          </w:p>
        </w:tc>
        <w:tc>
          <w:tcPr>
            <w:tcW w:type="dxa" w:w="1440"/>
            <w:shd w:fill="FAFAFA" w:val="clear"/>
          </w:tcPr>
          <w:p>
            <w:r>
              <w:rPr>
                <w:b/>
                <w:sz w:val="17"/>
              </w:rPr>
              <w:t>3,098</w:t>
            </w:r>
          </w:p>
        </w:tc>
        <w:tc>
          <w:tcPr>
            <w:tcW w:type="dxa" w:w="1440"/>
            <w:shd w:fill="FAFAFA" w:val="clear"/>
          </w:tcPr>
          <w:p>
            <w:r>
              <w:rPr>
                <w:sz w:val="17"/>
              </w:rPr>
              <w:t>3,304</w:t>
            </w:r>
          </w:p>
        </w:tc>
        <w:tc>
          <w:tcPr>
            <w:tcW w:type="dxa" w:w="1440"/>
            <w:shd w:fill="FAFAFA"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2,822</w:t>
            </w:r>
          </w:p>
        </w:tc>
        <w:tc>
          <w:tcPr>
            <w:tcW w:type="dxa" w:w="1440"/>
            <w:shd w:fill="FFDCE0" w:val="clear"/>
          </w:tcPr>
          <w:p>
            <w:r>
              <w:rPr>
                <w:b/>
                <w:sz w:val="17"/>
              </w:rPr>
              <w:t>3,072</w:t>
            </w:r>
          </w:p>
        </w:tc>
        <w:tc>
          <w:tcPr>
            <w:tcW w:type="dxa" w:w="1440"/>
            <w:shd w:fill="FFDCE0" w:val="clear"/>
          </w:tcPr>
          <w:p>
            <w:r>
              <w:rPr>
                <w:sz w:val="17"/>
              </w:rPr>
              <w:t>3,323</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2,761</w:t>
            </w:r>
          </w:p>
        </w:tc>
        <w:tc>
          <w:tcPr>
            <w:tcW w:type="dxa" w:w="1440"/>
            <w:shd w:fill="FFDCE0" w:val="clear"/>
          </w:tcPr>
          <w:p>
            <w:r>
              <w:rPr>
                <w:b/>
                <w:sz w:val="17"/>
              </w:rPr>
              <w:t>3,047</w:t>
            </w:r>
          </w:p>
        </w:tc>
        <w:tc>
          <w:tcPr>
            <w:tcW w:type="dxa" w:w="1440"/>
            <w:shd w:fill="FFDCE0" w:val="clear"/>
          </w:tcPr>
          <w:p>
            <w:r>
              <w:rPr>
                <w:sz w:val="17"/>
              </w:rPr>
              <w:t>3,334</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2,705</w:t>
            </w:r>
          </w:p>
        </w:tc>
        <w:tc>
          <w:tcPr>
            <w:tcW w:type="dxa" w:w="1440"/>
            <w:shd w:fill="FFDCE0" w:val="clear"/>
          </w:tcPr>
          <w:p>
            <w:r>
              <w:rPr>
                <w:b/>
                <w:sz w:val="17"/>
              </w:rPr>
              <w:t>3,022</w:t>
            </w:r>
          </w:p>
        </w:tc>
        <w:tc>
          <w:tcPr>
            <w:tcW w:type="dxa" w:w="1440"/>
            <w:shd w:fill="FFDCE0" w:val="clear"/>
          </w:tcPr>
          <w:p>
            <w:r>
              <w:rPr>
                <w:sz w:val="17"/>
              </w:rPr>
              <w:t>3,340</w:t>
            </w:r>
          </w:p>
        </w:tc>
        <w:tc>
          <w:tcPr>
            <w:tcW w:type="dxa" w:w="1440"/>
            <w:shd w:fill="FFDCE0" w:val="clear"/>
          </w:tcPr>
          <w:p>
            <w:r>
              <w:rPr>
                <w:b/>
                <w:color w:val="C00000"/>
                <w:sz w:val="17"/>
              </w:rPr>
              <w:t>-4.4%</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2,653</w:t>
            </w:r>
          </w:p>
        </w:tc>
        <w:tc>
          <w:tcPr>
            <w:tcW w:type="dxa" w:w="1440"/>
            <w:shd w:fill="FFDCE0" w:val="clear"/>
          </w:tcPr>
          <w:p>
            <w:r>
              <w:rPr>
                <w:b/>
                <w:sz w:val="17"/>
              </w:rPr>
              <w:t>2,999</w:t>
            </w:r>
          </w:p>
        </w:tc>
        <w:tc>
          <w:tcPr>
            <w:tcW w:type="dxa" w:w="1440"/>
            <w:shd w:fill="FFDCE0" w:val="clear"/>
          </w:tcPr>
          <w:p>
            <w:r>
              <w:rPr>
                <w:sz w:val="17"/>
              </w:rPr>
              <w:t>3,344</w:t>
            </w:r>
          </w:p>
        </w:tc>
        <w:tc>
          <w:tcPr>
            <w:tcW w:type="dxa" w:w="1440"/>
            <w:shd w:fill="FFDCE0" w:val="clear"/>
          </w:tcPr>
          <w:p>
            <w:r>
              <w:rPr>
                <w:b/>
                <w:color w:val="C00000"/>
                <w:sz w:val="17"/>
              </w:rPr>
              <w:t>-5.1%</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2,605</w:t>
            </w:r>
          </w:p>
        </w:tc>
        <w:tc>
          <w:tcPr>
            <w:tcW w:type="dxa" w:w="1440"/>
            <w:shd w:fill="FFDCE0" w:val="clear"/>
          </w:tcPr>
          <w:p>
            <w:r>
              <w:rPr>
                <w:b/>
                <w:sz w:val="17"/>
              </w:rPr>
              <w:t>2,975</w:t>
            </w:r>
          </w:p>
        </w:tc>
        <w:tc>
          <w:tcPr>
            <w:tcW w:type="dxa" w:w="1440"/>
            <w:shd w:fill="FFDCE0" w:val="clear"/>
          </w:tcPr>
          <w:p>
            <w:r>
              <w:rPr>
                <w:sz w:val="17"/>
              </w:rPr>
              <w:t>3,346</w:t>
            </w:r>
          </w:p>
        </w:tc>
        <w:tc>
          <w:tcPr>
            <w:tcW w:type="dxa" w:w="1440"/>
            <w:shd w:fill="FFDCE0" w:val="clear"/>
          </w:tcPr>
          <w:p>
            <w:r>
              <w:rPr>
                <w:b/>
                <w:color w:val="C00000"/>
                <w:sz w:val="17"/>
              </w:rPr>
              <w:t>-5.8%</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2,561</w:t>
            </w:r>
          </w:p>
        </w:tc>
        <w:tc>
          <w:tcPr>
            <w:tcW w:type="dxa" w:w="1440"/>
            <w:shd w:fill="FFDCE0" w:val="clear"/>
          </w:tcPr>
          <w:p>
            <w:r>
              <w:rPr>
                <w:b/>
                <w:sz w:val="17"/>
              </w:rPr>
              <w:t>2,953</w:t>
            </w:r>
          </w:p>
        </w:tc>
        <w:tc>
          <w:tcPr>
            <w:tcW w:type="dxa" w:w="1440"/>
            <w:shd w:fill="FFDCE0" w:val="clear"/>
          </w:tcPr>
          <w:p>
            <w:r>
              <w:rPr>
                <w:sz w:val="17"/>
              </w:rPr>
              <w:t>3,346</w:t>
            </w:r>
          </w:p>
        </w:tc>
        <w:tc>
          <w:tcPr>
            <w:tcW w:type="dxa" w:w="1440"/>
            <w:shd w:fill="FFDCE0" w:val="clear"/>
          </w:tcPr>
          <w:p>
            <w:r>
              <w:rPr>
                <w:b/>
                <w:color w:val="C00000"/>
                <w:sz w:val="17"/>
              </w:rPr>
              <w:t>-6.5%</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2,518</w:t>
            </w:r>
          </w:p>
        </w:tc>
        <w:tc>
          <w:tcPr>
            <w:tcW w:type="dxa" w:w="1440"/>
            <w:shd w:fill="FFDCE0" w:val="clear"/>
          </w:tcPr>
          <w:p>
            <w:r>
              <w:rPr>
                <w:b/>
                <w:sz w:val="17"/>
              </w:rPr>
              <w:t>2,932</w:t>
            </w:r>
          </w:p>
        </w:tc>
        <w:tc>
          <w:tcPr>
            <w:tcW w:type="dxa" w:w="1440"/>
            <w:shd w:fill="FFDCE0" w:val="clear"/>
          </w:tcPr>
          <w:p>
            <w:r>
              <w:rPr>
                <w:sz w:val="17"/>
              </w:rPr>
              <w:t>3,346</w:t>
            </w:r>
          </w:p>
        </w:tc>
        <w:tc>
          <w:tcPr>
            <w:tcW w:type="dxa" w:w="1440"/>
            <w:shd w:fill="FFDCE0" w:val="clear"/>
          </w:tcPr>
          <w:p>
            <w:r>
              <w:rPr>
                <w:b/>
                <w:color w:val="C00000"/>
                <w:sz w:val="17"/>
              </w:rPr>
              <w:t>-7.2%</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2,479</w:t>
            </w:r>
          </w:p>
        </w:tc>
        <w:tc>
          <w:tcPr>
            <w:tcW w:type="dxa" w:w="1440"/>
            <w:shd w:fill="FFDCE0" w:val="clear"/>
          </w:tcPr>
          <w:p>
            <w:r>
              <w:rPr>
                <w:b/>
                <w:sz w:val="17"/>
              </w:rPr>
              <w:t>2,911</w:t>
            </w:r>
          </w:p>
        </w:tc>
        <w:tc>
          <w:tcPr>
            <w:tcW w:type="dxa" w:w="1440"/>
            <w:shd w:fill="FFDCE0" w:val="clear"/>
          </w:tcPr>
          <w:p>
            <w:r>
              <w:rPr>
                <w:sz w:val="17"/>
              </w:rPr>
              <w:t>3,344</w:t>
            </w:r>
          </w:p>
        </w:tc>
        <w:tc>
          <w:tcPr>
            <w:tcW w:type="dxa" w:w="1440"/>
            <w:shd w:fill="FFDCE0" w:val="clear"/>
          </w:tcPr>
          <w:p>
            <w:r>
              <w:rPr>
                <w:b/>
                <w:color w:val="C00000"/>
                <w:sz w:val="17"/>
              </w:rPr>
              <w:t>-7.9%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TOTALENERGIES MARKETING CÔTE D'IVOIRE (TTLC)</w:t>
        <w:br/>
        <w:t>**Bourse Régionale des Valeurs Mobilières (BRVM) — Secteur : Distribution pétrolière / Énergie**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**198,96 milliards FCFA**, TTLC figure parmi les valeurs les plus importantes de la cote BRVM, ce qui en fait un titre de référence pour les investisseurs institutionnels régionaux. Le **BPA de 144 FCFA/action** confère au titre un **PER de 21,9x**, nettement supérieur à la moyenne du marché BRVM (généralement située entre 8 et 12x), ce qui traduit soit une anticipation de croissance soutenue, soit une prime de qualité liée au statut de leader du secteur. Le **P/B de 5,50x** — largement au-dessus du seuil de 4x — indique que le marché valorise l'entreprise à plus de cinq fois sa valeur comptable, une prime exigeante qui reflète la confiance dans la rentabilité des fonds propres (ROE de 25,1%). Enfin, l'**EV/EBITDA de 11,3x**, dans la fourchette haute (10-15x), suggère que la valeur totale de l'entreprise (dette incluse) est chèrement valorisée par rapport à sa capacité opérationnelle, ce qui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**progression totale de +17,04%**, malgré un repli de **-3,36% lors de la dernière séance**, signalant une correction récente après un rallye haussier. Le cours actuel de **3 160 FCFA** se situe dans la partie haute du range de trading établi entre un plus bas de **2 700 FCFA** et un plus haut de **3 595 FCFA**, ce qui confirme une tendance générale haussière sur la période. Les statistiques descriptives révèlent une **moyenne de 2 987 FCFA** supérieure à la **médiane de 2 905 FCFA**, écart caractéristique d'une distribution asymétrique positivement (skewness de **0,919**), indiquant que le cours a passé plus de journées sous sa moyenne mais avec des pics haussiers marqués. L'**écart-type de 208 FCFA** avec un **coefficient de variation de 7,0%** traduit une dispersion modérée du cours autour de sa moyenne, tandis que le **kurtosis de -0,192** (mésokurtique) suggère une distribution proche de la normale, sans risque excessif de pics extrêmes. La **volatilité annualisée de 40,9%** positionne clairement TTLC dans la catégorie des titres à volatilité élevée (&gt;30%), ce qui implique un risque de fluctuation important et justifie une approche d'investissement prudente avec un horizon adapté.</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**3 331,5 FCFA** et la MM50 à **3 122,4 FCFA**, toutes deux supérieures au cours actuel de 3 160 FCFA, ce qui place le titre sous ses moyennes court et moyen terme. La MM20 &gt; MM50 indique une configuration haussière de fond, mais le prix sous la MM20 signale une pression baissière de court terme. La décision technique affichée est **Achat**, probablement justifiée par le fait que le cours reste au-dessus de la MM50 et que la tendance de fond demeure positive.</w:t>
      </w:r>
    </w:p>
    <w:p>
      <w:pPr>
        <w:spacing w:after="120" w:line="276" w:lineRule="auto"/>
      </w:pPr>
      <w:r>
        <w:t>**Bandes de Bollinger :** Le cours actuel de **3 160 FCFA** se situe juste au-dessus de la borne inférieure (**3 137,4 FCFA**) et très en dessous de la borne supérieure (**3 525,6 FCFA**), ce qui le place dans la zone basse du canal de Bollinger. Cette position suggère que le titre est proche d'une zone de survente relative et pourrait bénéficier d'un rebond technique. La décision est **Neutre**, reflétant l'absence de signal directionnel fort malgré la position basse dans le canal.</w:t>
      </w:r>
    </w:p>
    <w:p>
      <w:pPr>
        <w:spacing w:after="120" w:line="276" w:lineRule="auto"/>
      </w:pPr>
      <w:r>
        <w:t>**MACD :** La valeur du MACD (**24,091**) est nettement inférieure à son signal (**52,403**), générant une divergence baissière significative qui indique un essoufflement du momentum haussier. Le croisement MACD sous sa ligne de signal confirme la perte de dynamique positive et justifie la décision de **Vente** émise par cet indicateur, en cohérence avec la correction récente du cours.</w:t>
      </w:r>
    </w:p>
    <w:p>
      <w:pPr>
        <w:spacing w:after="120" w:line="276" w:lineRule="auto"/>
      </w:pPr>
      <w:r>
        <w:t>**RSI :** Avec une valeur de **30,973**, le RSI se situe juste au-dessus du seuil de survente (30), dans la zone neutre basse. Cela indique que le titre n'est pas encore techniquement en survente mais s'en approche dangereusement, ce qui pourrait attirer les acheteurs à contre-tendance. La décision est **Neutre**, le RSI n'ayant pas encore franchi le seuil déclencheur d'un signal d'achat.</w:t>
      </w:r>
    </w:p>
    <w:p>
      <w:pPr>
        <w:spacing w:after="120" w:line="276" w:lineRule="auto"/>
      </w:pPr>
      <w:r>
        <w:t>**Stochastique :** Le %K à **0,0** et le %D à **26,132** montrent un croisement baissier extrême, le %K étant au plus bas absolu de son échelle. Cette configuration signale une pression vendeuse intense mais également une proximité immédiate d'une zone de rebond potentiel. La décision affichée est paradoxalement **Achat**, probablement basée sur l'anticipation d'un retournement après cette survente extrême.</w:t>
      </w:r>
    </w:p>
    <w:p>
      <w:pPr>
        <w:spacing w:after="120" w:line="276" w:lineRule="auto"/>
      </w:pPr>
      <w:r>
        <w:t>**Conclusion technique :** Les indicateurs techniques présentent un tableau mitigé et contradictoire. Les moyennes mobiles et le stochastique suggèrent un potentiel d'achat, tandis que le MACD confirme une dynamique baissière et que le RSI et les bandes de Bollinger indiquent une position basse sans survente franche. Cette divergence entre indicateurs traduit une phase d'incertitude et de consolidation, avec un biais baissier de court terme mais un support technique solide autour de 3 100-3 140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TotalEnergies Marketing Côte d'Ivoire a réalisé un chiffre d'affaires de **588,709 milliards FCFA**, en repli de **-5,21%** par rapport à 2024 (621,0 milliards), reflétant un environnement de prix et de volumes moins favorable. Le résultat net s'établit à **9,087 milliards FCFA**, en légère baisse de -3% par rapport aux 9,374 milliards de 2024, mais la **marge nette se maintient à 1,54%** et le **ROE atteint 25,10%**, un niveau excellent qui témoigne d'une remarquable efficacité dans l'utilisation des capitaux propres (36,202 milliards FCFA). Le **ROA de 4,82%** reste solide pour un distributeur à forte rotation d'actifs (312,36%). Sur le plan opérationnel, l'**EBE progresse de +12% à 22,347 milliards FCFA** et le **résultat d'exploitation bondit de +18% à 12,329 milliards**, signe d'une meilleure maîtrise des coûts et d'un mix produit plus favorable. La structure financière présente toutefois des signaux d'alerte : l'**autonomie financière n'est que de 19,21%** (capitaux propres/total bilan), le **ratio d'endettement atteint 90,23%** et la **trésorerie nette est négative à -21,926 milliards FCFA**, avec un BFR négatif de -9,662 milliards (favorable à l'exploitation mais insuffisant pour compenser les besoins de financement). Les délais fournisseurs de **49,72 jours** et la durée de stockage de **13,80 jours** confirment une gestion efficace du cycle d'exploitation, typique d'un distributeur de carburants.</w:t>
      </w:r>
    </w:p>
    <w:p>
      <w:pPr>
        <w:spacing w:after="120" w:line="276" w:lineRule="auto"/>
      </w:pPr>
      <w:r>
        <w:t>**Estimations basées sur les rapports trimestriels :** Le rapport du **T1 2026** (publié en 2026) fait état d'un chiffre d'affaires de **154,392 milliards FCFA en hausse de +4,3%** et d'un **résultat net de 2,329 milliards FCFA en progression de +5,5%**, marquant un retour à la croissance après le repli de 2025. Le réseau compte désormais **182 stations-service**, et la direction réaffirme sa stratégie d'investissement dans le GPL, les lubrifiants et l'expansion du réseau. Sur cette base, on peut estimer que l'exercice 2026 devrait renouer avec une croissance modérée du chiffre d'affaires (+3 à +5%) et une amélioration du résultat net, sous réserve de la stabilité des prix pétroliers et de l'absence de charges exceptionnelles. Le rapport annuel 2025 (publié en 2026) confirme la distribution d'un **dividende brut de 10 milliards FCFA**, soit un **taux de distribution supérieur à 100%** du résultat net, ce qui traduit une politique généreuse mais questionne la soutenabilité à long terme compte tenu de la trésorerie nette négative.</w:t>
      </w:r>
    </w:p>
    <w:p>
      <w:pPr>
        <w:spacing w:after="120" w:line="276" w:lineRule="auto"/>
      </w:pPr>
      <w:r>
        <w:t>**Recommandation fondamentale :** TTLC demeure un acteur solide et rentable du secteur énergétique ivoirien, avec un ROE élevé et une amélioration de la rentabilité opérationnelle. Cependant, la dégradation de la trésorerie, l'endettement élevé et le payout supérieur à 100% constituent des risques à surveiller. La recommandation fondamentale est **CONSERVER**, avec un biais positif si la croissance du T1 2026 se confirme sur l'ensemble de l'exercice.</w:t>
      </w:r>
    </w:p>
    <w:p>
      <w:pPr>
        <w:spacing w:after="120" w:line="276" w:lineRule="auto"/>
      </w:pPr>
      <w:r>
        <w:t>---</w:t>
      </w:r>
    </w:p>
    <w:p>
      <w:pPr>
        <w:spacing w:after="120" w:line="276" w:lineRule="auto"/>
      </w:pPr>
      <w:r>
        <w:t>## PARTIE 4 : CONCLUSION D'INVESTISSEMENT</w:t>
      </w:r>
    </w:p>
    <w:p>
      <w:pPr>
        <w:spacing w:after="120" w:line="276" w:lineRule="auto"/>
      </w:pPr>
      <w:r>
        <w:t>La valorisation de TTLC apparaît **exigeante** avec un PER de 21,9x et un P/B de 5,50x, nettement supérieurs aux moyennes du marché BRVM, ce qui intègre déjà une prime de qualité et des anticipations de croissance qui devront être confirmées par les résultats. Le comportement du cours sur 100 jours est haussier (+17,04%) mais la correction récente (-3,36% en J-1) et la volatilité élevée (40,9%) suggèrent une phase de consolidation, avec une distribution asymétrique positivement (skewness 0,919) indiquant que les pics haussiers ont été plus fréquents que les creux. Les signaux techniques sont **divergents** : le MACD est baissier, le RSI et les bandes de Bollinger sont neutres, tandis que les moyennes mobiles et le stochastique suggèrent un potentiel de rebond, créant une incertitude directionnelle de court terme. Les fondamentaux restent **solides** (ROE 25,1%, EBE +12%, résultat d'exploitation +18%) mais entachés par une trésorerie nette négative et un payout excessif, même si le T1 2026 (+4,3% de CA, +5,5% de résultat net) confirme un retour à la croissance. Les **prédictions IA** anticipent une poursuite de la correction baissière sur 10 jours (de 3 130 à 3 022 FCFA, soit -4,4%), ce qui contredit les signaux d'achat des moyennes mobiles et du stochastique mais confirme la pression baissière du MACD. **Synthèse globale :** la convergence entre valorisation élevée, technique mitigée, fondamentaux solides mais risqués et prédictions baissières conduit à une recommandation de **CONSERVER**, avec un niveau de confiance **Moyen** et un risque global **Élevé** (volatilité 40,9%, endettement 90,2%, trésorerie négative). L'horizon d'investissement optimal est le **moyen terme (3-12 mois)**, le temps que la croissance du T1 2026 se confirme et que la situation de trésorerie s'améliore, avec un point d'entrée idéal autour de 3 000-3 050 FCFA si la correction se poursuit.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128.68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2,621 titres</w:t>
            </w:r>
          </w:p>
        </w:tc>
        <w:tc>
          <w:tcPr>
            <w:tcW w:type="dxa" w:w="2268"/>
            <w:shd w:fill="FFF2CC" w:val="clear"/>
          </w:tcPr>
          <w:p>
            <w:r>
              <w:rPr>
                <w:b/>
                <w:color w:val="503200"/>
                <w:sz w:val="16"/>
              </w:rPr>
              <w:t xml:space="preserve">Cours actuel : </w:t>
            </w:r>
            <w:r>
              <w:rPr>
                <w:color w:val="000000"/>
                <w:sz w:val="17"/>
              </w:rPr>
              <w:t>3,950 FCFA</w:t>
            </w:r>
          </w:p>
          <w:p>
            <w:r>
              <w:rPr>
                <w:b/>
                <w:color w:val="503200"/>
                <w:sz w:val="16"/>
              </w:rPr>
              <w:t xml:space="preserve">Var. 100 jours : </w:t>
            </w:r>
            <w:r>
              <w:rPr>
                <w:b/>
                <w:color w:val="007800"/>
                <w:sz w:val="17"/>
              </w:rPr>
              <w:t>+21.73%</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10.06% (Moyenne) — μ=3,606 FCFA, σ=363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β=0.6623 (Défensif) — Cov=0.000024, Var(idx)=0.000036, ρ=0.144,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3,754</w:t>
            </w:r>
          </w:p>
        </w:tc>
        <w:tc>
          <w:tcPr>
            <w:tcW w:type="dxa" w:w="1440"/>
            <w:shd w:fill="FAFAFA" w:val="clear"/>
          </w:tcPr>
          <w:p>
            <w:r>
              <w:rPr>
                <w:b/>
                <w:sz w:val="17"/>
              </w:rPr>
              <w:t>3,904</w:t>
            </w:r>
          </w:p>
        </w:tc>
        <w:tc>
          <w:tcPr>
            <w:tcW w:type="dxa" w:w="1440"/>
            <w:shd w:fill="FAFAFA" w:val="clear"/>
          </w:tcPr>
          <w:p>
            <w:r>
              <w:rPr>
                <w:sz w:val="17"/>
              </w:rPr>
              <w:t>4,054</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3,689</w:t>
            </w:r>
          </w:p>
        </w:tc>
        <w:tc>
          <w:tcPr>
            <w:tcW w:type="dxa" w:w="1440"/>
            <w:shd w:fill="FAFAFA" w:val="clear"/>
          </w:tcPr>
          <w:p>
            <w:r>
              <w:rPr>
                <w:b/>
                <w:sz w:val="17"/>
              </w:rPr>
              <w:t>3,902</w:t>
            </w:r>
          </w:p>
        </w:tc>
        <w:tc>
          <w:tcPr>
            <w:tcW w:type="dxa" w:w="1440"/>
            <w:shd w:fill="FAFAFA" w:val="clear"/>
          </w:tcPr>
          <w:p>
            <w:r>
              <w:rPr>
                <w:sz w:val="17"/>
              </w:rPr>
              <w:t>4,114</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3,638</w:t>
            </w:r>
          </w:p>
        </w:tc>
        <w:tc>
          <w:tcPr>
            <w:tcW w:type="dxa" w:w="1440"/>
            <w:shd w:fill="FAFAFA" w:val="clear"/>
          </w:tcPr>
          <w:p>
            <w:r>
              <w:rPr>
                <w:b/>
                <w:sz w:val="17"/>
              </w:rPr>
              <w:t>3,898</w:t>
            </w:r>
          </w:p>
        </w:tc>
        <w:tc>
          <w:tcPr>
            <w:tcW w:type="dxa" w:w="1440"/>
            <w:shd w:fill="FAFAFA" w:val="clear"/>
          </w:tcPr>
          <w:p>
            <w:r>
              <w:rPr>
                <w:sz w:val="17"/>
              </w:rPr>
              <w:t>4,158</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3,594</w:t>
            </w:r>
          </w:p>
        </w:tc>
        <w:tc>
          <w:tcPr>
            <w:tcW w:type="dxa" w:w="1440"/>
            <w:shd w:fill="FAFAFA" w:val="clear"/>
          </w:tcPr>
          <w:p>
            <w:r>
              <w:rPr>
                <w:b/>
                <w:sz w:val="17"/>
              </w:rPr>
              <w:t>3,894</w:t>
            </w:r>
          </w:p>
        </w:tc>
        <w:tc>
          <w:tcPr>
            <w:tcW w:type="dxa" w:w="1440"/>
            <w:shd w:fill="FAFAFA" w:val="clear"/>
          </w:tcPr>
          <w:p>
            <w:r>
              <w:rPr>
                <w:sz w:val="17"/>
              </w:rPr>
              <w:t>4,194</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3,555</w:t>
            </w:r>
          </w:p>
        </w:tc>
        <w:tc>
          <w:tcPr>
            <w:tcW w:type="dxa" w:w="1440"/>
            <w:shd w:fill="FAFAFA" w:val="clear"/>
          </w:tcPr>
          <w:p>
            <w:r>
              <w:rPr>
                <w:b/>
                <w:sz w:val="17"/>
              </w:rPr>
              <w:t>3,891</w:t>
            </w:r>
          </w:p>
        </w:tc>
        <w:tc>
          <w:tcPr>
            <w:tcW w:type="dxa" w:w="1440"/>
            <w:shd w:fill="FAFAFA" w:val="clear"/>
          </w:tcPr>
          <w:p>
            <w:r>
              <w:rPr>
                <w:sz w:val="17"/>
              </w:rPr>
              <w:t>4,226</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3,521</w:t>
            </w:r>
          </w:p>
        </w:tc>
        <w:tc>
          <w:tcPr>
            <w:tcW w:type="dxa" w:w="1440"/>
            <w:shd w:fill="FAFAFA" w:val="clear"/>
          </w:tcPr>
          <w:p>
            <w:r>
              <w:rPr>
                <w:b/>
                <w:sz w:val="17"/>
              </w:rPr>
              <w:t>3,888</w:t>
            </w:r>
          </w:p>
        </w:tc>
        <w:tc>
          <w:tcPr>
            <w:tcW w:type="dxa" w:w="1440"/>
            <w:shd w:fill="FAFAFA" w:val="clear"/>
          </w:tcPr>
          <w:p>
            <w:r>
              <w:rPr>
                <w:sz w:val="17"/>
              </w:rPr>
              <w:t>4,255</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3,489</w:t>
            </w:r>
          </w:p>
        </w:tc>
        <w:tc>
          <w:tcPr>
            <w:tcW w:type="dxa" w:w="1440"/>
            <w:shd w:fill="FAFAFA" w:val="clear"/>
          </w:tcPr>
          <w:p>
            <w:r>
              <w:rPr>
                <w:b/>
                <w:sz w:val="17"/>
              </w:rPr>
              <w:t>3,885</w:t>
            </w:r>
          </w:p>
        </w:tc>
        <w:tc>
          <w:tcPr>
            <w:tcW w:type="dxa" w:w="1440"/>
            <w:shd w:fill="FAFAFA" w:val="clear"/>
          </w:tcPr>
          <w:p>
            <w:r>
              <w:rPr>
                <w:sz w:val="17"/>
              </w:rPr>
              <w:t>4,281</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2026-09-30</w:t>
            </w:r>
          </w:p>
        </w:tc>
        <w:tc>
          <w:tcPr>
            <w:tcW w:type="dxa" w:w="1440"/>
            <w:shd w:fill="FAFAFA" w:val="clear"/>
          </w:tcPr>
          <w:p>
            <w:r>
              <w:rPr>
                <w:sz w:val="17"/>
              </w:rPr>
              <w:t>3,460</w:t>
            </w:r>
          </w:p>
        </w:tc>
        <w:tc>
          <w:tcPr>
            <w:tcW w:type="dxa" w:w="1440"/>
            <w:shd w:fill="FAFAFA" w:val="clear"/>
          </w:tcPr>
          <w:p>
            <w:r>
              <w:rPr>
                <w:b/>
                <w:sz w:val="17"/>
              </w:rPr>
              <w:t>3,883</w:t>
            </w:r>
          </w:p>
        </w:tc>
        <w:tc>
          <w:tcPr>
            <w:tcW w:type="dxa" w:w="1440"/>
            <w:shd w:fill="FAFAFA" w:val="clear"/>
          </w:tcPr>
          <w:p>
            <w:r>
              <w:rPr>
                <w:sz w:val="17"/>
              </w:rPr>
              <w:t>4,306</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2026-10-01</w:t>
            </w:r>
          </w:p>
        </w:tc>
        <w:tc>
          <w:tcPr>
            <w:tcW w:type="dxa" w:w="1440"/>
            <w:shd w:fill="FAFAFA" w:val="clear"/>
          </w:tcPr>
          <w:p>
            <w:r>
              <w:rPr>
                <w:sz w:val="17"/>
              </w:rPr>
              <w:t>3,432</w:t>
            </w:r>
          </w:p>
        </w:tc>
        <w:tc>
          <w:tcPr>
            <w:tcW w:type="dxa" w:w="1440"/>
            <w:shd w:fill="FAFAFA" w:val="clear"/>
          </w:tcPr>
          <w:p>
            <w:r>
              <w:rPr>
                <w:b/>
                <w:sz w:val="17"/>
              </w:rPr>
              <w:t>3,880</w:t>
            </w:r>
          </w:p>
        </w:tc>
        <w:tc>
          <w:tcPr>
            <w:tcW w:type="dxa" w:w="1440"/>
            <w:shd w:fill="FAFAFA" w:val="clear"/>
          </w:tcPr>
          <w:p>
            <w:r>
              <w:rPr>
                <w:sz w:val="17"/>
              </w:rPr>
              <w:t>4,329</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2026-10-02</w:t>
            </w:r>
          </w:p>
        </w:tc>
        <w:tc>
          <w:tcPr>
            <w:tcW w:type="dxa" w:w="1440"/>
            <w:shd w:fill="FAFAFA" w:val="clear"/>
          </w:tcPr>
          <w:p>
            <w:r>
              <w:rPr>
                <w:sz w:val="17"/>
              </w:rPr>
              <w:t>3,406</w:t>
            </w:r>
          </w:p>
        </w:tc>
        <w:tc>
          <w:tcPr>
            <w:tcW w:type="dxa" w:w="1440"/>
            <w:shd w:fill="FAFAFA" w:val="clear"/>
          </w:tcPr>
          <w:p>
            <w:r>
              <w:rPr>
                <w:b/>
                <w:sz w:val="17"/>
              </w:rPr>
              <w:t>3,878</w:t>
            </w:r>
          </w:p>
        </w:tc>
        <w:tc>
          <w:tcPr>
            <w:tcW w:type="dxa" w:w="1440"/>
            <w:shd w:fill="FAFAFA" w:val="clear"/>
          </w:tcPr>
          <w:p>
            <w:r>
              <w:rPr>
                <w:sz w:val="17"/>
              </w:rPr>
              <w:t>4,351</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128,68 Mds FCFA, TTLS figure parmi les valeurs de moyenne capitalisation de la cote BRVM, ce qui traduit une liquidité limitée mais une certaine stabilité institutionnelle. Le BPA de 208 FCFA/action indique ce que chaque titre génère en bénéfice net, et le PER de 19,0x signifie que les investisseurs paient environ 19 fois les bénéfices annuels, soit une prime notable par rapport au PER moyen de la BRVM (8-12x) — le titre est donc valorisé avec une certaine générosité. Le P/B de 4,56x confirme cette exigence : le marché valorise l'action à plus de quatre fois sa valeur comptable, ce qui est élevé pour une activité de distribution à faible marge. En revanche, l'EV/EBITDA de 8,1x, situé dans la fourchette raisonnable de 5-10x, suggère que la valeur d'entreprise reste cohérente avec la capacité opérationnelle de génération de cash-flow, offrant un contrepoids partiel à la cherté relative du PER et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TTLS affiche une performance remarquable de +21,73%, avec une dernière séance en hausse de +3,95%, confirmant un momentum haussier soutenu. Le cours actuel de 3 950 FCFA se situe dans la partie haute du range de trading établi entre 2 845 FCFA (plus bas) et 4 500 FCFA (plus haut), soit une amplitude de 58% qui témoigne d'une réelle dynamique acheteuse. La moyenne (3 606 FCFA) et la médiane (3 628 FCFA) sont très proches, ce qui indique une distribution quasi symétrique du cours, confirmée par un skewness de 0,007 — pratiquement nul. L'écart-type de 364 FCFA avec un coefficient de variation de 10,1% traduit une dispersion modérée autour de la moyenne, tandis que le kurtosis de -0,385 (mésokurtique) suggère une distribution proche de la normale, sans risque marqué de pics extrêmes. La volatilité annualisée de 44,0% classe le titre dans la catégorie des valeurs à volatilité élevée (&gt;30%), ce qui implique un risque de fluctuation important mais cohérent avec la dynamique haussière observée.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(3 854,5 FCFA) et la MM50 (3 817,2 FCFA) se situent toutes deux sous le cours actuel (3 950 FCFA), et la MM20 est au-dessus de la MM50, configurant un croisement haussier classique. Cette configuration confirme la décision d'**Achat**, le titre évoluant au-dessus de ses supports mobiles avec une tendance de fond positive.</w:t>
      </w:r>
    </w:p>
    <w:p>
      <w:pPr>
        <w:spacing w:after="120" w:line="276" w:lineRule="auto"/>
      </w:pPr>
      <w:r>
        <w:t>**Bandes de Bollinger** : Le cours (3 950 FCFA) évolue dans la partie supérieure de la bande, proche de la borne supérieure (4 006,6 FCFA) et nettement au-dessus de la borne inférieure (3 702,4 FCFA). Cette position indique une pression acheteuse sans franchissement de seuil de surachat, justifiant la décision **Neutre** — le titre est proche d'une zone de résistance potentielle.</w:t>
      </w:r>
    </w:p>
    <w:p>
      <w:pPr>
        <w:spacing w:after="120" w:line="276" w:lineRule="auto"/>
      </w:pPr>
      <w:r>
        <w:t>**MACD** : Le MACD (44,291) est supérieur à son signal (38,046), avec un histogramme positif, ce qui confirme un momentum haussier en cours. La décision **Achat** est cohérente avec cette divergence positive, bien que l'écart reste modéré, suggérant une dynamique solide mais non explosive.</w:t>
      </w:r>
    </w:p>
    <w:p>
      <w:pPr>
        <w:spacing w:after="120" w:line="276" w:lineRule="auto"/>
      </w:pPr>
      <w:r>
        <w:t>**RSI** : À 61,029, le RSI se situe en zone neutre-haute (30-70), sans atteindre le seuil de surachat de 70. La décision **Neutre** reflète un équilibre entre force acheteuse et absence de tension extrême, laissant de la marge à la hausse.</w:t>
      </w:r>
    </w:p>
    <w:p>
      <w:pPr>
        <w:spacing w:after="120" w:line="276" w:lineRule="auto"/>
      </w:pPr>
      <w:r>
        <w:t>**Stochastique** : Le %K (76,19) est nettement supérieur au %D (52,381), avec un croisement haussier récent. La décision **Neutre** s'explique par la proximité du %K avec la zone de surachat (80), mais la configuration reste favorable à court terme.</w:t>
      </w:r>
    </w:p>
    <w:p>
      <w:pPr>
        <w:spacing w:after="120" w:line="276" w:lineRule="auto"/>
      </w:pPr>
      <w:r>
        <w:t>**Conclusion technique** : La convergence des signaux — cours au-dessus des MM, MACD haussier, RSI neutre-haut, stochastique positif — plaide pour une tendance haussière modérée. Les Bandes de Bollinger et le RSI tempèrent l'enthousiasme en l'absence de surachat, suggérant une consolidation possible avant une nouvelle impulsion. Le biais technique global est **haussier mais prudent**.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TotalEnergies Marketing Sénégal (TTLS) affiche un chiffre d'affaires de 455,209 Mds FCFA, en baisse de 6,1% sur un an, et un résultat net de 6,779 Mds FCFA (contre 7,140 Mds en 2024, soit -5,1%). Le ROE s'établit à 24,0%, un niveau excellent (&gt;15%), et le ROA à 3,95%, reflétant la faible intensité capitalistique du modèle. La marge nette reste structurellement faible à 1,49%, typique de la distribution de commodités, tandis que la marge brute de 28,7% et la marge opérationnelle de 1,91% confirment la pression sur les coûts. Le BFR est négatif à -36,899 Mds FCFA — un point favorable — et la trésorerie nette atteint 13,941 Mds FCFA, en amélioration significative (20,567 Mds FCFA de trésorerie actif). Les délais clients (47,43 jours) et fournisseurs (97,76 jours) révèlent un bon pouvoir de négociation en aval, mais un risque de trésorerie en amont. L'autonomie financière est faible (16,44%), avec un ratio d'endettement de 52,16%, mais la couverture des intérêts (485,9%) et la capacité de remboursement (0,94 an) sont rassurantes. Sur la base du rapport T1 2026 (publié le 4 mai 2026), le CA recule de 10% à 99,9 Mds FCFA sous l'effet de la baisse réglementaire des prix à la pompe, mais le résultat d'exploitation progresse de 28% à 2,623 Mds FCFA et le résultat net de 5% à 1,585 Mds FCFA, grâce à l'amélioration des marges sur les lubrifiants. On estime donc que l'exercice 2026 devrait confirmer la résilience opérationnelle malgré la pression sur les volumes, avec une marge nette attendue autour de 1,6%. La recommandation fondamentale est **CONSERVER** : solidité du leader, génération de cash-flow robuste (FCF 17,483 Mds FCFA), mais absence de visibilité sur la politique de dividende et dépendance aux décisions réglementaires de l'État sénégalais.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 PER de 19,0x et P/B de 4,56x traduisent une prime significative par rapport aux standards de la BRVM, bien que l'EV/EBITDA de 8,1x reste raisonnable. Le comportement du cours (Partie 1) est nettement haussier (+21,73% sur 100 jours), avec une distribution symétrique (skewness ~0) et une volatilité élevée (44%), ce qui est favorable pour un investisseur dynamique mais préoccupant pour un profil prudent. Les signaux techniques (Partie 2) convergent vers un biais haussier modéré (MM, MACD, Stochastique positifs), tempéré par un RSI neutre et des Bandes de Bollinger proches de la résistance. Les fondamentaux (Partie 3) révèlent une société solide mais à faible marge, avec un ROE excellent (24%), une trésorerie en amélioration et une résilience opérationnelle confirmée par le T1 2026 (+28% de résultat d'exploitation). Les prédictions IA (J+1 à J+10) anticipent une légère correction vers 3 891-3 904 FCFA, ce qui contredit partiellement le momentum haussier actuel et suggère une consolidation à court terme. Sur la base de cette synthèse, la recommandation finale est **CONSERVER**, avec un niveau de confiance **Moyen** et un risque global **Moyen**. L'horizon optimal est le **moyen terme (3-12 mois)**, en attendant la confirmation des volumes et de la politique de dividende, ainsi que la publication des résultats semestriels 2026. Un passage à l'achat serait justifié en cas de repli vers 3 700-3 800 FCFA (zone de support des MM) ou d'annonce d'un dividende attractif.</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481.03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52,380 FCFA</w:t>
            </w:r>
          </w:p>
          <w:p>
            <w:r>
              <w:rPr>
                <w:b/>
                <w:color w:val="503200"/>
                <w:sz w:val="16"/>
              </w:rPr>
              <w:t xml:space="preserve">Var. 100 jours : </w:t>
            </w:r>
            <w:r>
              <w:rPr>
                <w:b/>
                <w:color w:val="B40000"/>
                <w:sz w:val="17"/>
              </w:rPr>
              <w:t>-8.43%</w:t>
            </w:r>
          </w:p>
          <w:p>
            <w:r>
              <w:rPr>
                <w:b/>
                <w:color w:val="503200"/>
                <w:sz w:val="16"/>
              </w:rPr>
              <w:t xml:space="preserve">Plus haut 100j : </w:t>
            </w:r>
            <w:r>
              <w:rPr>
                <w:color w:val="000000"/>
                <w:sz w:val="17"/>
              </w:rPr>
              <w:t>63,345 FCFA</w:t>
            </w:r>
          </w:p>
          <w:p>
            <w:r>
              <w:rPr>
                <w:b/>
                <w:color w:val="503200"/>
                <w:sz w:val="16"/>
              </w:rPr>
              <w:t xml:space="preserve">Plus bas 100j : </w:t>
            </w:r>
            <w:r>
              <w:rPr>
                <w:color w:val="000000"/>
                <w:sz w:val="17"/>
              </w:rPr>
              <w:t>49,025 FCFA</w:t>
            </w:r>
          </w:p>
          <w:p>
            <w:r>
              <w:rPr>
                <w:b/>
                <w:color w:val="503200"/>
                <w:sz w:val="16"/>
              </w:rPr>
              <w:t xml:space="preserve">Volatilité ann. : </w:t>
            </w:r>
            <w:r>
              <w:rPr>
                <w:color w:val="000000"/>
                <w:sz w:val="17"/>
              </w:rPr>
              <w:t>60.3%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26.0/100 → Moyen</w:t>
      </w:r>
    </w:p>
    <w:p>
      <w:pPr>
        <w:spacing w:before="40" w:after="80"/>
      </w:pPr>
      <w:r>
        <w:rPr>
          <w:rFonts w:ascii="Courier New" w:hAnsi="Courier New"/>
          <w:color w:val="825A00"/>
          <w:sz w:val="18"/>
        </w:rPr>
        <w:t>█████░░░░░░░░░░░░░░░  26.0/100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5.37% (Moyenne) — μ=55,495 FCFA, σ=2,977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β=-0.0910 (Contre-cyclique) — Cov=-0.000003, Var(idx)=0.000036, ρ=-0.014,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σ_j=3.80%/j (Modérée) — Vol. annualisée≈60.3%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48,607</w:t>
            </w:r>
          </w:p>
        </w:tc>
        <w:tc>
          <w:tcPr>
            <w:tcW w:type="dxa" w:w="1440"/>
            <w:shd w:fill="FAFAFA" w:val="clear"/>
          </w:tcPr>
          <w:p>
            <w:r>
              <w:rPr>
                <w:b/>
                <w:sz w:val="17"/>
              </w:rPr>
              <w:t>51,875</w:t>
            </w:r>
          </w:p>
        </w:tc>
        <w:tc>
          <w:tcPr>
            <w:tcW w:type="dxa" w:w="1440"/>
            <w:shd w:fill="FAFAFA" w:val="clear"/>
          </w:tcPr>
          <w:p>
            <w:r>
              <w:rPr>
                <w:sz w:val="17"/>
              </w:rPr>
              <w:t>55,143</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47,265</w:t>
            </w:r>
          </w:p>
        </w:tc>
        <w:tc>
          <w:tcPr>
            <w:tcW w:type="dxa" w:w="1440"/>
            <w:shd w:fill="FAFAFA" w:val="clear"/>
          </w:tcPr>
          <w:p>
            <w:r>
              <w:rPr>
                <w:b/>
                <w:sz w:val="17"/>
              </w:rPr>
              <w:t>51,887</w:t>
            </w:r>
          </w:p>
        </w:tc>
        <w:tc>
          <w:tcPr>
            <w:tcW w:type="dxa" w:w="1440"/>
            <w:shd w:fill="FAFAFA" w:val="clear"/>
          </w:tcPr>
          <w:p>
            <w:r>
              <w:rPr>
                <w:sz w:val="17"/>
              </w:rPr>
              <w:t>56,510</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46,205</w:t>
            </w:r>
          </w:p>
        </w:tc>
        <w:tc>
          <w:tcPr>
            <w:tcW w:type="dxa" w:w="1440"/>
            <w:shd w:fill="FAFAFA" w:val="clear"/>
          </w:tcPr>
          <w:p>
            <w:r>
              <w:rPr>
                <w:b/>
                <w:sz w:val="17"/>
              </w:rPr>
              <w:t>51,863</w:t>
            </w:r>
          </w:p>
        </w:tc>
        <w:tc>
          <w:tcPr>
            <w:tcW w:type="dxa" w:w="1440"/>
            <w:shd w:fill="FAFAFA" w:val="clear"/>
          </w:tcPr>
          <w:p>
            <w:r>
              <w:rPr>
                <w:sz w:val="17"/>
              </w:rPr>
              <w:t>57,522</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45,303</w:t>
            </w:r>
          </w:p>
        </w:tc>
        <w:tc>
          <w:tcPr>
            <w:tcW w:type="dxa" w:w="1440"/>
            <w:shd w:fill="FAFAFA" w:val="clear"/>
          </w:tcPr>
          <w:p>
            <w:r>
              <w:rPr>
                <w:b/>
                <w:sz w:val="17"/>
              </w:rPr>
              <w:t>51,834</w:t>
            </w:r>
          </w:p>
        </w:tc>
        <w:tc>
          <w:tcPr>
            <w:tcW w:type="dxa" w:w="1440"/>
            <w:shd w:fill="FAFAFA" w:val="clear"/>
          </w:tcPr>
          <w:p>
            <w:r>
              <w:rPr>
                <w:sz w:val="17"/>
              </w:rPr>
              <w:t>58,364</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44,507</w:t>
            </w:r>
          </w:p>
        </w:tc>
        <w:tc>
          <w:tcPr>
            <w:tcW w:type="dxa" w:w="1440"/>
            <w:shd w:fill="FAFAFA" w:val="clear"/>
          </w:tcPr>
          <w:p>
            <w:r>
              <w:rPr>
                <w:b/>
                <w:sz w:val="17"/>
              </w:rPr>
              <w:t>51,804</w:t>
            </w:r>
          </w:p>
        </w:tc>
        <w:tc>
          <w:tcPr>
            <w:tcW w:type="dxa" w:w="1440"/>
            <w:shd w:fill="FAFAFA" w:val="clear"/>
          </w:tcPr>
          <w:p>
            <w:r>
              <w:rPr>
                <w:sz w:val="17"/>
              </w:rPr>
              <w:t>59,101</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43,786</w:t>
            </w:r>
          </w:p>
        </w:tc>
        <w:tc>
          <w:tcPr>
            <w:tcW w:type="dxa" w:w="1440"/>
            <w:shd w:fill="FAFAFA" w:val="clear"/>
          </w:tcPr>
          <w:p>
            <w:r>
              <w:rPr>
                <w:b/>
                <w:sz w:val="17"/>
              </w:rPr>
              <w:t>51,776</w:t>
            </w:r>
          </w:p>
        </w:tc>
        <w:tc>
          <w:tcPr>
            <w:tcW w:type="dxa" w:w="1440"/>
            <w:shd w:fill="FAFAFA" w:val="clear"/>
          </w:tcPr>
          <w:p>
            <w:r>
              <w:rPr>
                <w:sz w:val="17"/>
              </w:rPr>
              <w:t>59,765</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43,123</w:t>
            </w:r>
          </w:p>
        </w:tc>
        <w:tc>
          <w:tcPr>
            <w:tcW w:type="dxa" w:w="1440"/>
            <w:shd w:fill="FAFAFA" w:val="clear"/>
          </w:tcPr>
          <w:p>
            <w:r>
              <w:rPr>
                <w:b/>
                <w:sz w:val="17"/>
              </w:rPr>
              <w:t>51,748</w:t>
            </w:r>
          </w:p>
        </w:tc>
        <w:tc>
          <w:tcPr>
            <w:tcW w:type="dxa" w:w="1440"/>
            <w:shd w:fill="FAFAFA" w:val="clear"/>
          </w:tcPr>
          <w:p>
            <w:r>
              <w:rPr>
                <w:sz w:val="17"/>
              </w:rPr>
              <w:t>60,372</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2026-09-30</w:t>
            </w:r>
          </w:p>
        </w:tc>
        <w:tc>
          <w:tcPr>
            <w:tcW w:type="dxa" w:w="1440"/>
            <w:shd w:fill="FAFAFA" w:val="clear"/>
          </w:tcPr>
          <w:p>
            <w:r>
              <w:rPr>
                <w:sz w:val="17"/>
              </w:rPr>
              <w:t>42,505</w:t>
            </w:r>
          </w:p>
        </w:tc>
        <w:tc>
          <w:tcPr>
            <w:tcW w:type="dxa" w:w="1440"/>
            <w:shd w:fill="FAFAFA" w:val="clear"/>
          </w:tcPr>
          <w:p>
            <w:r>
              <w:rPr>
                <w:b/>
                <w:sz w:val="17"/>
              </w:rPr>
              <w:t>51,720</w:t>
            </w:r>
          </w:p>
        </w:tc>
        <w:tc>
          <w:tcPr>
            <w:tcW w:type="dxa" w:w="1440"/>
            <w:shd w:fill="FAFAFA" w:val="clear"/>
          </w:tcPr>
          <w:p>
            <w:r>
              <w:rPr>
                <w:sz w:val="17"/>
              </w:rPr>
              <w:t>60,936</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2026-10-01</w:t>
            </w:r>
          </w:p>
        </w:tc>
        <w:tc>
          <w:tcPr>
            <w:tcW w:type="dxa" w:w="1440"/>
            <w:shd w:fill="FAFAFA" w:val="clear"/>
          </w:tcPr>
          <w:p>
            <w:r>
              <w:rPr>
                <w:sz w:val="17"/>
              </w:rPr>
              <w:t>41,925</w:t>
            </w:r>
          </w:p>
        </w:tc>
        <w:tc>
          <w:tcPr>
            <w:tcW w:type="dxa" w:w="1440"/>
            <w:shd w:fill="FAFAFA" w:val="clear"/>
          </w:tcPr>
          <w:p>
            <w:r>
              <w:rPr>
                <w:b/>
                <w:sz w:val="17"/>
              </w:rPr>
              <w:t>51,694</w:t>
            </w:r>
          </w:p>
        </w:tc>
        <w:tc>
          <w:tcPr>
            <w:tcW w:type="dxa" w:w="1440"/>
            <w:shd w:fill="FAFAFA" w:val="clear"/>
          </w:tcPr>
          <w:p>
            <w:r>
              <w:rPr>
                <w:sz w:val="17"/>
              </w:rPr>
              <w:t>61,463</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2026-10-02</w:t>
            </w:r>
          </w:p>
        </w:tc>
        <w:tc>
          <w:tcPr>
            <w:tcW w:type="dxa" w:w="1440"/>
            <w:shd w:fill="FAFAFA" w:val="clear"/>
          </w:tcPr>
          <w:p>
            <w:r>
              <w:rPr>
                <w:sz w:val="17"/>
              </w:rPr>
              <w:t>41,375</w:t>
            </w:r>
          </w:p>
        </w:tc>
        <w:tc>
          <w:tcPr>
            <w:tcW w:type="dxa" w:w="1440"/>
            <w:shd w:fill="FAFAFA" w:val="clear"/>
          </w:tcPr>
          <w:p>
            <w:r>
              <w:rPr>
                <w:b/>
                <w:sz w:val="17"/>
              </w:rPr>
              <w:t>51,668</w:t>
            </w:r>
          </w:p>
        </w:tc>
        <w:tc>
          <w:tcPr>
            <w:tcW w:type="dxa" w:w="1440"/>
            <w:shd w:fill="FAFAFA" w:val="clear"/>
          </w:tcPr>
          <w:p>
            <w:r>
              <w:rPr>
                <w:sz w:val="17"/>
              </w:rPr>
              <w:t>61,960</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Marché UEMOA**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481,03 milliards FCFA, un niveau qui la place parmi les valeurs les plus importantes de la cote BRVM, bien que très en retrait des poids lourds comme SONATEL. Les ratios de valorisation classiques (BPA, PER, P/B, EV/EBITDA) ne sont pas calculables en l'absence de données financières structurées exploitables dans la base, ce qui limite l'appréciation directe du prix payé par les investisseurs par rapport aux bénéfices ou à la valeur comptable. On peut toutefois noter que le PER implicite, si l'on rapporte la capitalisation au bénéfice net 2023 de 640,3 millions FCFA, ressortirait à un niveau extrêmement élevé (supérieur à 700x), signe d'une valorisation de marché totalement déconnectée des profits actuels — ce qui s'explique par la faiblesse exceptionnelle du résultat et non par une prime de croissance. Le P/B serait quant à lui négatif, les capitaux propres étant négatifs (-10,66 milliards FCFA en 2023), ce qui rend l'analyse bilancielle peu pertinente en l'état. En résumé, la valorisation boursière d'UNLC repose davantage sur la notoriété de la marque et le potentiel de redressement que sur des fondamentaux actuels solides.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UNLC affiche une variation totale de -8,43%, avec une dernière séance en repli de -0,61%, portant le cours actuel à 52 380 FCFA. Le range de trading est large, entre un plus haut de 63 345 FCFA et un plus bas de 49 025 FCFA, soit une amplitude de plus de 14 000 FCFA qui témoigne d'une réelle nervosité du marché. La tendance générale est baissière, le cours évoluant sous ses moyennes mobiles et se rapprochant du bas de fourchette, dans un contexte de volumes très faibles (21 titres/jour en moyenne) qui accentue la fragilité de la cotation. Les statistiques descriptives révèlent une moyenne (55 495 FCFA) quasi identique à la médiane (55 528 FCFA), confirmant une distribution symétrique du cours, tandis que le mode à 58 000 FCFA suggère que ce niveau a concentré le plus grand nombre de transactions. L'écart-type de 2 992 FCFA et le coefficient de variation de 5,4% indiquent une dispersion modérée du cours autour de sa moyenne, mais la volatilité annualisée de 60,3% classe le titre dans la catégorie des valeurs à volatilité élevée (&gt;30%), ce qui implique un risque de prix important. Le kurtosis de -0,420 (mésokurtique) et le skewness de 0,203 (distribution symétrique) suggèrent l'absence de pics extrêmes ou d'asymétrie marquée, mais la faiblesse des volumes rend ces mesures moins fiables pour anticiper les mouvements futurs.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(53 048,5 FCFA) et la MM50 (53 470,5 FCFA) se situent toutes deux au-dessus du cours actuel (52 380 FCFA), ce qui place le titre en position baissière sous ses supports dynamiques. La MM20 étant légèrement en dessous de la MM50, on observe un croisement baissier (death cross) qui confirme la pression vendeuse. La décision technique est donc logiquement à la vente.</w:t>
      </w:r>
    </w:p>
    <w:p>
      <w:pPr>
        <w:spacing w:after="120" w:line="276" w:lineRule="auto"/>
      </w:pPr>
      <w:r>
        <w:t>**Bandes de Bollinger** : Le cours actuel (52 380 FCFA) se situe à l'intérieur des bandes, entre la borne inférieure (49 811,4 FCFA) et la borne supérieure (56 285,6 FCFA), mais plus proche de la borne basse. Cette position médiane-basse traduit une volatilité modérée et une absence de signal directionnel fort, d'où la décision neutre. Un franchissement de la borne inférieure constituerait un signal de vente, tandis qu'un retour vers la borne supérieure serait un signal d'achat.</w:t>
      </w:r>
    </w:p>
    <w:p>
      <w:pPr>
        <w:spacing w:after="120" w:line="276" w:lineRule="auto"/>
      </w:pPr>
      <w:r>
        <w:t>**MACD** : La valeur du MACD (-522,657) est inférieure à son signal (-380,753), et les deux sont en territoire négatif. Cette configuration indique un momentum baissier persistant, avec une divergence négative qui n'incite pas à l'achat. La décision technique est donc à la vente.</w:t>
      </w:r>
    </w:p>
    <w:p>
      <w:pPr>
        <w:spacing w:after="120" w:line="276" w:lineRule="auto"/>
      </w:pPr>
      <w:r>
        <w:t>**RSI** : À 42,912, le RSI se situe dans la zone neutre (30-70), sans atteindre la zone de survente (&lt;30) ni de surachat (&gt;70). Cela suggère que le titre n'est ni excessivement vendu ni suracheté, et qu'il dispose d'un potentiel de baisse résiduel avant d'atteindre des niveaux de rebond technique. La décision est neutre.</w:t>
      </w:r>
    </w:p>
    <w:p>
      <w:pPr>
        <w:spacing w:after="120" w:line="276" w:lineRule="auto"/>
      </w:pPr>
      <w:r>
        <w:t>**Stochastique** : Le %K (60,179) est supérieur au %D (41,272), ce qui indique un croisement haussier récent, mais les deux valeurs restent dans une zone médiane. Ce signal est contradictoire avec les autres indicateurs et pourrait annoncer un rebond de court terme, mais sa fiabilité est limitée par la faiblesse des volumes. La décision est neutre.</w:t>
      </w:r>
    </w:p>
    <w:p>
      <w:pPr>
        <w:spacing w:after="120" w:line="276" w:lineRule="auto"/>
      </w:pPr>
      <w:r>
        <w:t>**Conclusion technique** : La majorité des indicateurs (MM, MACD) penche vers une tendance baissière, tandis que le RSI et le stochastique sont neutres et les Bandes de Bollinger sans direction claire. Le titre évolue sous ses moyennes mobiles avec un momentum négatif, mais la proximité de la borne inférieure de Bollinger et le croisement haussier du stochastique suggèrent qu'un rebond technique n'est pas exclu à court terme. Dans l'ensemble, la configuration technique reste défavorable, avec un risque de poursuite de la baisse vers 49 000-50 000 FCFA si les 52 000 FCFA ne tiennent pas.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d'UNLC s'appuie sur les rapports financiers officiels disponibles, dont les plus récents datent du 31 décembre 2023 (exercice 2023) et du 31 décembre 2022 (exercice 2022), complétés par des rapports antérieurs (2021, 2020). Pour l'exercice 2023, le chiffre d'affaires s'établit à 24 336 010 000 FCFA, stable par rapport à 2022, ce qui traduit une absence de croissance organique. Le résultat net 2023 est bénéficiaire de 640 334 855 FCFA, en nette amélioration après la perte de 6 908 362 002 FCFA en 2022, mais la marge nette reste faible à 2,63%, très en dessous de la moyenne sectorielle des FMCG en Afrique de l'Ouest (5-10%). Le résultat d'exploitation passe de -6 258 millions FCFA en 2022 à +3 340 millions FCFA en 2023, grâce à une réduction des charges et une hausse des produits accessoires. Cependant, les capitaux propres demeurent négatifs à -10 658 millions FCFA et le report à nouveau est de -35 635 millions FCFA, ce qui fragilise structurellement le bilan. La dette financière s'élève à 4 379 millions FCFA en 2023 (contre 3 827 millions en 2022), et la trésorerie passive de 14 874 millions FCFA dépasse largement la trésorerie active, signalant un risque de liquidité. Aucun dividende n'a été versé en 2023, et la politique de rétention des bénéfices vise à reconstituer les fonds propres. Les rapports antérieurs (2022, 2021) confirment une situation de crise en 2022 (perte nette de -6,38 milliards FCFA, marge nette de -17,6% à -26,2% selon les sources) suivie d'un redressement partiel en 2023. Sur la base de ces données, on estime que l'exercice 2024 devrait confirmer la reprise progressive, mais la faiblesse des marges et l'absence de dividende limitent l'attrait fondamental à court terme. La recommandation fondamentale est donc de **conserver avec vigilance**, en attendant une amélioration durable de la rentabilité et une réduction de l'endettement.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La valorisation (Partie 0) est difficile à apprécier en l'absence de ratios, mais le PER implicite très élevé et le P/B négatif suggèrent une surévaluation par rapport aux bénéfices actuels. Le comportement du cours (Partie 1) est baissier sur 100 jours (-8,43%), avec une volatilité élevée (60,3%) et une distribution symétrique sans pics extrêmes, ce qui est préoccupant pour les investisseurs averses au risque. Les signaux techniques (Partie 2) sont majoritairement baissiers (MM, MACD), avec quelques signaux neutres (RSI, stochastique) qui n'inversent pas la tendance. Les fondamentaux (Partie 3) montrent une amélioration en 2023 (bénéfice net de 640 millions FCFA, résultat d'exploitation positif), mais la structure financière reste fragile (capitaux propres négatifs, endettement élevé, absence de dividende). Les prédictions IA pour les 10 prochains jours (51875, 51887, 51863, 51834, 51804 FCFA) indiquent une légère tendance baissière, en ligne avec les signaux techniques. Sur cette base, la recommandation finale est **CONSERVER**, avec un niveau de confiance **Moyen** et un risque global **Élevé**. L'horizon d'investissement optimal est le **moyen terme (3-12 mois)**, en surveillant l'évolution des marges, la réduction de l'endettement et un éventuel retour à la distribution de dividendes. Une dégradation supplémentaire (nouvelle perte en 2024, hausse de l'endettement) justifierait une vente, tandis qu'une confirmation de la reprise (marge nette &gt;5%, capitaux propres positifs) pourrait ouvrir la voie à un achat.</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48.14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13,323 titres</w:t>
            </w:r>
          </w:p>
        </w:tc>
        <w:tc>
          <w:tcPr>
            <w:tcW w:type="dxa" w:w="2268"/>
            <w:shd w:fill="FFF2CC" w:val="clear"/>
          </w:tcPr>
          <w:p>
            <w:r>
              <w:rPr>
                <w:b/>
                <w:color w:val="503200"/>
                <w:sz w:val="16"/>
              </w:rPr>
              <w:t xml:space="preserve">Cours actuel : </w:t>
            </w:r>
            <w:r>
              <w:rPr>
                <w:color w:val="000000"/>
                <w:sz w:val="17"/>
              </w:rPr>
              <w:t>2,320 FCFA</w:t>
            </w:r>
          </w:p>
          <w:p>
            <w:r>
              <w:rPr>
                <w:b/>
                <w:color w:val="503200"/>
                <w:sz w:val="16"/>
              </w:rPr>
              <w:t xml:space="preserve">Var. 100 jours : </w:t>
            </w:r>
            <w:r>
              <w:rPr>
                <w:b/>
                <w:color w:val="007800"/>
                <w:sz w:val="17"/>
              </w:rPr>
              <w:t>+11.27%</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14.42% (Moyenne) — μ=1,964 FCFA, σ=283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β=0.0745 (Défensif) — Cov=0.000003, Var(idx)=0.000036, ρ=0.014,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13,323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82/100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2,218</w:t>
            </w:r>
          </w:p>
        </w:tc>
        <w:tc>
          <w:tcPr>
            <w:tcW w:type="dxa" w:w="1440"/>
            <w:shd w:fill="FAFAFA" w:val="clear"/>
          </w:tcPr>
          <w:p>
            <w:r>
              <w:rPr>
                <w:b/>
                <w:sz w:val="17"/>
              </w:rPr>
              <w:t>2,311</w:t>
            </w:r>
          </w:p>
        </w:tc>
        <w:tc>
          <w:tcPr>
            <w:tcW w:type="dxa" w:w="1440"/>
            <w:shd w:fill="FAFAFA" w:val="clear"/>
          </w:tcPr>
          <w:p>
            <w:r>
              <w:rPr>
                <w:sz w:val="17"/>
              </w:rPr>
              <w:t>2,405</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2,171</w:t>
            </w:r>
          </w:p>
        </w:tc>
        <w:tc>
          <w:tcPr>
            <w:tcW w:type="dxa" w:w="1440"/>
            <w:shd w:fill="FAFAFA" w:val="clear"/>
          </w:tcPr>
          <w:p>
            <w:r>
              <w:rPr>
                <w:b/>
                <w:sz w:val="17"/>
              </w:rPr>
              <w:t>2,303</w:t>
            </w:r>
          </w:p>
        </w:tc>
        <w:tc>
          <w:tcPr>
            <w:tcW w:type="dxa" w:w="1440"/>
            <w:shd w:fill="FAFAFA" w:val="clear"/>
          </w:tcPr>
          <w:p>
            <w:r>
              <w:rPr>
                <w:sz w:val="17"/>
              </w:rPr>
              <w:t>2,434</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2,134</w:t>
            </w:r>
          </w:p>
        </w:tc>
        <w:tc>
          <w:tcPr>
            <w:tcW w:type="dxa" w:w="1440"/>
            <w:shd w:fill="FAFAFA" w:val="clear"/>
          </w:tcPr>
          <w:p>
            <w:r>
              <w:rPr>
                <w:b/>
                <w:sz w:val="17"/>
              </w:rPr>
              <w:t>2,295</w:t>
            </w:r>
          </w:p>
        </w:tc>
        <w:tc>
          <w:tcPr>
            <w:tcW w:type="dxa" w:w="1440"/>
            <w:shd w:fill="FAFAFA" w:val="clear"/>
          </w:tcPr>
          <w:p>
            <w:r>
              <w:rPr>
                <w:sz w:val="17"/>
              </w:rPr>
              <w:t>2,455</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2,102</w:t>
            </w:r>
          </w:p>
        </w:tc>
        <w:tc>
          <w:tcPr>
            <w:tcW w:type="dxa" w:w="1440"/>
            <w:shd w:fill="FAFAFA" w:val="clear"/>
          </w:tcPr>
          <w:p>
            <w:r>
              <w:rPr>
                <w:b/>
                <w:sz w:val="17"/>
              </w:rPr>
              <w:t>2,287</w:t>
            </w:r>
          </w:p>
        </w:tc>
        <w:tc>
          <w:tcPr>
            <w:tcW w:type="dxa" w:w="1440"/>
            <w:shd w:fill="FAFAFA" w:val="clear"/>
          </w:tcPr>
          <w:p>
            <w:r>
              <w:rPr>
                <w:sz w:val="17"/>
              </w:rPr>
              <w:t>2,471</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2,073</w:t>
            </w:r>
          </w:p>
        </w:tc>
        <w:tc>
          <w:tcPr>
            <w:tcW w:type="dxa" w:w="1440"/>
            <w:shd w:fill="FAFAFA" w:val="clear"/>
          </w:tcPr>
          <w:p>
            <w:r>
              <w:rPr>
                <w:b/>
                <w:sz w:val="17"/>
              </w:rPr>
              <w:t>2,279</w:t>
            </w:r>
          </w:p>
        </w:tc>
        <w:tc>
          <w:tcPr>
            <w:tcW w:type="dxa" w:w="1440"/>
            <w:shd w:fill="FAFAFA" w:val="clear"/>
          </w:tcPr>
          <w:p>
            <w:r>
              <w:rPr>
                <w:sz w:val="17"/>
              </w:rPr>
              <w:t>2,484</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2,046</w:t>
            </w:r>
          </w:p>
        </w:tc>
        <w:tc>
          <w:tcPr>
            <w:tcW w:type="dxa" w:w="1440"/>
            <w:shd w:fill="FFDCE0" w:val="clear"/>
          </w:tcPr>
          <w:p>
            <w:r>
              <w:rPr>
                <w:b/>
                <w:sz w:val="17"/>
              </w:rPr>
              <w:t>2,271</w:t>
            </w:r>
          </w:p>
        </w:tc>
        <w:tc>
          <w:tcPr>
            <w:tcW w:type="dxa" w:w="1440"/>
            <w:shd w:fill="FFDCE0" w:val="clear"/>
          </w:tcPr>
          <w:p>
            <w:r>
              <w:rPr>
                <w:sz w:val="17"/>
              </w:rPr>
              <w:t>2,495</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2,021</w:t>
            </w:r>
          </w:p>
        </w:tc>
        <w:tc>
          <w:tcPr>
            <w:tcW w:type="dxa" w:w="1440"/>
            <w:shd w:fill="FFDCE0" w:val="clear"/>
          </w:tcPr>
          <w:p>
            <w:r>
              <w:rPr>
                <w:b/>
                <w:sz w:val="17"/>
              </w:rPr>
              <w:t>2,263</w:t>
            </w:r>
          </w:p>
        </w:tc>
        <w:tc>
          <w:tcPr>
            <w:tcW w:type="dxa" w:w="1440"/>
            <w:shd w:fill="FFDCE0" w:val="clear"/>
          </w:tcPr>
          <w:p>
            <w:r>
              <w:rPr>
                <w:sz w:val="17"/>
              </w:rPr>
              <w:t>2,505</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1,998</w:t>
            </w:r>
          </w:p>
        </w:tc>
        <w:tc>
          <w:tcPr>
            <w:tcW w:type="dxa" w:w="1440"/>
            <w:shd w:fill="FFDCE0" w:val="clear"/>
          </w:tcPr>
          <w:p>
            <w:r>
              <w:rPr>
                <w:b/>
                <w:sz w:val="17"/>
              </w:rPr>
              <w:t>2,255</w:t>
            </w:r>
          </w:p>
        </w:tc>
        <w:tc>
          <w:tcPr>
            <w:tcW w:type="dxa" w:w="1440"/>
            <w:shd w:fill="FFDCE0" w:val="clear"/>
          </w:tcPr>
          <w:p>
            <w:r>
              <w:rPr>
                <w:sz w:val="17"/>
              </w:rPr>
              <w:t>2,513</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1,976</w:t>
            </w:r>
          </w:p>
        </w:tc>
        <w:tc>
          <w:tcPr>
            <w:tcW w:type="dxa" w:w="1440"/>
            <w:shd w:fill="FFDCE0" w:val="clear"/>
          </w:tcPr>
          <w:p>
            <w:r>
              <w:rPr>
                <w:b/>
                <w:sz w:val="17"/>
              </w:rPr>
              <w:t>2,248</w:t>
            </w:r>
          </w:p>
        </w:tc>
        <w:tc>
          <w:tcPr>
            <w:tcW w:type="dxa" w:w="1440"/>
            <w:shd w:fill="FFDCE0" w:val="clear"/>
          </w:tcPr>
          <w:p>
            <w:r>
              <w:rPr>
                <w:sz w:val="17"/>
              </w:rPr>
              <w:t>2,521</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1,955</w:t>
            </w:r>
          </w:p>
        </w:tc>
        <w:tc>
          <w:tcPr>
            <w:tcW w:type="dxa" w:w="1440"/>
            <w:shd w:fill="FFDCE0" w:val="clear"/>
          </w:tcPr>
          <w:p>
            <w:r>
              <w:rPr>
                <w:b/>
                <w:sz w:val="17"/>
              </w:rPr>
              <w:t>2,241</w:t>
            </w:r>
          </w:p>
        </w:tc>
        <w:tc>
          <w:tcPr>
            <w:tcW w:type="dxa" w:w="1440"/>
            <w:shd w:fill="FFDCE0" w:val="clear"/>
          </w:tcPr>
          <w:p>
            <w:r>
              <w:rPr>
                <w:sz w:val="17"/>
              </w:rPr>
              <w:t>2,527</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 RAPPORT D'ANALYSE FINANCIÈRE — UNIWAX (UNXC)</w:t>
        <w:br/>
        <w:t>## Bourse Régionale des Valeurs Mobilières (BRVM) — Côte d'Ivoire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48,14 milliards FCFA, UNXC se positionne comme une valeur de taille moyenne sur le compartiment industriel de la BRVM, ce qui reste modeste à l'échelle régionale mais significatif pour le secteur textile ivoirien. Le BPA ressort à -105 FCFA/action sur l'exercice 2024, traduisant une perte nette de -2,189 milliards FCFA, ce qui rend le PER de -22,0x non significatif en soi (un PER négatif signale simplement une société déficitaire, sans pouvoir être comparé au PER moyen BRVM de 8-12x). Le ratio P/B de 3,09x indique que le marché valorise le titre à plus de trois fois sa valeur comptable, soit une prime de croissance notable qui contraste avec la situation bénéficiaire actuelle — cette prime se justifie par les perspectives de redressement opérationnel et l'assainissement financier en cours (cession-bail du terrain). Le ratio EV/EBITDA n'est pas fourni dans les données disponibles, mais au regard de l'EBE redevenu positif à 1,13 milliard FCFA en 2025 (contre -0,35 milliard en 2024), la valeur d'entreprise reste élevée par rapport à la capacité opérationnelle, ce qui invite à la prudence tant que la rentabilité récurrente n'est pas confirmée.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UNXC affiche une progression totale de +11,27%, avec une dernière séance stable (variation J-1 de +0,00%), le cours s'établissant à 2 320 FCFA. Le range de trading est particulièrement large, avec un plus haut à 2 495 FCFA et un plus bas à 1 250 FCFA, soit un écart de près de 100% entre les deux extrêmes — signe d'une forte volatilité et d'un changement de régime de cotation au cours de la période. La tendance générale est clairement haussière, le cours actuel se situant à 85,7% de son plus haut, ce qui témoigne d'un momentum acheteur soutenu. Les statistiques descriptives révèlent une moyenne de 1 964 FCFA légèrement supérieure à la médiane de 1 905 FCFA, avec un mode à 1 900 FCFA, indiquant une distribution quasi-symétrique (skewness de 0,104) mais avec une légère prédominance des valeurs hautes. L'écart-type de 285 FCFA (CV de 14,5%) traduit une dispersion modérée autour de la moyenne, tandis que le kurtosis de -0,071 (mésokurtique) suggère une distribution proche de la normale, sans risque majeur de pics extrêmes. La volatilité annualisée de 48,8% classe le titre dans la catégorie des valeurs à volatilité élevée (&gt;30%), ce qui implique un risque de marché significatif et justifie une approche prudente en termes de dimensionnement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2 399,5 FCFA et la MM50 à 2 087,6 FCFA, toutes deux inférieures au cours actuel de 2 320 FCFA pour la MM20 (léger écart baissier) mais nettement en dessous pour la MM50. La configuration MM20 &gt; MM50 confirme une tendance haussière de fond, et le signal « Achat » est justifié par le positionnement du cours au-dessus de la MM50, bien que la légère pression baissière à court terme (cours sous MM20) invite à la nuance.</w:t>
      </w:r>
    </w:p>
    <w:p>
      <w:pPr>
        <w:spacing w:after="120" w:line="276" w:lineRule="auto"/>
      </w:pPr>
      <w:r>
        <w:t>**Bandes de Bollinger** : La borne supérieure se situe à 2 502,35 FCFA et la borne inférieure à 2 296,65 FCFA, avec un cours actuel de 2 320 FCFA positionné dans la partie basse de la bande. Cette position proche de la borne inférieure indique une pression vendeuse récente, mais le signal « Neutre » reflète l'absence de rupture significative — la volatilité reste contenue dans les bandes, sans signal de retournement imminent.</w:t>
      </w:r>
    </w:p>
    <w:p>
      <w:pPr>
        <w:spacing w:after="120" w:line="276" w:lineRule="auto"/>
      </w:pPr>
      <w:r>
        <w:t>**MACD** : La valeur du MACD (59,521) est inférieure à son signal (89,88), générant un signal « Vente » par croisement baissier. Cette divergence négative indique un essoufflement du momentum haussier, bien que la ligne MACD reste en territoire positif, ce qui suggère une correction plutôt qu'un retournement de tendance majeur.</w:t>
      </w:r>
    </w:p>
    <w:p>
      <w:pPr>
        <w:spacing w:after="120" w:line="276" w:lineRule="auto"/>
      </w:pPr>
      <w:r>
        <w:t>**RSI** : À 26,923, le RSI se situe en zone de survente (&lt;30), générant un signal « Achat ». Cette configuration est cohérente avec la position du cours près de la borne inférieure de Bollinger et suggère un potentiel rebond technique à court terme, bien que la survente puisse persister en cas de pression vendeuse continue.</w:t>
      </w:r>
    </w:p>
    <w:p>
      <w:pPr>
        <w:spacing w:after="120" w:line="276" w:lineRule="auto"/>
      </w:pPr>
      <w:r>
        <w:t>**Stochastique** : Les valeurs %K et %D sont toutes deux à 0,0, signalant une survente extrême et un signal « Achat ». Ce niveau plancher est généralement annonciateur d'un rebond technique, mais l'absence de croisement haussier entre %K et %D invite à attendre une confirmation avant d'agir.</w:t>
      </w:r>
    </w:p>
    <w:p>
      <w:pPr>
        <w:spacing w:after="120" w:line="276" w:lineRule="auto"/>
      </w:pPr>
      <w:r>
        <w:t>**Conclusion technique** : Les indicateurs présentent une divergence notable — les oscillateurs (RSI, Stochastique) plaident pour un rebond imminent depuis la zone de survente, tandis que le MACD et la position sous la MM20 signalent une pression baissière à court terme. La tendance de fond reste haussière (MM50 ascendante, cours au-dessus), mais la correction actuelle pourrait se poursuivre avant un retournement. Un signal d'achat contrariant se dessine, à condition de surveiller la confirmation d'un croisement haussier du stochastique et d'un retour du cours au-dessus de la MM20.</w:t>
      </w:r>
    </w:p>
    <w:p>
      <w:pPr>
        <w:spacing w:after="120" w:line="276" w:lineRule="auto"/>
      </w:pPr>
      <w:r>
        <w:t>---</w:t>
      </w:r>
    </w:p>
    <w:p>
      <w:pPr>
        <w:spacing w:after="120" w:line="276" w:lineRule="auto"/>
      </w:pPr>
      <w:r>
        <w:t>## PARTIE 3 : ANALYSE FONDAMENTALE</w:t>
      </w:r>
    </w:p>
    <w:p>
      <w:pPr>
        <w:spacing w:after="120" w:line="276" w:lineRule="auto"/>
      </w:pPr>
      <w:r>
        <w:t>**Données structurées (exercice 2024)** : En 2024, UNIWAX a réalisé un chiffre d'affaires de 27,333 milliards FCFA, en croissance de 15,4% par rapport à 2023 (23,690 milliards), mais a enregistré un résultat net négatif de -2,189 milliards FCFA, contre un bénéfice de 4,188 milliards en 2023 — une dégradation spectaculaire. Le ROE ressort à -14,04% et le ROA à -6,39%, confirmant la destruction de valeur sur l'exercice. La marge nette est de -8,01% et la marge opérationnelle de -7,81%, tandis que l'EBE est négatif à -352,22 millions FCFA. La structure financière reste solide avec une autonomie financière de 45,53% (capitaux propres de 15,591 milliards FCFA) et une trésorerie nette positive de 2,495 milliards FCFA, mais le ratio d'endettement de 119,61% et la couverture des intérêts négative (-8 022,84%) signalent une fragilité opérationnelle. Les délais d'exploitation sont préoccupants : délai clients de 51,03 jours (risque de trésorerie modéré), délai fournisseurs de 267,82 jours (favorable à la trésorerie) et durée de stockage de 254,72 jours (immobilisation de capital importante). Le BFR de 2,149 milliards FCFA et le fonds de roulement de 4,027 milliards FCFA indiquent une gestion du besoin en fonds de roulement globalement maîtrisée.</w:t>
      </w:r>
    </w:p>
    <w:p>
      <w:pPr>
        <w:spacing w:after="120" w:line="276" w:lineRule="auto"/>
      </w:pPr>
      <w:r>
        <w:t>**Estimations basées sur les rapports trimestriels** : Le rapport du 1er semestre 2026 (publié en 2026) révèle un chiffre d'affaires de 15,752 milliards FCFA (+0,3% sur un an) et surtout un **résultat d'exploitation redevenu positif à 771 millions FCFA**, contre une perte de -314 millions au S1 2025 — une amélioration de 345,4%. Le résultat net du S1 2026 s'établit à 771 millions FCFA, contre 8,216 milliards au S1 2025 (ce dernier incluant une plus-value exceptionnelle de cession de près de 10 milliards). Le rapport du 3ème trimestre 2025 (daté du 30/09/2025) confirme cette dynamique : le CA des 9 premiers mois atteint 22,474 milliards FCFA (+13%), et la direction annonce l'absence de perte au T3 seul, suggérant une inflexion vers la rentabilité opérationnelle. Le rapport annuel 2025 (publié en 2025) indique un CA de 29,03 milliards FCFA (+6,2%), un EBE redevenu positif à 1,13 milliard FCFA et une perte nette réduite à -624 millions FCFA (contre -2,19 milliards en 2024). **On estime donc que l'exercice 2026 devrait confirmer le retour à une rentabilité opérationnelle positive**, avec un résultat net potentiellement à l'équilibre ou légèrement bénéficiaire, hors éléments exceptionnels. La recommandation fondamentale est de **conserver avec un biais acheteur**, la solidité du bilan (capitaux propres de 24,62 milliards FCFA en 2025) et l'amélioration opérationnelle constituant des arguments positifs, mais la dépendance aux cessions d'actifs et la concurrence asiatique restant des risques majeurs.</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atypique : le PER négatif de -22,0x et le BPA de -105 FCFA traduisent une société encore déficitaire, mais le P/B de 3,09x et la capitalisation de 48,14 milliards FCFA intègrent déjà une prime de redressement — le marché anticipe la normalisation des bénéfices. Le comportement du cours (Partie 1) est haussier sur 100 jours (+11,27%) avec une volatilité élevée (48,8%), une distribution symétrique (skewness 0,104) et un kurtosis proche de la normale (-0,071), ce qui est rassurant sur l'absence de risque de queue épaisse, mais le range très large (1 250-2 495 FCFA) signale une sensibilité aux annonces. Les signaux techniques (Partie 2) sont divergents : RSI en survente (26,9) et Stochastique à 0,0 plaident pour un rebond, mais le MACD baissier et le cours sous la MM20 tempèrent l'optimisme — une convergence haussière se dessine toutefois si le rebond se confirme. Les fondamentaux (Partie 3) montrent une amélioration réelle : retour à un résultat d'exploitation positif au S1 2026 (771 millions FCFA), EBE positif en 2025 (1,13 milliard), perte nette réduite de 71% — mais la rentabilité reste fragile et dépendante d'éléments non récurrents. Les prédictions IA (J+1 à J+10) anticipent une légère baisse de 2 311 à 2 279 FCFA, ce qui contredit le signal de rebond technique à court terme mais s'aligne sur la prudence fondamentale. **Recommandation finale : CONSERVER avec biais acheteur** — la convergence entre l'amélioration opérationnelle, la survente technique et la solidité du bilan justifie une position d'attente active, mais la valorisation exigeante et les prédictions baissières à court terme incitent à ne pas renforcer immédiatement. Le niveau de confiance est **Moyen** (les signaux sont divergents à court terme mais la tendance de fond est positive), le risque global est **Élevé** (volatilité de 48,8%, société en redressement, dépendance aux marchés d'export), et l'horizon optimal est **moyen terme (3-12 mois)**, le temps que la rentabilité opérationnelle se confirme durablement et que le marché revalorise le titre sur des bases récurrentes.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